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F898" w14:textId="77777777" w:rsidR="00A94E4B" w:rsidRPr="00FC7BB4" w:rsidRDefault="00A94E4B" w:rsidP="00A94E4B">
      <w:pPr>
        <w:pStyle w:val="PlainText"/>
        <w:tabs>
          <w:tab w:val="left" w:pos="284"/>
        </w:tabs>
        <w:jc w:val="center"/>
        <w:rPr>
          <w:rFonts w:ascii="Times New Roman" w:hAnsi="Times New Roman" w:cs="Times New Roman"/>
          <w:b/>
          <w:sz w:val="28"/>
        </w:rPr>
      </w:pPr>
      <w:r w:rsidRPr="00FC7BB4">
        <w:rPr>
          <w:rFonts w:ascii="Times New Roman" w:hAnsi="Times New Roman" w:cs="Times New Roman"/>
          <w:b/>
          <w:sz w:val="28"/>
        </w:rPr>
        <w:t>UNIVERSITY OF WAIKATO</w:t>
      </w:r>
    </w:p>
    <w:p w14:paraId="3CE09A30" w14:textId="77777777" w:rsidR="00A94E4B" w:rsidRPr="00FC7BB4" w:rsidRDefault="00A94E4B" w:rsidP="00A94E4B">
      <w:pPr>
        <w:pStyle w:val="PlainText"/>
        <w:tabs>
          <w:tab w:val="left" w:pos="284"/>
        </w:tabs>
        <w:jc w:val="center"/>
        <w:rPr>
          <w:rFonts w:ascii="Times New Roman" w:hAnsi="Times New Roman" w:cs="Times New Roman"/>
          <w:b/>
          <w:sz w:val="28"/>
        </w:rPr>
      </w:pPr>
    </w:p>
    <w:p w14:paraId="0F87FB68" w14:textId="77777777" w:rsidR="00A94E4B" w:rsidRPr="00FC7BB4" w:rsidRDefault="00A94E4B" w:rsidP="00A94E4B">
      <w:pPr>
        <w:pStyle w:val="PlainText"/>
        <w:tabs>
          <w:tab w:val="left" w:pos="284"/>
        </w:tabs>
        <w:jc w:val="center"/>
        <w:rPr>
          <w:rFonts w:ascii="Times New Roman" w:hAnsi="Times New Roman" w:cs="Times New Roman"/>
          <w:b/>
          <w:sz w:val="28"/>
        </w:rPr>
      </w:pPr>
      <w:r w:rsidRPr="00FC7BB4">
        <w:rPr>
          <w:rFonts w:ascii="Times New Roman" w:hAnsi="Times New Roman" w:cs="Times New Roman"/>
          <w:b/>
          <w:sz w:val="28"/>
        </w:rPr>
        <w:t>Hamilton</w:t>
      </w:r>
    </w:p>
    <w:p w14:paraId="6EC481B2" w14:textId="77777777" w:rsidR="00A94E4B" w:rsidRPr="00FC7BB4" w:rsidRDefault="00A94E4B" w:rsidP="00A94E4B">
      <w:pPr>
        <w:pStyle w:val="PlainText"/>
        <w:tabs>
          <w:tab w:val="left" w:pos="284"/>
        </w:tabs>
        <w:jc w:val="center"/>
        <w:rPr>
          <w:rFonts w:ascii="Times New Roman" w:hAnsi="Times New Roman" w:cs="Times New Roman"/>
          <w:b/>
          <w:sz w:val="28"/>
        </w:rPr>
      </w:pPr>
      <w:smartTag w:uri="urn:schemas-microsoft-com:office:smarttags" w:element="place">
        <w:smartTag w:uri="urn:schemas-microsoft-com:office:smarttags" w:element="country-region">
          <w:r w:rsidRPr="00FC7BB4">
            <w:rPr>
              <w:rFonts w:ascii="Times New Roman" w:hAnsi="Times New Roman" w:cs="Times New Roman"/>
              <w:b/>
              <w:sz w:val="28"/>
            </w:rPr>
            <w:t>New Zealand</w:t>
          </w:r>
        </w:smartTag>
      </w:smartTag>
    </w:p>
    <w:p w14:paraId="03B07D5B" w14:textId="77777777" w:rsidR="00A94E4B" w:rsidRPr="00FC7BB4" w:rsidRDefault="00A94E4B" w:rsidP="00A94E4B">
      <w:pPr>
        <w:pStyle w:val="PlainText"/>
        <w:tabs>
          <w:tab w:val="left" w:pos="284"/>
        </w:tabs>
        <w:jc w:val="center"/>
        <w:rPr>
          <w:rFonts w:ascii="Times New Roman" w:hAnsi="Times New Roman" w:cs="Times New Roman"/>
          <w:b/>
          <w:sz w:val="28"/>
        </w:rPr>
      </w:pPr>
    </w:p>
    <w:p w14:paraId="24C5D0EB" w14:textId="77777777" w:rsidR="00A94E4B" w:rsidRPr="00FC7BB4" w:rsidRDefault="00A94E4B" w:rsidP="00A94E4B">
      <w:pPr>
        <w:pStyle w:val="PlainText"/>
        <w:tabs>
          <w:tab w:val="left" w:pos="284"/>
        </w:tabs>
        <w:jc w:val="center"/>
        <w:rPr>
          <w:rFonts w:ascii="Times New Roman" w:hAnsi="Times New Roman" w:cs="Times New Roman"/>
          <w:b/>
          <w:sz w:val="28"/>
        </w:rPr>
      </w:pPr>
    </w:p>
    <w:p w14:paraId="53EC9E70" w14:textId="77777777" w:rsidR="00A94E4B" w:rsidRPr="00FC7BB4" w:rsidRDefault="00A94E4B" w:rsidP="00A94E4B">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16"/>
          <w:szCs w:val="16"/>
        </w:rPr>
      </w:pPr>
    </w:p>
    <w:p w14:paraId="37870B13" w14:textId="04DBF3A8" w:rsidR="00A94E4B" w:rsidRPr="00FC7BB4" w:rsidRDefault="00A94E4B" w:rsidP="00A94E4B">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28"/>
          <w:szCs w:val="28"/>
        </w:rPr>
      </w:pPr>
      <w:r w:rsidRPr="00FC7BB4">
        <w:rPr>
          <w:rFonts w:ascii="Times New Roman" w:eastAsia="Arial" w:hAnsi="Times New Roman" w:cs="Times New Roman"/>
          <w:b/>
          <w:bCs/>
          <w:sz w:val="28"/>
          <w:szCs w:val="28"/>
        </w:rPr>
        <w:t>Inflation and the Changing Nature of Firm Price Adjustment: Six Decades Worth of Evidence</w:t>
      </w:r>
    </w:p>
    <w:p w14:paraId="52C0B051" w14:textId="52C77801" w:rsidR="00A94E4B" w:rsidRPr="00FC7BB4" w:rsidRDefault="00A94E4B" w:rsidP="00A94E4B">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sz w:val="28"/>
          <w:szCs w:val="28"/>
        </w:rPr>
      </w:pPr>
      <w:r w:rsidRPr="00FC7BB4">
        <w:rPr>
          <w:rFonts w:ascii="Times New Roman" w:hAnsi="Times New Roman" w:cs="Times New Roman"/>
          <w:sz w:val="28"/>
        </w:rPr>
        <w:t xml:space="preserve"> Robert A. Buckle, Michael Ryan and </w:t>
      </w:r>
      <w:proofErr w:type="spellStart"/>
      <w:r w:rsidRPr="00FC7BB4">
        <w:rPr>
          <w:rFonts w:ascii="Times New Roman" w:hAnsi="Times New Roman" w:cs="Times New Roman"/>
          <w:sz w:val="28"/>
        </w:rPr>
        <w:t>Zhongchen</w:t>
      </w:r>
      <w:proofErr w:type="spellEnd"/>
      <w:r w:rsidRPr="00FC7BB4">
        <w:rPr>
          <w:rFonts w:ascii="Times New Roman" w:hAnsi="Times New Roman" w:cs="Times New Roman"/>
          <w:sz w:val="28"/>
        </w:rPr>
        <w:t xml:space="preserve"> Song </w:t>
      </w:r>
    </w:p>
    <w:p w14:paraId="4538FA27" w14:textId="77777777" w:rsidR="00A94E4B" w:rsidRPr="00FC7BB4" w:rsidRDefault="00A94E4B" w:rsidP="00A94E4B">
      <w:pPr>
        <w:pStyle w:val="PlainText"/>
        <w:pBdr>
          <w:top w:val="thinThickSmallGap" w:sz="24" w:space="1" w:color="auto"/>
          <w:left w:val="thinThickSmallGap" w:sz="24" w:space="4" w:color="auto"/>
          <w:bottom w:val="thickThinSmallGap" w:sz="24" w:space="1" w:color="auto"/>
          <w:right w:val="thickThinSmallGap" w:sz="24" w:space="4" w:color="auto"/>
        </w:pBdr>
        <w:tabs>
          <w:tab w:val="left" w:pos="284"/>
        </w:tabs>
        <w:spacing w:line="360" w:lineRule="auto"/>
        <w:jc w:val="center"/>
        <w:rPr>
          <w:rFonts w:ascii="Times New Roman" w:hAnsi="Times New Roman" w:cs="Times New Roman"/>
          <w:b/>
          <w:sz w:val="8"/>
        </w:rPr>
      </w:pPr>
    </w:p>
    <w:p w14:paraId="35E18522" w14:textId="77777777" w:rsidR="00A94E4B" w:rsidRPr="00FC7BB4" w:rsidRDefault="00A94E4B" w:rsidP="00A94E4B">
      <w:pPr>
        <w:pStyle w:val="PlainText"/>
        <w:tabs>
          <w:tab w:val="left" w:pos="284"/>
        </w:tabs>
        <w:jc w:val="both"/>
        <w:rPr>
          <w:rFonts w:ascii="Times New Roman" w:hAnsi="Times New Roman" w:cs="Times New Roman"/>
          <w:b/>
          <w:sz w:val="28"/>
        </w:rPr>
      </w:pPr>
    </w:p>
    <w:p w14:paraId="27BD3076" w14:textId="77777777" w:rsidR="00A94E4B" w:rsidRPr="00FC7BB4" w:rsidRDefault="00A94E4B" w:rsidP="00A94E4B">
      <w:pPr>
        <w:jc w:val="center"/>
        <w:rPr>
          <w:rFonts w:ascii="Times New Roman" w:hAnsi="Times New Roman" w:cs="Times New Roman"/>
        </w:rPr>
      </w:pPr>
      <w:r w:rsidRPr="00FC7BB4">
        <w:rPr>
          <w:rFonts w:ascii="Times New Roman" w:hAnsi="Times New Roman" w:cs="Times New Roman"/>
        </w:rPr>
        <w:t xml:space="preserve"> </w:t>
      </w:r>
    </w:p>
    <w:p w14:paraId="1FF8E0CE" w14:textId="77777777" w:rsidR="00A94E4B" w:rsidRPr="00FC7BB4" w:rsidRDefault="00A94E4B" w:rsidP="00A94E4B">
      <w:pPr>
        <w:pStyle w:val="PlainText"/>
        <w:tabs>
          <w:tab w:val="left" w:pos="284"/>
        </w:tabs>
        <w:spacing w:before="100" w:line="360" w:lineRule="auto"/>
        <w:jc w:val="center"/>
        <w:rPr>
          <w:rFonts w:ascii="Times New Roman" w:hAnsi="Times New Roman" w:cs="Times New Roman"/>
          <w:b/>
          <w:bCs/>
          <w:sz w:val="28"/>
        </w:rPr>
      </w:pPr>
      <w:r w:rsidRPr="00FC7BB4">
        <w:rPr>
          <w:rFonts w:ascii="Times New Roman" w:hAnsi="Times New Roman" w:cs="Times New Roman"/>
          <w:b/>
          <w:bCs/>
          <w:sz w:val="28"/>
        </w:rPr>
        <w:t>Department of Economics</w:t>
      </w:r>
    </w:p>
    <w:p w14:paraId="29D512AF" w14:textId="589F59B7" w:rsidR="00A94E4B" w:rsidRPr="00FC7BB4" w:rsidRDefault="00A94E4B" w:rsidP="00A94E4B">
      <w:pPr>
        <w:pStyle w:val="PlainText"/>
        <w:tabs>
          <w:tab w:val="left" w:pos="284"/>
        </w:tabs>
        <w:spacing w:before="100" w:line="360" w:lineRule="auto"/>
        <w:jc w:val="center"/>
        <w:rPr>
          <w:rFonts w:ascii="Times New Roman" w:hAnsi="Times New Roman" w:cs="Times New Roman"/>
          <w:b/>
          <w:bCs/>
          <w:sz w:val="28"/>
        </w:rPr>
      </w:pPr>
      <w:r w:rsidRPr="00FC7BB4">
        <w:rPr>
          <w:rFonts w:ascii="Times New Roman" w:hAnsi="Times New Roman" w:cs="Times New Roman"/>
          <w:b/>
          <w:bCs/>
          <w:sz w:val="28"/>
        </w:rPr>
        <w:t>Working Paper in Economics 6/25</w:t>
      </w:r>
    </w:p>
    <w:p w14:paraId="6E3A80DD" w14:textId="4AB09C46" w:rsidR="00A94E4B" w:rsidRPr="00FC7BB4" w:rsidRDefault="00A94E4B" w:rsidP="00A94E4B">
      <w:pPr>
        <w:pStyle w:val="PlainText"/>
        <w:tabs>
          <w:tab w:val="left" w:pos="284"/>
        </w:tabs>
        <w:spacing w:before="100" w:line="360" w:lineRule="auto"/>
        <w:jc w:val="center"/>
        <w:rPr>
          <w:rFonts w:ascii="Times New Roman" w:hAnsi="Times New Roman" w:cs="Times New Roman"/>
          <w:sz w:val="28"/>
        </w:rPr>
      </w:pPr>
      <w:r w:rsidRPr="00FC7BB4">
        <w:rPr>
          <w:rFonts w:ascii="Times New Roman" w:hAnsi="Times New Roman" w:cs="Times New Roman"/>
          <w:sz w:val="28"/>
        </w:rPr>
        <w:t>November 2025</w:t>
      </w:r>
    </w:p>
    <w:tbl>
      <w:tblPr>
        <w:tblW w:w="0" w:type="auto"/>
        <w:tblLook w:val="04A0" w:firstRow="1" w:lastRow="0" w:firstColumn="1" w:lastColumn="0" w:noHBand="0" w:noVBand="1"/>
      </w:tblPr>
      <w:tblGrid>
        <w:gridCol w:w="4621"/>
        <w:gridCol w:w="4621"/>
      </w:tblGrid>
      <w:tr w:rsidR="00A94E4B" w:rsidRPr="00FC7BB4" w14:paraId="161AA14A" w14:textId="77777777" w:rsidTr="0056628E">
        <w:tc>
          <w:tcPr>
            <w:tcW w:w="4621" w:type="dxa"/>
          </w:tcPr>
          <w:p w14:paraId="556E8E74" w14:textId="77777777" w:rsidR="00A94E4B" w:rsidRPr="00FC7BB4" w:rsidRDefault="00A94E4B" w:rsidP="0056628E">
            <w:pPr>
              <w:pStyle w:val="Default"/>
              <w:jc w:val="center"/>
            </w:pPr>
          </w:p>
        </w:tc>
        <w:tc>
          <w:tcPr>
            <w:tcW w:w="4621" w:type="dxa"/>
          </w:tcPr>
          <w:p w14:paraId="0D5BCED6" w14:textId="77777777" w:rsidR="00A94E4B" w:rsidRPr="00FC7BB4" w:rsidRDefault="00A94E4B" w:rsidP="0056628E">
            <w:pPr>
              <w:pStyle w:val="CM3"/>
              <w:jc w:val="center"/>
              <w:rPr>
                <w:b/>
                <w:lang w:val="it-IT"/>
              </w:rPr>
            </w:pPr>
          </w:p>
        </w:tc>
      </w:tr>
    </w:tbl>
    <w:p w14:paraId="16AA5A8B" w14:textId="77777777" w:rsidR="00A94E4B" w:rsidRPr="00FC7BB4" w:rsidRDefault="00A94E4B" w:rsidP="00A94E4B">
      <w:pPr>
        <w:pStyle w:val="CM4"/>
        <w:spacing w:after="100" w:line="240" w:lineRule="auto"/>
        <w:jc w:val="center"/>
        <w:rPr>
          <w:bCs/>
          <w:i/>
        </w:rPr>
      </w:pPr>
      <w:r w:rsidRPr="00FC7BB4">
        <w:rPr>
          <w:bCs/>
          <w:i/>
        </w:rPr>
        <w:t>Corresponding Author</w:t>
      </w:r>
    </w:p>
    <w:p w14:paraId="206044FD" w14:textId="1DBCC1F3" w:rsidR="00A94E4B" w:rsidRPr="00FC7BB4" w:rsidRDefault="00A94E4B" w:rsidP="00A94E4B">
      <w:pPr>
        <w:jc w:val="center"/>
        <w:rPr>
          <w:rFonts w:ascii="Times New Roman" w:hAnsi="Times New Roman" w:cs="Times New Roman"/>
          <w:b/>
          <w:sz w:val="24"/>
        </w:rPr>
      </w:pPr>
      <w:r w:rsidRPr="00FC7BB4">
        <w:rPr>
          <w:rFonts w:ascii="Times New Roman" w:hAnsi="Times New Roman" w:cs="Times New Roman"/>
          <w:b/>
          <w:sz w:val="24"/>
        </w:rPr>
        <w:t>Michael Ryan</w:t>
      </w:r>
    </w:p>
    <w:p w14:paraId="1497BFA2" w14:textId="6C12BA69" w:rsidR="00A94E4B" w:rsidRPr="00FC7BB4" w:rsidRDefault="00A94E4B" w:rsidP="00A94E4B">
      <w:pPr>
        <w:pStyle w:val="CM23"/>
        <w:spacing w:after="0"/>
        <w:jc w:val="center"/>
      </w:pPr>
      <w:r w:rsidRPr="00FC7BB4">
        <w:t>Waikato Management School</w:t>
      </w:r>
    </w:p>
    <w:p w14:paraId="1C9F61E7" w14:textId="77777777" w:rsidR="00A94E4B" w:rsidRPr="00FC7BB4" w:rsidRDefault="00A94E4B" w:rsidP="00A94E4B">
      <w:pPr>
        <w:pStyle w:val="CM23"/>
        <w:spacing w:after="0"/>
        <w:jc w:val="center"/>
      </w:pPr>
      <w:r w:rsidRPr="00FC7BB4">
        <w:t>University of Waikato</w:t>
      </w:r>
    </w:p>
    <w:p w14:paraId="297B894D" w14:textId="77777777" w:rsidR="00A94E4B" w:rsidRPr="00FC7BB4" w:rsidRDefault="00A94E4B" w:rsidP="00A94E4B">
      <w:pPr>
        <w:pStyle w:val="CM23"/>
        <w:spacing w:after="0"/>
        <w:jc w:val="center"/>
      </w:pPr>
      <w:r w:rsidRPr="00FC7BB4">
        <w:t>Hamilton, 3240</w:t>
      </w:r>
    </w:p>
    <w:p w14:paraId="034F1329" w14:textId="77777777" w:rsidR="00A94E4B" w:rsidRPr="00FC7BB4" w:rsidRDefault="00A94E4B" w:rsidP="00A94E4B">
      <w:pPr>
        <w:pStyle w:val="CM23"/>
        <w:spacing w:after="0"/>
        <w:jc w:val="center"/>
      </w:pPr>
      <w:r w:rsidRPr="00FC7BB4">
        <w:t xml:space="preserve">New Zealand </w:t>
      </w:r>
    </w:p>
    <w:p w14:paraId="0B9ECA9D" w14:textId="5FC43F6A" w:rsidR="00A94E4B" w:rsidRPr="00FC7BB4" w:rsidRDefault="00A94E4B" w:rsidP="00A94E4B">
      <w:pPr>
        <w:pStyle w:val="CM3"/>
        <w:jc w:val="center"/>
        <w:rPr>
          <w:bCs/>
          <w:color w:val="000000" w:themeColor="text1"/>
          <w:lang w:val="it-IT"/>
        </w:rPr>
      </w:pPr>
      <w:r w:rsidRPr="00FC7BB4">
        <w:rPr>
          <w:bCs/>
          <w:lang w:val="it-IT"/>
        </w:rPr>
        <w:t xml:space="preserve">Email: </w:t>
      </w:r>
      <w:r w:rsidRPr="00FC7BB4">
        <w:rPr>
          <w:bCs/>
        </w:rPr>
        <w:t>mryan@waikato.ac.nz</w:t>
      </w:r>
    </w:p>
    <w:p w14:paraId="3BA01802" w14:textId="77777777" w:rsidR="00A94E4B" w:rsidRPr="00FC7BB4" w:rsidRDefault="00A94E4B" w:rsidP="00A94E4B">
      <w:pPr>
        <w:spacing w:before="100" w:line="288" w:lineRule="auto"/>
        <w:jc w:val="center"/>
        <w:rPr>
          <w:rFonts w:ascii="Times New Roman" w:hAnsi="Times New Roman" w:cs="Times New Roman"/>
          <w:b/>
          <w:sz w:val="24"/>
        </w:rPr>
      </w:pPr>
    </w:p>
    <w:p w14:paraId="07C5E550" w14:textId="515D6C84" w:rsidR="00A94E4B" w:rsidRPr="00FC7BB4" w:rsidRDefault="00A94E4B" w:rsidP="00A94E4B">
      <w:pPr>
        <w:jc w:val="center"/>
        <w:rPr>
          <w:rFonts w:ascii="Times New Roman" w:hAnsi="Times New Roman" w:cs="Times New Roman"/>
          <w:b/>
          <w:sz w:val="24"/>
        </w:rPr>
      </w:pPr>
      <w:r w:rsidRPr="00FC7BB4">
        <w:rPr>
          <w:rFonts w:ascii="Times New Roman" w:hAnsi="Times New Roman" w:cs="Times New Roman"/>
          <w:b/>
          <w:sz w:val="24"/>
        </w:rPr>
        <w:t>Robert A. Buckle</w:t>
      </w:r>
    </w:p>
    <w:p w14:paraId="72A7CEFA" w14:textId="259DD2CE" w:rsidR="00A94E4B" w:rsidRPr="00A94E4B" w:rsidRDefault="00A94E4B" w:rsidP="00A94E4B">
      <w:pPr>
        <w:pStyle w:val="CM23"/>
        <w:spacing w:after="0"/>
        <w:jc w:val="center"/>
      </w:pPr>
      <w:r w:rsidRPr="00A94E4B">
        <w:t xml:space="preserve">Wellington School of Business and Government </w:t>
      </w:r>
      <w:r w:rsidRPr="00FC7BB4">
        <w:t xml:space="preserve"> </w:t>
      </w:r>
    </w:p>
    <w:p w14:paraId="2ABC2F81" w14:textId="77777777" w:rsidR="00A94E4B" w:rsidRPr="00A94E4B" w:rsidRDefault="00A94E4B" w:rsidP="00A94E4B">
      <w:pPr>
        <w:pStyle w:val="CM23"/>
        <w:spacing w:after="0"/>
        <w:jc w:val="center"/>
      </w:pPr>
      <w:r w:rsidRPr="00A94E4B">
        <w:t>Victoria University of Wellington</w:t>
      </w:r>
    </w:p>
    <w:p w14:paraId="339B3DFB" w14:textId="1EC4EEAC" w:rsidR="00A94E4B" w:rsidRPr="00FC7BB4" w:rsidRDefault="00A94E4B" w:rsidP="00A94E4B">
      <w:pPr>
        <w:pStyle w:val="CM23"/>
        <w:spacing w:after="0"/>
        <w:jc w:val="center"/>
      </w:pPr>
      <w:r w:rsidRPr="00A94E4B">
        <w:t>Wellington, 6140</w:t>
      </w:r>
    </w:p>
    <w:p w14:paraId="107723E2" w14:textId="55DA527C" w:rsidR="00A94E4B" w:rsidRPr="00A94E4B" w:rsidRDefault="00A94E4B" w:rsidP="00A94E4B">
      <w:pPr>
        <w:pStyle w:val="CM23"/>
        <w:spacing w:after="0"/>
        <w:jc w:val="center"/>
      </w:pPr>
      <w:r w:rsidRPr="00A94E4B">
        <w:t>New Zealand</w:t>
      </w:r>
    </w:p>
    <w:p w14:paraId="6A7F02E5" w14:textId="1C69B986" w:rsidR="00A94E4B" w:rsidRPr="00FC7BB4" w:rsidRDefault="00A94E4B" w:rsidP="00A94E4B">
      <w:pPr>
        <w:pStyle w:val="CM3"/>
        <w:jc w:val="center"/>
        <w:rPr>
          <w:bCs/>
          <w:color w:val="000000" w:themeColor="text1"/>
          <w:lang w:val="it-IT"/>
        </w:rPr>
      </w:pPr>
      <w:r w:rsidRPr="00FC7BB4">
        <w:rPr>
          <w:bCs/>
          <w:lang w:val="it-IT"/>
        </w:rPr>
        <w:t xml:space="preserve">Email: </w:t>
      </w:r>
      <w:r w:rsidR="003A6695" w:rsidRPr="00FC7BB4">
        <w:rPr>
          <w:bCs/>
        </w:rPr>
        <w:t>bob.buckle@vuw.ac.nz</w:t>
      </w:r>
    </w:p>
    <w:p w14:paraId="259F022E" w14:textId="77777777" w:rsidR="00A94E4B" w:rsidRPr="00FC7BB4" w:rsidRDefault="00A94E4B" w:rsidP="00A94E4B">
      <w:pPr>
        <w:spacing w:before="100" w:line="288" w:lineRule="auto"/>
        <w:jc w:val="center"/>
        <w:rPr>
          <w:rFonts w:ascii="Times New Roman" w:hAnsi="Times New Roman" w:cs="Times New Roman"/>
          <w:b/>
          <w:sz w:val="24"/>
        </w:rPr>
      </w:pPr>
    </w:p>
    <w:p w14:paraId="60236345" w14:textId="6B58B187" w:rsidR="00A94E4B" w:rsidRPr="00FC7BB4" w:rsidRDefault="003A6695" w:rsidP="00A94E4B">
      <w:pPr>
        <w:spacing w:before="100" w:line="288" w:lineRule="auto"/>
        <w:jc w:val="center"/>
        <w:rPr>
          <w:rFonts w:ascii="Times New Roman" w:hAnsi="Times New Roman" w:cs="Times New Roman"/>
          <w:b/>
          <w:sz w:val="24"/>
        </w:rPr>
      </w:pPr>
      <w:proofErr w:type="spellStart"/>
      <w:r w:rsidRPr="00FC7BB4">
        <w:rPr>
          <w:rFonts w:ascii="Times New Roman" w:hAnsi="Times New Roman" w:cs="Times New Roman"/>
          <w:b/>
          <w:sz w:val="24"/>
        </w:rPr>
        <w:t>Zhongchen</w:t>
      </w:r>
      <w:proofErr w:type="spellEnd"/>
      <w:r w:rsidRPr="00FC7BB4">
        <w:rPr>
          <w:rFonts w:ascii="Times New Roman" w:hAnsi="Times New Roman" w:cs="Times New Roman"/>
          <w:b/>
          <w:sz w:val="24"/>
        </w:rPr>
        <w:t xml:space="preserve"> Song</w:t>
      </w:r>
    </w:p>
    <w:p w14:paraId="48A42F9F" w14:textId="7030DF43" w:rsidR="00A94E4B" w:rsidRPr="00FC7BB4" w:rsidRDefault="003A6695" w:rsidP="003A6695">
      <w:pPr>
        <w:pStyle w:val="CM23"/>
        <w:spacing w:after="0"/>
        <w:jc w:val="center"/>
      </w:pPr>
      <w:r w:rsidRPr="00FC7BB4">
        <w:t>Reserve Bank of New Zealand</w:t>
      </w:r>
    </w:p>
    <w:p w14:paraId="3C9AC4C5" w14:textId="54A6B3D2" w:rsidR="00A94E4B" w:rsidRPr="00FC7BB4" w:rsidRDefault="003A6695" w:rsidP="003A6695">
      <w:pPr>
        <w:pStyle w:val="CM23"/>
        <w:spacing w:after="0"/>
        <w:jc w:val="center"/>
      </w:pPr>
      <w:r w:rsidRPr="00FC7BB4">
        <w:t>Wellington</w:t>
      </w:r>
      <w:r w:rsidRPr="00A94E4B">
        <w:t>, 6140</w:t>
      </w:r>
    </w:p>
    <w:p w14:paraId="08CB21FB" w14:textId="0499E0A2" w:rsidR="003A6695" w:rsidRPr="00FC7BB4" w:rsidRDefault="003A6695" w:rsidP="003A6695">
      <w:pPr>
        <w:pStyle w:val="CM23"/>
        <w:spacing w:after="0"/>
        <w:jc w:val="center"/>
      </w:pPr>
      <w:r w:rsidRPr="00FC7BB4">
        <w:t>New Zealand</w:t>
      </w:r>
    </w:p>
    <w:p w14:paraId="187B8805" w14:textId="3D40DFB3" w:rsidR="00A94E4B" w:rsidRPr="00FC7BB4" w:rsidRDefault="00A94E4B" w:rsidP="00A94E4B">
      <w:pPr>
        <w:jc w:val="center"/>
        <w:rPr>
          <w:rFonts w:ascii="Times New Roman" w:hAnsi="Times New Roman" w:cs="Times New Roman"/>
          <w:sz w:val="24"/>
        </w:rPr>
      </w:pPr>
      <w:r w:rsidRPr="00FC7BB4">
        <w:rPr>
          <w:rFonts w:ascii="Times New Roman" w:hAnsi="Times New Roman" w:cs="Times New Roman"/>
          <w:bCs/>
          <w:sz w:val="24"/>
          <w:lang w:val="it-IT"/>
        </w:rPr>
        <w:t xml:space="preserve">Email: </w:t>
      </w:r>
      <w:r w:rsidR="003A6695" w:rsidRPr="00FC7BB4">
        <w:rPr>
          <w:rFonts w:ascii="Times New Roman" w:hAnsi="Times New Roman" w:cs="Times New Roman"/>
          <w:sz w:val="24"/>
        </w:rPr>
        <w:t>Zhongchen.Song@rbnz.govt.nz</w:t>
      </w:r>
    </w:p>
    <w:p w14:paraId="561DE21C" w14:textId="77777777" w:rsidR="00A94E4B" w:rsidRPr="00FC7BB4" w:rsidRDefault="00A94E4B" w:rsidP="00A94E4B">
      <w:pPr>
        <w:jc w:val="center"/>
        <w:rPr>
          <w:rFonts w:ascii="Times New Roman" w:eastAsia="Arial" w:hAnsi="Times New Roman" w:cs="Times New Roman"/>
          <w:color w:val="0F4761" w:themeColor="accent1" w:themeShade="BF"/>
          <w:sz w:val="24"/>
          <w:lang w:val="en-US" w:eastAsia="en-US"/>
        </w:rPr>
      </w:pPr>
      <w:r w:rsidRPr="00FC7BB4">
        <w:rPr>
          <w:rStyle w:val="Strong"/>
          <w:rFonts w:ascii="Times New Roman" w:hAnsi="Times New Roman" w:cs="Times New Roman"/>
          <w:iCs/>
          <w:sz w:val="24"/>
          <w:lang w:val="it-IT"/>
        </w:rPr>
        <w:t xml:space="preserve"> </w:t>
      </w:r>
    </w:p>
    <w:p w14:paraId="6854283D" w14:textId="77777777" w:rsidR="003A6695" w:rsidRPr="00FC7BB4" w:rsidRDefault="003A6695" w:rsidP="003A6695">
      <w:pPr>
        <w:jc w:val="center"/>
        <w:rPr>
          <w:rFonts w:ascii="Times New Roman" w:hAnsi="Times New Roman" w:cs="Times New Roman"/>
          <w:b/>
          <w:bCs/>
          <w:sz w:val="24"/>
        </w:rPr>
      </w:pPr>
      <w:r w:rsidRPr="00FC7BB4">
        <w:rPr>
          <w:rFonts w:ascii="Times New Roman" w:hAnsi="Times New Roman" w:cs="Times New Roman"/>
          <w:b/>
          <w:bCs/>
          <w:sz w:val="24"/>
        </w:rPr>
        <w:lastRenderedPageBreak/>
        <w:t>Abstract</w:t>
      </w:r>
    </w:p>
    <w:p w14:paraId="7F9887CB" w14:textId="77777777" w:rsidR="003A6695" w:rsidRPr="00FC7BB4" w:rsidRDefault="003A6695" w:rsidP="003A6695">
      <w:pPr>
        <w:rPr>
          <w:rFonts w:ascii="Times New Roman" w:hAnsi="Times New Roman" w:cs="Times New Roman"/>
          <w:b/>
        </w:rPr>
      </w:pPr>
    </w:p>
    <w:p w14:paraId="35F4052F" w14:textId="77777777" w:rsidR="003A6695" w:rsidRPr="00FC7BB4" w:rsidRDefault="003A6695" w:rsidP="003A6695">
      <w:pPr>
        <w:spacing w:after="120" w:line="360" w:lineRule="auto"/>
        <w:ind w:right="28" w:firstLine="0"/>
        <w:rPr>
          <w:rFonts w:ascii="Times New Roman" w:hAnsi="Times New Roman" w:cs="Times New Roman"/>
          <w:sz w:val="24"/>
        </w:rPr>
      </w:pPr>
      <w:r w:rsidRPr="00FC7BB4">
        <w:rPr>
          <w:rFonts w:ascii="Times New Roman" w:hAnsi="Times New Roman" w:cs="Times New Roman"/>
          <w:sz w:val="24"/>
        </w:rPr>
        <w:t>The frequency with which firms change prices crucially influences inflation dynamics. Using a unique firm-level dataset spanning more than six decades, this paper examines how firm price-setting behaviour has evolved across episodes of high inflation, including the recent COVID-19 inflation episode. Time-series analysis and probit modelling reveal that pricing behaviour has changed markedly since the high inflation episodes of the 1970s and 1980s. In the aggregate, the proportion of firms changing prices has become more highly correlated with inflation. At a firm level, the probability of price increases, conditional on inflation and cost increases, has risen. At the same time, the probability of price decreases when costs fall has fallen, making price adjustment increasingly asymmetric. This asymmetry is particularly pronounced among service-sector firms and at higher inflation levels. Reasons for these changes are evaluated including technological and societal changes, as well as the changing industrial structure of firms. Collectively, the findings imply that the Phillips Curve has become more nonlinear at higher levels of inflation and that the inflation accelerator operates more strongly than in the past.</w:t>
      </w:r>
    </w:p>
    <w:p w14:paraId="701DB066" w14:textId="77777777" w:rsidR="003A6695" w:rsidRPr="00FC7BB4" w:rsidRDefault="003A6695" w:rsidP="003A6695">
      <w:pPr>
        <w:tabs>
          <w:tab w:val="left" w:pos="426"/>
        </w:tabs>
        <w:spacing w:line="288" w:lineRule="auto"/>
        <w:jc w:val="center"/>
        <w:rPr>
          <w:rFonts w:ascii="Times New Roman" w:hAnsi="Times New Roman" w:cs="Times New Roman"/>
          <w:b/>
          <w:sz w:val="16"/>
          <w:szCs w:val="16"/>
        </w:rPr>
      </w:pPr>
    </w:p>
    <w:p w14:paraId="3E051E35" w14:textId="77777777" w:rsidR="003A6695" w:rsidRPr="00FC7BB4" w:rsidRDefault="003A6695" w:rsidP="003A6695">
      <w:pPr>
        <w:tabs>
          <w:tab w:val="left" w:pos="426"/>
        </w:tabs>
        <w:spacing w:after="120" w:line="288" w:lineRule="auto"/>
        <w:jc w:val="center"/>
        <w:rPr>
          <w:rFonts w:ascii="Times New Roman" w:hAnsi="Times New Roman" w:cs="Times New Roman"/>
          <w:b/>
          <w:sz w:val="24"/>
        </w:rPr>
      </w:pPr>
      <w:r w:rsidRPr="00FC7BB4">
        <w:rPr>
          <w:rFonts w:ascii="Times New Roman" w:hAnsi="Times New Roman" w:cs="Times New Roman"/>
          <w:b/>
          <w:sz w:val="24"/>
        </w:rPr>
        <w:t>Key words</w:t>
      </w:r>
    </w:p>
    <w:p w14:paraId="6638536B" w14:textId="77777777" w:rsidR="003A6695" w:rsidRPr="00FC7BB4" w:rsidRDefault="003A6695" w:rsidP="003A6695">
      <w:pPr>
        <w:spacing w:after="120" w:line="259" w:lineRule="auto"/>
        <w:ind w:left="-5" w:right="27" w:hanging="10"/>
        <w:jc w:val="center"/>
        <w:rPr>
          <w:rFonts w:ascii="Times New Roman" w:hAnsi="Times New Roman" w:cs="Times New Roman"/>
          <w:sz w:val="24"/>
        </w:rPr>
      </w:pPr>
      <w:r w:rsidRPr="00FC7BB4">
        <w:rPr>
          <w:rFonts w:ascii="Times New Roman" w:hAnsi="Times New Roman" w:cs="Times New Roman"/>
          <w:sz w:val="24"/>
        </w:rPr>
        <w:t>Price change frequency</w:t>
      </w:r>
    </w:p>
    <w:p w14:paraId="2CA25C29" w14:textId="2EFA5CEB" w:rsidR="003A6695" w:rsidRPr="00FC7BB4" w:rsidRDefault="003A6695" w:rsidP="003A6695">
      <w:pPr>
        <w:spacing w:after="120" w:line="259" w:lineRule="auto"/>
        <w:ind w:left="-5" w:right="27" w:hanging="10"/>
        <w:jc w:val="center"/>
        <w:rPr>
          <w:rFonts w:ascii="Times New Roman" w:hAnsi="Times New Roman" w:cs="Times New Roman"/>
          <w:sz w:val="24"/>
        </w:rPr>
      </w:pPr>
      <w:r w:rsidRPr="00FC7BB4">
        <w:rPr>
          <w:rFonts w:ascii="Times New Roman" w:hAnsi="Times New Roman" w:cs="Times New Roman"/>
          <w:sz w:val="24"/>
        </w:rPr>
        <w:t>Inflation and price asymmetry</w:t>
      </w:r>
    </w:p>
    <w:p w14:paraId="7D57E622" w14:textId="237B286C" w:rsidR="003A6695" w:rsidRPr="00FC7BB4" w:rsidRDefault="003A6695" w:rsidP="003A6695">
      <w:pPr>
        <w:spacing w:after="120" w:line="259" w:lineRule="auto"/>
        <w:ind w:left="-5" w:right="27" w:hanging="10"/>
        <w:jc w:val="center"/>
        <w:rPr>
          <w:rFonts w:ascii="Times New Roman" w:hAnsi="Times New Roman" w:cs="Times New Roman"/>
          <w:sz w:val="24"/>
        </w:rPr>
      </w:pPr>
      <w:r w:rsidRPr="00FC7BB4">
        <w:rPr>
          <w:rFonts w:ascii="Times New Roman" w:hAnsi="Times New Roman" w:cs="Times New Roman"/>
          <w:sz w:val="24"/>
        </w:rPr>
        <w:t>micro firm data</w:t>
      </w:r>
    </w:p>
    <w:p w14:paraId="58B20F00" w14:textId="77777777" w:rsidR="003A6695" w:rsidRPr="00FC7BB4" w:rsidRDefault="003A6695" w:rsidP="003A6695">
      <w:pPr>
        <w:spacing w:after="120" w:line="259" w:lineRule="auto"/>
        <w:ind w:left="-5" w:right="27" w:hanging="10"/>
        <w:jc w:val="center"/>
        <w:rPr>
          <w:rFonts w:ascii="Times New Roman" w:hAnsi="Times New Roman" w:cs="Times New Roman"/>
          <w:sz w:val="24"/>
        </w:rPr>
      </w:pPr>
      <w:r w:rsidRPr="00FC7BB4">
        <w:rPr>
          <w:rFonts w:ascii="Times New Roman" w:hAnsi="Times New Roman" w:cs="Times New Roman"/>
          <w:sz w:val="24"/>
        </w:rPr>
        <w:t>probit modelling</w:t>
      </w:r>
    </w:p>
    <w:p w14:paraId="5D17E4E3" w14:textId="77777777" w:rsidR="003A6695" w:rsidRPr="00FC7BB4" w:rsidRDefault="003A6695" w:rsidP="003A6695">
      <w:pPr>
        <w:tabs>
          <w:tab w:val="left" w:pos="426"/>
        </w:tabs>
        <w:spacing w:line="288" w:lineRule="auto"/>
        <w:jc w:val="center"/>
        <w:rPr>
          <w:rFonts w:ascii="Times New Roman" w:hAnsi="Times New Roman" w:cs="Times New Roman"/>
          <w:b/>
          <w:sz w:val="18"/>
          <w:szCs w:val="18"/>
        </w:rPr>
      </w:pPr>
    </w:p>
    <w:p w14:paraId="78B4C3C2" w14:textId="77777777" w:rsidR="003A6695" w:rsidRPr="00FC7BB4" w:rsidRDefault="003A6695" w:rsidP="003A6695">
      <w:pPr>
        <w:tabs>
          <w:tab w:val="left" w:pos="426"/>
        </w:tabs>
        <w:spacing w:after="120" w:line="288" w:lineRule="auto"/>
        <w:jc w:val="center"/>
        <w:rPr>
          <w:rFonts w:ascii="Times New Roman" w:hAnsi="Times New Roman" w:cs="Times New Roman"/>
          <w:b/>
          <w:sz w:val="24"/>
        </w:rPr>
      </w:pPr>
      <w:r w:rsidRPr="00FC7BB4">
        <w:rPr>
          <w:rFonts w:ascii="Times New Roman" w:hAnsi="Times New Roman" w:cs="Times New Roman"/>
          <w:b/>
          <w:sz w:val="24"/>
        </w:rPr>
        <w:t>JEL Classification</w:t>
      </w:r>
    </w:p>
    <w:p w14:paraId="63079393" w14:textId="5F341F3D" w:rsidR="003A6695" w:rsidRPr="00FC7BB4" w:rsidRDefault="003A6695" w:rsidP="003A6695">
      <w:pPr>
        <w:spacing w:after="120" w:line="259" w:lineRule="auto"/>
        <w:ind w:left="-5" w:right="27" w:hanging="10"/>
        <w:jc w:val="center"/>
        <w:rPr>
          <w:rFonts w:ascii="Times New Roman" w:hAnsi="Times New Roman" w:cs="Times New Roman"/>
          <w:sz w:val="24"/>
        </w:rPr>
      </w:pPr>
      <w:r w:rsidRPr="00FC7BB4">
        <w:rPr>
          <w:rFonts w:ascii="Times New Roman" w:hAnsi="Times New Roman" w:cs="Times New Roman"/>
          <w:sz w:val="24"/>
        </w:rPr>
        <w:t xml:space="preserve">E31 </w:t>
      </w:r>
    </w:p>
    <w:p w14:paraId="2DF9B226" w14:textId="6D9F5347" w:rsidR="003A6695" w:rsidRPr="00FC7BB4" w:rsidRDefault="003A6695" w:rsidP="003A6695">
      <w:pPr>
        <w:spacing w:after="120" w:line="259" w:lineRule="auto"/>
        <w:ind w:left="-5" w:right="27" w:hanging="10"/>
        <w:jc w:val="center"/>
        <w:rPr>
          <w:rFonts w:ascii="Times New Roman" w:hAnsi="Times New Roman" w:cs="Times New Roman"/>
          <w:sz w:val="24"/>
        </w:rPr>
      </w:pPr>
      <w:r w:rsidRPr="00FC7BB4">
        <w:rPr>
          <w:rFonts w:ascii="Times New Roman" w:hAnsi="Times New Roman" w:cs="Times New Roman"/>
          <w:sz w:val="24"/>
        </w:rPr>
        <w:t xml:space="preserve">E52 </w:t>
      </w:r>
    </w:p>
    <w:p w14:paraId="7A501522" w14:textId="144ACF1F" w:rsidR="003A6695" w:rsidRPr="00FC7BB4" w:rsidRDefault="003A6695" w:rsidP="003A6695">
      <w:pPr>
        <w:spacing w:after="120" w:line="259" w:lineRule="auto"/>
        <w:ind w:left="-5" w:right="27" w:hanging="10"/>
        <w:jc w:val="center"/>
        <w:rPr>
          <w:rFonts w:ascii="Times New Roman" w:hAnsi="Times New Roman" w:cs="Times New Roman"/>
          <w:sz w:val="24"/>
        </w:rPr>
      </w:pPr>
      <w:r w:rsidRPr="00FC7BB4">
        <w:rPr>
          <w:rFonts w:ascii="Times New Roman" w:hAnsi="Times New Roman" w:cs="Times New Roman"/>
          <w:sz w:val="24"/>
        </w:rPr>
        <w:t>D4</w:t>
      </w:r>
    </w:p>
    <w:p w14:paraId="1701B166" w14:textId="77777777" w:rsidR="003A6695" w:rsidRPr="00FC7BB4" w:rsidRDefault="003A6695" w:rsidP="003A6695">
      <w:pPr>
        <w:spacing w:line="288" w:lineRule="auto"/>
        <w:jc w:val="center"/>
        <w:rPr>
          <w:rFonts w:ascii="Times New Roman" w:hAnsi="Times New Roman" w:cs="Times New Roman"/>
        </w:rPr>
      </w:pPr>
    </w:p>
    <w:p w14:paraId="79F140DE" w14:textId="77777777" w:rsidR="003A6695" w:rsidRPr="00FC7BB4" w:rsidRDefault="003A6695" w:rsidP="003A6695">
      <w:pPr>
        <w:spacing w:after="60" w:line="288" w:lineRule="auto"/>
        <w:jc w:val="center"/>
        <w:rPr>
          <w:rFonts w:ascii="Times New Roman" w:eastAsia="Times New Roman" w:hAnsi="Times New Roman" w:cs="Times New Roman"/>
          <w:b/>
          <w:sz w:val="24"/>
          <w:lang w:val="en-AU"/>
        </w:rPr>
      </w:pPr>
      <w:r w:rsidRPr="00FC7BB4">
        <w:rPr>
          <w:rFonts w:ascii="Times New Roman" w:eastAsia="Times New Roman" w:hAnsi="Times New Roman" w:cs="Times New Roman"/>
          <w:b/>
          <w:sz w:val="24"/>
          <w:lang w:val="en-AU"/>
        </w:rPr>
        <w:t>Acknowledgements</w:t>
      </w:r>
    </w:p>
    <w:p w14:paraId="00597985" w14:textId="77777777" w:rsidR="003A6695" w:rsidRPr="00FC7BB4" w:rsidRDefault="003A6695" w:rsidP="003A6695">
      <w:pPr>
        <w:spacing w:after="160" w:line="278" w:lineRule="auto"/>
        <w:ind w:right="27" w:firstLine="0"/>
        <w:rPr>
          <w:rFonts w:ascii="Times New Roman" w:hAnsi="Times New Roman" w:cs="Times New Roman"/>
          <w:sz w:val="24"/>
        </w:rPr>
      </w:pPr>
      <w:r w:rsidRPr="00FC7BB4">
        <w:rPr>
          <w:rFonts w:ascii="Times New Roman" w:hAnsi="Times New Roman" w:cs="Times New Roman"/>
          <w:sz w:val="24"/>
        </w:rPr>
        <w:t xml:space="preserve">We are grateful for helpful comments on earlier versions of this paper from participants at presentations </w:t>
      </w:r>
      <w:r w:rsidRPr="00FC7BB4">
        <w:rPr>
          <w:rFonts w:ascii="Times New Roman" w:hAnsi="Times New Roman" w:cs="Times New Roman"/>
          <w:kern w:val="0"/>
          <w:sz w:val="24"/>
          <w14:ligatures w14:val="none"/>
        </w:rPr>
        <w:t xml:space="preserve">at the Reserve Bank of New Zealand, the 2025 Annual Conference of the NZ Association of Economists, the School of Economics and Finance at Victoria University of Wellington, the Economics group at the University of Waikato, and from Andrew Coleman and an anonymous referee. We thank Christina Leung and </w:t>
      </w:r>
      <w:r w:rsidRPr="00FC7BB4">
        <w:rPr>
          <w:rFonts w:ascii="Times New Roman" w:hAnsi="Times New Roman" w:cs="Times New Roman"/>
          <w:sz w:val="24"/>
        </w:rPr>
        <w:t xml:space="preserve">NZ Institute of Economic Research (NZIER) for arranging access to the QSBO firm-level data used in this study, which was provided under conditions designed to maintain the full confidentiality of individual respondent firms. The research results and interpretations presented in this paper are those of the authors, not the NZIER or the RBNZ. </w:t>
      </w:r>
    </w:p>
    <w:p w14:paraId="4BC52F3C" w14:textId="77777777" w:rsidR="00307155" w:rsidRPr="00FC7BB4" w:rsidRDefault="00307155" w:rsidP="00F3101B">
      <w:pPr>
        <w:pStyle w:val="ListParagraph"/>
        <w:numPr>
          <w:ilvl w:val="0"/>
          <w:numId w:val="2"/>
        </w:numPr>
        <w:spacing w:after="120" w:line="278" w:lineRule="auto"/>
        <w:ind w:left="357" w:right="27" w:hanging="357"/>
        <w:jc w:val="left"/>
        <w:rPr>
          <w:rFonts w:ascii="Times New Roman" w:hAnsi="Times New Roman" w:cs="Times New Roman"/>
          <w:b/>
          <w:bCs/>
          <w:sz w:val="24"/>
        </w:rPr>
      </w:pPr>
      <w:r w:rsidRPr="00FC7BB4">
        <w:rPr>
          <w:rFonts w:ascii="Times New Roman" w:hAnsi="Times New Roman" w:cs="Times New Roman"/>
          <w:sz w:val="24"/>
        </w:rPr>
        <w:br w:type="page"/>
      </w:r>
      <w:r w:rsidRPr="00FC7BB4">
        <w:rPr>
          <w:rFonts w:ascii="Times New Roman" w:hAnsi="Times New Roman" w:cs="Times New Roman"/>
          <w:b/>
          <w:bCs/>
          <w:sz w:val="24"/>
        </w:rPr>
        <w:lastRenderedPageBreak/>
        <w:t>Introduction</w:t>
      </w:r>
    </w:p>
    <w:p w14:paraId="66B1F0EE" w14:textId="12EF241D" w:rsidR="00307155" w:rsidRPr="00FC7BB4" w:rsidRDefault="00307155" w:rsidP="00F3101B">
      <w:pPr>
        <w:pStyle w:val="PlainText"/>
        <w:spacing w:line="360" w:lineRule="auto"/>
        <w:ind w:right="27"/>
        <w:jc w:val="both"/>
        <w:rPr>
          <w:rFonts w:ascii="Times New Roman" w:hAnsi="Times New Roman" w:cs="Times New Roman"/>
          <w:bCs/>
          <w:sz w:val="24"/>
          <w:szCs w:val="24"/>
        </w:rPr>
      </w:pPr>
      <w:bookmarkStart w:id="0" w:name="_Hlk213162150"/>
      <w:r w:rsidRPr="00FC7BB4">
        <w:rPr>
          <w:rFonts w:ascii="Times New Roman" w:eastAsia="Times New Roman" w:hAnsi="Times New Roman" w:cs="Times New Roman"/>
          <w:sz w:val="24"/>
        </w:rPr>
        <w:t xml:space="preserve">Episodes of high inflation in the 1970s and 1980s </w:t>
      </w:r>
      <w:r w:rsidR="00667934" w:rsidRPr="00FC7BB4">
        <w:rPr>
          <w:rFonts w:ascii="Times New Roman" w:eastAsia="Times New Roman" w:hAnsi="Times New Roman" w:cs="Times New Roman"/>
          <w:sz w:val="24"/>
        </w:rPr>
        <w:t>generated</w:t>
      </w:r>
      <w:r w:rsidRPr="00FC7BB4">
        <w:rPr>
          <w:rFonts w:ascii="Times New Roman" w:eastAsia="Times New Roman" w:hAnsi="Times New Roman" w:cs="Times New Roman"/>
          <w:sz w:val="24"/>
        </w:rPr>
        <w:t xml:space="preserve"> a wave of theoretical and empirical research on price flexibility, with particular focus on the frequency and determinants of price adjustment. This research found the likelihood firms change prices increases with inflation, and high inflation can induce asymmetries in firms’ pricing responses whereby firms are more likely to raise than lower prices when costs and demand conditions change. The recent return of high inflation, after decades of low and stable inflation in many advanced economies, has renewed interest in this topic. </w:t>
      </w:r>
      <w:r w:rsidR="00AD4A74" w:rsidRPr="00FC7BB4">
        <w:rPr>
          <w:rFonts w:ascii="Times New Roman" w:eastAsia="Times New Roman" w:hAnsi="Times New Roman" w:cs="Times New Roman"/>
          <w:sz w:val="24"/>
        </w:rPr>
        <w:t xml:space="preserve">Understanding how general inflation influences the propensity of firms to adjust prices is a crucial micro-foundation for models that feature an inflation accelerator </w:t>
      </w:r>
      <w:r w:rsidR="00B61EA0" w:rsidRPr="00FC7BB4">
        <w:rPr>
          <w:rFonts w:ascii="Times New Roman" w:eastAsia="Times New Roman" w:hAnsi="Times New Roman" w:cs="Times New Roman"/>
          <w:sz w:val="24"/>
        </w:rPr>
        <w:t>and</w:t>
      </w:r>
      <w:r w:rsidR="00AD4A74" w:rsidRPr="00FC7BB4">
        <w:rPr>
          <w:rFonts w:ascii="Times New Roman" w:eastAsia="Times New Roman" w:hAnsi="Times New Roman" w:cs="Times New Roman"/>
          <w:sz w:val="24"/>
        </w:rPr>
        <w:t xml:space="preserve"> a non-linear Phillips Curve. More broadly, studying the relationship between inflation and firms’ price-setting behaviour is central to the optimal design of monetary policy.</w:t>
      </w:r>
    </w:p>
    <w:p w14:paraId="5374B606" w14:textId="3B593F82" w:rsidR="00307155" w:rsidRPr="00FC7BB4" w:rsidRDefault="00307155" w:rsidP="00B77734">
      <w:pPr>
        <w:spacing w:line="360" w:lineRule="auto"/>
        <w:ind w:right="28" w:firstLine="284"/>
        <w:rPr>
          <w:rFonts w:ascii="Times New Roman" w:eastAsia="Times New Roman" w:hAnsi="Times New Roman" w:cs="Times New Roman"/>
          <w:color w:val="auto"/>
          <w:kern w:val="0"/>
          <w:sz w:val="24"/>
          <w14:ligatures w14:val="none"/>
        </w:rPr>
      </w:pPr>
      <w:r w:rsidRPr="00FC7BB4">
        <w:rPr>
          <w:rFonts w:ascii="Times New Roman" w:eastAsia="Times New Roman" w:hAnsi="Times New Roman" w:cs="Times New Roman"/>
          <w:color w:val="auto"/>
          <w:kern w:val="0"/>
          <w:sz w:val="24"/>
          <w14:ligatures w14:val="none"/>
        </w:rPr>
        <w:t xml:space="preserve">Studies of the COVID inflation period find the frequency of price changes was higher </w:t>
      </w:r>
      <w:r w:rsidR="0083785D" w:rsidRPr="00FC7BB4">
        <w:rPr>
          <w:rFonts w:ascii="Times New Roman" w:eastAsia="Times New Roman" w:hAnsi="Times New Roman" w:cs="Times New Roman"/>
          <w:color w:val="auto"/>
          <w:kern w:val="0"/>
          <w:sz w:val="24"/>
          <w14:ligatures w14:val="none"/>
        </w:rPr>
        <w:t xml:space="preserve">than during </w:t>
      </w:r>
      <w:r w:rsidRPr="00FC7BB4">
        <w:rPr>
          <w:rFonts w:ascii="Times New Roman" w:eastAsia="Times New Roman" w:hAnsi="Times New Roman" w:cs="Times New Roman"/>
          <w:color w:val="auto"/>
          <w:kern w:val="0"/>
          <w:sz w:val="24"/>
          <w14:ligatures w14:val="none"/>
        </w:rPr>
        <w:t xml:space="preserve">the immediately preceding period of low inflation. However, little is known about how pricing behaviour during the recent high-inflation episode compares with earlier periods of elevated inflation in the 1970s and 1980s. </w:t>
      </w:r>
      <w:r w:rsidR="0083785D" w:rsidRPr="00FC7BB4">
        <w:rPr>
          <w:rFonts w:ascii="Times New Roman" w:eastAsia="Times New Roman" w:hAnsi="Times New Roman" w:cs="Times New Roman"/>
          <w:color w:val="auto"/>
          <w:kern w:val="0"/>
          <w:sz w:val="24"/>
          <w14:ligatures w14:val="none"/>
        </w:rPr>
        <w:t xml:space="preserve">Whether </w:t>
      </w:r>
      <w:r w:rsidRPr="00FC7BB4">
        <w:rPr>
          <w:rFonts w:ascii="Times New Roman" w:eastAsia="Times New Roman" w:hAnsi="Times New Roman" w:cs="Times New Roman"/>
          <w:color w:val="auto"/>
          <w:kern w:val="0"/>
          <w:sz w:val="24"/>
          <w14:ligatures w14:val="none"/>
        </w:rPr>
        <w:t>pricing behaviour</w:t>
      </w:r>
      <w:r w:rsidR="00251EB1" w:rsidRPr="00FC7BB4">
        <w:rPr>
          <w:rFonts w:ascii="Times New Roman" w:eastAsia="Times New Roman" w:hAnsi="Times New Roman" w:cs="Times New Roman"/>
          <w:color w:val="auto"/>
          <w:kern w:val="0"/>
          <w:sz w:val="24"/>
          <w14:ligatures w14:val="none"/>
        </w:rPr>
        <w:t xml:space="preserve"> </w:t>
      </w:r>
      <w:r w:rsidR="005D6674" w:rsidRPr="00FC7BB4">
        <w:rPr>
          <w:rFonts w:ascii="Times New Roman" w:eastAsia="Times New Roman" w:hAnsi="Times New Roman" w:cs="Times New Roman"/>
          <w:color w:val="auto"/>
          <w:kern w:val="0"/>
          <w:sz w:val="24"/>
          <w14:ligatures w14:val="none"/>
        </w:rPr>
        <w:t>was different</w:t>
      </w:r>
      <w:r w:rsidRPr="00FC7BB4">
        <w:rPr>
          <w:rFonts w:ascii="Times New Roman" w:eastAsia="Times New Roman" w:hAnsi="Times New Roman" w:cs="Times New Roman"/>
          <w:color w:val="auto"/>
          <w:kern w:val="0"/>
          <w:sz w:val="24"/>
          <w14:ligatures w14:val="none"/>
        </w:rPr>
        <w:t xml:space="preserve"> during the recent</w:t>
      </w:r>
      <w:r w:rsidR="00F0423A" w:rsidRPr="00FC7BB4">
        <w:rPr>
          <w:rFonts w:ascii="Times New Roman" w:eastAsia="Times New Roman" w:hAnsi="Times New Roman" w:cs="Times New Roman"/>
          <w:color w:val="auto"/>
          <w:kern w:val="0"/>
          <w:sz w:val="24"/>
          <w14:ligatures w14:val="none"/>
        </w:rPr>
        <w:t xml:space="preserve"> COVID era inflation</w:t>
      </w:r>
      <w:r w:rsidRPr="00FC7BB4">
        <w:rPr>
          <w:rFonts w:ascii="Times New Roman" w:eastAsia="Times New Roman" w:hAnsi="Times New Roman" w:cs="Times New Roman"/>
          <w:color w:val="auto"/>
          <w:kern w:val="0"/>
          <w:sz w:val="24"/>
          <w14:ligatures w14:val="none"/>
        </w:rPr>
        <w:t xml:space="preserve"> compared to earlier bouts of high inflation is the more relevant comparison given earlier evidence that pricing behaviour varies systematically with the level of inflation. In view of the potential influence of new technology, societal changes, and changes in institutional settings for monetary policy, this is an important omission from the literature.</w:t>
      </w:r>
    </w:p>
    <w:p w14:paraId="72A6A6E5" w14:textId="69E636CA" w:rsidR="000F1EC4" w:rsidRPr="00FC7BB4" w:rsidRDefault="00307155" w:rsidP="00B77734">
      <w:pPr>
        <w:pStyle w:val="pf0"/>
        <w:spacing w:before="0" w:beforeAutospacing="0" w:after="0" w:afterAutospacing="0" w:line="360" w:lineRule="auto"/>
        <w:ind w:right="28" w:firstLine="289"/>
        <w:jc w:val="both"/>
      </w:pPr>
      <w:r w:rsidRPr="00FC7BB4">
        <w:t>This paper addresses this gap using a unique, consistently collected firm-level dataset covering more than six decades of New Zealand firms. The length and consistency of the dataset make it possible to compare firm price setting behaviour in the COVID-19 high-inflation episode with earlier</w:t>
      </w:r>
      <w:r w:rsidR="009A79F9" w:rsidRPr="00FC7BB4">
        <w:t xml:space="preserve"> hi</w:t>
      </w:r>
      <w:r w:rsidR="0004610B" w:rsidRPr="00FC7BB4">
        <w:t>gh inflation</w:t>
      </w:r>
      <w:r w:rsidRPr="00FC7BB4">
        <w:t xml:space="preserve"> episodes, something that is not feasible for most other countries. Further, the results generated in this paper will be applicable to many countries because New Zealand</w:t>
      </w:r>
      <w:r w:rsidR="006C7BB1" w:rsidRPr="00FC7BB4">
        <w:t>’s</w:t>
      </w:r>
      <w:r w:rsidRPr="00FC7BB4">
        <w:t xml:space="preserve"> inflation experience over the past six decades and during the COVID inflation episode, has been like that of many advanced economies around the world.</w:t>
      </w:r>
    </w:p>
    <w:p w14:paraId="316C0730" w14:textId="3FD0D80C" w:rsidR="000F1EC4" w:rsidRPr="00FC7BB4" w:rsidRDefault="00307155" w:rsidP="00B77734">
      <w:pPr>
        <w:pStyle w:val="pf0"/>
        <w:spacing w:before="0" w:beforeAutospacing="0" w:after="0" w:afterAutospacing="0" w:line="360" w:lineRule="auto"/>
        <w:ind w:right="28" w:firstLine="454"/>
        <w:jc w:val="both"/>
        <w:rPr>
          <w:bCs/>
        </w:rPr>
      </w:pPr>
      <w:bookmarkStart w:id="1" w:name="_Hlk209787477"/>
      <w:r w:rsidRPr="00FC7BB4">
        <w:t>This paper</w:t>
      </w:r>
      <w:r w:rsidRPr="00FC7BB4">
        <w:rPr>
          <w:bCs/>
        </w:rPr>
        <w:t xml:space="preserve"> contributes</w:t>
      </w:r>
      <w:r w:rsidR="000F1EC4" w:rsidRPr="00FC7BB4">
        <w:rPr>
          <w:bCs/>
        </w:rPr>
        <w:t xml:space="preserve"> several important</w:t>
      </w:r>
      <w:r w:rsidRPr="00FC7BB4">
        <w:rPr>
          <w:bCs/>
        </w:rPr>
        <w:t xml:space="preserve"> new empirical results on </w:t>
      </w:r>
      <w:r w:rsidR="000F1EC4" w:rsidRPr="00FC7BB4">
        <w:rPr>
          <w:bCs/>
        </w:rPr>
        <w:t xml:space="preserve">firm </w:t>
      </w:r>
      <w:r w:rsidRPr="00FC7BB4">
        <w:rPr>
          <w:bCs/>
        </w:rPr>
        <w:t xml:space="preserve">price change behaviour. </w:t>
      </w:r>
      <w:r w:rsidR="000F1EC4" w:rsidRPr="00FC7BB4">
        <w:rPr>
          <w:bCs/>
        </w:rPr>
        <w:t>One key finding is that firms’ propensity to adjust prices has become increasingly sensitive to inflation over time. The frequency of price changes was much higher during the COVID inflation episode than during similar inflation episodes in the 1980s. Further, t</w:t>
      </w:r>
      <w:r w:rsidR="000F1EC4" w:rsidRPr="00FC7BB4">
        <w:t>h</w:t>
      </w:r>
      <w:r w:rsidR="000F1EC4" w:rsidRPr="00FC7BB4">
        <w:rPr>
          <w:bCs/>
        </w:rPr>
        <w:t>e probability that firms increase prices in response to cost and demand changes, conditional on inflation, has increased. The results, therefore, suggest the Phillips Curve has become more nonlinear at higher level</w:t>
      </w:r>
      <w:r w:rsidR="00B12EFE" w:rsidRPr="00FC7BB4">
        <w:rPr>
          <w:bCs/>
        </w:rPr>
        <w:t>s</w:t>
      </w:r>
      <w:r w:rsidR="000F1EC4" w:rsidRPr="00FC7BB4">
        <w:rPr>
          <w:bCs/>
        </w:rPr>
        <w:t xml:space="preserve"> of inflation and the “inflation accelerator” operates more strongly than in the past.</w:t>
      </w:r>
    </w:p>
    <w:p w14:paraId="27A31DC5" w14:textId="31B39D3F" w:rsidR="00307155" w:rsidRPr="00FC7BB4" w:rsidRDefault="00B22FE6" w:rsidP="00F3101B">
      <w:pPr>
        <w:pStyle w:val="pf0"/>
        <w:spacing w:before="0" w:beforeAutospacing="0" w:after="0" w:afterAutospacing="0" w:line="360" w:lineRule="auto"/>
        <w:ind w:right="27" w:firstLine="289"/>
        <w:jc w:val="both"/>
      </w:pPr>
      <w:r w:rsidRPr="00FC7BB4">
        <w:rPr>
          <w:bCs/>
        </w:rPr>
        <w:lastRenderedPageBreak/>
        <w:t xml:space="preserve">Another important contribution of this paper is to document that the asymmetry in the response of price changes to cost and demand conditions has become more acute: price increases are now more likely, but price decreases less likely, when demand and cost conditions warrant adjustment. This shift is especially pronounced among firms in the service sector and at higher levels of inflation. </w:t>
      </w:r>
      <w:r w:rsidR="00005E7A" w:rsidRPr="00FC7BB4">
        <w:rPr>
          <w:bCs/>
        </w:rPr>
        <w:t>A plausible explanation is a decline in the responsiveness of demand to price changes, making price increases more revenue-enhancing than price reductions. We attribute this reduced demand responsiveness</w:t>
      </w:r>
      <w:r w:rsidR="00C40145" w:rsidRPr="00FC7BB4">
        <w:rPr>
          <w:bCs/>
        </w:rPr>
        <w:t>, in part,</w:t>
      </w:r>
      <w:r w:rsidR="00005E7A" w:rsidRPr="00FC7BB4">
        <w:rPr>
          <w:bCs/>
        </w:rPr>
        <w:t xml:space="preserve"> to greater consumer inattention, reflecting higher labour force participation and, consequently, more time-constrained consumers. We also find that price adjustments have become smaller in magnitude but more frequent.</w:t>
      </w:r>
      <w:r w:rsidR="004B36B1" w:rsidRPr="00FC7BB4">
        <w:rPr>
          <w:bCs/>
        </w:rPr>
        <w:t xml:space="preserve"> </w:t>
      </w:r>
      <w:r w:rsidR="00B94C1B" w:rsidRPr="00FC7BB4">
        <w:rPr>
          <w:bCs/>
        </w:rPr>
        <w:t>Smaller, more frequent, price changes</w:t>
      </w:r>
      <w:r w:rsidR="00AC7D8E" w:rsidRPr="00FC7BB4">
        <w:rPr>
          <w:bCs/>
        </w:rPr>
        <w:t xml:space="preserve"> are not only more likely to escape the notice of increasingly </w:t>
      </w:r>
      <w:r w:rsidR="00B328BD" w:rsidRPr="00FC7BB4">
        <w:rPr>
          <w:bCs/>
        </w:rPr>
        <w:t>time</w:t>
      </w:r>
      <w:r w:rsidR="007F4D08" w:rsidRPr="00FC7BB4">
        <w:rPr>
          <w:bCs/>
        </w:rPr>
        <w:t>-</w:t>
      </w:r>
      <w:r w:rsidR="00B328BD" w:rsidRPr="00FC7BB4">
        <w:rPr>
          <w:bCs/>
        </w:rPr>
        <w:t xml:space="preserve">constrained and </w:t>
      </w:r>
      <w:r w:rsidR="00AC7D8E" w:rsidRPr="00FC7BB4">
        <w:rPr>
          <w:bCs/>
        </w:rPr>
        <w:t xml:space="preserve">inattentive consumers but are also more </w:t>
      </w:r>
      <w:r w:rsidR="00A81D6D" w:rsidRPr="00FC7BB4">
        <w:rPr>
          <w:bCs/>
        </w:rPr>
        <w:t>viable</w:t>
      </w:r>
      <w:r w:rsidR="00CB3271" w:rsidRPr="00FC7BB4">
        <w:rPr>
          <w:bCs/>
        </w:rPr>
        <w:t xml:space="preserve"> from a firm</w:t>
      </w:r>
      <w:r w:rsidR="00895C99" w:rsidRPr="00FC7BB4">
        <w:rPr>
          <w:bCs/>
        </w:rPr>
        <w:t>’</w:t>
      </w:r>
      <w:r w:rsidR="00CB3271" w:rsidRPr="00FC7BB4">
        <w:rPr>
          <w:bCs/>
        </w:rPr>
        <w:t>s point of view</w:t>
      </w:r>
      <w:r w:rsidR="00AC7D8E" w:rsidRPr="00FC7BB4">
        <w:rPr>
          <w:bCs/>
        </w:rPr>
        <w:t xml:space="preserve"> as technological advances have lowered menu costs and the costs of price review. </w:t>
      </w:r>
      <w:r w:rsidR="00307155" w:rsidRPr="00FC7BB4">
        <w:t xml:space="preserve">The paper also contributes to a diverse literature using business surveys to understand business conditions and the impact of economic conditions on firm behaviour. </w:t>
      </w:r>
    </w:p>
    <w:bookmarkEnd w:id="1"/>
    <w:p w14:paraId="6F584F02" w14:textId="03A7DC96" w:rsidR="00307155" w:rsidRPr="00FC7BB4" w:rsidRDefault="00307155" w:rsidP="00F3101B">
      <w:pPr>
        <w:spacing w:after="120" w:line="360" w:lineRule="auto"/>
        <w:ind w:left="-17" w:right="27"/>
        <w:rPr>
          <w:rFonts w:ascii="Times New Roman" w:hAnsi="Times New Roman" w:cs="Times New Roman"/>
          <w:color w:val="auto"/>
          <w:sz w:val="24"/>
        </w:rPr>
      </w:pPr>
      <w:r w:rsidRPr="00FC7BB4">
        <w:rPr>
          <w:rFonts w:ascii="Times New Roman" w:hAnsi="Times New Roman" w:cs="Times New Roman"/>
          <w:color w:val="auto"/>
          <w:sz w:val="24"/>
        </w:rPr>
        <w:t>The remainder of the paper is structured as follows. Section 2 review</w:t>
      </w:r>
      <w:r w:rsidR="00031C4D" w:rsidRPr="00FC7BB4">
        <w:rPr>
          <w:rFonts w:ascii="Times New Roman" w:hAnsi="Times New Roman" w:cs="Times New Roman"/>
          <w:color w:val="auto"/>
          <w:sz w:val="24"/>
        </w:rPr>
        <w:t xml:space="preserve">s the relevant literature. </w:t>
      </w:r>
      <w:r w:rsidRPr="00FC7BB4">
        <w:rPr>
          <w:rFonts w:ascii="Times New Roman" w:hAnsi="Times New Roman" w:cs="Times New Roman"/>
          <w:color w:val="auto"/>
          <w:sz w:val="24"/>
        </w:rPr>
        <w:t xml:space="preserve">Section 3 describes the six decades of firm data used in this study. Section 4 assesses the relationship between inflation and the proportion of firms changing prices </w:t>
      </w:r>
      <w:r w:rsidR="00140CE6" w:rsidRPr="00FC7BB4">
        <w:rPr>
          <w:rFonts w:ascii="Times New Roman" w:hAnsi="Times New Roman" w:cs="Times New Roman"/>
          <w:color w:val="auto"/>
          <w:sz w:val="24"/>
        </w:rPr>
        <w:t xml:space="preserve">over the past six decades </w:t>
      </w:r>
      <w:r w:rsidRPr="00FC7BB4">
        <w:rPr>
          <w:rFonts w:ascii="Times New Roman" w:hAnsi="Times New Roman" w:cs="Times New Roman"/>
          <w:color w:val="auto"/>
          <w:sz w:val="24"/>
        </w:rPr>
        <w:t xml:space="preserve">using time-series analysis. Estimates of the </w:t>
      </w:r>
      <w:r w:rsidR="00C75668" w:rsidRPr="00FC7BB4">
        <w:rPr>
          <w:rFonts w:ascii="Times New Roman" w:hAnsi="Times New Roman" w:cs="Times New Roman"/>
          <w:color w:val="auto"/>
          <w:sz w:val="24"/>
        </w:rPr>
        <w:t xml:space="preserve">annual </w:t>
      </w:r>
      <w:r w:rsidRPr="00FC7BB4">
        <w:rPr>
          <w:rFonts w:ascii="Times New Roman" w:hAnsi="Times New Roman" w:cs="Times New Roman"/>
          <w:color w:val="auto"/>
          <w:sz w:val="24"/>
        </w:rPr>
        <w:t>frequency</w:t>
      </w:r>
      <w:r w:rsidR="002120BE" w:rsidRPr="00FC7BB4">
        <w:rPr>
          <w:rFonts w:ascii="Times New Roman" w:hAnsi="Times New Roman" w:cs="Times New Roman"/>
          <w:color w:val="auto"/>
          <w:sz w:val="24"/>
        </w:rPr>
        <w:t xml:space="preserve"> (</w:t>
      </w:r>
      <w:r w:rsidR="00C75668" w:rsidRPr="00FC7BB4">
        <w:rPr>
          <w:rFonts w:ascii="Times New Roman" w:hAnsi="Times New Roman" w:cs="Times New Roman"/>
          <w:color w:val="auto"/>
          <w:sz w:val="24"/>
        </w:rPr>
        <w:t>number</w:t>
      </w:r>
      <w:r w:rsidR="002120BE" w:rsidRPr="00FC7BB4">
        <w:rPr>
          <w:rFonts w:ascii="Times New Roman" w:hAnsi="Times New Roman" w:cs="Times New Roman"/>
          <w:color w:val="auto"/>
          <w:sz w:val="24"/>
        </w:rPr>
        <w:t>)</w:t>
      </w:r>
      <w:r w:rsidRPr="00FC7BB4">
        <w:rPr>
          <w:rFonts w:ascii="Times New Roman" w:hAnsi="Times New Roman" w:cs="Times New Roman"/>
          <w:color w:val="auto"/>
          <w:sz w:val="24"/>
        </w:rPr>
        <w:t xml:space="preserve"> and magnitude of price changes are also generated and the metrics of pricing behaviour are compared across nine different inflation episodes, including the high inflation of the 1970s and 1980s and the COVID era. </w:t>
      </w:r>
      <w:r w:rsidR="0059543B" w:rsidRPr="00FC7BB4">
        <w:rPr>
          <w:rFonts w:ascii="Times New Roman" w:hAnsi="Times New Roman" w:cs="Times New Roman"/>
          <w:color w:val="auto"/>
          <w:sz w:val="24"/>
        </w:rPr>
        <w:t>Section 5 introduces an ordered probit model to estimate conditional probabilities of price adjustment</w:t>
      </w:r>
      <w:r w:rsidR="00E94E8E" w:rsidRPr="00FC7BB4">
        <w:rPr>
          <w:rFonts w:ascii="Times New Roman" w:hAnsi="Times New Roman" w:cs="Times New Roman"/>
          <w:color w:val="auto"/>
          <w:sz w:val="24"/>
        </w:rPr>
        <w:t xml:space="preserve">. </w:t>
      </w:r>
      <w:r w:rsidR="00AB4FB9" w:rsidRPr="00FC7BB4">
        <w:rPr>
          <w:rFonts w:ascii="Times New Roman" w:hAnsi="Times New Roman" w:cs="Times New Roman"/>
          <w:color w:val="auto"/>
          <w:sz w:val="24"/>
        </w:rPr>
        <w:t>T</w:t>
      </w:r>
      <w:r w:rsidR="00B7107F" w:rsidRPr="00FC7BB4">
        <w:rPr>
          <w:rFonts w:ascii="Times New Roman" w:hAnsi="Times New Roman" w:cs="Times New Roman"/>
          <w:color w:val="auto"/>
          <w:sz w:val="24"/>
        </w:rPr>
        <w:t xml:space="preserve">his model </w:t>
      </w:r>
      <w:r w:rsidR="00AB4FB9" w:rsidRPr="00FC7BB4">
        <w:rPr>
          <w:rFonts w:ascii="Times New Roman" w:hAnsi="Times New Roman" w:cs="Times New Roman"/>
          <w:color w:val="auto"/>
          <w:sz w:val="24"/>
        </w:rPr>
        <w:t xml:space="preserve">is used </w:t>
      </w:r>
      <w:r w:rsidR="00B7107F" w:rsidRPr="00FC7BB4">
        <w:rPr>
          <w:rFonts w:ascii="Times New Roman" w:hAnsi="Times New Roman" w:cs="Times New Roman"/>
          <w:color w:val="auto"/>
          <w:sz w:val="24"/>
        </w:rPr>
        <w:t>to</w:t>
      </w:r>
      <w:r w:rsidR="0059543B" w:rsidRPr="00FC7BB4">
        <w:rPr>
          <w:rFonts w:ascii="Times New Roman" w:hAnsi="Times New Roman" w:cs="Times New Roman"/>
          <w:color w:val="auto"/>
          <w:sz w:val="24"/>
        </w:rPr>
        <w:t xml:space="preserve"> assess how </w:t>
      </w:r>
      <w:r w:rsidR="002E2559" w:rsidRPr="00FC7BB4">
        <w:rPr>
          <w:rFonts w:ascii="Times New Roman" w:hAnsi="Times New Roman" w:cs="Times New Roman"/>
          <w:color w:val="auto"/>
          <w:sz w:val="24"/>
        </w:rPr>
        <w:t xml:space="preserve">firms’ price responses to inflation and to </w:t>
      </w:r>
      <w:r w:rsidR="00273664" w:rsidRPr="00FC7BB4">
        <w:rPr>
          <w:rFonts w:ascii="Times New Roman" w:hAnsi="Times New Roman" w:cs="Times New Roman"/>
          <w:color w:val="auto"/>
          <w:sz w:val="24"/>
        </w:rPr>
        <w:t xml:space="preserve">firm </w:t>
      </w:r>
      <w:r w:rsidR="002E2559" w:rsidRPr="00FC7BB4">
        <w:rPr>
          <w:rFonts w:ascii="Times New Roman" w:hAnsi="Times New Roman" w:cs="Times New Roman"/>
          <w:color w:val="auto"/>
          <w:sz w:val="24"/>
        </w:rPr>
        <w:t xml:space="preserve">idiosyncratic cost and demand conditions </w:t>
      </w:r>
      <w:r w:rsidR="00AB4FB9" w:rsidRPr="00FC7BB4">
        <w:rPr>
          <w:rFonts w:ascii="Times New Roman" w:hAnsi="Times New Roman" w:cs="Times New Roman"/>
          <w:color w:val="auto"/>
          <w:sz w:val="24"/>
        </w:rPr>
        <w:t xml:space="preserve">have </w:t>
      </w:r>
      <w:r w:rsidR="002E2559" w:rsidRPr="00FC7BB4">
        <w:rPr>
          <w:rFonts w:ascii="Times New Roman" w:hAnsi="Times New Roman" w:cs="Times New Roman"/>
          <w:color w:val="auto"/>
          <w:sz w:val="24"/>
        </w:rPr>
        <w:t>changed</w:t>
      </w:r>
      <w:r w:rsidR="00AB4FB9" w:rsidRPr="00FC7BB4">
        <w:rPr>
          <w:rFonts w:ascii="Times New Roman" w:hAnsi="Times New Roman" w:cs="Times New Roman"/>
          <w:color w:val="auto"/>
          <w:sz w:val="24"/>
        </w:rPr>
        <w:t>, including</w:t>
      </w:r>
      <w:r w:rsidR="004034D9" w:rsidRPr="00FC7BB4">
        <w:rPr>
          <w:rFonts w:ascii="Times New Roman" w:hAnsi="Times New Roman" w:cs="Times New Roman"/>
          <w:color w:val="auto"/>
          <w:sz w:val="24"/>
        </w:rPr>
        <w:t xml:space="preserve"> </w:t>
      </w:r>
      <w:r w:rsidR="002E2559" w:rsidRPr="00FC7BB4">
        <w:rPr>
          <w:rFonts w:ascii="Times New Roman" w:hAnsi="Times New Roman" w:cs="Times New Roman"/>
          <w:color w:val="auto"/>
          <w:sz w:val="24"/>
        </w:rPr>
        <w:t>during the COVID-era inflation</w:t>
      </w:r>
      <w:r w:rsidR="00A53F7F" w:rsidRPr="00FC7BB4">
        <w:rPr>
          <w:rFonts w:ascii="Times New Roman" w:hAnsi="Times New Roman" w:cs="Times New Roman"/>
          <w:color w:val="auto"/>
          <w:sz w:val="24"/>
        </w:rPr>
        <w:t>.</w:t>
      </w:r>
      <w:r w:rsidRPr="00FC7BB4">
        <w:rPr>
          <w:rFonts w:ascii="Times New Roman" w:hAnsi="Times New Roman" w:cs="Times New Roman"/>
          <w:color w:val="auto"/>
          <w:sz w:val="24"/>
        </w:rPr>
        <w:t xml:space="preserve"> Reasons for </w:t>
      </w:r>
      <w:r w:rsidR="00E441CF" w:rsidRPr="00FC7BB4">
        <w:rPr>
          <w:rFonts w:ascii="Times New Roman" w:hAnsi="Times New Roman" w:cs="Times New Roman"/>
          <w:color w:val="auto"/>
          <w:sz w:val="24"/>
        </w:rPr>
        <w:t xml:space="preserve">the </w:t>
      </w:r>
      <w:r w:rsidR="00DF0AC4" w:rsidRPr="00FC7BB4">
        <w:rPr>
          <w:rFonts w:ascii="Times New Roman" w:hAnsi="Times New Roman" w:cs="Times New Roman"/>
          <w:color w:val="auto"/>
          <w:sz w:val="24"/>
        </w:rPr>
        <w:t xml:space="preserve">observed </w:t>
      </w:r>
      <w:r w:rsidRPr="00FC7BB4">
        <w:rPr>
          <w:rFonts w:ascii="Times New Roman" w:hAnsi="Times New Roman" w:cs="Times New Roman"/>
          <w:color w:val="auto"/>
          <w:sz w:val="24"/>
        </w:rPr>
        <w:t>changes</w:t>
      </w:r>
      <w:r w:rsidR="00DF0AC4" w:rsidRPr="00FC7BB4">
        <w:rPr>
          <w:rFonts w:ascii="Times New Roman" w:hAnsi="Times New Roman" w:cs="Times New Roman"/>
          <w:color w:val="auto"/>
          <w:sz w:val="24"/>
        </w:rPr>
        <w:t xml:space="preserve"> in firm pricing behaviour</w:t>
      </w:r>
      <w:r w:rsidRPr="00FC7BB4">
        <w:rPr>
          <w:rFonts w:ascii="Times New Roman" w:hAnsi="Times New Roman" w:cs="Times New Roman"/>
          <w:color w:val="auto"/>
          <w:sz w:val="24"/>
        </w:rPr>
        <w:t xml:space="preserve"> are</w:t>
      </w:r>
      <w:r w:rsidR="00E441CF" w:rsidRPr="00FC7BB4">
        <w:rPr>
          <w:rFonts w:ascii="Times New Roman" w:hAnsi="Times New Roman" w:cs="Times New Roman"/>
          <w:color w:val="auto"/>
          <w:sz w:val="24"/>
        </w:rPr>
        <w:t xml:space="preserve"> discussed and econometrically</w:t>
      </w:r>
      <w:r w:rsidRPr="00FC7BB4">
        <w:rPr>
          <w:rFonts w:ascii="Times New Roman" w:hAnsi="Times New Roman" w:cs="Times New Roman"/>
          <w:color w:val="auto"/>
          <w:sz w:val="24"/>
        </w:rPr>
        <w:t xml:space="preserve"> evaluated in Sections 6 and 7. Concluding remarks are in Section 8.</w:t>
      </w:r>
    </w:p>
    <w:bookmarkEnd w:id="0"/>
    <w:p w14:paraId="29DBE136" w14:textId="77777777" w:rsidR="00307155" w:rsidRPr="00FC7BB4" w:rsidRDefault="00307155" w:rsidP="00F3101B">
      <w:pPr>
        <w:spacing w:after="120" w:line="360" w:lineRule="auto"/>
        <w:ind w:right="27" w:firstLine="0"/>
        <w:rPr>
          <w:rFonts w:ascii="Times New Roman" w:hAnsi="Times New Roman" w:cs="Times New Roman"/>
          <w:b/>
          <w:bCs/>
          <w:sz w:val="24"/>
        </w:rPr>
      </w:pPr>
      <w:r w:rsidRPr="00FC7BB4">
        <w:rPr>
          <w:rFonts w:ascii="Times New Roman" w:hAnsi="Times New Roman" w:cs="Times New Roman"/>
          <w:b/>
          <w:bCs/>
          <w:sz w:val="24"/>
        </w:rPr>
        <w:t>2. Review of related literature</w:t>
      </w:r>
    </w:p>
    <w:p w14:paraId="2480DBA7" w14:textId="1C3A795F" w:rsidR="007048FE" w:rsidRPr="00FC7BB4" w:rsidRDefault="00307155" w:rsidP="00F3101B">
      <w:pPr>
        <w:ind w:left="-15" w:right="27" w:firstLine="0"/>
        <w:rPr>
          <w:rFonts w:ascii="Times New Roman" w:hAnsi="Times New Roman" w:cs="Times New Roman"/>
          <w:sz w:val="24"/>
        </w:rPr>
      </w:pPr>
      <w:bookmarkStart w:id="2" w:name="_Hlk213162189"/>
      <w:r w:rsidRPr="00FC7BB4">
        <w:rPr>
          <w:rFonts w:ascii="Times New Roman" w:hAnsi="Times New Roman" w:cs="Times New Roman"/>
          <w:kern w:val="0"/>
          <w:sz w:val="24"/>
          <w14:ligatures w14:val="none"/>
        </w:rPr>
        <w:t xml:space="preserve">State-dependent pricing models have been shown to provide a suitable basis for explaining why </w:t>
      </w:r>
      <w:r w:rsidRPr="00FC7BB4">
        <w:rPr>
          <w:rFonts w:ascii="Times New Roman" w:hAnsi="Times New Roman" w:cs="Times New Roman"/>
          <w:sz w:val="24"/>
        </w:rPr>
        <w:t xml:space="preserve">the frequency of price change co-varies with inflation and how this can affect the pass-through of </w:t>
      </w:r>
      <w:r w:rsidR="00C646DD" w:rsidRPr="00FC7BB4">
        <w:rPr>
          <w:rFonts w:ascii="Times New Roman" w:hAnsi="Times New Roman" w:cs="Times New Roman"/>
          <w:sz w:val="24"/>
        </w:rPr>
        <w:t>cost or demand changes</w:t>
      </w:r>
      <w:r w:rsidRPr="00FC7BB4">
        <w:rPr>
          <w:rFonts w:ascii="Times New Roman" w:hAnsi="Times New Roman" w:cs="Times New Roman"/>
          <w:sz w:val="24"/>
        </w:rPr>
        <w:t xml:space="preserve"> to prices and inflation. The development of these models goes back to Mankiw (1985) and Ball and Mankiw (1994</w:t>
      </w:r>
      <w:r w:rsidR="00C33617" w:rsidRPr="00FC7BB4">
        <w:rPr>
          <w:rFonts w:ascii="Times New Roman" w:hAnsi="Times New Roman" w:cs="Times New Roman"/>
          <w:sz w:val="24"/>
        </w:rPr>
        <w:t>a</w:t>
      </w:r>
      <w:r w:rsidRPr="00FC7BB4">
        <w:rPr>
          <w:rFonts w:ascii="Times New Roman" w:hAnsi="Times New Roman" w:cs="Times New Roman"/>
          <w:sz w:val="24"/>
        </w:rPr>
        <w:t xml:space="preserve">). </w:t>
      </w:r>
      <w:r w:rsidR="0093743C" w:rsidRPr="00FC7BB4">
        <w:rPr>
          <w:rFonts w:ascii="Times New Roman" w:hAnsi="Times New Roman" w:cs="Times New Roman"/>
          <w:sz w:val="24"/>
        </w:rPr>
        <w:t xml:space="preserve">The </w:t>
      </w:r>
      <w:r w:rsidR="001B3278" w:rsidRPr="00FC7BB4">
        <w:rPr>
          <w:rFonts w:ascii="Times New Roman" w:hAnsi="Times New Roman" w:cs="Times New Roman"/>
          <w:sz w:val="24"/>
        </w:rPr>
        <w:t>models</w:t>
      </w:r>
      <w:r w:rsidR="0093743C" w:rsidRPr="00FC7BB4">
        <w:rPr>
          <w:rFonts w:ascii="Times New Roman" w:hAnsi="Times New Roman" w:cs="Times New Roman"/>
          <w:sz w:val="24"/>
        </w:rPr>
        <w:t xml:space="preserve"> predict</w:t>
      </w:r>
      <w:r w:rsidR="004034D9" w:rsidRPr="00FC7BB4">
        <w:rPr>
          <w:rFonts w:ascii="Times New Roman" w:hAnsi="Times New Roman" w:cs="Times New Roman"/>
          <w:sz w:val="24"/>
        </w:rPr>
        <w:t xml:space="preserve"> that</w:t>
      </w:r>
      <w:r w:rsidR="0093743C" w:rsidRPr="00FC7BB4">
        <w:rPr>
          <w:rFonts w:ascii="Times New Roman" w:hAnsi="Times New Roman" w:cs="Times New Roman"/>
          <w:sz w:val="24"/>
        </w:rPr>
        <w:t xml:space="preserve"> i</w:t>
      </w:r>
      <w:r w:rsidR="00D22A86" w:rsidRPr="00FC7BB4">
        <w:rPr>
          <w:rFonts w:ascii="Times New Roman" w:hAnsi="Times New Roman" w:cs="Times New Roman"/>
          <w:sz w:val="24"/>
        </w:rPr>
        <w:t>n the event of small</w:t>
      </w:r>
      <w:r w:rsidR="00882A33" w:rsidRPr="00FC7BB4">
        <w:rPr>
          <w:rFonts w:ascii="Times New Roman" w:hAnsi="Times New Roman" w:cs="Times New Roman"/>
          <w:sz w:val="24"/>
        </w:rPr>
        <w:t xml:space="preserve"> cost or demand</w:t>
      </w:r>
      <w:r w:rsidR="00D22A86" w:rsidRPr="00FC7BB4">
        <w:rPr>
          <w:rFonts w:ascii="Times New Roman" w:hAnsi="Times New Roman" w:cs="Times New Roman"/>
          <w:sz w:val="24"/>
        </w:rPr>
        <w:t xml:space="preserve"> </w:t>
      </w:r>
      <w:r w:rsidR="00547576" w:rsidRPr="00FC7BB4">
        <w:rPr>
          <w:rFonts w:ascii="Times New Roman" w:hAnsi="Times New Roman" w:cs="Times New Roman"/>
          <w:sz w:val="24"/>
        </w:rPr>
        <w:t>changes</w:t>
      </w:r>
      <w:r w:rsidR="00D22A86" w:rsidRPr="00FC7BB4">
        <w:rPr>
          <w:rFonts w:ascii="Times New Roman" w:hAnsi="Times New Roman" w:cs="Times New Roman"/>
          <w:sz w:val="24"/>
        </w:rPr>
        <w:t xml:space="preserve"> </w:t>
      </w:r>
      <w:r w:rsidR="002C622C" w:rsidRPr="00FC7BB4">
        <w:rPr>
          <w:rFonts w:ascii="Times New Roman" w:hAnsi="Times New Roman" w:cs="Times New Roman"/>
          <w:sz w:val="24"/>
        </w:rPr>
        <w:t>shift</w:t>
      </w:r>
      <w:r w:rsidR="008E233B" w:rsidRPr="00FC7BB4">
        <w:rPr>
          <w:rFonts w:ascii="Times New Roman" w:hAnsi="Times New Roman" w:cs="Times New Roman"/>
          <w:sz w:val="24"/>
        </w:rPr>
        <w:t>ing</w:t>
      </w:r>
      <w:r w:rsidR="00D22A86" w:rsidRPr="00FC7BB4">
        <w:rPr>
          <w:rFonts w:ascii="Times New Roman" w:hAnsi="Times New Roman" w:cs="Times New Roman"/>
          <w:sz w:val="24"/>
        </w:rPr>
        <w:t xml:space="preserve"> </w:t>
      </w:r>
      <w:r w:rsidR="002977BC" w:rsidRPr="00FC7BB4">
        <w:rPr>
          <w:rFonts w:ascii="Times New Roman" w:hAnsi="Times New Roman" w:cs="Times New Roman"/>
          <w:sz w:val="24"/>
        </w:rPr>
        <w:t>their desired prices</w:t>
      </w:r>
      <w:r w:rsidRPr="00FC7BB4">
        <w:rPr>
          <w:rFonts w:ascii="Times New Roman" w:hAnsi="Times New Roman" w:cs="Times New Roman"/>
          <w:sz w:val="24"/>
        </w:rPr>
        <w:t>, firms keep prices constant</w:t>
      </w:r>
      <w:r w:rsidR="002977BC" w:rsidRPr="00FC7BB4">
        <w:rPr>
          <w:rFonts w:ascii="Times New Roman" w:hAnsi="Times New Roman" w:cs="Times New Roman"/>
          <w:sz w:val="24"/>
        </w:rPr>
        <w:t xml:space="preserve"> as the benefit</w:t>
      </w:r>
      <w:r w:rsidR="00D559D3" w:rsidRPr="00FC7BB4">
        <w:rPr>
          <w:rFonts w:ascii="Times New Roman" w:hAnsi="Times New Roman" w:cs="Times New Roman"/>
          <w:sz w:val="24"/>
        </w:rPr>
        <w:t xml:space="preserve"> from aligning prevailing prices to </w:t>
      </w:r>
      <w:r w:rsidR="00882A33" w:rsidRPr="00FC7BB4">
        <w:rPr>
          <w:rFonts w:ascii="Times New Roman" w:hAnsi="Times New Roman" w:cs="Times New Roman"/>
          <w:sz w:val="24"/>
        </w:rPr>
        <w:t>these desired</w:t>
      </w:r>
      <w:r w:rsidR="00D559D3" w:rsidRPr="00FC7BB4">
        <w:rPr>
          <w:rFonts w:ascii="Times New Roman" w:hAnsi="Times New Roman" w:cs="Times New Roman"/>
          <w:sz w:val="24"/>
        </w:rPr>
        <w:t xml:space="preserve"> prices</w:t>
      </w:r>
      <w:r w:rsidR="002977BC" w:rsidRPr="00FC7BB4">
        <w:rPr>
          <w:rFonts w:ascii="Times New Roman" w:hAnsi="Times New Roman" w:cs="Times New Roman"/>
          <w:sz w:val="24"/>
        </w:rPr>
        <w:t xml:space="preserve"> is less than the </w:t>
      </w:r>
      <w:r w:rsidR="00D472D2" w:rsidRPr="00FC7BB4">
        <w:rPr>
          <w:rFonts w:ascii="Times New Roman" w:hAnsi="Times New Roman" w:cs="Times New Roman"/>
          <w:sz w:val="24"/>
        </w:rPr>
        <w:t>menu cost incurred</w:t>
      </w:r>
      <w:r w:rsidRPr="00FC7BB4">
        <w:rPr>
          <w:rFonts w:ascii="Times New Roman" w:hAnsi="Times New Roman" w:cs="Times New Roman"/>
          <w:sz w:val="24"/>
        </w:rPr>
        <w:t xml:space="preserve">. But in the event of </w:t>
      </w:r>
      <w:r w:rsidR="00D472D2" w:rsidRPr="00FC7BB4">
        <w:rPr>
          <w:rFonts w:ascii="Times New Roman" w:hAnsi="Times New Roman" w:cs="Times New Roman"/>
          <w:sz w:val="24"/>
        </w:rPr>
        <w:t xml:space="preserve">larger </w:t>
      </w:r>
      <w:r w:rsidR="008E233B" w:rsidRPr="00FC7BB4">
        <w:rPr>
          <w:rFonts w:ascii="Times New Roman" w:hAnsi="Times New Roman" w:cs="Times New Roman"/>
          <w:sz w:val="24"/>
        </w:rPr>
        <w:t xml:space="preserve">cost or demand </w:t>
      </w:r>
      <w:r w:rsidR="004F193A" w:rsidRPr="00FC7BB4">
        <w:rPr>
          <w:rFonts w:ascii="Times New Roman" w:hAnsi="Times New Roman" w:cs="Times New Roman"/>
          <w:sz w:val="24"/>
        </w:rPr>
        <w:t xml:space="preserve">changes </w:t>
      </w:r>
      <w:r w:rsidR="00531E32" w:rsidRPr="00FC7BB4">
        <w:rPr>
          <w:rFonts w:ascii="Times New Roman" w:hAnsi="Times New Roman" w:cs="Times New Roman"/>
          <w:sz w:val="24"/>
        </w:rPr>
        <w:t>causing a</w:t>
      </w:r>
      <w:r w:rsidR="002C622C" w:rsidRPr="00FC7BB4">
        <w:rPr>
          <w:rFonts w:ascii="Times New Roman" w:hAnsi="Times New Roman" w:cs="Times New Roman"/>
          <w:sz w:val="24"/>
        </w:rPr>
        <w:t xml:space="preserve"> larger</w:t>
      </w:r>
      <w:r w:rsidR="00531E32" w:rsidRPr="00FC7BB4">
        <w:rPr>
          <w:rFonts w:ascii="Times New Roman" w:hAnsi="Times New Roman" w:cs="Times New Roman"/>
          <w:sz w:val="24"/>
        </w:rPr>
        <w:t xml:space="preserve"> misalignment between prevailing and </w:t>
      </w:r>
      <w:r w:rsidR="009F1234" w:rsidRPr="00FC7BB4">
        <w:rPr>
          <w:rFonts w:ascii="Times New Roman" w:hAnsi="Times New Roman" w:cs="Times New Roman"/>
          <w:sz w:val="24"/>
        </w:rPr>
        <w:t>d</w:t>
      </w:r>
      <w:r w:rsidR="00531E32" w:rsidRPr="00FC7BB4">
        <w:rPr>
          <w:rFonts w:ascii="Times New Roman" w:hAnsi="Times New Roman" w:cs="Times New Roman"/>
          <w:sz w:val="24"/>
        </w:rPr>
        <w:t>esired prices</w:t>
      </w:r>
      <w:r w:rsidR="009F1234" w:rsidRPr="00FC7BB4">
        <w:rPr>
          <w:rFonts w:ascii="Times New Roman" w:hAnsi="Times New Roman" w:cs="Times New Roman"/>
          <w:sz w:val="24"/>
        </w:rPr>
        <w:t>,</w:t>
      </w:r>
      <w:r w:rsidRPr="00FC7BB4">
        <w:rPr>
          <w:rFonts w:ascii="Times New Roman" w:hAnsi="Times New Roman" w:cs="Times New Roman"/>
          <w:sz w:val="24"/>
        </w:rPr>
        <w:t xml:space="preserve"> firms will adjust </w:t>
      </w:r>
      <w:r w:rsidR="00A64DA3" w:rsidRPr="00FC7BB4">
        <w:rPr>
          <w:rFonts w:ascii="Times New Roman" w:hAnsi="Times New Roman" w:cs="Times New Roman"/>
          <w:sz w:val="24"/>
        </w:rPr>
        <w:t xml:space="preserve">their </w:t>
      </w:r>
      <w:r w:rsidRPr="00FC7BB4">
        <w:rPr>
          <w:rFonts w:ascii="Times New Roman" w:hAnsi="Times New Roman" w:cs="Times New Roman"/>
          <w:sz w:val="24"/>
        </w:rPr>
        <w:t xml:space="preserve">prices </w:t>
      </w:r>
      <w:r w:rsidR="00A64DA3" w:rsidRPr="00FC7BB4">
        <w:rPr>
          <w:rFonts w:ascii="Times New Roman" w:hAnsi="Times New Roman" w:cs="Times New Roman"/>
          <w:sz w:val="24"/>
        </w:rPr>
        <w:t xml:space="preserve">as </w:t>
      </w:r>
      <w:r w:rsidRPr="00FC7BB4">
        <w:rPr>
          <w:rFonts w:ascii="Times New Roman" w:hAnsi="Times New Roman" w:cs="Times New Roman"/>
          <w:sz w:val="24"/>
        </w:rPr>
        <w:t>the benefits to changing prices exceed the menu costs of price adjustment</w:t>
      </w:r>
      <w:r w:rsidR="009F1234" w:rsidRPr="00FC7BB4">
        <w:rPr>
          <w:rFonts w:ascii="Times New Roman" w:hAnsi="Times New Roman" w:cs="Times New Roman"/>
          <w:sz w:val="24"/>
        </w:rPr>
        <w:t>.</w:t>
      </w:r>
      <w:r w:rsidRPr="00FC7BB4">
        <w:rPr>
          <w:rFonts w:ascii="Times New Roman" w:hAnsi="Times New Roman" w:cs="Times New Roman"/>
          <w:sz w:val="24"/>
        </w:rPr>
        <w:t xml:space="preserve"> </w:t>
      </w:r>
      <w:r w:rsidR="007048FE" w:rsidRPr="00FC7BB4">
        <w:rPr>
          <w:rFonts w:ascii="Times New Roman" w:hAnsi="Times New Roman" w:cs="Times New Roman"/>
          <w:sz w:val="24"/>
        </w:rPr>
        <w:t xml:space="preserve">These models imply that if the costs of price adjustment decline, the probability of a price adjustment in response to </w:t>
      </w:r>
      <w:r w:rsidR="0044673F" w:rsidRPr="00FC7BB4">
        <w:rPr>
          <w:rFonts w:ascii="Times New Roman" w:hAnsi="Times New Roman" w:cs="Times New Roman"/>
          <w:sz w:val="24"/>
        </w:rPr>
        <w:t>cost or demand changes</w:t>
      </w:r>
      <w:r w:rsidR="007048FE" w:rsidRPr="00FC7BB4">
        <w:rPr>
          <w:rFonts w:ascii="Times New Roman" w:hAnsi="Times New Roman" w:cs="Times New Roman"/>
          <w:sz w:val="24"/>
        </w:rPr>
        <w:t xml:space="preserve"> </w:t>
      </w:r>
      <w:r w:rsidR="003821DB" w:rsidRPr="00FC7BB4">
        <w:rPr>
          <w:rFonts w:ascii="Times New Roman" w:hAnsi="Times New Roman" w:cs="Times New Roman"/>
          <w:sz w:val="24"/>
        </w:rPr>
        <w:t>increases</w:t>
      </w:r>
      <w:r w:rsidR="007048FE" w:rsidRPr="00FC7BB4">
        <w:rPr>
          <w:rFonts w:ascii="Times New Roman" w:hAnsi="Times New Roman" w:cs="Times New Roman"/>
          <w:sz w:val="24"/>
        </w:rPr>
        <w:t xml:space="preserve">. </w:t>
      </w:r>
      <w:r w:rsidR="001B3278" w:rsidRPr="00FC7BB4">
        <w:rPr>
          <w:rFonts w:ascii="Times New Roman" w:hAnsi="Times New Roman" w:cs="Times New Roman"/>
          <w:sz w:val="24"/>
        </w:rPr>
        <w:t xml:space="preserve">The models </w:t>
      </w:r>
      <w:r w:rsidR="001B3278" w:rsidRPr="00FC7BB4">
        <w:rPr>
          <w:rFonts w:ascii="Times New Roman" w:hAnsi="Times New Roman" w:cs="Times New Roman"/>
          <w:sz w:val="24"/>
        </w:rPr>
        <w:lastRenderedPageBreak/>
        <w:t xml:space="preserve">also predict </w:t>
      </w:r>
      <w:r w:rsidR="003730FC" w:rsidRPr="00FC7BB4">
        <w:rPr>
          <w:rFonts w:ascii="Times New Roman" w:hAnsi="Times New Roman" w:cs="Times New Roman"/>
          <w:sz w:val="24"/>
        </w:rPr>
        <w:t>asymmetric</w:t>
      </w:r>
      <w:r w:rsidR="001B3278" w:rsidRPr="00FC7BB4">
        <w:rPr>
          <w:rFonts w:ascii="Times New Roman" w:hAnsi="Times New Roman" w:cs="Times New Roman"/>
          <w:sz w:val="24"/>
        </w:rPr>
        <w:t xml:space="preserve"> behaviour</w:t>
      </w:r>
      <w:r w:rsidR="004034D9" w:rsidRPr="00FC7BB4">
        <w:rPr>
          <w:rFonts w:ascii="Times New Roman" w:hAnsi="Times New Roman" w:cs="Times New Roman"/>
          <w:sz w:val="24"/>
        </w:rPr>
        <w:t xml:space="preserve"> whereby </w:t>
      </w:r>
      <w:r w:rsidR="00151DD1" w:rsidRPr="00FC7BB4">
        <w:rPr>
          <w:rFonts w:ascii="Times New Roman" w:hAnsi="Times New Roman" w:cs="Times New Roman"/>
          <w:sz w:val="24"/>
        </w:rPr>
        <w:t xml:space="preserve">firms are less likely to adjust </w:t>
      </w:r>
      <w:r w:rsidR="00596DE4" w:rsidRPr="00FC7BB4">
        <w:rPr>
          <w:rFonts w:ascii="Times New Roman" w:hAnsi="Times New Roman" w:cs="Times New Roman"/>
          <w:sz w:val="24"/>
        </w:rPr>
        <w:t>price</w:t>
      </w:r>
      <w:r w:rsidR="0044673F" w:rsidRPr="00FC7BB4">
        <w:rPr>
          <w:rFonts w:ascii="Times New Roman" w:hAnsi="Times New Roman" w:cs="Times New Roman"/>
          <w:sz w:val="24"/>
        </w:rPr>
        <w:t xml:space="preserve"> downwards</w:t>
      </w:r>
      <w:r w:rsidR="00605826" w:rsidRPr="00FC7BB4">
        <w:rPr>
          <w:rFonts w:ascii="Times New Roman" w:hAnsi="Times New Roman" w:cs="Times New Roman"/>
          <w:sz w:val="24"/>
        </w:rPr>
        <w:t xml:space="preserve"> (than upwards)</w:t>
      </w:r>
      <w:r w:rsidR="00596DE4" w:rsidRPr="00FC7BB4">
        <w:rPr>
          <w:rFonts w:ascii="Times New Roman" w:hAnsi="Times New Roman" w:cs="Times New Roman"/>
          <w:sz w:val="24"/>
        </w:rPr>
        <w:t xml:space="preserve"> </w:t>
      </w:r>
      <w:r w:rsidR="002B3FF6" w:rsidRPr="00FC7BB4">
        <w:rPr>
          <w:rFonts w:ascii="Times New Roman" w:hAnsi="Times New Roman" w:cs="Times New Roman"/>
          <w:sz w:val="24"/>
        </w:rPr>
        <w:t>when cost and demand conditions warrant it</w:t>
      </w:r>
      <w:r w:rsidR="004034D9" w:rsidRPr="00FC7BB4">
        <w:rPr>
          <w:rFonts w:ascii="Times New Roman" w:hAnsi="Times New Roman" w:cs="Times New Roman"/>
          <w:sz w:val="24"/>
        </w:rPr>
        <w:t>,</w:t>
      </w:r>
      <w:r w:rsidR="002B3FF6" w:rsidRPr="00FC7BB4">
        <w:rPr>
          <w:rFonts w:ascii="Times New Roman" w:hAnsi="Times New Roman" w:cs="Times New Roman"/>
          <w:sz w:val="24"/>
        </w:rPr>
        <w:t xml:space="preserve"> </w:t>
      </w:r>
      <w:r w:rsidR="00596DE4" w:rsidRPr="00FC7BB4">
        <w:rPr>
          <w:rFonts w:ascii="Times New Roman" w:hAnsi="Times New Roman" w:cs="Times New Roman"/>
          <w:sz w:val="24"/>
        </w:rPr>
        <w:t>as</w:t>
      </w:r>
      <w:r w:rsidR="001B3278" w:rsidRPr="00FC7BB4">
        <w:rPr>
          <w:rFonts w:ascii="Times New Roman" w:hAnsi="Times New Roman" w:cs="Times New Roman"/>
          <w:sz w:val="24"/>
        </w:rPr>
        <w:t xml:space="preserve"> </w:t>
      </w:r>
      <w:r w:rsidR="00E67067" w:rsidRPr="00FC7BB4">
        <w:rPr>
          <w:rFonts w:ascii="Times New Roman" w:hAnsi="Times New Roman" w:cs="Times New Roman"/>
          <w:sz w:val="24"/>
        </w:rPr>
        <w:t xml:space="preserve">inflation eventually erodes the gap between a firm’s </w:t>
      </w:r>
      <w:r w:rsidR="009C1FDA" w:rsidRPr="00FC7BB4">
        <w:rPr>
          <w:rFonts w:ascii="Times New Roman" w:hAnsi="Times New Roman" w:cs="Times New Roman"/>
          <w:sz w:val="24"/>
        </w:rPr>
        <w:t>prevailing</w:t>
      </w:r>
      <w:r w:rsidR="00AC2DC4" w:rsidRPr="00FC7BB4">
        <w:rPr>
          <w:rFonts w:ascii="Times New Roman" w:hAnsi="Times New Roman" w:cs="Times New Roman"/>
          <w:sz w:val="24"/>
        </w:rPr>
        <w:t xml:space="preserve"> relative</w:t>
      </w:r>
      <w:r w:rsidR="00E67067" w:rsidRPr="00FC7BB4">
        <w:rPr>
          <w:rFonts w:ascii="Times New Roman" w:hAnsi="Times New Roman" w:cs="Times New Roman"/>
          <w:sz w:val="24"/>
        </w:rPr>
        <w:t xml:space="preserve"> price and its desired</w:t>
      </w:r>
      <w:r w:rsidR="00B13CEA" w:rsidRPr="00FC7BB4">
        <w:rPr>
          <w:rFonts w:ascii="Times New Roman" w:hAnsi="Times New Roman" w:cs="Times New Roman"/>
          <w:sz w:val="24"/>
        </w:rPr>
        <w:t xml:space="preserve"> (lower)</w:t>
      </w:r>
      <w:r w:rsidR="00E405CD" w:rsidRPr="00FC7BB4">
        <w:rPr>
          <w:rFonts w:ascii="Times New Roman" w:hAnsi="Times New Roman" w:cs="Times New Roman"/>
          <w:sz w:val="24"/>
        </w:rPr>
        <w:t xml:space="preserve"> relative</w:t>
      </w:r>
      <w:r w:rsidR="00E67067" w:rsidRPr="00FC7BB4">
        <w:rPr>
          <w:rFonts w:ascii="Times New Roman" w:hAnsi="Times New Roman" w:cs="Times New Roman"/>
          <w:sz w:val="24"/>
        </w:rPr>
        <w:t xml:space="preserve"> price</w:t>
      </w:r>
      <w:r w:rsidR="00596DE4" w:rsidRPr="00FC7BB4">
        <w:rPr>
          <w:rFonts w:ascii="Times New Roman" w:hAnsi="Times New Roman" w:cs="Times New Roman"/>
          <w:sz w:val="24"/>
        </w:rPr>
        <w:t>.</w:t>
      </w:r>
    </w:p>
    <w:p w14:paraId="735B943A" w14:textId="57363DD0" w:rsidR="00307155" w:rsidRPr="00FC7BB4" w:rsidRDefault="00307155" w:rsidP="00F3101B">
      <w:pPr>
        <w:ind w:left="-15" w:right="27" w:firstLine="299"/>
        <w:rPr>
          <w:rFonts w:ascii="Times New Roman" w:hAnsi="Times New Roman" w:cs="Times New Roman"/>
          <w:sz w:val="24"/>
        </w:rPr>
      </w:pPr>
      <w:r w:rsidRPr="00FC7BB4">
        <w:rPr>
          <w:rFonts w:ascii="Times New Roman" w:hAnsi="Times New Roman" w:cs="Times New Roman"/>
          <w:sz w:val="24"/>
        </w:rPr>
        <w:t xml:space="preserve">In a model of a monetary economy where firms are subject to idiosyncratic shocks as well as inflation and can only change prices by incurring a real menu cost, </w:t>
      </w:r>
      <w:proofErr w:type="spellStart"/>
      <w:r w:rsidRPr="00FC7BB4">
        <w:rPr>
          <w:rFonts w:ascii="Times New Roman" w:hAnsi="Times New Roman" w:cs="Times New Roman"/>
          <w:sz w:val="24"/>
        </w:rPr>
        <w:t>Golosov</w:t>
      </w:r>
      <w:proofErr w:type="spellEnd"/>
      <w:r w:rsidRPr="00FC7BB4">
        <w:rPr>
          <w:rFonts w:ascii="Times New Roman" w:hAnsi="Times New Roman" w:cs="Times New Roman"/>
          <w:sz w:val="24"/>
        </w:rPr>
        <w:t xml:space="preserve"> and Lucas (2007) show the fraction of firms that reprice in a period increases with the inflation rate. Blanco, </w:t>
      </w:r>
      <w:r w:rsidRPr="00FC7BB4">
        <w:rPr>
          <w:rFonts w:ascii="Times New Roman" w:hAnsi="Times New Roman" w:cs="Times New Roman"/>
          <w:i/>
          <w:iCs/>
          <w:sz w:val="24"/>
        </w:rPr>
        <w:t>et</w:t>
      </w:r>
      <w:r w:rsidR="00025489" w:rsidRPr="00FC7BB4">
        <w:rPr>
          <w:rFonts w:ascii="Times New Roman" w:hAnsi="Times New Roman" w:cs="Times New Roman"/>
          <w:i/>
          <w:iCs/>
          <w:sz w:val="24"/>
        </w:rPr>
        <w:t xml:space="preserve"> </w:t>
      </w:r>
      <w:r w:rsidRPr="00FC7BB4">
        <w:rPr>
          <w:rFonts w:ascii="Times New Roman" w:hAnsi="Times New Roman" w:cs="Times New Roman"/>
          <w:i/>
          <w:iCs/>
          <w:sz w:val="24"/>
        </w:rPr>
        <w:t xml:space="preserve">al. </w:t>
      </w:r>
      <w:r w:rsidRPr="00FC7BB4">
        <w:rPr>
          <w:rFonts w:ascii="Times New Roman" w:hAnsi="Times New Roman" w:cs="Times New Roman"/>
          <w:sz w:val="24"/>
        </w:rPr>
        <w:t xml:space="preserve">(2024a) develop a model of price change whereby firms sell a continuum of products and choose how many, but not which, prices to adjust in any period, subject to an adjustment cost. This choice is determined by balancing the price adjustment costs against the benefits of changing price and reducing resource misallocation within the firm. Higher inflation increases the marginal benefit of adjusting prices, thereby increasing the fraction of prices a </w:t>
      </w:r>
      <w:proofErr w:type="gramStart"/>
      <w:r w:rsidRPr="00FC7BB4">
        <w:rPr>
          <w:rFonts w:ascii="Times New Roman" w:hAnsi="Times New Roman" w:cs="Times New Roman"/>
          <w:sz w:val="24"/>
        </w:rPr>
        <w:t>firm</w:t>
      </w:r>
      <w:r w:rsidR="00266B23">
        <w:rPr>
          <w:rFonts w:ascii="Times New Roman" w:hAnsi="Times New Roman" w:cs="Times New Roman"/>
          <w:sz w:val="24"/>
        </w:rPr>
        <w:t xml:space="preserve"> </w:t>
      </w:r>
      <w:r w:rsidRPr="00FC7BB4">
        <w:rPr>
          <w:rFonts w:ascii="Times New Roman" w:hAnsi="Times New Roman" w:cs="Times New Roman"/>
          <w:sz w:val="24"/>
        </w:rPr>
        <w:t>changes</w:t>
      </w:r>
      <w:proofErr w:type="gramEnd"/>
      <w:r w:rsidRPr="00FC7BB4">
        <w:rPr>
          <w:rFonts w:ascii="Times New Roman" w:hAnsi="Times New Roman" w:cs="Times New Roman"/>
          <w:sz w:val="24"/>
        </w:rPr>
        <w:t>.</w:t>
      </w:r>
    </w:p>
    <w:p w14:paraId="1B527D71" w14:textId="6C937254" w:rsidR="00307155" w:rsidRPr="00FC7BB4" w:rsidRDefault="00307155" w:rsidP="00F3101B">
      <w:pPr>
        <w:ind w:left="-15" w:right="27" w:firstLine="287"/>
        <w:rPr>
          <w:rFonts w:ascii="Times New Roman" w:hAnsi="Times New Roman" w:cs="Times New Roman"/>
          <w:sz w:val="24"/>
        </w:rPr>
      </w:pPr>
      <w:r w:rsidRPr="00FC7BB4">
        <w:rPr>
          <w:rFonts w:ascii="Times New Roman" w:hAnsi="Times New Roman" w:cs="Times New Roman"/>
          <w:sz w:val="24"/>
        </w:rPr>
        <w:t xml:space="preserve">These types of models can generate a feedback loop between inflation and the frequency or proportion of firms that change prices and create an “inflation accelerator” in response to shocks. This results in the slope of the Phillips curve increasing during periods of high inflation (Blanco, </w:t>
      </w:r>
      <w:r w:rsidRPr="00FC7BB4">
        <w:rPr>
          <w:rFonts w:ascii="Times New Roman" w:hAnsi="Times New Roman" w:cs="Times New Roman"/>
          <w:i/>
          <w:iCs/>
          <w:sz w:val="24"/>
        </w:rPr>
        <w:t>et</w:t>
      </w:r>
      <w:r w:rsidR="00025489" w:rsidRPr="00FC7BB4">
        <w:rPr>
          <w:rFonts w:ascii="Times New Roman" w:hAnsi="Times New Roman" w:cs="Times New Roman"/>
          <w:i/>
          <w:iCs/>
          <w:sz w:val="24"/>
        </w:rPr>
        <w:t xml:space="preserve"> </w:t>
      </w:r>
      <w:r w:rsidRPr="00FC7BB4">
        <w:rPr>
          <w:rFonts w:ascii="Times New Roman" w:hAnsi="Times New Roman" w:cs="Times New Roman"/>
          <w:i/>
          <w:iCs/>
          <w:sz w:val="24"/>
        </w:rPr>
        <w:t>al</w:t>
      </w:r>
      <w:r w:rsidRPr="00FC7BB4">
        <w:rPr>
          <w:rFonts w:ascii="Times New Roman" w:hAnsi="Times New Roman" w:cs="Times New Roman"/>
          <w:sz w:val="24"/>
        </w:rPr>
        <w:t>., 2024a).</w:t>
      </w:r>
      <w:r w:rsidRPr="00FC7BB4">
        <w:rPr>
          <w:rStyle w:val="FootnoteReference"/>
          <w:rFonts w:ascii="Times New Roman" w:hAnsi="Times New Roman" w:cs="Times New Roman"/>
          <w:sz w:val="24"/>
        </w:rPr>
        <w:footnoteReference w:id="1"/>
      </w:r>
      <w:r w:rsidRPr="00FC7BB4">
        <w:rPr>
          <w:rFonts w:ascii="Times New Roman" w:hAnsi="Times New Roman" w:cs="Times New Roman"/>
          <w:sz w:val="24"/>
        </w:rPr>
        <w:t xml:space="preserve"> Using micro data from large panel surveys of UK and US firms, Bunn, </w:t>
      </w:r>
      <w:r w:rsidRPr="00FC7BB4">
        <w:rPr>
          <w:rFonts w:ascii="Times New Roman" w:hAnsi="Times New Roman" w:cs="Times New Roman"/>
          <w:i/>
          <w:iCs/>
          <w:sz w:val="24"/>
        </w:rPr>
        <w:t>et al</w:t>
      </w:r>
      <w:r w:rsidRPr="00FC7BB4">
        <w:rPr>
          <w:rFonts w:ascii="Times New Roman" w:hAnsi="Times New Roman" w:cs="Times New Roman"/>
          <w:sz w:val="24"/>
        </w:rPr>
        <w:t xml:space="preserve">. (2024) find that the response of firm prices to demand shocks is convex and this convexity is more pronounced when inflation is high. When incorporated in a DSGE model, this pricing behaviour generates a convex aggregate Phillips curve in response to demand shocks. These properties can have important implications for monetary policy. Karadi, </w:t>
      </w:r>
      <w:r w:rsidRPr="00FC7BB4">
        <w:rPr>
          <w:rFonts w:ascii="Times New Roman" w:hAnsi="Times New Roman" w:cs="Times New Roman"/>
          <w:i/>
          <w:iCs/>
          <w:sz w:val="24"/>
        </w:rPr>
        <w:t>et</w:t>
      </w:r>
      <w:r w:rsidR="00025489" w:rsidRPr="00FC7BB4">
        <w:rPr>
          <w:rFonts w:ascii="Times New Roman" w:hAnsi="Times New Roman" w:cs="Times New Roman"/>
          <w:i/>
          <w:iCs/>
          <w:sz w:val="24"/>
        </w:rPr>
        <w:t xml:space="preserve"> </w:t>
      </w:r>
      <w:r w:rsidRPr="00FC7BB4">
        <w:rPr>
          <w:rFonts w:ascii="Times New Roman" w:hAnsi="Times New Roman" w:cs="Times New Roman"/>
          <w:i/>
          <w:iCs/>
          <w:sz w:val="24"/>
        </w:rPr>
        <w:t>al</w:t>
      </w:r>
      <w:r w:rsidRPr="00FC7BB4">
        <w:rPr>
          <w:rFonts w:ascii="Times New Roman" w:hAnsi="Times New Roman" w:cs="Times New Roman"/>
          <w:sz w:val="24"/>
        </w:rPr>
        <w:t xml:space="preserve">. (2024) show that when there are menu costs of price adjustment causing endogenous variation in the frequency of price adjustment and a change in the slope of the Phillips curve, there is a nonlinearity in the sacrifice ratio (and the trade-off between inflation and the output gap) causing a nonlinearity of the optimal monetary policy rule. For large shocks to </w:t>
      </w:r>
      <w:r w:rsidR="00C63B8E" w:rsidRPr="00FC7BB4">
        <w:rPr>
          <w:rFonts w:ascii="Times New Roman" w:hAnsi="Times New Roman" w:cs="Times New Roman"/>
          <w:sz w:val="24"/>
        </w:rPr>
        <w:t xml:space="preserve">desired </w:t>
      </w:r>
      <w:r w:rsidRPr="00FC7BB4">
        <w:rPr>
          <w:rFonts w:ascii="Times New Roman" w:hAnsi="Times New Roman" w:cs="Times New Roman"/>
          <w:sz w:val="24"/>
        </w:rPr>
        <w:t xml:space="preserve">prices, the optimal monetary policy decision is to react more aggressively against inflation than in the case of small shocks or when firms use a time-dependent pricing rule. </w:t>
      </w:r>
      <w:proofErr w:type="spellStart"/>
      <w:r w:rsidRPr="00FC7BB4">
        <w:rPr>
          <w:rFonts w:ascii="Times New Roman" w:hAnsi="Times New Roman" w:cs="Times New Roman"/>
          <w:sz w:val="24"/>
        </w:rPr>
        <w:t>Hakamada</w:t>
      </w:r>
      <w:proofErr w:type="spellEnd"/>
      <w:r w:rsidRPr="00FC7BB4">
        <w:rPr>
          <w:rFonts w:ascii="Times New Roman" w:hAnsi="Times New Roman" w:cs="Times New Roman"/>
          <w:sz w:val="24"/>
        </w:rPr>
        <w:t xml:space="preserve"> and Walsh (2024) come to similar conclusions. Applying a calibrated New Keynesian model, they find that when agents form either rational expectations or use cognitive discounting, stronger and earlier policy responses to inflation moderate the overall losses across alternative loss functions.</w:t>
      </w:r>
    </w:p>
    <w:p w14:paraId="46A32201" w14:textId="6F95F58D" w:rsidR="00307155" w:rsidRPr="00FC7BB4" w:rsidRDefault="00307155" w:rsidP="00F3101B">
      <w:pPr>
        <w:ind w:left="-15" w:right="27" w:firstLine="287"/>
        <w:rPr>
          <w:rFonts w:ascii="Times New Roman" w:hAnsi="Times New Roman" w:cs="Times New Roman"/>
          <w:sz w:val="24"/>
        </w:rPr>
      </w:pPr>
      <w:r w:rsidRPr="00FC7BB4">
        <w:rPr>
          <w:rFonts w:ascii="Times New Roman" w:hAnsi="Times New Roman" w:cs="Times New Roman"/>
          <w:sz w:val="24"/>
        </w:rPr>
        <w:t xml:space="preserve">A rich body of evidence using micro-data has accumulated showing the frequency of price changes varies with inflation. An early investigation by Cecchetti (1986) found higher inflation led to an increase in the frequency of changes in US newsstand prices of magazines from 1953 to 1979. Cecchetti speculated that while the evidence was for prices in only one industry, “it is extremely likely that the frequency of </w:t>
      </w:r>
      <w:r w:rsidRPr="00FC7BB4">
        <w:rPr>
          <w:rFonts w:ascii="Times New Roman" w:hAnsi="Times New Roman" w:cs="Times New Roman"/>
          <w:sz w:val="24"/>
        </w:rPr>
        <w:lastRenderedPageBreak/>
        <w:t>adjustment for all prices in the economy increased over this period.” (p271).</w:t>
      </w:r>
      <w:r w:rsidRPr="00FC7BB4">
        <w:rPr>
          <w:rStyle w:val="FootnoteReference"/>
          <w:rFonts w:ascii="Times New Roman" w:hAnsi="Times New Roman" w:cs="Times New Roman"/>
          <w:sz w:val="24"/>
        </w:rPr>
        <w:footnoteReference w:id="2"/>
      </w:r>
      <w:r w:rsidRPr="00FC7BB4">
        <w:rPr>
          <w:rFonts w:ascii="Times New Roman" w:hAnsi="Times New Roman" w:cs="Times New Roman"/>
          <w:sz w:val="24"/>
        </w:rPr>
        <w:t xml:space="preserve"> Subsequent research has corroborated this conjecture. Episodes of high inflation were a focus of several subsequent studies. Lach and </w:t>
      </w:r>
      <w:proofErr w:type="spellStart"/>
      <w:r w:rsidRPr="00FC7BB4">
        <w:rPr>
          <w:rFonts w:ascii="Times New Roman" w:hAnsi="Times New Roman" w:cs="Times New Roman"/>
          <w:sz w:val="24"/>
        </w:rPr>
        <w:t>Tsiddon</w:t>
      </w:r>
      <w:proofErr w:type="spellEnd"/>
      <w:r w:rsidRPr="00FC7BB4">
        <w:rPr>
          <w:rFonts w:ascii="Times New Roman" w:hAnsi="Times New Roman" w:cs="Times New Roman"/>
          <w:sz w:val="24"/>
        </w:rPr>
        <w:t xml:space="preserve"> (1992) found the monthly proportion of price changes in Israel rose from 46.5 per cent in 1978-79 when inflation was 77 per cent to 60.4 per cent in 1981-82 when inflation rose to 116 per cent. After controlling for changes in the basket of food products used in the Lach and </w:t>
      </w:r>
      <w:proofErr w:type="spellStart"/>
      <w:r w:rsidRPr="00FC7BB4">
        <w:rPr>
          <w:rFonts w:ascii="Times New Roman" w:hAnsi="Times New Roman" w:cs="Times New Roman"/>
          <w:sz w:val="24"/>
        </w:rPr>
        <w:t>Tsiddon</w:t>
      </w:r>
      <w:proofErr w:type="spellEnd"/>
      <w:r w:rsidRPr="00FC7BB4">
        <w:rPr>
          <w:rFonts w:ascii="Times New Roman" w:hAnsi="Times New Roman" w:cs="Times New Roman"/>
          <w:sz w:val="24"/>
        </w:rPr>
        <w:t xml:space="preserve"> study, Eden (2001) and </w:t>
      </w:r>
      <w:proofErr w:type="spellStart"/>
      <w:r w:rsidRPr="00FC7BB4">
        <w:rPr>
          <w:rFonts w:ascii="Times New Roman" w:hAnsi="Times New Roman" w:cs="Times New Roman"/>
          <w:sz w:val="24"/>
        </w:rPr>
        <w:t>Baharad</w:t>
      </w:r>
      <w:proofErr w:type="spellEnd"/>
      <w:r w:rsidRPr="00FC7BB4">
        <w:rPr>
          <w:rFonts w:ascii="Times New Roman" w:hAnsi="Times New Roman" w:cs="Times New Roman"/>
          <w:sz w:val="24"/>
        </w:rPr>
        <w:t xml:space="preserve"> and Eden (2004) also reported a strong co-variance between inflation and frequency of price changes during Israel’s high inflation episodes during the 1980s and 1990s. Konieczny and </w:t>
      </w:r>
      <w:proofErr w:type="spellStart"/>
      <w:r w:rsidRPr="00FC7BB4">
        <w:rPr>
          <w:rFonts w:ascii="Times New Roman" w:hAnsi="Times New Roman" w:cs="Times New Roman"/>
          <w:sz w:val="24"/>
        </w:rPr>
        <w:t>Skrzypacz</w:t>
      </w:r>
      <w:proofErr w:type="spellEnd"/>
      <w:r w:rsidRPr="00FC7BB4">
        <w:rPr>
          <w:rFonts w:ascii="Times New Roman" w:hAnsi="Times New Roman" w:cs="Times New Roman"/>
          <w:sz w:val="24"/>
        </w:rPr>
        <w:t xml:space="preserve"> (2005) found the frequency of price changes co-varied with inflation during Poland’s transition from a planned to a market economy in the early 1990s. Gagnon (2009) revealed that both the frequency and magnitude of price changes co-varied with inflation in Mexico when inflation rose from 6.8 per cent in 1994 to 41.8 per cent in 1995 and when it gradually fell to 4.9 per cent by 2002. Alvarez, </w:t>
      </w:r>
      <w:r w:rsidRPr="00FC7BB4">
        <w:rPr>
          <w:rFonts w:ascii="Times New Roman" w:hAnsi="Times New Roman" w:cs="Times New Roman"/>
          <w:i/>
          <w:iCs/>
          <w:sz w:val="24"/>
        </w:rPr>
        <w:t>et al.</w:t>
      </w:r>
      <w:r w:rsidRPr="00FC7BB4">
        <w:rPr>
          <w:rFonts w:ascii="Times New Roman" w:hAnsi="Times New Roman" w:cs="Times New Roman"/>
          <w:sz w:val="24"/>
        </w:rPr>
        <w:t xml:space="preserve"> (2018) stud</w:t>
      </w:r>
      <w:r w:rsidR="004C14AB" w:rsidRPr="00FC7BB4">
        <w:rPr>
          <w:rFonts w:ascii="Times New Roman" w:hAnsi="Times New Roman" w:cs="Times New Roman"/>
          <w:sz w:val="24"/>
        </w:rPr>
        <w:t>ied</w:t>
      </w:r>
      <w:r w:rsidRPr="00FC7BB4">
        <w:rPr>
          <w:rFonts w:ascii="Times New Roman" w:hAnsi="Times New Roman" w:cs="Times New Roman"/>
          <w:sz w:val="24"/>
        </w:rPr>
        <w:t xml:space="preserve"> the frequency of price changes in Argentina during periods of low and very high inflation rates. They found that when inflation is low, the frequency and absolute size of price changes are insensitive to inflation. The frequency and average size of price changes rise with inflation, while when inflation is very high it dominates idiosyncratic shocks as an influence on price changes.</w:t>
      </w:r>
      <w:r w:rsidRPr="00FC7BB4">
        <w:rPr>
          <w:rFonts w:ascii="Times New Roman" w:hAnsi="Times New Roman" w:cs="Times New Roman"/>
        </w:rPr>
        <w:t xml:space="preserve"> </w:t>
      </w:r>
    </w:p>
    <w:p w14:paraId="7B5C64EA" w14:textId="754689C4" w:rsidR="00307155" w:rsidRPr="00FC7BB4" w:rsidRDefault="00307155" w:rsidP="00F3101B">
      <w:pPr>
        <w:ind w:left="-15" w:right="27" w:firstLine="287"/>
        <w:rPr>
          <w:rFonts w:ascii="Times New Roman" w:hAnsi="Times New Roman" w:cs="Times New Roman"/>
          <w:sz w:val="24"/>
        </w:rPr>
      </w:pPr>
      <w:r w:rsidRPr="00FC7BB4">
        <w:rPr>
          <w:rFonts w:ascii="Times New Roman" w:hAnsi="Times New Roman" w:cs="Times New Roman"/>
          <w:sz w:val="24"/>
        </w:rPr>
        <w:t xml:space="preserve">Another important question for inflation dynamics is whether there is asymmetry in the way price changes respond to positive and negative shocks to </w:t>
      </w:r>
      <w:r w:rsidR="00126CCE" w:rsidRPr="00FC7BB4">
        <w:rPr>
          <w:rFonts w:ascii="Times New Roman" w:hAnsi="Times New Roman" w:cs="Times New Roman"/>
          <w:sz w:val="24"/>
        </w:rPr>
        <w:t>desired</w:t>
      </w:r>
      <w:r w:rsidRPr="00FC7BB4">
        <w:rPr>
          <w:rFonts w:ascii="Times New Roman" w:hAnsi="Times New Roman" w:cs="Times New Roman"/>
          <w:sz w:val="24"/>
        </w:rPr>
        <w:t xml:space="preserve"> prices and whether this asymmetry is affected by inflation.</w:t>
      </w:r>
      <w:r w:rsidRPr="00FC7BB4">
        <w:rPr>
          <w:rStyle w:val="FootnoteReference"/>
          <w:rFonts w:ascii="Times New Roman" w:hAnsi="Times New Roman" w:cs="Times New Roman"/>
          <w:sz w:val="24"/>
        </w:rPr>
        <w:footnoteReference w:id="3"/>
      </w:r>
      <w:r w:rsidRPr="00FC7BB4">
        <w:rPr>
          <w:rFonts w:ascii="Times New Roman" w:hAnsi="Times New Roman" w:cs="Times New Roman"/>
          <w:sz w:val="24"/>
        </w:rPr>
        <w:t xml:space="preserve"> Early studies by Buckle and Carlson (1998, 2000a) revealed the importance of taking account of both price increases and price decreases and showed there were significant differences in price-setting behaviour across low- and high-inflation episodes. They showed that during high and variable inflation episodes in New Zealand in the 1970s and 1980s, firms were more likely at high rates of inflation to raise prices in response to positive cost and demand shocks, but less likely to lower prices in response to negative cost and demand shocks. Using data from large panel surveys of UK and USA firms, Bunn </w:t>
      </w:r>
      <w:r w:rsidRPr="00FC7BB4">
        <w:rPr>
          <w:rFonts w:ascii="Times New Roman" w:hAnsi="Times New Roman" w:cs="Times New Roman"/>
          <w:i/>
          <w:iCs/>
          <w:sz w:val="24"/>
        </w:rPr>
        <w:t>et al</w:t>
      </w:r>
      <w:r w:rsidRPr="00FC7BB4">
        <w:rPr>
          <w:rFonts w:ascii="Times New Roman" w:hAnsi="Times New Roman" w:cs="Times New Roman"/>
          <w:sz w:val="24"/>
        </w:rPr>
        <w:t>. (2024) find that firms are more likely to increase prices in response to positive demand shocks than to decrease prices in response to negative demand shocks, and this result is strongest in firms and industries with higher inflation. Nakamura and Steinsson (2008) found that while the frequency of USA price increases covaried strongly with inflation, the frequency of price decreases did not. Gagnon (2009) revealed that in Mexico, when inflation was low, the frequency of price increases and decreases partly offset each other. When inflation was high, fewer price decreases occurred, and the frequency of price increases rose.</w:t>
      </w:r>
    </w:p>
    <w:p w14:paraId="22985C12" w14:textId="77777777" w:rsidR="00307155" w:rsidRPr="00FC7BB4" w:rsidRDefault="00307155" w:rsidP="00F3101B">
      <w:pPr>
        <w:spacing w:after="0" w:line="331" w:lineRule="auto"/>
        <w:ind w:left="-17" w:right="27"/>
        <w:rPr>
          <w:rFonts w:ascii="Times New Roman" w:hAnsi="Times New Roman" w:cs="Times New Roman"/>
          <w:sz w:val="24"/>
        </w:rPr>
      </w:pPr>
      <w:r w:rsidRPr="00FC7BB4">
        <w:rPr>
          <w:rFonts w:ascii="Times New Roman" w:hAnsi="Times New Roman" w:cs="Times New Roman"/>
          <w:sz w:val="24"/>
        </w:rPr>
        <w:lastRenderedPageBreak/>
        <w:t>In the decades since these studies there have been many changes that may have affected price flexibility. These include advancements in information technology which both lower the costs of price changes and improve the quality and timeliness of cost and demand information for firms. There have been changes in the industrial structure of economies (</w:t>
      </w:r>
      <w:r w:rsidRPr="00FC7BB4">
        <w:rPr>
          <w:rFonts w:ascii="Times New Roman" w:hAnsi="Times New Roman" w:cs="Times New Roman"/>
          <w:i/>
          <w:iCs/>
          <w:sz w:val="24"/>
        </w:rPr>
        <w:t>viz</w:t>
      </w:r>
      <w:r w:rsidRPr="00FC7BB4">
        <w:rPr>
          <w:rFonts w:ascii="Times New Roman" w:hAnsi="Times New Roman" w:cs="Times New Roman"/>
          <w:sz w:val="24"/>
        </w:rPr>
        <w:t xml:space="preserve">. the growing importance of services), and changes to regulation of markets. Societal changes such as rising labour force participation affecting consumer attention, and certain information asymmetries difficult to overcome using information technology, also may have influenced firm pricing behaviour. </w:t>
      </w:r>
    </w:p>
    <w:p w14:paraId="4A10EA24" w14:textId="0F4F82FC" w:rsidR="00307155" w:rsidRPr="00FC7BB4" w:rsidRDefault="00307155" w:rsidP="00F3101B">
      <w:pPr>
        <w:spacing w:after="0" w:line="331" w:lineRule="auto"/>
        <w:ind w:left="-17" w:right="27"/>
        <w:rPr>
          <w:rFonts w:ascii="Times New Roman" w:hAnsi="Times New Roman" w:cs="Times New Roman"/>
          <w:sz w:val="24"/>
        </w:rPr>
      </w:pPr>
      <w:r w:rsidRPr="00FC7BB4">
        <w:rPr>
          <w:rFonts w:ascii="Times New Roman" w:hAnsi="Times New Roman" w:cs="Times New Roman"/>
          <w:sz w:val="24"/>
        </w:rPr>
        <w:t xml:space="preserve">There is an emerging literature studying the frequency of price changes in recent years, including in the periods immediately prior to and during the COVID bout of high inflation. Using </w:t>
      </w:r>
      <w:r w:rsidR="00B20CDD" w:rsidRPr="00FC7BB4">
        <w:rPr>
          <w:rFonts w:ascii="Times New Roman" w:hAnsi="Times New Roman" w:cs="Times New Roman"/>
          <w:sz w:val="24"/>
        </w:rPr>
        <w:t>product</w:t>
      </w:r>
      <w:r w:rsidR="003E76BD" w:rsidRPr="00FC7BB4">
        <w:rPr>
          <w:rFonts w:ascii="Times New Roman" w:hAnsi="Times New Roman" w:cs="Times New Roman"/>
          <w:sz w:val="24"/>
        </w:rPr>
        <w:t xml:space="preserve"> </w:t>
      </w:r>
      <w:r w:rsidRPr="00FC7BB4">
        <w:rPr>
          <w:rFonts w:ascii="Times New Roman" w:hAnsi="Times New Roman" w:cs="Times New Roman"/>
          <w:sz w:val="24"/>
        </w:rPr>
        <w:t xml:space="preserve">level prices and drawing on the high inflation periods of the late 1970s and early 1980s, </w:t>
      </w:r>
      <w:bookmarkStart w:id="3" w:name="_Hlk202206835"/>
      <w:r w:rsidRPr="00FC7BB4">
        <w:rPr>
          <w:rFonts w:ascii="Times New Roman" w:hAnsi="Times New Roman" w:cs="Times New Roman"/>
          <w:sz w:val="24"/>
        </w:rPr>
        <w:t xml:space="preserve">Nakamura, </w:t>
      </w:r>
      <w:r w:rsidRPr="00FC7BB4">
        <w:rPr>
          <w:rFonts w:ascii="Times New Roman" w:hAnsi="Times New Roman" w:cs="Times New Roman"/>
          <w:i/>
          <w:iCs/>
          <w:sz w:val="24"/>
        </w:rPr>
        <w:t>et al</w:t>
      </w:r>
      <w:r w:rsidRPr="00FC7BB4">
        <w:rPr>
          <w:rFonts w:ascii="Times New Roman" w:hAnsi="Times New Roman" w:cs="Times New Roman"/>
          <w:sz w:val="24"/>
        </w:rPr>
        <w:t xml:space="preserve">. </w:t>
      </w:r>
      <w:bookmarkEnd w:id="3"/>
      <w:r w:rsidRPr="00FC7BB4">
        <w:rPr>
          <w:rFonts w:ascii="Times New Roman" w:hAnsi="Times New Roman" w:cs="Times New Roman"/>
          <w:sz w:val="24"/>
        </w:rPr>
        <w:t xml:space="preserve">(2018) found the frequency of price change was positively correlated with inflation. Based on data up to 2014, they conclude that the frequency of price change was lower in the latter part of their sample. However, this was a period of consistently low inflation which they acknowledge may have camouflaged an underlying trend change in pricing behaviour. The study by Gautier, </w:t>
      </w:r>
      <w:r w:rsidRPr="00FC7BB4">
        <w:rPr>
          <w:rFonts w:ascii="Times New Roman" w:hAnsi="Times New Roman" w:cs="Times New Roman"/>
          <w:i/>
          <w:iCs/>
          <w:sz w:val="24"/>
        </w:rPr>
        <w:t>et al</w:t>
      </w:r>
      <w:r w:rsidRPr="00FC7BB4">
        <w:rPr>
          <w:rFonts w:ascii="Times New Roman" w:hAnsi="Times New Roman" w:cs="Times New Roman"/>
          <w:sz w:val="24"/>
        </w:rPr>
        <w:t xml:space="preserve">. (2024) </w:t>
      </w:r>
      <w:r w:rsidR="000C751C" w:rsidRPr="00FC7BB4">
        <w:rPr>
          <w:rFonts w:ascii="Times New Roman" w:hAnsi="Times New Roman" w:cs="Times New Roman"/>
          <w:sz w:val="24"/>
        </w:rPr>
        <w:t>also</w:t>
      </w:r>
      <w:r w:rsidRPr="00FC7BB4">
        <w:rPr>
          <w:rFonts w:ascii="Times New Roman" w:hAnsi="Times New Roman" w:cs="Times New Roman"/>
          <w:sz w:val="24"/>
        </w:rPr>
        <w:t xml:space="preserve"> examines pricing behaviour during the relatively low inflation decades prior to the COVID era. Using CPI micro data for eleven Euro countries between 2010 and 2019, they found the frequency of price changes “barely” changed with inflation and that changes in inflation were mostly caused by the size of price changes. </w:t>
      </w:r>
    </w:p>
    <w:p w14:paraId="05F34B7C" w14:textId="77777777" w:rsidR="00307155" w:rsidRPr="00FC7BB4" w:rsidRDefault="00307155" w:rsidP="00F3101B">
      <w:pPr>
        <w:spacing w:after="0" w:line="331" w:lineRule="auto"/>
        <w:ind w:left="-17" w:right="27"/>
        <w:rPr>
          <w:rFonts w:ascii="Times New Roman" w:hAnsi="Times New Roman" w:cs="Times New Roman"/>
          <w:sz w:val="24"/>
        </w:rPr>
      </w:pPr>
      <w:r w:rsidRPr="00FC7BB4">
        <w:rPr>
          <w:rFonts w:ascii="Times New Roman" w:hAnsi="Times New Roman" w:cs="Times New Roman"/>
          <w:sz w:val="24"/>
        </w:rPr>
        <w:t xml:space="preserve">For the recent COVID inflation episode, Montag and Villar </w:t>
      </w:r>
      <w:proofErr w:type="spellStart"/>
      <w:r w:rsidRPr="00FC7BB4">
        <w:rPr>
          <w:rFonts w:ascii="Times New Roman" w:hAnsi="Times New Roman" w:cs="Times New Roman"/>
          <w:sz w:val="24"/>
        </w:rPr>
        <w:t>Vallenas</w:t>
      </w:r>
      <w:proofErr w:type="spellEnd"/>
      <w:r w:rsidRPr="00FC7BB4">
        <w:rPr>
          <w:rFonts w:ascii="Times New Roman" w:hAnsi="Times New Roman" w:cs="Times New Roman"/>
          <w:sz w:val="24"/>
        </w:rPr>
        <w:t xml:space="preserve"> (2023) found that relative to the two years preceding the pandemic, the frequency of price changes in the United States increased as inflation rose, and there were only relatively small increases in the magnitude of price changes. Bilyk, </w:t>
      </w:r>
      <w:r w:rsidRPr="00FC7BB4">
        <w:rPr>
          <w:rFonts w:ascii="Times New Roman" w:hAnsi="Times New Roman" w:cs="Times New Roman"/>
          <w:i/>
          <w:iCs/>
          <w:sz w:val="24"/>
        </w:rPr>
        <w:t>et al</w:t>
      </w:r>
      <w:r w:rsidRPr="00FC7BB4">
        <w:rPr>
          <w:rFonts w:ascii="Times New Roman" w:hAnsi="Times New Roman" w:cs="Times New Roman"/>
          <w:sz w:val="24"/>
        </w:rPr>
        <w:t xml:space="preserve">. (2024) reported similar pricing behaviour in Canada between January 1999 to January 2024. Using UK data, Blanco, </w:t>
      </w:r>
      <w:r w:rsidRPr="00FC7BB4">
        <w:rPr>
          <w:rFonts w:ascii="Times New Roman" w:hAnsi="Times New Roman" w:cs="Times New Roman"/>
          <w:i/>
          <w:iCs/>
          <w:sz w:val="24"/>
        </w:rPr>
        <w:t>et al</w:t>
      </w:r>
      <w:r w:rsidRPr="00FC7BB4">
        <w:rPr>
          <w:rFonts w:ascii="Times New Roman" w:hAnsi="Times New Roman" w:cs="Times New Roman"/>
          <w:sz w:val="24"/>
        </w:rPr>
        <w:t xml:space="preserve">. (2024b) showed that over the period 1998 to 2022, higher inflation was associated with more frequent price changes and only small changes in the magnitude of price changes. Cavallo, </w:t>
      </w:r>
      <w:r w:rsidRPr="00FC7BB4">
        <w:rPr>
          <w:rFonts w:ascii="Times New Roman" w:hAnsi="Times New Roman" w:cs="Times New Roman"/>
          <w:i/>
          <w:iCs/>
          <w:sz w:val="24"/>
        </w:rPr>
        <w:t>et al</w:t>
      </w:r>
      <w:r w:rsidRPr="00FC7BB4">
        <w:rPr>
          <w:rFonts w:ascii="Times New Roman" w:hAnsi="Times New Roman" w:cs="Times New Roman"/>
          <w:sz w:val="24"/>
        </w:rPr>
        <w:t>. (2024) reached similar conclusions using data from several European countries, the UK, and the US.</w:t>
      </w:r>
      <w:r w:rsidRPr="00FC7BB4">
        <w:rPr>
          <w:rFonts w:ascii="Times New Roman" w:hAnsi="Times New Roman" w:cs="Times New Roman"/>
        </w:rPr>
        <w:t xml:space="preserve"> </w:t>
      </w:r>
    </w:p>
    <w:p w14:paraId="61A396CE" w14:textId="22F89DCF" w:rsidR="00307155" w:rsidRPr="00FC7BB4" w:rsidRDefault="00307155" w:rsidP="00F3101B">
      <w:pPr>
        <w:spacing w:after="120" w:line="331" w:lineRule="auto"/>
        <w:ind w:left="-17" w:right="27"/>
        <w:rPr>
          <w:rFonts w:ascii="Times New Roman" w:hAnsi="Times New Roman" w:cs="Times New Roman"/>
          <w:sz w:val="24"/>
        </w:rPr>
      </w:pPr>
      <w:r w:rsidRPr="00FC7BB4">
        <w:rPr>
          <w:rFonts w:ascii="Times New Roman" w:hAnsi="Times New Roman" w:cs="Times New Roman"/>
          <w:sz w:val="24"/>
        </w:rPr>
        <w:t xml:space="preserve">These studies reveal that during the COVID inflation period the frequency of price changes was higher relative to the recent past when inflation was much lower. But </w:t>
      </w:r>
      <w:r w:rsidR="00D2580D" w:rsidRPr="00FC7BB4">
        <w:rPr>
          <w:rFonts w:ascii="Times New Roman" w:hAnsi="Times New Roman" w:cs="Times New Roman"/>
          <w:sz w:val="24"/>
        </w:rPr>
        <w:t>an important gap</w:t>
      </w:r>
      <w:r w:rsidR="001E62EF" w:rsidRPr="00FC7BB4">
        <w:rPr>
          <w:rFonts w:ascii="Times New Roman" w:hAnsi="Times New Roman" w:cs="Times New Roman"/>
          <w:sz w:val="24"/>
        </w:rPr>
        <w:t xml:space="preserve"> in understanding</w:t>
      </w:r>
      <w:r w:rsidR="00D2580D" w:rsidRPr="00FC7BB4">
        <w:rPr>
          <w:rFonts w:ascii="Times New Roman" w:hAnsi="Times New Roman" w:cs="Times New Roman"/>
          <w:sz w:val="24"/>
        </w:rPr>
        <w:t xml:space="preserve"> </w:t>
      </w:r>
      <w:r w:rsidR="00953293" w:rsidRPr="00FC7BB4">
        <w:rPr>
          <w:rFonts w:ascii="Times New Roman" w:hAnsi="Times New Roman" w:cs="Times New Roman"/>
          <w:sz w:val="24"/>
        </w:rPr>
        <w:t>remains. Specifically,</w:t>
      </w:r>
      <w:r w:rsidR="00D2580D" w:rsidRPr="00FC7BB4">
        <w:rPr>
          <w:rFonts w:ascii="Times New Roman" w:hAnsi="Times New Roman" w:cs="Times New Roman"/>
          <w:sz w:val="24"/>
        </w:rPr>
        <w:t xml:space="preserve"> </w:t>
      </w:r>
      <w:r w:rsidRPr="00FC7BB4">
        <w:rPr>
          <w:rFonts w:ascii="Times New Roman" w:hAnsi="Times New Roman" w:cs="Times New Roman"/>
          <w:sz w:val="24"/>
        </w:rPr>
        <w:t xml:space="preserve">there is no evidence of how the sensitivity of the frequency of price changes during the COVID inflation period compares with earlier decades of similarly high inflation rates. This paper draws on a unique database of individual firm data and pricing decisions extending back six decades to the early 1960s to address this gap in the literature. </w:t>
      </w:r>
    </w:p>
    <w:bookmarkEnd w:id="2"/>
    <w:p w14:paraId="5BDD56F8" w14:textId="40AB435C" w:rsidR="00307155" w:rsidRPr="00FC7BB4" w:rsidRDefault="00307155" w:rsidP="00F3101B">
      <w:pPr>
        <w:spacing w:after="120" w:line="360" w:lineRule="auto"/>
        <w:ind w:right="27" w:firstLine="0"/>
        <w:rPr>
          <w:rFonts w:ascii="Times New Roman" w:hAnsi="Times New Roman" w:cs="Times New Roman"/>
          <w:b/>
          <w:bCs/>
          <w:sz w:val="24"/>
        </w:rPr>
      </w:pPr>
      <w:r w:rsidRPr="00FC7BB4">
        <w:rPr>
          <w:rFonts w:ascii="Times New Roman" w:hAnsi="Times New Roman" w:cs="Times New Roman"/>
          <w:b/>
          <w:bCs/>
          <w:sz w:val="24"/>
        </w:rPr>
        <w:t xml:space="preserve">3. </w:t>
      </w:r>
      <w:bookmarkStart w:id="4" w:name="_Hlk213340324"/>
      <w:r w:rsidRPr="00FC7BB4">
        <w:rPr>
          <w:rFonts w:ascii="Times New Roman" w:hAnsi="Times New Roman" w:cs="Times New Roman"/>
          <w:b/>
          <w:bCs/>
          <w:sz w:val="24"/>
        </w:rPr>
        <w:t>Micro firm data used to evaluate price changes by firms</w:t>
      </w:r>
    </w:p>
    <w:p w14:paraId="555E44C7" w14:textId="1AE09EA9" w:rsidR="00307155" w:rsidRPr="00FC7BB4" w:rsidRDefault="00307155" w:rsidP="00F3101B">
      <w:pPr>
        <w:spacing w:after="0" w:line="360" w:lineRule="auto"/>
        <w:ind w:right="27" w:firstLine="0"/>
        <w:rPr>
          <w:rFonts w:ascii="Times New Roman" w:hAnsi="Times New Roman" w:cs="Times New Roman"/>
          <w:bCs/>
          <w:sz w:val="24"/>
        </w:rPr>
      </w:pPr>
      <w:bookmarkStart w:id="5" w:name="_Hlk209786496"/>
      <w:bookmarkStart w:id="6" w:name="_Hlk213162258"/>
      <w:bookmarkEnd w:id="4"/>
      <w:r w:rsidRPr="00FC7BB4">
        <w:rPr>
          <w:rFonts w:ascii="Times New Roman" w:hAnsi="Times New Roman" w:cs="Times New Roman"/>
          <w:bCs/>
          <w:sz w:val="24"/>
        </w:rPr>
        <w:t xml:space="preserve">There has been an upsurge in the use of information provided by surveys of firms’ perceptions, expectations, decisions and activity levels. This genre of surveys is being used to understand for example, how prices respond to positive and negative demand shocks (Bunn, </w:t>
      </w:r>
      <w:r w:rsidRPr="00FC7BB4">
        <w:rPr>
          <w:rFonts w:ascii="Times New Roman" w:hAnsi="Times New Roman" w:cs="Times New Roman"/>
          <w:bCs/>
          <w:i/>
          <w:iCs/>
          <w:sz w:val="24"/>
        </w:rPr>
        <w:t xml:space="preserve">et al., </w:t>
      </w:r>
      <w:r w:rsidRPr="00FC7BB4">
        <w:rPr>
          <w:rFonts w:ascii="Times New Roman" w:hAnsi="Times New Roman" w:cs="Times New Roman"/>
          <w:bCs/>
          <w:sz w:val="24"/>
        </w:rPr>
        <w:t xml:space="preserve">2024), the characteristics and determinants </w:t>
      </w:r>
      <w:r w:rsidRPr="00FC7BB4">
        <w:rPr>
          <w:rFonts w:ascii="Times New Roman" w:hAnsi="Times New Roman" w:cs="Times New Roman"/>
          <w:bCs/>
          <w:sz w:val="24"/>
        </w:rPr>
        <w:lastRenderedPageBreak/>
        <w:t xml:space="preserve">of firms’ inventory contracts and how firms’ expectations of inflation influence those contracts (Kumar and </w:t>
      </w:r>
      <w:proofErr w:type="spellStart"/>
      <w:r w:rsidRPr="00FC7BB4">
        <w:rPr>
          <w:rFonts w:ascii="Times New Roman" w:hAnsi="Times New Roman" w:cs="Times New Roman"/>
          <w:bCs/>
          <w:sz w:val="24"/>
        </w:rPr>
        <w:t>Wesselbaum</w:t>
      </w:r>
      <w:proofErr w:type="spellEnd"/>
      <w:r w:rsidRPr="00FC7BB4">
        <w:rPr>
          <w:rFonts w:ascii="Times New Roman" w:hAnsi="Times New Roman" w:cs="Times New Roman"/>
          <w:bCs/>
          <w:sz w:val="24"/>
        </w:rPr>
        <w:t xml:space="preserve">, 2024), how firms form their macroeconomic expectations (Candia, </w:t>
      </w:r>
      <w:r w:rsidRPr="00FC7BB4">
        <w:rPr>
          <w:rFonts w:ascii="Times New Roman" w:hAnsi="Times New Roman" w:cs="Times New Roman"/>
          <w:bCs/>
          <w:i/>
          <w:iCs/>
          <w:sz w:val="24"/>
        </w:rPr>
        <w:t>et al</w:t>
      </w:r>
      <w:r w:rsidRPr="00FC7BB4">
        <w:rPr>
          <w:rFonts w:ascii="Times New Roman" w:hAnsi="Times New Roman" w:cs="Times New Roman"/>
          <w:bCs/>
          <w:sz w:val="24"/>
        </w:rPr>
        <w:t xml:space="preserve">., 2023), and measuring and understanding business uncertainty (Altig, </w:t>
      </w:r>
      <w:r w:rsidRPr="00FC7BB4">
        <w:rPr>
          <w:rFonts w:ascii="Times New Roman" w:hAnsi="Times New Roman" w:cs="Times New Roman"/>
          <w:bCs/>
          <w:i/>
          <w:iCs/>
          <w:sz w:val="24"/>
        </w:rPr>
        <w:t>et al.</w:t>
      </w:r>
      <w:r w:rsidRPr="00FC7BB4">
        <w:rPr>
          <w:rFonts w:ascii="Times New Roman" w:hAnsi="Times New Roman" w:cs="Times New Roman"/>
          <w:bCs/>
          <w:sz w:val="24"/>
        </w:rPr>
        <w:t>, 2022</w:t>
      </w:r>
      <w:r w:rsidR="00D832BA" w:rsidRPr="00FC7BB4">
        <w:rPr>
          <w:rFonts w:ascii="Times New Roman" w:hAnsi="Times New Roman" w:cs="Times New Roman"/>
          <w:bCs/>
          <w:sz w:val="24"/>
        </w:rPr>
        <w:t>; Ryan and Holmes, 2025</w:t>
      </w:r>
      <w:r w:rsidRPr="00FC7BB4">
        <w:rPr>
          <w:rFonts w:ascii="Times New Roman" w:hAnsi="Times New Roman" w:cs="Times New Roman"/>
          <w:bCs/>
          <w:sz w:val="24"/>
        </w:rPr>
        <w:t xml:space="preserve">). </w:t>
      </w:r>
    </w:p>
    <w:p w14:paraId="1C817A96" w14:textId="77777777" w:rsidR="00307155" w:rsidRPr="00FC7BB4" w:rsidRDefault="00307155" w:rsidP="00F3101B">
      <w:pPr>
        <w:spacing w:after="0" w:line="360" w:lineRule="auto"/>
        <w:ind w:right="27" w:firstLine="284"/>
        <w:rPr>
          <w:rFonts w:ascii="Times New Roman" w:hAnsi="Times New Roman" w:cs="Times New Roman"/>
          <w:sz w:val="24"/>
        </w:rPr>
      </w:pPr>
      <w:bookmarkStart w:id="7" w:name="_Hlk213162322"/>
      <w:bookmarkEnd w:id="5"/>
      <w:r w:rsidRPr="00FC7BB4">
        <w:rPr>
          <w:rFonts w:ascii="Times New Roman" w:hAnsi="Times New Roman" w:cs="Times New Roman"/>
          <w:sz w:val="24"/>
        </w:rPr>
        <w:t>The empirical results reported in this paper are based on individual firm pricing decisions derived from the New Zealand Institute of Economic Research’s (NZIER) Quarterly Survey of Business Opinion (QSBO). This survey has collected information on New Zealand firms’ decisions, the characteristics of each firm and their operating conditions, including changes in costs and demand, on a consistent basis since the early 1960s. It is one of the longest-running business surveys in the world.</w:t>
      </w:r>
      <w:r w:rsidRPr="00FC7BB4">
        <w:rPr>
          <w:rStyle w:val="FootnoteReference"/>
          <w:rFonts w:ascii="Times New Roman" w:hAnsi="Times New Roman" w:cs="Times New Roman"/>
          <w:sz w:val="24"/>
        </w:rPr>
        <w:footnoteReference w:id="4"/>
      </w:r>
      <w:r w:rsidRPr="00FC7BB4">
        <w:rPr>
          <w:rFonts w:ascii="Times New Roman" w:hAnsi="Times New Roman" w:cs="Times New Roman"/>
          <w:sz w:val="24"/>
        </w:rPr>
        <w:t xml:space="preserve"> The survey design is based on the “</w:t>
      </w:r>
      <w:proofErr w:type="spellStart"/>
      <w:r w:rsidRPr="00FC7BB4">
        <w:rPr>
          <w:rFonts w:ascii="Times New Roman" w:hAnsi="Times New Roman" w:cs="Times New Roman"/>
          <w:sz w:val="24"/>
        </w:rPr>
        <w:t>Konjunkturtest</w:t>
      </w:r>
      <w:proofErr w:type="spellEnd"/>
      <w:r w:rsidRPr="00FC7BB4">
        <w:rPr>
          <w:rFonts w:ascii="Times New Roman" w:hAnsi="Times New Roman" w:cs="Times New Roman"/>
          <w:sz w:val="24"/>
        </w:rPr>
        <w:t xml:space="preserve">” or tendency survey developed by the Institute für </w:t>
      </w:r>
      <w:proofErr w:type="spellStart"/>
      <w:r w:rsidRPr="00FC7BB4">
        <w:rPr>
          <w:rFonts w:ascii="Times New Roman" w:hAnsi="Times New Roman" w:cs="Times New Roman"/>
          <w:sz w:val="24"/>
        </w:rPr>
        <w:t>Wirtschaftsforschung</w:t>
      </w:r>
      <w:proofErr w:type="spellEnd"/>
      <w:r w:rsidRPr="00FC7BB4">
        <w:rPr>
          <w:rFonts w:ascii="Times New Roman" w:hAnsi="Times New Roman" w:cs="Times New Roman"/>
          <w:sz w:val="24"/>
        </w:rPr>
        <w:t xml:space="preserve"> (IFO) in Munich.</w:t>
      </w:r>
      <w:r w:rsidRPr="00FC7BB4">
        <w:rPr>
          <w:rStyle w:val="FootnoteReference"/>
          <w:rFonts w:ascii="Times New Roman" w:hAnsi="Times New Roman" w:cs="Times New Roman"/>
          <w:sz w:val="24"/>
        </w:rPr>
        <w:footnoteReference w:id="5"/>
      </w:r>
      <w:r w:rsidRPr="00FC7BB4">
        <w:rPr>
          <w:rFonts w:ascii="Times New Roman" w:hAnsi="Times New Roman" w:cs="Times New Roman"/>
          <w:sz w:val="24"/>
        </w:rPr>
        <w:t xml:space="preserve"> Moreover, since the inception of the survey, the firm level data have been collected on a consistent basis using the same questions and survey method, and the firm level responses have been stored (on a confidential basis) after every survey. </w:t>
      </w:r>
    </w:p>
    <w:p w14:paraId="2E487C5F" w14:textId="618470FB" w:rsidR="00307155" w:rsidRPr="00FC7BB4" w:rsidRDefault="00307155" w:rsidP="00F3101B">
      <w:pPr>
        <w:spacing w:after="0" w:line="360" w:lineRule="auto"/>
        <w:ind w:right="27"/>
        <w:rPr>
          <w:rFonts w:ascii="Times New Roman" w:hAnsi="Times New Roman" w:cs="Times New Roman"/>
          <w:sz w:val="24"/>
        </w:rPr>
      </w:pPr>
      <w:r w:rsidRPr="00FC7BB4">
        <w:rPr>
          <w:rFonts w:ascii="Times New Roman" w:hAnsi="Times New Roman" w:cs="Times New Roman"/>
          <w:sz w:val="24"/>
        </w:rPr>
        <w:t>The survey sample includes all New Zealand firms with more than 200 employees, and firms with less than 200 employees are sampled to mirror the size distribution of the population of New Zealand firms. Respondent firms represent the building, manufacturing, merchant, and service sectors of the economy</w:t>
      </w:r>
      <w:r w:rsidR="008D61FD" w:rsidRPr="00FC7BB4">
        <w:rPr>
          <w:rFonts w:ascii="Times New Roman" w:hAnsi="Times New Roman" w:cs="Times New Roman"/>
          <w:sz w:val="24"/>
        </w:rPr>
        <w:t xml:space="preserve"> and periodic resampling means the sample characteristics </w:t>
      </w:r>
      <w:r w:rsidR="00E37C9A" w:rsidRPr="00FC7BB4">
        <w:rPr>
          <w:rFonts w:ascii="Times New Roman" w:hAnsi="Times New Roman" w:cs="Times New Roman"/>
          <w:sz w:val="24"/>
        </w:rPr>
        <w:t>evolve with firm population characteristics.</w:t>
      </w:r>
      <w:r w:rsidR="00E37C9A" w:rsidRPr="00FC7BB4">
        <w:rPr>
          <w:rStyle w:val="FootnoteReference"/>
          <w:rFonts w:ascii="Times New Roman" w:hAnsi="Times New Roman" w:cs="Times New Roman"/>
          <w:sz w:val="24"/>
        </w:rPr>
        <w:footnoteReference w:id="6"/>
      </w:r>
      <w:r w:rsidRPr="00FC7BB4">
        <w:rPr>
          <w:rFonts w:ascii="Times New Roman" w:hAnsi="Times New Roman" w:cs="Times New Roman"/>
          <w:sz w:val="24"/>
        </w:rPr>
        <w:t xml:space="preserve"> </w:t>
      </w:r>
      <w:r w:rsidR="00E37C9A" w:rsidRPr="00FC7BB4">
        <w:rPr>
          <w:rFonts w:ascii="Times New Roman" w:hAnsi="Times New Roman" w:cs="Times New Roman"/>
          <w:sz w:val="24"/>
        </w:rPr>
        <w:t xml:space="preserve"> </w:t>
      </w:r>
    </w:p>
    <w:p w14:paraId="2DD824FA" w14:textId="6C1081DD" w:rsidR="00307155" w:rsidRPr="00FC7BB4" w:rsidRDefault="00307155" w:rsidP="00F3101B">
      <w:pPr>
        <w:spacing w:after="0" w:line="360" w:lineRule="auto"/>
        <w:ind w:right="27" w:firstLine="284"/>
        <w:rPr>
          <w:rFonts w:ascii="Times New Roman" w:hAnsi="Times New Roman" w:cs="Times New Roman"/>
          <w:sz w:val="24"/>
        </w:rPr>
      </w:pPr>
      <w:r w:rsidRPr="00FC7BB4">
        <w:rPr>
          <w:rFonts w:ascii="Times New Roman" w:hAnsi="Times New Roman" w:cs="Times New Roman"/>
          <w:sz w:val="24"/>
        </w:rPr>
        <w:t>The QSBO collects qualitative data on firm experiences and expectations about various business metrics, including changes in prices, costs, and demand. The various metrics developed in this paper draw on responses to the following question (</w:t>
      </w:r>
      <w:r w:rsidRPr="00FC7BB4">
        <w:rPr>
          <w:rFonts w:ascii="Times New Roman" w:hAnsi="Times New Roman" w:cs="Times New Roman"/>
          <w:i/>
          <w:iCs/>
          <w:sz w:val="24"/>
        </w:rPr>
        <w:t>sic</w:t>
      </w:r>
      <w:r w:rsidRPr="00FC7BB4">
        <w:rPr>
          <w:rFonts w:ascii="Times New Roman" w:hAnsi="Times New Roman" w:cs="Times New Roman"/>
          <w:sz w:val="24"/>
        </w:rPr>
        <w:t xml:space="preserve">): </w:t>
      </w:r>
      <w:r w:rsidRPr="00FC7BB4">
        <w:rPr>
          <w:rFonts w:ascii="Times New Roman" w:hAnsi="Times New Roman" w:cs="Times New Roman"/>
          <w:i/>
          <w:iCs/>
          <w:sz w:val="24"/>
        </w:rPr>
        <w:t xml:space="preserve">What has been your firms experience during the PAST THREE MONTHS?  </w:t>
      </w:r>
      <w:r w:rsidRPr="00FC7BB4">
        <w:rPr>
          <w:rFonts w:ascii="Times New Roman" w:hAnsi="Times New Roman" w:cs="Times New Roman"/>
          <w:sz w:val="24"/>
        </w:rPr>
        <w:t>Firms are given the option to respond: `Up’, `Same’, or `Down’.</w:t>
      </w:r>
      <w:r w:rsidRPr="00FC7BB4">
        <w:rPr>
          <w:rFonts w:ascii="Times New Roman" w:hAnsi="Times New Roman" w:cs="Times New Roman"/>
          <w:sz w:val="24"/>
          <w:vertAlign w:val="superscript"/>
        </w:rPr>
        <w:footnoteReference w:id="7"/>
      </w:r>
      <w:r w:rsidRPr="00FC7BB4">
        <w:rPr>
          <w:rFonts w:ascii="Times New Roman" w:hAnsi="Times New Roman" w:cs="Times New Roman"/>
          <w:sz w:val="24"/>
        </w:rPr>
        <w:t xml:space="preserve"> The survey also collects information on firm characteristics, such as size and principal activity. Firms are classified into six size categories based on the number of employees (20</w:t>
      </w:r>
      <w:r w:rsidR="00E901C3" w:rsidRPr="00FC7BB4">
        <w:rPr>
          <w:rFonts w:ascii="Times New Roman" w:hAnsi="Times New Roman" w:cs="Times New Roman"/>
          <w:sz w:val="24"/>
        </w:rPr>
        <w:t xml:space="preserve"> or less</w:t>
      </w:r>
      <w:r w:rsidRPr="00FC7BB4">
        <w:rPr>
          <w:rFonts w:ascii="Times New Roman" w:hAnsi="Times New Roman" w:cs="Times New Roman"/>
          <w:sz w:val="24"/>
        </w:rPr>
        <w:t>, 2</w:t>
      </w:r>
      <w:r w:rsidR="00E901C3" w:rsidRPr="00FC7BB4">
        <w:rPr>
          <w:rFonts w:ascii="Times New Roman" w:hAnsi="Times New Roman" w:cs="Times New Roman"/>
          <w:sz w:val="24"/>
        </w:rPr>
        <w:t>1</w:t>
      </w:r>
      <w:r w:rsidRPr="00FC7BB4">
        <w:rPr>
          <w:rFonts w:ascii="Times New Roman" w:hAnsi="Times New Roman" w:cs="Times New Roman"/>
          <w:sz w:val="24"/>
        </w:rPr>
        <w:t>–50, 51–100, 101–200, 201–500, and &gt; 500). The dataset is not strictly a balanced panel. Firms in the services sector did not respond to the Survey until 1970Q1. Further, there are some quarters, very early in the sample period, where data are missing: 1971Q3 and 1972Q1 for service firms and 1967Q4 to 1969Q2, 1971Q3 and 1972Q1 for merchants.</w:t>
      </w:r>
    </w:p>
    <w:p w14:paraId="580F43D7" w14:textId="003A925A" w:rsidR="00307155" w:rsidRPr="00FC7BB4" w:rsidRDefault="007247DA" w:rsidP="00F3101B">
      <w:pPr>
        <w:pStyle w:val="PlainText"/>
        <w:spacing w:line="360" w:lineRule="auto"/>
        <w:ind w:right="27" w:firstLine="284"/>
        <w:jc w:val="both"/>
        <w:rPr>
          <w:rFonts w:ascii="Times New Roman" w:hAnsi="Times New Roman" w:cs="Times New Roman"/>
          <w:bCs/>
          <w:sz w:val="24"/>
          <w:szCs w:val="24"/>
        </w:rPr>
      </w:pPr>
      <w:bookmarkStart w:id="8" w:name="_Hlk209788927"/>
      <w:bookmarkEnd w:id="6"/>
      <w:r w:rsidRPr="00FC7BB4">
        <w:rPr>
          <w:rFonts w:ascii="Times New Roman" w:eastAsia="Times New Roman" w:hAnsi="Times New Roman" w:cs="Times New Roman"/>
          <w:sz w:val="24"/>
        </w:rPr>
        <w:lastRenderedPageBreak/>
        <w:t>On</w:t>
      </w:r>
      <w:r w:rsidR="00610AC2" w:rsidRPr="00FC7BB4">
        <w:rPr>
          <w:rFonts w:ascii="Times New Roman" w:eastAsia="Times New Roman" w:hAnsi="Times New Roman" w:cs="Times New Roman"/>
          <w:sz w:val="24"/>
        </w:rPr>
        <w:t xml:space="preserve">e key metric for our analysis is </w:t>
      </w:r>
      <w:r w:rsidR="00A87FF7" w:rsidRPr="00FC7BB4">
        <w:rPr>
          <w:rFonts w:ascii="Times New Roman" w:eastAsia="Times New Roman" w:hAnsi="Times New Roman" w:cs="Times New Roman"/>
          <w:sz w:val="24"/>
        </w:rPr>
        <w:t>the proportion of firms adjusting prices each quarter</w:t>
      </w:r>
      <w:r w:rsidR="00307155" w:rsidRPr="00FC7BB4">
        <w:rPr>
          <w:rFonts w:ascii="Times New Roman" w:eastAsia="Times New Roman" w:hAnsi="Times New Roman" w:cs="Times New Roman"/>
          <w:sz w:val="24"/>
        </w:rPr>
        <w:t>.</w:t>
      </w:r>
      <w:r w:rsidR="00307155" w:rsidRPr="00FC7BB4">
        <w:rPr>
          <w:rFonts w:ascii="Times New Roman" w:eastAsia="Times New Roman" w:hAnsi="Times New Roman" w:cs="Times New Roman"/>
          <w:sz w:val="24"/>
          <w:szCs w:val="24"/>
        </w:rPr>
        <w:t xml:space="preserve"> Some studies</w:t>
      </w:r>
      <w:r w:rsidR="00307155" w:rsidRPr="00FC7BB4">
        <w:rPr>
          <w:rFonts w:ascii="Times New Roman" w:hAnsi="Times New Roman" w:cs="Times New Roman"/>
          <w:bCs/>
          <w:sz w:val="24"/>
          <w:szCs w:val="24"/>
        </w:rPr>
        <w:t xml:space="preserve"> </w:t>
      </w:r>
      <w:r w:rsidR="00C95668" w:rsidRPr="00FC7BB4">
        <w:rPr>
          <w:rFonts w:ascii="Times New Roman" w:hAnsi="Times New Roman" w:cs="Times New Roman"/>
          <w:bCs/>
          <w:sz w:val="24"/>
          <w:szCs w:val="24"/>
        </w:rPr>
        <w:t xml:space="preserve">examine the proportions of </w:t>
      </w:r>
      <w:r w:rsidR="00F00713" w:rsidRPr="00FC7BB4">
        <w:rPr>
          <w:rFonts w:ascii="Times New Roman" w:hAnsi="Times New Roman" w:cs="Times New Roman"/>
          <w:bCs/>
          <w:sz w:val="24"/>
          <w:szCs w:val="24"/>
        </w:rPr>
        <w:t>item</w:t>
      </w:r>
      <w:r w:rsidR="00C95668" w:rsidRPr="00FC7BB4">
        <w:rPr>
          <w:rFonts w:ascii="Times New Roman" w:hAnsi="Times New Roman" w:cs="Times New Roman"/>
          <w:bCs/>
          <w:sz w:val="24"/>
          <w:szCs w:val="24"/>
        </w:rPr>
        <w:t>s</w:t>
      </w:r>
      <w:r w:rsidR="00F00713" w:rsidRPr="00FC7BB4">
        <w:rPr>
          <w:rFonts w:ascii="Times New Roman" w:hAnsi="Times New Roman" w:cs="Times New Roman"/>
          <w:bCs/>
          <w:sz w:val="24"/>
          <w:szCs w:val="24"/>
        </w:rPr>
        <w:t xml:space="preserve"> or </w:t>
      </w:r>
      <w:r w:rsidR="0088342B" w:rsidRPr="00FC7BB4">
        <w:rPr>
          <w:rFonts w:ascii="Times New Roman" w:hAnsi="Times New Roman" w:cs="Times New Roman"/>
          <w:bCs/>
          <w:sz w:val="24"/>
          <w:szCs w:val="24"/>
        </w:rPr>
        <w:t>product</w:t>
      </w:r>
      <w:r w:rsidR="00C95668" w:rsidRPr="00FC7BB4">
        <w:rPr>
          <w:rFonts w:ascii="Times New Roman" w:hAnsi="Times New Roman" w:cs="Times New Roman"/>
          <w:bCs/>
          <w:sz w:val="24"/>
          <w:szCs w:val="24"/>
        </w:rPr>
        <w:t>s whose prices are adjusted</w:t>
      </w:r>
      <w:r w:rsidR="00307155" w:rsidRPr="00FC7BB4">
        <w:rPr>
          <w:rFonts w:ascii="Times New Roman" w:hAnsi="Times New Roman" w:cs="Times New Roman"/>
          <w:bCs/>
          <w:sz w:val="24"/>
          <w:szCs w:val="24"/>
        </w:rPr>
        <w:t>.</w:t>
      </w:r>
      <w:r w:rsidR="00D57A74" w:rsidRPr="00FC7BB4">
        <w:rPr>
          <w:rStyle w:val="FootnoteReference"/>
          <w:rFonts w:ascii="Times New Roman" w:hAnsi="Times New Roman" w:cs="Times New Roman"/>
          <w:bCs/>
          <w:sz w:val="24"/>
          <w:szCs w:val="24"/>
        </w:rPr>
        <w:footnoteReference w:id="8"/>
      </w:r>
      <w:r w:rsidR="00307155" w:rsidRPr="00FC7BB4">
        <w:rPr>
          <w:rFonts w:ascii="Times New Roman" w:hAnsi="Times New Roman" w:cs="Times New Roman"/>
          <w:bCs/>
          <w:sz w:val="24"/>
          <w:szCs w:val="24"/>
        </w:rPr>
        <w:t xml:space="preserve"> For example, the early study by Cecchetti (1986) used the prices of magazines sold at newsstands, Lach and </w:t>
      </w:r>
      <w:proofErr w:type="spellStart"/>
      <w:r w:rsidR="00307155" w:rsidRPr="00FC7BB4">
        <w:rPr>
          <w:rFonts w:ascii="Times New Roman" w:hAnsi="Times New Roman" w:cs="Times New Roman"/>
          <w:bCs/>
          <w:sz w:val="24"/>
          <w:szCs w:val="24"/>
        </w:rPr>
        <w:t>Tsiddon</w:t>
      </w:r>
      <w:proofErr w:type="spellEnd"/>
      <w:r w:rsidR="00307155" w:rsidRPr="00FC7BB4">
        <w:rPr>
          <w:rFonts w:ascii="Times New Roman" w:hAnsi="Times New Roman" w:cs="Times New Roman"/>
          <w:bCs/>
          <w:sz w:val="24"/>
          <w:szCs w:val="24"/>
        </w:rPr>
        <w:t xml:space="preserve"> (1992) utilised price quotations for 26 food products reported by a sample of stores collected by the Israel Central Bureau of Statistics to derive the CPI, Bils and Klenow (2004) used monthly prices of 350 non-shelter categories of USA goods and services collected by the BLS to construct the CPI. The study of price characteristics in USA by Nakamura and Steinsson (2008) utilised monthly product-level price data gathered by the BLS to construct the CPI and PPI. Similar type</w:t>
      </w:r>
      <w:r w:rsidR="001E664B" w:rsidRPr="00FC7BB4">
        <w:rPr>
          <w:rFonts w:ascii="Times New Roman" w:hAnsi="Times New Roman" w:cs="Times New Roman"/>
          <w:bCs/>
          <w:sz w:val="24"/>
          <w:szCs w:val="24"/>
        </w:rPr>
        <w:t>s</w:t>
      </w:r>
      <w:r w:rsidR="00307155" w:rsidRPr="00FC7BB4">
        <w:rPr>
          <w:rFonts w:ascii="Times New Roman" w:hAnsi="Times New Roman" w:cs="Times New Roman"/>
          <w:bCs/>
          <w:sz w:val="24"/>
          <w:szCs w:val="24"/>
        </w:rPr>
        <w:t xml:space="preserve"> of product-level data </w:t>
      </w:r>
      <w:r w:rsidR="00F236D4" w:rsidRPr="00FC7BB4">
        <w:rPr>
          <w:rFonts w:ascii="Times New Roman" w:hAnsi="Times New Roman" w:cs="Times New Roman"/>
          <w:bCs/>
          <w:sz w:val="24"/>
          <w:szCs w:val="24"/>
        </w:rPr>
        <w:t xml:space="preserve">were </w:t>
      </w:r>
      <w:r w:rsidR="00307155" w:rsidRPr="00FC7BB4">
        <w:rPr>
          <w:rFonts w:ascii="Times New Roman" w:hAnsi="Times New Roman" w:cs="Times New Roman"/>
          <w:bCs/>
          <w:sz w:val="24"/>
          <w:szCs w:val="24"/>
        </w:rPr>
        <w:t xml:space="preserve">used in Gagnon’s (2009) study of price setting behaviour in Mexico. Recent studies comparing the behaviour of prices quoted in on-line markets and in regular stores have tended to use product level prices (e.g., </w:t>
      </w:r>
      <w:bookmarkStart w:id="9" w:name="_Hlk209085764"/>
      <w:proofErr w:type="spellStart"/>
      <w:r w:rsidR="00307155" w:rsidRPr="00FC7BB4">
        <w:rPr>
          <w:rFonts w:ascii="Times New Roman" w:hAnsi="Times New Roman" w:cs="Times New Roman"/>
          <w:bCs/>
          <w:sz w:val="24"/>
          <w:szCs w:val="24"/>
        </w:rPr>
        <w:t>Gorodnichenko</w:t>
      </w:r>
      <w:proofErr w:type="spellEnd"/>
      <w:r w:rsidR="00307155" w:rsidRPr="00FC7BB4">
        <w:rPr>
          <w:rFonts w:ascii="Times New Roman" w:hAnsi="Times New Roman" w:cs="Times New Roman"/>
          <w:bCs/>
          <w:sz w:val="24"/>
          <w:szCs w:val="24"/>
        </w:rPr>
        <w:t xml:space="preserve"> and Talavera, 201</w:t>
      </w:r>
      <w:bookmarkEnd w:id="9"/>
      <w:r w:rsidR="00307155" w:rsidRPr="00FC7BB4">
        <w:rPr>
          <w:rFonts w:ascii="Times New Roman" w:hAnsi="Times New Roman" w:cs="Times New Roman"/>
          <w:bCs/>
          <w:sz w:val="24"/>
          <w:szCs w:val="24"/>
        </w:rPr>
        <w:t xml:space="preserve">7; Hillen and Fedoseeva, 2021; Brown and MacKay, 2023).  </w:t>
      </w:r>
    </w:p>
    <w:bookmarkEnd w:id="8"/>
    <w:p w14:paraId="5CAA71B6" w14:textId="087F3F29" w:rsidR="00307155" w:rsidRPr="00FC7BB4" w:rsidRDefault="00035ECC" w:rsidP="00F3101B">
      <w:pPr>
        <w:spacing w:after="120" w:line="360" w:lineRule="auto"/>
        <w:ind w:right="27" w:firstLine="284"/>
        <w:rPr>
          <w:rFonts w:ascii="Times New Roman" w:hAnsi="Times New Roman" w:cs="Times New Roman"/>
          <w:sz w:val="24"/>
        </w:rPr>
      </w:pPr>
      <w:r w:rsidRPr="00FC7BB4">
        <w:rPr>
          <w:rFonts w:ascii="Times New Roman" w:hAnsi="Times New Roman" w:cs="Times New Roman"/>
          <w:bCs/>
          <w:sz w:val="24"/>
        </w:rPr>
        <w:t xml:space="preserve">In this study </w:t>
      </w:r>
      <w:r w:rsidR="000E2CA1" w:rsidRPr="00FC7BB4">
        <w:rPr>
          <w:rFonts w:ascii="Times New Roman" w:eastAsia="Times New Roman" w:hAnsi="Times New Roman" w:cs="Times New Roman"/>
          <w:sz w:val="24"/>
        </w:rPr>
        <w:t>b</w:t>
      </w:r>
      <w:r w:rsidR="00307155" w:rsidRPr="00FC7BB4">
        <w:rPr>
          <w:rFonts w:ascii="Times New Roman" w:eastAsia="Times New Roman" w:hAnsi="Times New Roman" w:cs="Times New Roman"/>
          <w:sz w:val="24"/>
        </w:rPr>
        <w:t>y moving up</w:t>
      </w:r>
      <w:r w:rsidR="00307155" w:rsidRPr="00FC7BB4">
        <w:rPr>
          <w:rFonts w:ascii="Times New Roman" w:hAnsi="Times New Roman" w:cs="Times New Roman"/>
          <w:sz w:val="24"/>
        </w:rPr>
        <w:t xml:space="preserve"> a level of aggregation</w:t>
      </w:r>
      <w:r w:rsidR="000E2CA1" w:rsidRPr="00FC7BB4">
        <w:rPr>
          <w:rFonts w:ascii="Times New Roman" w:hAnsi="Times New Roman" w:cs="Times New Roman"/>
          <w:sz w:val="24"/>
        </w:rPr>
        <w:t xml:space="preserve"> to firm level data</w:t>
      </w:r>
      <w:r w:rsidR="00F06CAC" w:rsidRPr="00FC7BB4">
        <w:rPr>
          <w:rFonts w:ascii="Times New Roman" w:hAnsi="Times New Roman" w:cs="Times New Roman"/>
          <w:sz w:val="24"/>
        </w:rPr>
        <w:t>,</w:t>
      </w:r>
      <w:r w:rsidR="00307155" w:rsidRPr="00FC7BB4">
        <w:rPr>
          <w:rFonts w:ascii="Times New Roman" w:hAnsi="Times New Roman" w:cs="Times New Roman"/>
          <w:sz w:val="24"/>
        </w:rPr>
        <w:t xml:space="preserve"> there is a loss of information about the heterogeneity in pricing across different products in cases where firms sell multiple products or services</w:t>
      </w:r>
      <w:r w:rsidR="00307155" w:rsidRPr="00FC7BB4">
        <w:rPr>
          <w:rStyle w:val="cf01"/>
          <w:rFonts w:ascii="Times New Roman" w:hAnsi="Times New Roman" w:cs="Times New Roman"/>
          <w:sz w:val="24"/>
        </w:rPr>
        <w:t>.</w:t>
      </w:r>
      <w:r w:rsidR="00307155" w:rsidRPr="00FC7BB4">
        <w:rPr>
          <w:rStyle w:val="FootnoteReference"/>
          <w:rFonts w:ascii="Times New Roman" w:hAnsi="Times New Roman" w:cs="Times New Roman"/>
          <w:sz w:val="24"/>
        </w:rPr>
        <w:footnoteReference w:id="9"/>
      </w:r>
      <w:r w:rsidR="00307155" w:rsidRPr="00FC7BB4">
        <w:rPr>
          <w:rStyle w:val="cf01"/>
          <w:rFonts w:ascii="Times New Roman" w:hAnsi="Times New Roman" w:cs="Times New Roman"/>
          <w:sz w:val="24"/>
        </w:rPr>
        <w:t xml:space="preserve"> </w:t>
      </w:r>
      <w:r w:rsidR="00307155" w:rsidRPr="00FC7BB4">
        <w:rPr>
          <w:rFonts w:ascii="Times New Roman" w:eastAsia="Times New Roman" w:hAnsi="Times New Roman" w:cs="Times New Roman"/>
          <w:sz w:val="24"/>
        </w:rPr>
        <w:t xml:space="preserve">On the other hand, the firm level data used in this study have the advantage that, in addition to price change information, it includes characteristics of the firm (e.g., type of industry and firm size) and information about economic conditions experienced by each firm in each quarter (e.g., changes in demand and costs). These data allow pricing decisions to be linked to economic conditions experienced by firms. Recent research suggests that idiosyncratic conditions experienced by firms are likely to be critical to understanding pricing behaviour and the frequency with which firms change prices. Nakamura and Steinsson (2008) observed that most models of price rigidity make the “simplifying assumption that price changes occur only in response to aggregate shocks” (p. 1442). They provide evidence that idiosyncratic shocks are important determinants of price changes. </w:t>
      </w:r>
      <w:r w:rsidR="00307155" w:rsidRPr="00FC7BB4">
        <w:rPr>
          <w:rFonts w:ascii="Times New Roman" w:hAnsi="Times New Roman" w:cs="Times New Roman"/>
          <w:bCs/>
          <w:sz w:val="24"/>
        </w:rPr>
        <w:t xml:space="preserve">Gorodnichenko, </w:t>
      </w:r>
      <w:r w:rsidR="00307155" w:rsidRPr="00FC7BB4">
        <w:rPr>
          <w:rFonts w:ascii="Times New Roman" w:hAnsi="Times New Roman" w:cs="Times New Roman"/>
          <w:bCs/>
          <w:i/>
          <w:iCs/>
          <w:sz w:val="24"/>
        </w:rPr>
        <w:t>et al</w:t>
      </w:r>
      <w:r w:rsidR="00307155" w:rsidRPr="00FC7BB4">
        <w:rPr>
          <w:rFonts w:ascii="Times New Roman" w:hAnsi="Times New Roman" w:cs="Times New Roman"/>
          <w:bCs/>
          <w:sz w:val="24"/>
        </w:rPr>
        <w:t xml:space="preserve">. (2018) found online prices are not responsive to unanticipated aggregate economic conditions but respond promptly to idiosyncratic shocks. </w:t>
      </w:r>
    </w:p>
    <w:bookmarkEnd w:id="7"/>
    <w:p w14:paraId="686BE440" w14:textId="77777777" w:rsidR="00FC7BB4" w:rsidRDefault="00FC7BB4" w:rsidP="00F3101B">
      <w:pPr>
        <w:spacing w:after="0" w:line="240" w:lineRule="auto"/>
        <w:ind w:left="289" w:right="27" w:firstLine="0"/>
        <w:jc w:val="center"/>
        <w:rPr>
          <w:rFonts w:ascii="Times New Roman" w:hAnsi="Times New Roman" w:cs="Times New Roman"/>
          <w:b/>
          <w:bCs/>
          <w:sz w:val="24"/>
        </w:rPr>
      </w:pPr>
    </w:p>
    <w:p w14:paraId="085D65A4" w14:textId="77777777" w:rsidR="00FC7BB4" w:rsidRDefault="00FC7BB4" w:rsidP="00F3101B">
      <w:pPr>
        <w:spacing w:after="0" w:line="240" w:lineRule="auto"/>
        <w:ind w:left="289" w:right="27" w:firstLine="0"/>
        <w:jc w:val="center"/>
        <w:rPr>
          <w:rFonts w:ascii="Times New Roman" w:hAnsi="Times New Roman" w:cs="Times New Roman"/>
          <w:b/>
          <w:bCs/>
          <w:sz w:val="24"/>
        </w:rPr>
      </w:pPr>
    </w:p>
    <w:p w14:paraId="6136D52D" w14:textId="77777777" w:rsidR="00FC7BB4" w:rsidRDefault="00FC7BB4" w:rsidP="00F3101B">
      <w:pPr>
        <w:spacing w:after="0" w:line="240" w:lineRule="auto"/>
        <w:ind w:left="289" w:right="27" w:firstLine="0"/>
        <w:jc w:val="center"/>
        <w:rPr>
          <w:rFonts w:ascii="Times New Roman" w:hAnsi="Times New Roman" w:cs="Times New Roman"/>
          <w:b/>
          <w:bCs/>
          <w:sz w:val="24"/>
        </w:rPr>
      </w:pPr>
    </w:p>
    <w:p w14:paraId="1824002B" w14:textId="77777777" w:rsidR="00FC7BB4" w:rsidRDefault="00FC7BB4" w:rsidP="00F3101B">
      <w:pPr>
        <w:spacing w:after="0" w:line="240" w:lineRule="auto"/>
        <w:ind w:left="289" w:right="27" w:firstLine="0"/>
        <w:jc w:val="center"/>
        <w:rPr>
          <w:rFonts w:ascii="Times New Roman" w:hAnsi="Times New Roman" w:cs="Times New Roman"/>
          <w:b/>
          <w:bCs/>
          <w:sz w:val="24"/>
        </w:rPr>
      </w:pPr>
    </w:p>
    <w:p w14:paraId="55224F93" w14:textId="77777777" w:rsidR="00FC7BB4" w:rsidRDefault="00FC7BB4" w:rsidP="00F3101B">
      <w:pPr>
        <w:spacing w:after="0" w:line="240" w:lineRule="auto"/>
        <w:ind w:left="289" w:right="27" w:firstLine="0"/>
        <w:jc w:val="center"/>
        <w:rPr>
          <w:rFonts w:ascii="Times New Roman" w:hAnsi="Times New Roman" w:cs="Times New Roman"/>
          <w:b/>
          <w:bCs/>
          <w:sz w:val="24"/>
        </w:rPr>
      </w:pPr>
    </w:p>
    <w:p w14:paraId="43310BC3" w14:textId="77777777" w:rsidR="00FC7BB4" w:rsidRDefault="00FC7BB4" w:rsidP="00F3101B">
      <w:pPr>
        <w:spacing w:after="0" w:line="240" w:lineRule="auto"/>
        <w:ind w:left="289" w:right="27" w:firstLine="0"/>
        <w:jc w:val="center"/>
        <w:rPr>
          <w:rFonts w:ascii="Times New Roman" w:hAnsi="Times New Roman" w:cs="Times New Roman"/>
          <w:b/>
          <w:bCs/>
          <w:sz w:val="24"/>
        </w:rPr>
      </w:pPr>
    </w:p>
    <w:p w14:paraId="63D310D9" w14:textId="77777777" w:rsidR="00FC7BB4" w:rsidRDefault="00FC7BB4" w:rsidP="00F3101B">
      <w:pPr>
        <w:spacing w:after="0" w:line="240" w:lineRule="auto"/>
        <w:ind w:left="289" w:right="27" w:firstLine="0"/>
        <w:jc w:val="center"/>
        <w:rPr>
          <w:rFonts w:ascii="Times New Roman" w:hAnsi="Times New Roman" w:cs="Times New Roman"/>
          <w:b/>
          <w:bCs/>
          <w:sz w:val="24"/>
        </w:rPr>
      </w:pPr>
    </w:p>
    <w:p w14:paraId="5ADB059F" w14:textId="77777777" w:rsidR="00FC7BB4" w:rsidRDefault="00FC7BB4" w:rsidP="00F3101B">
      <w:pPr>
        <w:spacing w:after="0" w:line="240" w:lineRule="auto"/>
        <w:ind w:left="289" w:right="27" w:firstLine="0"/>
        <w:jc w:val="center"/>
        <w:rPr>
          <w:rFonts w:ascii="Times New Roman" w:hAnsi="Times New Roman" w:cs="Times New Roman"/>
          <w:b/>
          <w:bCs/>
          <w:sz w:val="24"/>
        </w:rPr>
      </w:pPr>
    </w:p>
    <w:p w14:paraId="11D92E75" w14:textId="333A339E" w:rsidR="00307155" w:rsidRPr="00FC7BB4" w:rsidRDefault="00307155" w:rsidP="00F3101B">
      <w:pPr>
        <w:spacing w:after="0" w:line="240" w:lineRule="auto"/>
        <w:ind w:left="289" w:right="27" w:firstLine="0"/>
        <w:jc w:val="center"/>
        <w:rPr>
          <w:rFonts w:ascii="Times New Roman" w:hAnsi="Times New Roman" w:cs="Times New Roman"/>
          <w:b/>
          <w:bCs/>
          <w:sz w:val="24"/>
        </w:rPr>
      </w:pPr>
      <w:r w:rsidRPr="00FC7BB4">
        <w:rPr>
          <w:rFonts w:ascii="Times New Roman" w:hAnsi="Times New Roman" w:cs="Times New Roman"/>
          <w:b/>
          <w:bCs/>
          <w:sz w:val="24"/>
        </w:rPr>
        <w:lastRenderedPageBreak/>
        <w:t xml:space="preserve">Figure 1: </w:t>
      </w:r>
      <w:bookmarkStart w:id="10" w:name="_Hlk213162381"/>
      <w:r w:rsidRPr="00FC7BB4">
        <w:rPr>
          <w:rFonts w:ascii="Times New Roman" w:hAnsi="Times New Roman" w:cs="Times New Roman"/>
          <w:b/>
          <w:bCs/>
          <w:sz w:val="24"/>
        </w:rPr>
        <w:t>Proportion of firms and CPI items that increased price per quarter</w:t>
      </w:r>
      <w:bookmarkEnd w:id="10"/>
    </w:p>
    <w:p w14:paraId="53D80217" w14:textId="77777777" w:rsidR="00307155" w:rsidRPr="00FC7BB4" w:rsidRDefault="00307155" w:rsidP="00F3101B">
      <w:pPr>
        <w:spacing w:after="0" w:line="240" w:lineRule="auto"/>
        <w:ind w:left="289" w:right="27" w:firstLine="0"/>
        <w:jc w:val="center"/>
        <w:rPr>
          <w:rFonts w:ascii="Times New Roman" w:hAnsi="Times New Roman" w:cs="Times New Roman"/>
          <w:b/>
          <w:bCs/>
          <w:sz w:val="24"/>
        </w:rPr>
      </w:pPr>
    </w:p>
    <w:p w14:paraId="20D5000D" w14:textId="77777777" w:rsidR="00307155" w:rsidRPr="00FC7BB4" w:rsidRDefault="00307155" w:rsidP="00F3101B">
      <w:pPr>
        <w:spacing w:after="120" w:line="240" w:lineRule="auto"/>
        <w:ind w:left="-283" w:right="27" w:firstLine="0"/>
        <w:jc w:val="center"/>
        <w:rPr>
          <w:rFonts w:ascii="Times New Roman" w:hAnsi="Times New Roman" w:cs="Times New Roman"/>
          <w:b/>
          <w:bCs/>
          <w:sz w:val="24"/>
        </w:rPr>
      </w:pPr>
      <w:r w:rsidRPr="00FC7BB4">
        <w:rPr>
          <w:rFonts w:ascii="Times New Roman" w:hAnsi="Times New Roman" w:cs="Times New Roman"/>
          <w:b/>
          <w:bCs/>
          <w:noProof/>
          <w:sz w:val="24"/>
        </w:rPr>
        <w:drawing>
          <wp:inline distT="0" distB="0" distL="0" distR="0" wp14:anchorId="7FEEE346" wp14:editId="0A435F00">
            <wp:extent cx="5953760" cy="3657600"/>
            <wp:effectExtent l="0" t="0" r="8890" b="0"/>
            <wp:docPr id="1675172980" name="Picture 1" descr="A graph of a graph showing the number of ti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72980" name="Picture 1" descr="A graph of a graph showing the number of times&#10;&#10;AI-generated content may be incorrect."/>
                    <pic:cNvPicPr/>
                  </pic:nvPicPr>
                  <pic:blipFill>
                    <a:blip r:embed="rId8"/>
                    <a:stretch>
                      <a:fillRect/>
                    </a:stretch>
                  </pic:blipFill>
                  <pic:spPr>
                    <a:xfrm>
                      <a:off x="0" y="0"/>
                      <a:ext cx="6149038" cy="3777566"/>
                    </a:xfrm>
                    <a:prstGeom prst="rect">
                      <a:avLst/>
                    </a:prstGeom>
                  </pic:spPr>
                </pic:pic>
              </a:graphicData>
            </a:graphic>
          </wp:inline>
        </w:drawing>
      </w:r>
    </w:p>
    <w:p w14:paraId="266FC871" w14:textId="1D12157E" w:rsidR="00307155" w:rsidRPr="00FC7BB4" w:rsidRDefault="00307155" w:rsidP="00F3101B">
      <w:pPr>
        <w:shd w:val="clear" w:color="auto" w:fill="FFFFFF"/>
        <w:spacing w:after="0" w:line="240" w:lineRule="auto"/>
        <w:ind w:left="567" w:right="680" w:firstLine="0"/>
        <w:textAlignment w:val="baseline"/>
        <w:rPr>
          <w:rFonts w:ascii="Times New Roman" w:eastAsia="Times New Roman" w:hAnsi="Times New Roman" w:cs="Times New Roman"/>
          <w:kern w:val="0"/>
          <w:szCs w:val="20"/>
          <w14:ligatures w14:val="none"/>
        </w:rPr>
      </w:pPr>
      <w:r w:rsidRPr="00FC7BB4">
        <w:rPr>
          <w:rFonts w:ascii="Times New Roman" w:hAnsi="Times New Roman" w:cs="Times New Roman"/>
          <w:szCs w:val="20"/>
        </w:rPr>
        <w:t xml:space="preserve">Notes: </w:t>
      </w:r>
      <w:bookmarkStart w:id="11" w:name="_Hlk213162391"/>
      <w:r w:rsidR="00FB7A04" w:rsidRPr="00FC7BB4">
        <w:rPr>
          <w:rFonts w:ascii="Times New Roman" w:eastAsia="Times New Roman" w:hAnsi="Times New Roman" w:cs="Times New Roman"/>
          <w:kern w:val="0"/>
          <w:szCs w:val="20"/>
          <w14:ligatures w14:val="none"/>
        </w:rPr>
        <w:t>To</w:t>
      </w:r>
      <w:r w:rsidRPr="00FC7BB4">
        <w:rPr>
          <w:rFonts w:ascii="Times New Roman" w:eastAsia="Times New Roman" w:hAnsi="Times New Roman" w:cs="Times New Roman"/>
          <w:kern w:val="0"/>
          <w:szCs w:val="20"/>
          <w14:ligatures w14:val="none"/>
        </w:rPr>
        <w:t xml:space="preserve"> derive the proportion of firms increasing prices </w:t>
      </w:r>
      <w:r w:rsidR="00FB7A04" w:rsidRPr="00FC7BB4">
        <w:rPr>
          <w:rFonts w:ascii="Times New Roman" w:eastAsia="Times New Roman" w:hAnsi="Times New Roman" w:cs="Times New Roman"/>
          <w:kern w:val="0"/>
          <w:szCs w:val="20"/>
          <w14:ligatures w14:val="none"/>
        </w:rPr>
        <w:t xml:space="preserve">we use </w:t>
      </w:r>
      <w:r w:rsidRPr="00FC7BB4">
        <w:rPr>
          <w:rFonts w:ascii="Times New Roman" w:eastAsia="Times New Roman" w:hAnsi="Times New Roman" w:cs="Times New Roman"/>
          <w:kern w:val="0"/>
          <w:szCs w:val="20"/>
          <w14:ligatures w14:val="none"/>
        </w:rPr>
        <w:t xml:space="preserve">the QSBO firm data provided by the New Zealand Institute of Economic Research.  A value of 0.3 </w:t>
      </w:r>
      <w:r w:rsidR="00CE3006" w:rsidRPr="00FC7BB4">
        <w:rPr>
          <w:rFonts w:ascii="Times New Roman" w:eastAsia="Times New Roman" w:hAnsi="Times New Roman" w:cs="Times New Roman"/>
          <w:kern w:val="0"/>
          <w:szCs w:val="20"/>
          <w14:ligatures w14:val="none"/>
        </w:rPr>
        <w:t>means</w:t>
      </w:r>
      <w:r w:rsidRPr="00FC7BB4">
        <w:rPr>
          <w:rFonts w:ascii="Times New Roman" w:eastAsia="Times New Roman" w:hAnsi="Times New Roman" w:cs="Times New Roman"/>
          <w:kern w:val="0"/>
          <w:szCs w:val="20"/>
          <w14:ligatures w14:val="none"/>
        </w:rPr>
        <w:t xml:space="preserve"> 30% of firms surveyed in the quarter reported the direction of their prices as 'up'. The proportion of items increasing price per quarter uses data </w:t>
      </w:r>
      <w:proofErr w:type="gramStart"/>
      <w:r w:rsidRPr="00FC7BB4">
        <w:rPr>
          <w:rFonts w:ascii="Times New Roman" w:eastAsia="Times New Roman" w:hAnsi="Times New Roman" w:cs="Times New Roman"/>
          <w:kern w:val="0"/>
          <w:szCs w:val="20"/>
          <w14:ligatures w14:val="none"/>
        </w:rPr>
        <w:t>from  Statistics</w:t>
      </w:r>
      <w:proofErr w:type="gramEnd"/>
      <w:r w:rsidRPr="00FC7BB4">
        <w:rPr>
          <w:rFonts w:ascii="Times New Roman" w:eastAsia="Times New Roman" w:hAnsi="Times New Roman" w:cs="Times New Roman"/>
          <w:kern w:val="0"/>
          <w:szCs w:val="20"/>
          <w14:ligatures w14:val="none"/>
        </w:rPr>
        <w:t xml:space="preserve"> New Zealand’s </w:t>
      </w:r>
      <w:proofErr w:type="spellStart"/>
      <w:r w:rsidRPr="00FC7BB4">
        <w:rPr>
          <w:rFonts w:ascii="Times New Roman" w:eastAsia="Times New Roman" w:hAnsi="Times New Roman" w:cs="Times New Roman"/>
          <w:kern w:val="0"/>
          <w:szCs w:val="20"/>
          <w14:ligatures w14:val="none"/>
        </w:rPr>
        <w:t>Infoshare</w:t>
      </w:r>
      <w:proofErr w:type="spellEnd"/>
      <w:r w:rsidRPr="00FC7BB4">
        <w:rPr>
          <w:rFonts w:ascii="Times New Roman" w:eastAsia="Times New Roman" w:hAnsi="Times New Roman" w:cs="Times New Roman"/>
          <w:kern w:val="0"/>
          <w:szCs w:val="20"/>
          <w14:ligatures w14:val="none"/>
        </w:rPr>
        <w:t xml:space="preserve">, </w:t>
      </w:r>
      <w:r w:rsidRPr="00FC7BB4">
        <w:rPr>
          <w:rFonts w:ascii="Times New Roman" w:eastAsia="Times New Roman" w:hAnsi="Times New Roman" w:cs="Times New Roman"/>
          <w:i/>
          <w:iCs/>
          <w:kern w:val="0"/>
          <w:szCs w:val="20"/>
          <w14:ligatures w14:val="none"/>
        </w:rPr>
        <w:t>Consumer Price Index, Distribution of national item-level index movements from previous period</w:t>
      </w:r>
      <w:r w:rsidRPr="00FC7BB4">
        <w:rPr>
          <w:rFonts w:ascii="Times New Roman" w:eastAsia="Times New Roman" w:hAnsi="Times New Roman" w:cs="Times New Roman"/>
          <w:kern w:val="0"/>
          <w:szCs w:val="20"/>
          <w14:ligatures w14:val="none"/>
        </w:rPr>
        <w:t>. </w:t>
      </w:r>
      <w:r w:rsidR="00CE3006" w:rsidRPr="00FC7BB4">
        <w:rPr>
          <w:rFonts w:ascii="Times New Roman" w:eastAsia="Times New Roman" w:hAnsi="Times New Roman" w:cs="Times New Roman"/>
          <w:kern w:val="0"/>
          <w:szCs w:val="20"/>
          <w14:ligatures w14:val="none"/>
        </w:rPr>
        <w:t>In each</w:t>
      </w:r>
      <w:r w:rsidRPr="00FC7BB4">
        <w:rPr>
          <w:rFonts w:ascii="Times New Roman" w:eastAsia="Times New Roman" w:hAnsi="Times New Roman" w:cs="Times New Roman"/>
          <w:kern w:val="0"/>
          <w:szCs w:val="20"/>
          <w14:ligatures w14:val="none"/>
        </w:rPr>
        <w:t xml:space="preserve"> quarter it takes the number of CPI items Statistics New Zealand reports as increasing in price and divides this number by the total number of items in the CPI for that quarter.  So, a value of 0.3 </w:t>
      </w:r>
      <w:r w:rsidR="00CE3006" w:rsidRPr="00FC7BB4">
        <w:rPr>
          <w:rFonts w:ascii="Times New Roman" w:eastAsia="Times New Roman" w:hAnsi="Times New Roman" w:cs="Times New Roman"/>
          <w:kern w:val="0"/>
          <w:szCs w:val="20"/>
          <w14:ligatures w14:val="none"/>
        </w:rPr>
        <w:t>means</w:t>
      </w:r>
      <w:r w:rsidRPr="00FC7BB4">
        <w:rPr>
          <w:rFonts w:ascii="Times New Roman" w:eastAsia="Times New Roman" w:hAnsi="Times New Roman" w:cs="Times New Roman"/>
          <w:kern w:val="0"/>
          <w:szCs w:val="20"/>
          <w14:ligatures w14:val="none"/>
        </w:rPr>
        <w:t xml:space="preserve"> that 30% of items in the CPI increased in price that quarter.</w:t>
      </w:r>
      <w:bookmarkEnd w:id="11"/>
    </w:p>
    <w:p w14:paraId="29696919" w14:textId="77777777" w:rsidR="00307155" w:rsidRPr="00FC7BB4" w:rsidRDefault="00307155" w:rsidP="00F3101B">
      <w:pPr>
        <w:spacing w:before="120" w:after="0" w:line="240" w:lineRule="auto"/>
        <w:ind w:left="794" w:right="27" w:hanging="794"/>
        <w:rPr>
          <w:rFonts w:ascii="Times New Roman" w:hAnsi="Times New Roman" w:cs="Times New Roman"/>
          <w:sz w:val="18"/>
          <w:szCs w:val="18"/>
        </w:rPr>
      </w:pPr>
    </w:p>
    <w:p w14:paraId="4BF1B9F3" w14:textId="6456CC64" w:rsidR="00307155" w:rsidRPr="00FC7BB4" w:rsidRDefault="00307155" w:rsidP="00F3101B">
      <w:pPr>
        <w:spacing w:before="120" w:after="120" w:line="360" w:lineRule="auto"/>
        <w:ind w:right="27" w:firstLine="284"/>
        <w:rPr>
          <w:rFonts w:ascii="Times New Roman" w:hAnsi="Times New Roman" w:cs="Times New Roman"/>
          <w:sz w:val="24"/>
        </w:rPr>
      </w:pPr>
      <w:bookmarkStart w:id="12" w:name="_Hlk213162420"/>
      <w:bookmarkStart w:id="13" w:name="_Hlk186812841"/>
      <w:r w:rsidRPr="00FC7BB4">
        <w:rPr>
          <w:rFonts w:ascii="Times New Roman" w:eastAsia="Times New Roman" w:hAnsi="Times New Roman" w:cs="Times New Roman"/>
          <w:sz w:val="24"/>
        </w:rPr>
        <w:t xml:space="preserve">Another advantage of the firm-level data used in this study is the unusually long (six decade) duration of this survey. This enables analysis of firm pricing behaviour spanning more periods and episodes of inflation than other studies, including item and product level studies. The long duration of the data used in this study contrasts with that of the publicly available metrics based on item level prices in New Zealand; these are only reported back to 2000Q2 by Statistics New Zealand. Nevertheless, as Figure 1 shows, the proportion of firms reporting price increases in the QSBO and the proportion of </w:t>
      </w:r>
      <w:r w:rsidR="00D905AA" w:rsidRPr="00FC7BB4">
        <w:rPr>
          <w:rFonts w:ascii="Times New Roman" w:eastAsia="Times New Roman" w:hAnsi="Times New Roman" w:cs="Times New Roman"/>
          <w:sz w:val="24"/>
        </w:rPr>
        <w:t xml:space="preserve">items </w:t>
      </w:r>
      <w:r w:rsidRPr="00FC7BB4">
        <w:rPr>
          <w:rFonts w:ascii="Times New Roman" w:eastAsia="Times New Roman" w:hAnsi="Times New Roman" w:cs="Times New Roman"/>
          <w:sz w:val="24"/>
        </w:rPr>
        <w:t xml:space="preserve">in the CPI increasing in price over the period 2000Q2 to </w:t>
      </w:r>
      <w:r w:rsidR="00C065E3" w:rsidRPr="00FC7BB4">
        <w:rPr>
          <w:rFonts w:ascii="Times New Roman" w:eastAsia="Times New Roman" w:hAnsi="Times New Roman" w:cs="Times New Roman"/>
          <w:sz w:val="24"/>
        </w:rPr>
        <w:t xml:space="preserve">2024Q3 </w:t>
      </w:r>
      <w:r w:rsidRPr="00FC7BB4">
        <w:rPr>
          <w:rFonts w:ascii="Times New Roman" w:eastAsia="Times New Roman" w:hAnsi="Times New Roman" w:cs="Times New Roman"/>
          <w:sz w:val="24"/>
        </w:rPr>
        <w:t xml:space="preserve">move together very closely. The co-variation of the two series suggests the firm-level measures used in this paper capture key movements in </w:t>
      </w:r>
      <w:r w:rsidR="00541296" w:rsidRPr="00FC7BB4">
        <w:rPr>
          <w:rFonts w:ascii="Times New Roman" w:eastAsia="Times New Roman" w:hAnsi="Times New Roman" w:cs="Times New Roman"/>
          <w:sz w:val="24"/>
        </w:rPr>
        <w:t>item</w:t>
      </w:r>
      <w:r w:rsidRPr="00FC7BB4">
        <w:rPr>
          <w:rFonts w:ascii="Times New Roman" w:eastAsia="Times New Roman" w:hAnsi="Times New Roman" w:cs="Times New Roman"/>
          <w:sz w:val="24"/>
        </w:rPr>
        <w:t xml:space="preserve">-level price changes over time. </w:t>
      </w:r>
      <w:r w:rsidRPr="00FC7BB4">
        <w:rPr>
          <w:rFonts w:ascii="Times New Roman" w:hAnsi="Times New Roman" w:cs="Times New Roman"/>
          <w:sz w:val="24"/>
        </w:rPr>
        <w:t xml:space="preserve">The correlation coefficient between the two series is +0.65. This increases to +0.69 when the 2010Q4 </w:t>
      </w:r>
      <w:r w:rsidRPr="00FC7BB4">
        <w:rPr>
          <w:rFonts w:ascii="Times New Roman" w:hAnsi="Times New Roman" w:cs="Times New Roman"/>
          <w:sz w:val="24"/>
        </w:rPr>
        <w:lastRenderedPageBreak/>
        <w:t>observations are excluded, the quarter when the Government increased the rate of Goods and Services Tax by 2.5 percentage points</w:t>
      </w:r>
      <w:r w:rsidRPr="00FC7BB4">
        <w:rPr>
          <w:rFonts w:ascii="Times New Roman" w:eastAsia="Times New Roman" w:hAnsi="Times New Roman" w:cs="Times New Roman"/>
          <w:sz w:val="24"/>
        </w:rPr>
        <w:t>.</w:t>
      </w:r>
      <w:r w:rsidRPr="00FC7BB4">
        <w:rPr>
          <w:rFonts w:ascii="Times New Roman" w:eastAsia="Times New Roman" w:hAnsi="Times New Roman" w:cs="Times New Roman"/>
          <w:sz w:val="24"/>
          <w:vertAlign w:val="superscript"/>
        </w:rPr>
        <w:footnoteReference w:id="10"/>
      </w:r>
    </w:p>
    <w:bookmarkEnd w:id="12"/>
    <w:p w14:paraId="13777F43" w14:textId="77777777" w:rsidR="00307155" w:rsidRPr="00FC7BB4" w:rsidRDefault="00307155" w:rsidP="00F3101B">
      <w:pPr>
        <w:spacing w:after="240" w:line="240" w:lineRule="auto"/>
        <w:ind w:left="794" w:right="27" w:hanging="794"/>
        <w:rPr>
          <w:rFonts w:ascii="Times New Roman" w:hAnsi="Times New Roman" w:cs="Times New Roman"/>
          <w:b/>
          <w:bCs/>
          <w:sz w:val="24"/>
        </w:rPr>
      </w:pPr>
      <w:r w:rsidRPr="00FC7BB4">
        <w:rPr>
          <w:rFonts w:ascii="Times New Roman" w:hAnsi="Times New Roman" w:cs="Times New Roman"/>
          <w:b/>
          <w:bCs/>
          <w:sz w:val="24"/>
        </w:rPr>
        <w:t xml:space="preserve">4.   </w:t>
      </w:r>
      <w:bookmarkStart w:id="14" w:name="_Hlk213855723"/>
      <w:r w:rsidRPr="00FC7BB4">
        <w:rPr>
          <w:rFonts w:ascii="Times New Roman" w:hAnsi="Times New Roman" w:cs="Times New Roman"/>
          <w:b/>
          <w:bCs/>
          <w:sz w:val="24"/>
        </w:rPr>
        <w:t>Six decades of inflation and price changes by firms</w:t>
      </w:r>
      <w:bookmarkEnd w:id="13"/>
      <w:bookmarkEnd w:id="14"/>
    </w:p>
    <w:p w14:paraId="6A59FAF7" w14:textId="58321A06" w:rsidR="00307155" w:rsidRPr="00FC7BB4" w:rsidRDefault="00307155" w:rsidP="00F3101B">
      <w:pPr>
        <w:spacing w:after="0" w:line="360" w:lineRule="auto"/>
        <w:ind w:left="-6" w:right="27" w:hanging="11"/>
        <w:rPr>
          <w:rFonts w:ascii="Times New Roman" w:hAnsi="Times New Roman" w:cs="Times New Roman"/>
          <w:sz w:val="24"/>
        </w:rPr>
      </w:pPr>
      <w:bookmarkStart w:id="15" w:name="_Hlk213162632"/>
      <w:r w:rsidRPr="00FC7BB4">
        <w:rPr>
          <w:rFonts w:ascii="Times New Roman" w:hAnsi="Times New Roman" w:cs="Times New Roman"/>
          <w:sz w:val="24"/>
        </w:rPr>
        <w:t xml:space="preserve">The long duration of the survey data enables an analysis of the temporal behaviour of price changes by firms over six decades that span the high inflation of the 1970s and 1980s and the most recent bout of high inflation during the COVID era. Of particular interest is the comparison of the </w:t>
      </w:r>
      <w:r w:rsidR="002E44E2" w:rsidRPr="00FC7BB4">
        <w:rPr>
          <w:rFonts w:ascii="Times New Roman" w:hAnsi="Times New Roman" w:cs="Times New Roman"/>
          <w:sz w:val="24"/>
        </w:rPr>
        <w:t>co-</w:t>
      </w:r>
      <w:r w:rsidR="00CC2898" w:rsidRPr="00FC7BB4">
        <w:rPr>
          <w:rFonts w:ascii="Times New Roman" w:hAnsi="Times New Roman" w:cs="Times New Roman"/>
          <w:sz w:val="24"/>
        </w:rPr>
        <w:t>move</w:t>
      </w:r>
      <w:r w:rsidR="002E44E2" w:rsidRPr="00FC7BB4">
        <w:rPr>
          <w:rFonts w:ascii="Times New Roman" w:hAnsi="Times New Roman" w:cs="Times New Roman"/>
          <w:sz w:val="24"/>
        </w:rPr>
        <w:t xml:space="preserve">ment </w:t>
      </w:r>
      <w:r w:rsidRPr="00FC7BB4">
        <w:rPr>
          <w:rFonts w:ascii="Times New Roman" w:hAnsi="Times New Roman" w:cs="Times New Roman"/>
          <w:sz w:val="24"/>
        </w:rPr>
        <w:t xml:space="preserve">between the proportion of firms changing prices and inflation each quarter across </w:t>
      </w:r>
      <w:r w:rsidR="00122B78" w:rsidRPr="00FC7BB4">
        <w:rPr>
          <w:rFonts w:ascii="Times New Roman" w:hAnsi="Times New Roman" w:cs="Times New Roman"/>
          <w:sz w:val="24"/>
        </w:rPr>
        <w:t xml:space="preserve">the </w:t>
      </w:r>
      <w:r w:rsidRPr="00FC7BB4">
        <w:rPr>
          <w:rFonts w:ascii="Times New Roman" w:hAnsi="Times New Roman" w:cs="Times New Roman"/>
          <w:sz w:val="24"/>
        </w:rPr>
        <w:t>different inflation episodes.</w:t>
      </w:r>
    </w:p>
    <w:bookmarkEnd w:id="15"/>
    <w:p w14:paraId="18FDB677" w14:textId="77777777" w:rsidR="00307155" w:rsidRPr="00717BD6" w:rsidRDefault="00307155" w:rsidP="005D65C5">
      <w:pPr>
        <w:pStyle w:val="Heading2"/>
        <w:spacing w:before="120" w:after="120" w:line="331" w:lineRule="auto"/>
        <w:ind w:left="-6" w:right="28" w:hanging="11"/>
        <w:rPr>
          <w:rFonts w:ascii="Times New Roman" w:eastAsia="Calibri" w:hAnsi="Times New Roman" w:cs="Times New Roman"/>
          <w:b/>
          <w:bCs/>
          <w:i/>
          <w:iCs/>
          <w:color w:val="000000" w:themeColor="text1"/>
          <w:sz w:val="24"/>
          <w:szCs w:val="24"/>
        </w:rPr>
      </w:pPr>
      <w:proofErr w:type="gramStart"/>
      <w:r w:rsidRPr="00717BD6">
        <w:rPr>
          <w:rFonts w:ascii="Times New Roman" w:eastAsia="Calibri" w:hAnsi="Times New Roman" w:cs="Times New Roman"/>
          <w:b/>
          <w:bCs/>
          <w:i/>
          <w:iCs/>
          <w:color w:val="000000" w:themeColor="text1"/>
          <w:sz w:val="24"/>
          <w:szCs w:val="24"/>
        </w:rPr>
        <w:t xml:space="preserve">4.1  </w:t>
      </w:r>
      <w:bookmarkStart w:id="16" w:name="_Hlk213855730"/>
      <w:r w:rsidRPr="00717BD6">
        <w:rPr>
          <w:rFonts w:ascii="Times New Roman" w:eastAsia="Calibri" w:hAnsi="Times New Roman" w:cs="Times New Roman"/>
          <w:b/>
          <w:bCs/>
          <w:i/>
          <w:iCs/>
          <w:color w:val="000000" w:themeColor="text1"/>
          <w:sz w:val="24"/>
          <w:szCs w:val="24"/>
        </w:rPr>
        <w:t>Inflation</w:t>
      </w:r>
      <w:proofErr w:type="gramEnd"/>
      <w:r w:rsidRPr="00717BD6">
        <w:rPr>
          <w:rFonts w:ascii="Times New Roman" w:eastAsia="Calibri" w:hAnsi="Times New Roman" w:cs="Times New Roman"/>
          <w:b/>
          <w:bCs/>
          <w:i/>
          <w:iCs/>
          <w:color w:val="000000" w:themeColor="text1"/>
          <w:sz w:val="24"/>
          <w:szCs w:val="24"/>
        </w:rPr>
        <w:t xml:space="preserve"> and the proportion of firms changing prices</w:t>
      </w:r>
      <w:bookmarkEnd w:id="16"/>
    </w:p>
    <w:p w14:paraId="584DB9D0" w14:textId="77777777" w:rsidR="00307155" w:rsidRPr="00FC7BB4" w:rsidRDefault="00307155" w:rsidP="00F3101B">
      <w:pPr>
        <w:spacing w:after="0" w:line="331" w:lineRule="auto"/>
        <w:ind w:right="27" w:firstLine="0"/>
        <w:rPr>
          <w:rFonts w:ascii="Times New Roman" w:hAnsi="Times New Roman" w:cs="Times New Roman"/>
          <w:sz w:val="24"/>
        </w:rPr>
      </w:pPr>
      <w:bookmarkStart w:id="17" w:name="_Hlk186799438"/>
      <w:bookmarkStart w:id="18" w:name="_Hlk213162671"/>
      <w:r w:rsidRPr="00FC7BB4">
        <w:rPr>
          <w:rFonts w:ascii="Times New Roman" w:hAnsi="Times New Roman" w:cs="Times New Roman"/>
          <w:sz w:val="24"/>
        </w:rPr>
        <w:t>The time-series of the proportion of firms that change prices in each quarter (derived from the firm data explained in Section 3) and annual inflation since the early 1960s are shown in Figure 2. Panel (</w:t>
      </w:r>
      <w:proofErr w:type="spellStart"/>
      <w:r w:rsidRPr="00FC7BB4">
        <w:rPr>
          <w:rFonts w:ascii="Times New Roman" w:hAnsi="Times New Roman" w:cs="Times New Roman"/>
          <w:sz w:val="24"/>
        </w:rPr>
        <w:t>i</w:t>
      </w:r>
      <w:proofErr w:type="spellEnd"/>
      <w:r w:rsidRPr="00FC7BB4">
        <w:rPr>
          <w:rFonts w:ascii="Times New Roman" w:hAnsi="Times New Roman" w:cs="Times New Roman"/>
          <w:sz w:val="24"/>
        </w:rPr>
        <w:t xml:space="preserve">) of Figure 2 shows all price changes (increases and decreases), Panel (ii) shows the proportion of firms that increased prices, and Panel (iii) shows the proportion of firms that decreased prices. </w:t>
      </w:r>
    </w:p>
    <w:p w14:paraId="38DE3E73" w14:textId="5AA3EE64" w:rsidR="00307155" w:rsidRPr="00FC7BB4" w:rsidRDefault="00307155" w:rsidP="00F3101B">
      <w:pPr>
        <w:spacing w:after="0" w:line="331" w:lineRule="auto"/>
        <w:ind w:right="27"/>
        <w:rPr>
          <w:rFonts w:ascii="Times New Roman" w:hAnsi="Times New Roman" w:cs="Times New Roman"/>
          <w:color w:val="auto"/>
          <w:sz w:val="24"/>
        </w:rPr>
      </w:pPr>
      <w:r w:rsidRPr="00FC7BB4">
        <w:rPr>
          <w:rFonts w:ascii="Times New Roman" w:hAnsi="Times New Roman" w:cs="Times New Roman"/>
          <w:sz w:val="24"/>
        </w:rPr>
        <w:t xml:space="preserve">There are several notable features evident from Figure 2. </w:t>
      </w:r>
      <w:r w:rsidRPr="00FC7BB4">
        <w:rPr>
          <w:rFonts w:ascii="Times New Roman" w:hAnsi="Times New Roman" w:cs="Times New Roman"/>
          <w:color w:val="auto"/>
          <w:sz w:val="24"/>
        </w:rPr>
        <w:t xml:space="preserve">First, there was a substantial decline in the proportion of firms changing prices in each quarter after the “Great Inflation” of the 1970s and 1980s. The proportion of firms changing prices each quarter during the last three decades was, in general, substantially lower than in the 1970s and 1980s. That is, until the recent COVID inflation era. The rise in the proportion of firms changing prices during the </w:t>
      </w:r>
      <w:r w:rsidR="00982E56" w:rsidRPr="00FC7BB4">
        <w:rPr>
          <w:rFonts w:ascii="Times New Roman" w:hAnsi="Times New Roman" w:cs="Times New Roman"/>
          <w:color w:val="auto"/>
          <w:sz w:val="24"/>
        </w:rPr>
        <w:t xml:space="preserve">COVID </w:t>
      </w:r>
      <w:r w:rsidRPr="00FC7BB4">
        <w:rPr>
          <w:rFonts w:ascii="Times New Roman" w:hAnsi="Times New Roman" w:cs="Times New Roman"/>
          <w:color w:val="auto"/>
          <w:sz w:val="24"/>
        </w:rPr>
        <w:t xml:space="preserve">era is particularly evident in the case of price increases shown in Panel (ii). </w:t>
      </w:r>
    </w:p>
    <w:bookmarkEnd w:id="17"/>
    <w:p w14:paraId="57C3D20E" w14:textId="3DFDB39C" w:rsidR="007D3CDF" w:rsidRPr="00FC7BB4" w:rsidRDefault="007D3CDF" w:rsidP="00F3101B">
      <w:pPr>
        <w:spacing w:after="0" w:line="331" w:lineRule="auto"/>
        <w:ind w:right="27"/>
        <w:rPr>
          <w:rFonts w:ascii="Times New Roman" w:hAnsi="Times New Roman" w:cs="Times New Roman"/>
          <w:color w:val="auto"/>
          <w:sz w:val="24"/>
        </w:rPr>
      </w:pPr>
      <w:r w:rsidRPr="00FC7BB4">
        <w:rPr>
          <w:rFonts w:ascii="Times New Roman" w:hAnsi="Times New Roman" w:cs="Times New Roman"/>
          <w:color w:val="auto"/>
          <w:sz w:val="24"/>
        </w:rPr>
        <w:t xml:space="preserve">A second feature is the close relationship between annual inflation and the proportion of firms changing prices. This is consistent with the predictions of menu-cost based state-dependent pricing models of Ball and Mankiw (1994a), </w:t>
      </w:r>
      <w:proofErr w:type="spellStart"/>
      <w:r w:rsidRPr="00FC7BB4">
        <w:rPr>
          <w:rFonts w:ascii="Times New Roman" w:hAnsi="Times New Roman" w:cs="Times New Roman"/>
          <w:color w:val="auto"/>
          <w:sz w:val="24"/>
        </w:rPr>
        <w:t>Golosov</w:t>
      </w:r>
      <w:proofErr w:type="spellEnd"/>
      <w:r w:rsidRPr="00FC7BB4">
        <w:rPr>
          <w:rFonts w:ascii="Times New Roman" w:hAnsi="Times New Roman" w:cs="Times New Roman"/>
          <w:color w:val="auto"/>
          <w:sz w:val="24"/>
        </w:rPr>
        <w:t xml:space="preserve"> and Lucas (2007), and Blanco, </w:t>
      </w:r>
      <w:r w:rsidRPr="00FC7BB4">
        <w:rPr>
          <w:rFonts w:ascii="Times New Roman" w:hAnsi="Times New Roman" w:cs="Times New Roman"/>
          <w:i/>
          <w:iCs/>
          <w:color w:val="auto"/>
          <w:sz w:val="24"/>
        </w:rPr>
        <w:t>et al.</w:t>
      </w:r>
      <w:r w:rsidR="00072A5B" w:rsidRPr="00FC7BB4">
        <w:rPr>
          <w:rFonts w:ascii="Times New Roman" w:hAnsi="Times New Roman" w:cs="Times New Roman"/>
          <w:color w:val="auto"/>
          <w:sz w:val="24"/>
        </w:rPr>
        <w:t xml:space="preserve"> </w:t>
      </w:r>
      <w:r w:rsidRPr="00FC7BB4">
        <w:rPr>
          <w:rFonts w:ascii="Times New Roman" w:hAnsi="Times New Roman" w:cs="Times New Roman"/>
          <w:color w:val="auto"/>
          <w:sz w:val="24"/>
        </w:rPr>
        <w:t xml:space="preserve">(2024a). There is a positive correlation between the proportion of firms changing prices (increases plus decreases) and inflation. This is dominated by the relationship between the proportion of firms increasing prices and inflation. The proportion of firms decreasing prices per quarter generally varies </w:t>
      </w:r>
      <w:r w:rsidR="009C7095" w:rsidRPr="00FC7BB4">
        <w:rPr>
          <w:rFonts w:ascii="Times New Roman" w:hAnsi="Times New Roman" w:cs="Times New Roman"/>
          <w:color w:val="auto"/>
          <w:sz w:val="24"/>
        </w:rPr>
        <w:t>inversely</w:t>
      </w:r>
      <w:r w:rsidRPr="00FC7BB4">
        <w:rPr>
          <w:rFonts w:ascii="Times New Roman" w:hAnsi="Times New Roman" w:cs="Times New Roman"/>
          <w:color w:val="auto"/>
          <w:sz w:val="24"/>
        </w:rPr>
        <w:t xml:space="preserve"> with inflation.</w:t>
      </w:r>
    </w:p>
    <w:bookmarkEnd w:id="18"/>
    <w:p w14:paraId="3C2BD63A" w14:textId="77777777" w:rsidR="00DA6647" w:rsidRPr="00FC7BB4" w:rsidRDefault="00DA6647" w:rsidP="00DA6647">
      <w:pPr>
        <w:spacing w:after="0" w:line="331" w:lineRule="auto"/>
        <w:ind w:right="27"/>
        <w:rPr>
          <w:rFonts w:ascii="Times New Roman" w:hAnsi="Times New Roman" w:cs="Times New Roman"/>
          <w:color w:val="auto"/>
          <w:sz w:val="24"/>
        </w:rPr>
      </w:pPr>
      <w:r w:rsidRPr="00FC7BB4">
        <w:rPr>
          <w:rFonts w:ascii="Times New Roman" w:hAnsi="Times New Roman" w:cs="Times New Roman"/>
          <w:color w:val="auto"/>
          <w:sz w:val="24"/>
        </w:rPr>
        <w:t>There appears, however, to have been a shift in these relationships since the mid-1990s</w:t>
      </w:r>
      <w:r w:rsidRPr="00FC7BB4">
        <w:rPr>
          <w:rFonts w:ascii="Times New Roman" w:hAnsi="Times New Roman" w:cs="Times New Roman"/>
          <w:sz w:val="24"/>
        </w:rPr>
        <w:t xml:space="preserve">. This was after the introduction of inflation targeting and central bank operational independence when annual inflation fell rapidly to around 2 per cent per year, after averaging about 15 per cent in the previous decade. Thereafter, a given level of inflation has tended to be associated with a higher proportion of firms changing prices per quarter, especially a higher proportion increasing prices. Panel (iii) shows the rapid decline of inflation in </w:t>
      </w:r>
      <w:r w:rsidRPr="00FC7BB4">
        <w:rPr>
          <w:rFonts w:ascii="Times New Roman" w:hAnsi="Times New Roman" w:cs="Times New Roman"/>
          <w:sz w:val="24"/>
        </w:rPr>
        <w:lastRenderedPageBreak/>
        <w:t>the early 1990s was also associated with a substantial increase in the proportion of firms decreasing prices per quarter. But thereafter, there has been a lower tendency for price decreases.</w:t>
      </w:r>
      <w:r w:rsidRPr="00FC7BB4">
        <w:rPr>
          <w:rStyle w:val="FootnoteReference"/>
          <w:rFonts w:ascii="Times New Roman" w:hAnsi="Times New Roman" w:cs="Times New Roman"/>
          <w:sz w:val="24"/>
        </w:rPr>
        <w:footnoteReference w:id="11"/>
      </w:r>
    </w:p>
    <w:p w14:paraId="6621C8D7" w14:textId="28F5863D" w:rsidR="00307155" w:rsidRPr="00FC7BB4" w:rsidRDefault="00313EF5" w:rsidP="00F3101B">
      <w:pPr>
        <w:spacing w:after="120" w:line="331" w:lineRule="auto"/>
        <w:ind w:left="-17" w:right="27"/>
        <w:jc w:val="center"/>
        <w:rPr>
          <w:rFonts w:ascii="Times New Roman" w:hAnsi="Times New Roman" w:cs="Times New Roman"/>
          <w:b/>
          <w:bCs/>
          <w:sz w:val="24"/>
        </w:rPr>
      </w:pPr>
      <w:r w:rsidRPr="00FC7BB4">
        <w:rPr>
          <w:rFonts w:ascii="Times New Roman" w:hAnsi="Times New Roman" w:cs="Times New Roman"/>
          <w:b/>
          <w:bCs/>
          <w:sz w:val="24"/>
        </w:rPr>
        <w:t>F</w:t>
      </w:r>
      <w:r w:rsidR="00307155" w:rsidRPr="00FC7BB4">
        <w:rPr>
          <w:rFonts w:ascii="Times New Roman" w:hAnsi="Times New Roman" w:cs="Times New Roman"/>
          <w:b/>
          <w:bCs/>
          <w:sz w:val="24"/>
        </w:rPr>
        <w:t xml:space="preserve">igure 2: </w:t>
      </w:r>
      <w:bookmarkStart w:id="19" w:name="_Hlk213162690"/>
      <w:r w:rsidR="00307155" w:rsidRPr="00FC7BB4">
        <w:rPr>
          <w:rFonts w:ascii="Times New Roman" w:hAnsi="Times New Roman" w:cs="Times New Roman"/>
          <w:b/>
          <w:bCs/>
          <w:sz w:val="24"/>
        </w:rPr>
        <w:t>Inflation and the proportion of firms changing prices: 1963 to 2024</w:t>
      </w:r>
      <w:bookmarkEnd w:id="19"/>
    </w:p>
    <w:p w14:paraId="3922C290" w14:textId="66B763ED" w:rsidR="00307155" w:rsidRPr="00FC7BB4" w:rsidRDefault="00C151A9" w:rsidP="00F3101B">
      <w:pPr>
        <w:spacing w:line="331" w:lineRule="auto"/>
        <w:ind w:left="567" w:right="27" w:firstLine="0"/>
        <w:jc w:val="center"/>
        <w:rPr>
          <w:rFonts w:ascii="Times New Roman" w:hAnsi="Times New Roman" w:cs="Times New Roman"/>
          <w:sz w:val="24"/>
        </w:rPr>
      </w:pPr>
      <w:r w:rsidRPr="00FC7BB4">
        <w:rPr>
          <w:rFonts w:ascii="Times New Roman" w:hAnsi="Times New Roman" w:cs="Times New Roman"/>
          <w:noProof/>
          <w:sz w:val="24"/>
        </w:rPr>
        <w:drawing>
          <wp:inline distT="0" distB="0" distL="0" distR="0" wp14:anchorId="2481595C" wp14:editId="27611DD5">
            <wp:extent cx="4869090" cy="6353175"/>
            <wp:effectExtent l="0" t="0" r="8255" b="0"/>
            <wp:docPr id="624347506" name="Picture 1" descr="A graph of a number of different types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347506" name="Picture 1" descr="A graph of a number of different types of lines&#10;&#10;AI-generated content may be incorrect."/>
                    <pic:cNvPicPr/>
                  </pic:nvPicPr>
                  <pic:blipFill>
                    <a:blip r:embed="rId9"/>
                    <a:stretch>
                      <a:fillRect/>
                    </a:stretch>
                  </pic:blipFill>
                  <pic:spPr>
                    <a:xfrm>
                      <a:off x="0" y="0"/>
                      <a:ext cx="4878714" cy="6365732"/>
                    </a:xfrm>
                    <a:prstGeom prst="rect">
                      <a:avLst/>
                    </a:prstGeom>
                  </pic:spPr>
                </pic:pic>
              </a:graphicData>
            </a:graphic>
          </wp:inline>
        </w:drawing>
      </w:r>
    </w:p>
    <w:p w14:paraId="058EDBB8" w14:textId="77777777" w:rsidR="00307155" w:rsidRPr="00FC7BB4" w:rsidRDefault="00307155" w:rsidP="00F3101B">
      <w:pPr>
        <w:spacing w:line="240" w:lineRule="auto"/>
        <w:ind w:left="1077" w:right="454" w:firstLine="0"/>
        <w:rPr>
          <w:rFonts w:ascii="Times New Roman" w:hAnsi="Times New Roman" w:cs="Times New Roman"/>
          <w:sz w:val="18"/>
          <w:szCs w:val="18"/>
        </w:rPr>
      </w:pPr>
      <w:bookmarkStart w:id="20" w:name="_Hlk213162704"/>
      <w:r w:rsidRPr="00FC7BB4">
        <w:rPr>
          <w:rFonts w:ascii="Times New Roman" w:hAnsi="Times New Roman" w:cs="Times New Roman"/>
          <w:sz w:val="18"/>
          <w:szCs w:val="18"/>
        </w:rPr>
        <w:t>Notes: Panel (</w:t>
      </w:r>
      <w:proofErr w:type="spellStart"/>
      <w:r w:rsidRPr="00FC7BB4">
        <w:rPr>
          <w:rFonts w:ascii="Times New Roman" w:hAnsi="Times New Roman" w:cs="Times New Roman"/>
          <w:sz w:val="18"/>
          <w:szCs w:val="18"/>
        </w:rPr>
        <w:t>i</w:t>
      </w:r>
      <w:proofErr w:type="spellEnd"/>
      <w:r w:rsidRPr="00FC7BB4">
        <w:rPr>
          <w:rFonts w:ascii="Times New Roman" w:hAnsi="Times New Roman" w:cs="Times New Roman"/>
          <w:sz w:val="18"/>
          <w:szCs w:val="18"/>
        </w:rPr>
        <w:t xml:space="preserve">) shows the proportion of all firms that either increase or decrease prices during the quarter. Panel (ii) is the proportion of firms increasing prices; Panel (iii) the proportion of firms decreasing prices. These proportions were derived using the QSBO data provided by the NZ Institute of Economic Research. Annual inflation in each panel is calculated using the Consumers Price Index from </w:t>
      </w:r>
      <w:proofErr w:type="spellStart"/>
      <w:r w:rsidRPr="00FC7BB4">
        <w:rPr>
          <w:rFonts w:ascii="Times New Roman" w:hAnsi="Times New Roman" w:cs="Times New Roman"/>
          <w:color w:val="auto"/>
          <w:sz w:val="18"/>
          <w:szCs w:val="18"/>
        </w:rPr>
        <w:t>StatisticsNZ’s</w:t>
      </w:r>
      <w:proofErr w:type="spellEnd"/>
      <w:r w:rsidRPr="00FC7BB4">
        <w:rPr>
          <w:rFonts w:ascii="Times New Roman" w:hAnsi="Times New Roman" w:cs="Times New Roman"/>
          <w:color w:val="auto"/>
          <w:sz w:val="18"/>
          <w:szCs w:val="18"/>
        </w:rPr>
        <w:t xml:space="preserve"> </w:t>
      </w:r>
      <w:hyperlink r:id="rId10">
        <w:proofErr w:type="spellStart"/>
        <w:r w:rsidRPr="00FC7BB4">
          <w:rPr>
            <w:rFonts w:ascii="Times New Roman" w:hAnsi="Times New Roman" w:cs="Times New Roman"/>
            <w:color w:val="auto"/>
            <w:sz w:val="18"/>
            <w:szCs w:val="18"/>
          </w:rPr>
          <w:t>Infoshare</w:t>
        </w:r>
        <w:proofErr w:type="spellEnd"/>
      </w:hyperlink>
      <w:r w:rsidRPr="00FC7BB4">
        <w:rPr>
          <w:rFonts w:ascii="Times New Roman" w:hAnsi="Times New Roman" w:cs="Times New Roman"/>
          <w:color w:val="auto"/>
          <w:sz w:val="18"/>
          <w:szCs w:val="18"/>
        </w:rPr>
        <w:t>.</w:t>
      </w:r>
    </w:p>
    <w:p w14:paraId="3482CB5C" w14:textId="77777777" w:rsidR="00717BD6" w:rsidRDefault="007D3CDF" w:rsidP="00815077">
      <w:pPr>
        <w:spacing w:after="0" w:line="331" w:lineRule="auto"/>
        <w:ind w:right="27"/>
        <w:rPr>
          <w:rFonts w:ascii="Times New Roman" w:hAnsi="Times New Roman" w:cs="Times New Roman"/>
          <w:color w:val="auto"/>
          <w:sz w:val="24"/>
        </w:rPr>
      </w:pPr>
      <w:bookmarkStart w:id="21" w:name="_Hlk213162728"/>
      <w:bookmarkEnd w:id="20"/>
      <w:r w:rsidRPr="00FC7BB4">
        <w:rPr>
          <w:rFonts w:ascii="Times New Roman" w:hAnsi="Times New Roman" w:cs="Times New Roman"/>
          <w:color w:val="auto"/>
          <w:sz w:val="24"/>
        </w:rPr>
        <w:lastRenderedPageBreak/>
        <w:t xml:space="preserve"> </w:t>
      </w:r>
    </w:p>
    <w:p w14:paraId="18C06735" w14:textId="77777777" w:rsidR="00717BD6" w:rsidRPr="00FC7BB4" w:rsidRDefault="00717BD6" w:rsidP="00717BD6">
      <w:pPr>
        <w:spacing w:after="0" w:line="331" w:lineRule="auto"/>
        <w:ind w:right="27"/>
        <w:rPr>
          <w:rFonts w:ascii="Times New Roman" w:hAnsi="Times New Roman" w:cs="Times New Roman"/>
          <w:color w:val="auto"/>
          <w:sz w:val="24"/>
        </w:rPr>
      </w:pPr>
      <w:r w:rsidRPr="00FC7BB4">
        <w:rPr>
          <w:rFonts w:ascii="Times New Roman" w:hAnsi="Times New Roman" w:cs="Times New Roman"/>
          <w:sz w:val="24"/>
        </w:rPr>
        <w:t xml:space="preserve">Also consistent with a change in the relationship between inflation and price changes is the comparison between the COVID and the 1970s and 1980s high inflation episodes. In the COVID era, the proportion of firms changing prices per quarter was as high as occurred in the 1970s and 1980s, even though peak inflation in the COVID era was half the peak rates of the 1970s and 1980s. This is particularly evident with price increases, though a change in the tendency for price decreases vis-a-vis inflation also seems to have occurred. </w:t>
      </w:r>
    </w:p>
    <w:p w14:paraId="1D7BE049" w14:textId="7AC6B7B6" w:rsidR="00307155" w:rsidRPr="00FC7BB4" w:rsidRDefault="009C7095" w:rsidP="00815077">
      <w:pPr>
        <w:spacing w:after="0" w:line="331" w:lineRule="auto"/>
        <w:ind w:right="27"/>
        <w:rPr>
          <w:rFonts w:ascii="Times New Roman" w:hAnsi="Times New Roman" w:cs="Times New Roman"/>
          <w:sz w:val="24"/>
        </w:rPr>
      </w:pPr>
      <w:r w:rsidRPr="00FC7BB4">
        <w:rPr>
          <w:rFonts w:ascii="Times New Roman" w:hAnsi="Times New Roman" w:cs="Times New Roman"/>
          <w:sz w:val="24"/>
        </w:rPr>
        <w:t xml:space="preserve">The </w:t>
      </w:r>
      <w:r w:rsidR="00FD3272" w:rsidRPr="00FC7BB4">
        <w:rPr>
          <w:rFonts w:ascii="Times New Roman" w:hAnsi="Times New Roman" w:cs="Times New Roman"/>
          <w:sz w:val="24"/>
        </w:rPr>
        <w:t xml:space="preserve">evolving link between price changes and inflation </w:t>
      </w:r>
      <w:r w:rsidRPr="00FC7BB4">
        <w:rPr>
          <w:rFonts w:ascii="Times New Roman" w:hAnsi="Times New Roman" w:cs="Times New Roman"/>
          <w:sz w:val="24"/>
        </w:rPr>
        <w:t xml:space="preserve">is formally assessed </w:t>
      </w:r>
      <w:r w:rsidR="00FD3272" w:rsidRPr="00FC7BB4">
        <w:rPr>
          <w:rFonts w:ascii="Times New Roman" w:hAnsi="Times New Roman" w:cs="Times New Roman"/>
          <w:sz w:val="24"/>
        </w:rPr>
        <w:t xml:space="preserve">by estimating a time-varying relationship between the proportion of firms adjusting prices and inflation using a 30-quarter rolling regression. This approach relaxes the restrictive assumption of parameter constancy and enables the detection of shifts in the relationship over time. A 30-quarter window was chosen as sufficiently short to capture persistent structural change in the relationship, yet long enough to smooth through transitory fluctuations in the relationship, perhaps arising from one-off events. </w:t>
      </w:r>
      <w:r w:rsidR="00C85D78" w:rsidRPr="00FC7BB4">
        <w:rPr>
          <w:rFonts w:ascii="Times New Roman" w:hAnsi="Times New Roman" w:cs="Times New Roman"/>
          <w:sz w:val="24"/>
        </w:rPr>
        <w:t>The empirical specification is given by:</w:t>
      </w:r>
      <w:r w:rsidR="00307155" w:rsidRPr="00FC7BB4">
        <w:rPr>
          <w:rFonts w:ascii="Times New Roman" w:hAnsi="Times New Roman" w:cs="Times New Roman"/>
          <w:color w:val="auto"/>
          <w:sz w:val="24"/>
        </w:rPr>
        <w:t xml:space="preserve"> </w:t>
      </w:r>
    </w:p>
    <w:bookmarkEnd w:id="21"/>
    <w:p w14:paraId="345822A4" w14:textId="2805C946" w:rsidR="00307155" w:rsidRPr="00FC7BB4" w:rsidRDefault="00307155" w:rsidP="00F3101B">
      <w:pPr>
        <w:tabs>
          <w:tab w:val="center" w:pos="4279"/>
          <w:tab w:val="right" w:pos="8744"/>
        </w:tabs>
        <w:spacing w:after="100" w:afterAutospacing="1" w:line="259" w:lineRule="auto"/>
        <w:ind w:right="27" w:firstLine="0"/>
        <w:jc w:val="left"/>
        <w:rPr>
          <w:rFonts w:ascii="Times New Roman" w:hAnsi="Times New Roman" w:cs="Times New Roman"/>
          <w:sz w:val="24"/>
        </w:rPr>
      </w:pPr>
      <w:r w:rsidRPr="00FC7BB4">
        <w:rPr>
          <w:rFonts w:ascii="Times New Roman" w:hAnsi="Times New Roman" w:cs="Times New Roman"/>
          <w:sz w:val="24"/>
        </w:rPr>
        <w:tab/>
      </w:r>
      <w:bookmarkStart w:id="22" w:name="_Hlk188525527"/>
      <w:proofErr w:type="spellStart"/>
      <w:r w:rsidRPr="00FC7BB4">
        <w:rPr>
          <w:rFonts w:ascii="Times New Roman" w:eastAsia="Cambria" w:hAnsi="Times New Roman" w:cs="Times New Roman"/>
          <w:i/>
          <w:sz w:val="24"/>
        </w:rPr>
        <w:t>Firms</w:t>
      </w:r>
      <w:r w:rsidRPr="00FC7BB4">
        <w:rPr>
          <w:rFonts w:ascii="Times New Roman" w:eastAsia="Cambria" w:hAnsi="Times New Roman" w:cs="Times New Roman"/>
          <w:sz w:val="24"/>
        </w:rPr>
        <w:t>∆</w:t>
      </w:r>
      <w:r w:rsidRPr="00FC7BB4">
        <w:rPr>
          <w:rFonts w:ascii="Times New Roman" w:eastAsia="Cambria" w:hAnsi="Times New Roman" w:cs="Times New Roman"/>
          <w:i/>
          <w:iCs/>
          <w:sz w:val="24"/>
          <w:vertAlign w:val="superscript"/>
        </w:rPr>
        <w:t>d</w:t>
      </w:r>
      <w:r w:rsidRPr="00FC7BB4">
        <w:rPr>
          <w:rFonts w:ascii="Times New Roman" w:eastAsia="Cambria" w:hAnsi="Times New Roman" w:cs="Times New Roman"/>
          <w:i/>
          <w:sz w:val="24"/>
          <w:vertAlign w:val="subscript"/>
        </w:rPr>
        <w:t>t</w:t>
      </w:r>
      <w:proofErr w:type="spellEnd"/>
      <w:r w:rsidRPr="00FC7BB4">
        <w:rPr>
          <w:rFonts w:ascii="Times New Roman" w:eastAsia="Cambria" w:hAnsi="Times New Roman" w:cs="Times New Roman"/>
          <w:i/>
          <w:sz w:val="24"/>
          <w:vertAlign w:val="subscript"/>
        </w:rPr>
        <w:t xml:space="preserve"> </w:t>
      </w:r>
      <w:bookmarkEnd w:id="22"/>
      <w:r w:rsidRPr="00FC7BB4">
        <w:rPr>
          <w:rFonts w:ascii="Times New Roman" w:eastAsia="Cambria" w:hAnsi="Times New Roman" w:cs="Times New Roman"/>
          <w:sz w:val="24"/>
        </w:rPr>
        <w:t xml:space="preserve">= </w:t>
      </w:r>
      <w:r w:rsidRPr="00FC7BB4">
        <w:rPr>
          <w:rFonts w:ascii="Times New Roman" w:eastAsia="Cambria" w:hAnsi="Times New Roman" w:cs="Times New Roman"/>
          <w:i/>
          <w:sz w:val="24"/>
        </w:rPr>
        <w:t>β</w:t>
      </w:r>
      <w:r w:rsidRPr="00FC7BB4">
        <w:rPr>
          <w:rFonts w:ascii="Times New Roman" w:eastAsia="Cambria" w:hAnsi="Times New Roman" w:cs="Times New Roman"/>
          <w:i/>
          <w:sz w:val="24"/>
          <w:vertAlign w:val="superscript"/>
        </w:rPr>
        <w:t>d</w:t>
      </w:r>
      <w:r w:rsidRPr="00FC7BB4">
        <w:rPr>
          <w:rFonts w:ascii="Times New Roman" w:eastAsia="Cambria" w:hAnsi="Times New Roman" w:cs="Times New Roman"/>
          <w:sz w:val="24"/>
          <w:vertAlign w:val="subscript"/>
        </w:rPr>
        <w:t xml:space="preserve">1 </w:t>
      </w:r>
      <w:r w:rsidRPr="00FC7BB4">
        <w:rPr>
          <w:rFonts w:ascii="Times New Roman" w:eastAsia="Cambria" w:hAnsi="Times New Roman" w:cs="Times New Roman"/>
          <w:sz w:val="24"/>
        </w:rPr>
        <w:t xml:space="preserve">+ </w:t>
      </w:r>
      <w:bookmarkStart w:id="23" w:name="_Hlk197418130"/>
      <w:bookmarkStart w:id="24" w:name="_Hlk187762055"/>
      <w:r w:rsidRPr="00FC7BB4">
        <w:rPr>
          <w:rFonts w:ascii="Times New Roman" w:eastAsia="Cambria" w:hAnsi="Times New Roman" w:cs="Times New Roman"/>
          <w:i/>
          <w:sz w:val="24"/>
        </w:rPr>
        <w:t>β</w:t>
      </w:r>
      <w:r w:rsidRPr="00FC7BB4">
        <w:rPr>
          <w:rFonts w:ascii="Times New Roman" w:eastAsia="Cambria" w:hAnsi="Times New Roman" w:cs="Times New Roman"/>
          <w:i/>
          <w:sz w:val="24"/>
          <w:vertAlign w:val="superscript"/>
        </w:rPr>
        <w:t>d</w:t>
      </w:r>
      <w:proofErr w:type="gramStart"/>
      <w:r w:rsidRPr="00FC7BB4">
        <w:rPr>
          <w:rFonts w:ascii="Times New Roman" w:eastAsia="Cambria" w:hAnsi="Times New Roman" w:cs="Times New Roman"/>
          <w:sz w:val="24"/>
          <w:vertAlign w:val="subscript"/>
        </w:rPr>
        <w:t>2</w:t>
      </w:r>
      <w:bookmarkEnd w:id="23"/>
      <w:r w:rsidR="00E10D46" w:rsidRPr="00FC7BB4">
        <w:rPr>
          <w:rFonts w:ascii="Times New Roman" w:eastAsia="Cambria" w:hAnsi="Times New Roman" w:cs="Times New Roman"/>
          <w:sz w:val="24"/>
          <w:vertAlign w:val="subscript"/>
        </w:rPr>
        <w:t>,t</w:t>
      </w:r>
      <w:proofErr w:type="gramEnd"/>
      <w:r w:rsidRPr="00FC7BB4">
        <w:rPr>
          <w:rFonts w:ascii="Times New Roman" w:eastAsia="Cambria" w:hAnsi="Times New Roman" w:cs="Times New Roman"/>
          <w:i/>
          <w:sz w:val="24"/>
        </w:rPr>
        <w:t>π</w:t>
      </w:r>
      <w:r w:rsidRPr="00FC7BB4">
        <w:rPr>
          <w:rFonts w:ascii="Times New Roman" w:eastAsia="Cambria" w:hAnsi="Times New Roman" w:cs="Times New Roman"/>
          <w:i/>
          <w:sz w:val="24"/>
          <w:vertAlign w:val="subscript"/>
        </w:rPr>
        <w:t xml:space="preserve">t </w:t>
      </w:r>
      <w:bookmarkEnd w:id="24"/>
      <w:r w:rsidRPr="00FC7BB4">
        <w:rPr>
          <w:rFonts w:ascii="Times New Roman" w:eastAsia="Cambria" w:hAnsi="Times New Roman" w:cs="Times New Roman"/>
          <w:sz w:val="24"/>
        </w:rPr>
        <w:t xml:space="preserve">+ </w:t>
      </w:r>
      <w:r w:rsidRPr="00FC7BB4">
        <w:rPr>
          <w:rFonts w:ascii="Times New Roman" w:eastAsia="Cambria" w:hAnsi="Times New Roman" w:cs="Times New Roman"/>
          <w:i/>
          <w:sz w:val="24"/>
        </w:rPr>
        <w:t>ϵ</w:t>
      </w:r>
      <w:r w:rsidRPr="00FC7BB4">
        <w:rPr>
          <w:rFonts w:ascii="Times New Roman" w:eastAsia="Cambria" w:hAnsi="Times New Roman" w:cs="Times New Roman"/>
          <w:i/>
          <w:sz w:val="24"/>
          <w:vertAlign w:val="superscript"/>
        </w:rPr>
        <w:t>d</w:t>
      </w:r>
      <w:r w:rsidRPr="00FC7BB4">
        <w:rPr>
          <w:rFonts w:ascii="Times New Roman" w:eastAsia="Cambria" w:hAnsi="Times New Roman" w:cs="Times New Roman"/>
          <w:i/>
          <w:sz w:val="24"/>
          <w:vertAlign w:val="subscript"/>
        </w:rPr>
        <w:t>t</w:t>
      </w:r>
      <w:r w:rsidRPr="00FC7BB4">
        <w:rPr>
          <w:rFonts w:ascii="Times New Roman" w:eastAsia="Cambria" w:hAnsi="Times New Roman" w:cs="Times New Roman"/>
          <w:i/>
          <w:sz w:val="24"/>
          <w:vertAlign w:val="subscript"/>
        </w:rPr>
        <w:tab/>
      </w:r>
      <w:r w:rsidRPr="00FC7BB4">
        <w:rPr>
          <w:rFonts w:ascii="Times New Roman" w:eastAsia="Cambria" w:hAnsi="Times New Roman" w:cs="Times New Roman"/>
          <w:i/>
          <w:sz w:val="24"/>
          <w:vertAlign w:val="subscript"/>
        </w:rPr>
        <w:tab/>
      </w:r>
      <w:r w:rsidR="00300158" w:rsidRPr="00FC7BB4">
        <w:rPr>
          <w:rFonts w:ascii="Times New Roman" w:eastAsia="Cambria" w:hAnsi="Times New Roman" w:cs="Times New Roman"/>
          <w:i/>
          <w:sz w:val="24"/>
          <w:vertAlign w:val="subscript"/>
        </w:rPr>
        <w:t xml:space="preserve"> </w:t>
      </w:r>
      <w:proofErr w:type="gramStart"/>
      <w:r w:rsidR="00300158" w:rsidRPr="00FC7BB4">
        <w:rPr>
          <w:rFonts w:ascii="Times New Roman" w:eastAsia="Cambria" w:hAnsi="Times New Roman" w:cs="Times New Roman"/>
          <w:i/>
          <w:sz w:val="24"/>
          <w:vertAlign w:val="subscript"/>
        </w:rPr>
        <w:t xml:space="preserve">   </w:t>
      </w:r>
      <w:r w:rsidRPr="00FC7BB4">
        <w:rPr>
          <w:rFonts w:ascii="Times New Roman" w:hAnsi="Times New Roman" w:cs="Times New Roman"/>
          <w:sz w:val="24"/>
        </w:rPr>
        <w:t>(</w:t>
      </w:r>
      <w:proofErr w:type="gramEnd"/>
      <w:r w:rsidRPr="00FC7BB4">
        <w:rPr>
          <w:rFonts w:ascii="Times New Roman" w:hAnsi="Times New Roman" w:cs="Times New Roman"/>
          <w:sz w:val="24"/>
        </w:rPr>
        <w:t>1)</w:t>
      </w:r>
    </w:p>
    <w:p w14:paraId="3435CA6A" w14:textId="051ED375" w:rsidR="00307155" w:rsidRPr="00FC7BB4" w:rsidRDefault="00307155" w:rsidP="00F3101B">
      <w:pPr>
        <w:spacing w:after="0" w:line="331" w:lineRule="auto"/>
        <w:ind w:right="27" w:firstLine="0"/>
        <w:rPr>
          <w:rFonts w:ascii="Times New Roman" w:hAnsi="Times New Roman" w:cs="Times New Roman"/>
          <w:sz w:val="24"/>
        </w:rPr>
      </w:pPr>
      <w:r w:rsidRPr="00FC7BB4">
        <w:rPr>
          <w:rFonts w:ascii="Times New Roman" w:hAnsi="Times New Roman" w:cs="Times New Roman"/>
          <w:sz w:val="24"/>
        </w:rPr>
        <w:t xml:space="preserve">where </w:t>
      </w:r>
      <w:proofErr w:type="spellStart"/>
      <w:r w:rsidRPr="00FC7BB4">
        <w:rPr>
          <w:rFonts w:ascii="Times New Roman" w:eastAsia="Cambria" w:hAnsi="Times New Roman" w:cs="Times New Roman"/>
          <w:i/>
          <w:sz w:val="24"/>
        </w:rPr>
        <w:t>Firms</w:t>
      </w:r>
      <w:r w:rsidRPr="00FC7BB4">
        <w:rPr>
          <w:rFonts w:ascii="Times New Roman" w:eastAsia="Cambria" w:hAnsi="Times New Roman" w:cs="Times New Roman"/>
          <w:sz w:val="24"/>
        </w:rPr>
        <w:t>∆</w:t>
      </w:r>
      <w:r w:rsidRPr="00FC7BB4">
        <w:rPr>
          <w:rFonts w:ascii="Times New Roman" w:eastAsia="Cambria" w:hAnsi="Times New Roman" w:cs="Times New Roman"/>
          <w:i/>
          <w:iCs/>
          <w:sz w:val="24"/>
          <w:vertAlign w:val="superscript"/>
        </w:rPr>
        <w:t>d</w:t>
      </w:r>
      <w:r w:rsidRPr="00FC7BB4">
        <w:rPr>
          <w:rFonts w:ascii="Times New Roman" w:eastAsia="Cambria" w:hAnsi="Times New Roman" w:cs="Times New Roman"/>
          <w:i/>
          <w:sz w:val="24"/>
          <w:vertAlign w:val="subscript"/>
        </w:rPr>
        <w:t>t</w:t>
      </w:r>
      <w:proofErr w:type="spellEnd"/>
      <w:r w:rsidRPr="00FC7BB4">
        <w:rPr>
          <w:rFonts w:ascii="Times New Roman" w:eastAsia="Cambria" w:hAnsi="Times New Roman" w:cs="Times New Roman"/>
          <w:i/>
          <w:sz w:val="24"/>
          <w:vertAlign w:val="subscript"/>
        </w:rPr>
        <w:t xml:space="preserve"> </w:t>
      </w:r>
      <w:r w:rsidRPr="00FC7BB4">
        <w:rPr>
          <w:rFonts w:ascii="Times New Roman" w:hAnsi="Times New Roman" w:cs="Times New Roman"/>
          <w:sz w:val="24"/>
        </w:rPr>
        <w:t xml:space="preserve">denotes proportion of firms changing prices in quarter </w:t>
      </w:r>
      <w:r w:rsidRPr="00FC7BB4">
        <w:rPr>
          <w:rFonts w:ascii="Times New Roman" w:hAnsi="Times New Roman" w:cs="Times New Roman"/>
          <w:i/>
          <w:iCs/>
          <w:sz w:val="24"/>
        </w:rPr>
        <w:t>t</w:t>
      </w:r>
      <w:r w:rsidR="0013331C" w:rsidRPr="00FC7BB4">
        <w:rPr>
          <w:rFonts w:ascii="Times New Roman" w:hAnsi="Times New Roman" w:cs="Times New Roman"/>
          <w:sz w:val="24"/>
        </w:rPr>
        <w:t xml:space="preserve">. </w:t>
      </w:r>
      <w:r w:rsidR="00183128" w:rsidRPr="00FC7BB4">
        <w:rPr>
          <w:rFonts w:ascii="Times New Roman" w:hAnsi="Times New Roman" w:cs="Times New Roman"/>
          <w:sz w:val="24"/>
        </w:rPr>
        <w:t xml:space="preserve">The superscript </w:t>
      </w:r>
      <w:r w:rsidR="00183128" w:rsidRPr="00FC7BB4">
        <w:rPr>
          <w:rFonts w:ascii="Times New Roman" w:hAnsi="Times New Roman" w:cs="Times New Roman"/>
          <w:i/>
          <w:iCs/>
          <w:sz w:val="24"/>
        </w:rPr>
        <w:t>d</w:t>
      </w:r>
      <w:r w:rsidR="00183128" w:rsidRPr="00FC7BB4">
        <w:rPr>
          <w:rFonts w:ascii="Times New Roman" w:hAnsi="Times New Roman" w:cs="Times New Roman"/>
          <w:sz w:val="24"/>
        </w:rPr>
        <w:t xml:space="preserve"> denotes the direction of change in prices (</w:t>
      </w:r>
      <w:r w:rsidR="00183128" w:rsidRPr="00FC7BB4">
        <w:rPr>
          <w:rFonts w:ascii="Times New Roman" w:hAnsi="Times New Roman" w:cs="Times New Roman"/>
          <w:i/>
          <w:iCs/>
          <w:sz w:val="24"/>
        </w:rPr>
        <w:t>d</w:t>
      </w:r>
      <w:r w:rsidR="00183128" w:rsidRPr="00FC7BB4">
        <w:rPr>
          <w:rFonts w:ascii="Times New Roman" w:hAnsi="Times New Roman" w:cs="Times New Roman"/>
          <w:sz w:val="24"/>
        </w:rPr>
        <w:t xml:space="preserve">=up, </w:t>
      </w:r>
      <w:r w:rsidR="00183128" w:rsidRPr="00FC7BB4">
        <w:rPr>
          <w:rFonts w:ascii="Times New Roman" w:hAnsi="Times New Roman" w:cs="Times New Roman"/>
          <w:i/>
          <w:iCs/>
          <w:sz w:val="24"/>
        </w:rPr>
        <w:t>d</w:t>
      </w:r>
      <w:r w:rsidR="00183128" w:rsidRPr="00FC7BB4">
        <w:rPr>
          <w:rFonts w:ascii="Times New Roman" w:hAnsi="Times New Roman" w:cs="Times New Roman"/>
          <w:sz w:val="24"/>
        </w:rPr>
        <w:t>=</w:t>
      </w:r>
      <w:proofErr w:type="spellStart"/>
      <w:r w:rsidR="00183128" w:rsidRPr="00FC7BB4">
        <w:rPr>
          <w:rFonts w:ascii="Times New Roman" w:hAnsi="Times New Roman" w:cs="Times New Roman"/>
          <w:sz w:val="24"/>
        </w:rPr>
        <w:t>dn</w:t>
      </w:r>
      <w:proofErr w:type="spellEnd"/>
      <w:r w:rsidR="00183128" w:rsidRPr="00FC7BB4">
        <w:rPr>
          <w:rFonts w:ascii="Times New Roman" w:hAnsi="Times New Roman" w:cs="Times New Roman"/>
          <w:sz w:val="24"/>
        </w:rPr>
        <w:t xml:space="preserve"> or </w:t>
      </w:r>
      <w:r w:rsidR="00183128" w:rsidRPr="00FC7BB4">
        <w:rPr>
          <w:rFonts w:ascii="Times New Roman" w:hAnsi="Times New Roman" w:cs="Times New Roman"/>
          <w:i/>
          <w:iCs/>
          <w:sz w:val="24"/>
        </w:rPr>
        <w:t>d</w:t>
      </w:r>
      <w:r w:rsidR="00183128" w:rsidRPr="00FC7BB4">
        <w:rPr>
          <w:rFonts w:ascii="Times New Roman" w:hAnsi="Times New Roman" w:cs="Times New Roman"/>
          <w:sz w:val="24"/>
        </w:rPr>
        <w:t>=(</w:t>
      </w:r>
      <w:proofErr w:type="spellStart"/>
      <w:r w:rsidR="00183128" w:rsidRPr="00FC7BB4">
        <w:rPr>
          <w:rFonts w:ascii="Times New Roman" w:hAnsi="Times New Roman" w:cs="Times New Roman"/>
          <w:sz w:val="24"/>
        </w:rPr>
        <w:t>up+dn</w:t>
      </w:r>
      <w:proofErr w:type="spellEnd"/>
      <w:r w:rsidR="00183128" w:rsidRPr="00FC7BB4">
        <w:rPr>
          <w:rFonts w:ascii="Times New Roman" w:hAnsi="Times New Roman" w:cs="Times New Roman"/>
          <w:sz w:val="24"/>
        </w:rPr>
        <w:t xml:space="preserve">)). </w:t>
      </w:r>
      <w:bookmarkStart w:id="25" w:name="_Hlk213163805"/>
      <w:r w:rsidR="00183128" w:rsidRPr="00FC7BB4">
        <w:rPr>
          <w:rFonts w:ascii="Times New Roman" w:hAnsi="Times New Roman" w:cs="Times New Roman"/>
          <w:sz w:val="24"/>
        </w:rPr>
        <w:t>Accordingly, equation (1) is estimated separately for the proportion of firms increasing prices (</w:t>
      </w:r>
      <w:r w:rsidR="00183128" w:rsidRPr="00FC7BB4">
        <w:rPr>
          <w:rFonts w:ascii="Times New Roman" w:hAnsi="Times New Roman" w:cs="Times New Roman"/>
          <w:i/>
          <w:iCs/>
          <w:sz w:val="24"/>
        </w:rPr>
        <w:t>d</w:t>
      </w:r>
      <w:r w:rsidR="00183128" w:rsidRPr="00FC7BB4">
        <w:rPr>
          <w:rFonts w:ascii="Times New Roman" w:hAnsi="Times New Roman" w:cs="Times New Roman"/>
          <w:sz w:val="24"/>
        </w:rPr>
        <w:t>=up), decreasing prices (</w:t>
      </w:r>
      <w:r w:rsidR="00183128" w:rsidRPr="00FC7BB4">
        <w:rPr>
          <w:rFonts w:ascii="Times New Roman" w:hAnsi="Times New Roman" w:cs="Times New Roman"/>
          <w:i/>
          <w:iCs/>
          <w:sz w:val="24"/>
        </w:rPr>
        <w:t>d</w:t>
      </w:r>
      <w:r w:rsidR="00183128" w:rsidRPr="00FC7BB4">
        <w:rPr>
          <w:rFonts w:ascii="Times New Roman" w:hAnsi="Times New Roman" w:cs="Times New Roman"/>
          <w:sz w:val="24"/>
        </w:rPr>
        <w:t>=</w:t>
      </w:r>
      <w:proofErr w:type="spellStart"/>
      <w:r w:rsidR="00183128" w:rsidRPr="00FC7BB4">
        <w:rPr>
          <w:rFonts w:ascii="Times New Roman" w:hAnsi="Times New Roman" w:cs="Times New Roman"/>
          <w:sz w:val="24"/>
        </w:rPr>
        <w:t>dn</w:t>
      </w:r>
      <w:proofErr w:type="spellEnd"/>
      <w:r w:rsidR="00183128" w:rsidRPr="00FC7BB4">
        <w:rPr>
          <w:rFonts w:ascii="Times New Roman" w:hAnsi="Times New Roman" w:cs="Times New Roman"/>
          <w:sz w:val="24"/>
        </w:rPr>
        <w:t>) and changing prices (</w:t>
      </w:r>
      <w:r w:rsidR="00183128" w:rsidRPr="00FC7BB4">
        <w:rPr>
          <w:rFonts w:ascii="Times New Roman" w:hAnsi="Times New Roman" w:cs="Times New Roman"/>
          <w:i/>
          <w:iCs/>
          <w:sz w:val="24"/>
        </w:rPr>
        <w:t>d</w:t>
      </w:r>
      <w:r w:rsidR="00183128" w:rsidRPr="00FC7BB4">
        <w:rPr>
          <w:rFonts w:ascii="Times New Roman" w:hAnsi="Times New Roman" w:cs="Times New Roman"/>
          <w:sz w:val="24"/>
        </w:rPr>
        <w:t>=(</w:t>
      </w:r>
      <w:proofErr w:type="spellStart"/>
      <w:r w:rsidR="00183128" w:rsidRPr="00FC7BB4">
        <w:rPr>
          <w:rFonts w:ascii="Times New Roman" w:hAnsi="Times New Roman" w:cs="Times New Roman"/>
          <w:sz w:val="24"/>
        </w:rPr>
        <w:t>up+dn</w:t>
      </w:r>
      <w:proofErr w:type="spellEnd"/>
      <w:r w:rsidR="00183128" w:rsidRPr="00FC7BB4">
        <w:rPr>
          <w:rFonts w:ascii="Times New Roman" w:hAnsi="Times New Roman" w:cs="Times New Roman"/>
          <w:sz w:val="24"/>
        </w:rPr>
        <w:t xml:space="preserve">)). </w:t>
      </w:r>
      <w:bookmarkEnd w:id="25"/>
      <w:r w:rsidR="00183128" w:rsidRPr="00FC7BB4">
        <w:rPr>
          <w:rFonts w:ascii="Times New Roman" w:eastAsia="Cambria" w:hAnsi="Times New Roman" w:cs="Times New Roman"/>
          <w:i/>
          <w:sz w:val="24"/>
        </w:rPr>
        <w:t>π</w:t>
      </w:r>
      <w:r w:rsidR="00183128" w:rsidRPr="00FC7BB4">
        <w:rPr>
          <w:rFonts w:ascii="Times New Roman" w:eastAsia="Cambria" w:hAnsi="Times New Roman" w:cs="Times New Roman"/>
          <w:i/>
          <w:sz w:val="24"/>
          <w:vertAlign w:val="subscript"/>
        </w:rPr>
        <w:t>t</w:t>
      </w:r>
      <w:r w:rsidR="00183128" w:rsidRPr="00FC7BB4">
        <w:rPr>
          <w:rFonts w:ascii="Times New Roman" w:hAnsi="Times New Roman" w:cs="Times New Roman"/>
          <w:sz w:val="24"/>
        </w:rPr>
        <w:t xml:space="preserve"> denotes annual CPI inflation to quarter </w:t>
      </w:r>
      <w:r w:rsidR="00183128" w:rsidRPr="00FC7BB4">
        <w:rPr>
          <w:rFonts w:ascii="Times New Roman" w:eastAsia="Cambria" w:hAnsi="Times New Roman" w:cs="Times New Roman"/>
          <w:i/>
          <w:sz w:val="24"/>
        </w:rPr>
        <w:t>t</w:t>
      </w:r>
      <w:r w:rsidR="00183128" w:rsidRPr="00FC7BB4">
        <w:rPr>
          <w:rFonts w:ascii="Times New Roman" w:hAnsi="Times New Roman" w:cs="Times New Roman"/>
          <w:sz w:val="24"/>
        </w:rPr>
        <w:t xml:space="preserve">. The coefficient </w:t>
      </w:r>
      <w:r w:rsidR="00183128" w:rsidRPr="00FC7BB4">
        <w:rPr>
          <w:rFonts w:ascii="Times New Roman" w:eastAsia="Cambria" w:hAnsi="Times New Roman" w:cs="Times New Roman"/>
          <w:i/>
          <w:sz w:val="24"/>
        </w:rPr>
        <w:t>β</w:t>
      </w:r>
      <w:r w:rsidR="00183128" w:rsidRPr="00FC7BB4">
        <w:rPr>
          <w:rFonts w:ascii="Times New Roman" w:eastAsia="Cambria" w:hAnsi="Times New Roman" w:cs="Times New Roman"/>
          <w:i/>
          <w:sz w:val="24"/>
          <w:vertAlign w:val="superscript"/>
        </w:rPr>
        <w:t xml:space="preserve"> (</w:t>
      </w:r>
      <w:proofErr w:type="spellStart"/>
      <w:r w:rsidR="00183128" w:rsidRPr="00FC7BB4">
        <w:rPr>
          <w:rFonts w:ascii="Times New Roman" w:eastAsia="Cambria" w:hAnsi="Times New Roman" w:cs="Times New Roman"/>
          <w:i/>
          <w:sz w:val="24"/>
          <w:vertAlign w:val="superscript"/>
        </w:rPr>
        <w:t>up+dn</w:t>
      </w:r>
      <w:proofErr w:type="spellEnd"/>
      <w:r w:rsidR="00183128" w:rsidRPr="00FC7BB4">
        <w:rPr>
          <w:rFonts w:ascii="Times New Roman" w:eastAsia="Cambria" w:hAnsi="Times New Roman" w:cs="Times New Roman"/>
          <w:i/>
          <w:sz w:val="24"/>
          <w:vertAlign w:val="superscript"/>
        </w:rPr>
        <w:t>)</w:t>
      </w:r>
      <w:r w:rsidR="00183128" w:rsidRPr="00FC7BB4">
        <w:rPr>
          <w:rFonts w:ascii="Times New Roman" w:eastAsia="Cambria" w:hAnsi="Times New Roman" w:cs="Times New Roman"/>
          <w:i/>
          <w:iCs/>
          <w:sz w:val="24"/>
          <w:vertAlign w:val="subscript"/>
        </w:rPr>
        <w:t>2,t</w:t>
      </w:r>
      <w:r w:rsidR="00183128" w:rsidRPr="00FC7BB4">
        <w:rPr>
          <w:rFonts w:ascii="Times New Roman" w:eastAsia="Cambria" w:hAnsi="Times New Roman" w:cs="Times New Roman"/>
          <w:sz w:val="24"/>
        </w:rPr>
        <w:t xml:space="preserve"> for example,</w:t>
      </w:r>
      <w:r w:rsidR="00183128" w:rsidRPr="00FC7BB4">
        <w:rPr>
          <w:rFonts w:ascii="Times New Roman" w:eastAsia="Cambria" w:hAnsi="Times New Roman" w:cs="Times New Roman"/>
          <w:i/>
          <w:sz w:val="24"/>
        </w:rPr>
        <w:t xml:space="preserve"> </w:t>
      </w:r>
      <w:bookmarkStart w:id="26" w:name="_Hlk213163902"/>
      <w:r w:rsidR="00183128" w:rsidRPr="00FC7BB4">
        <w:rPr>
          <w:rFonts w:ascii="Times New Roman" w:hAnsi="Times New Roman" w:cs="Times New Roman"/>
          <w:sz w:val="24"/>
        </w:rPr>
        <w:t xml:space="preserve">estimates movement in the proportion of firms changing prices if inflation increases by one percent (as measured over the 30 quarter window ending in quarter </w:t>
      </w:r>
      <w:r w:rsidR="00183128" w:rsidRPr="00FC7BB4">
        <w:rPr>
          <w:rFonts w:ascii="Times New Roman" w:hAnsi="Times New Roman" w:cs="Times New Roman"/>
          <w:i/>
          <w:iCs/>
          <w:sz w:val="24"/>
        </w:rPr>
        <w:t>t</w:t>
      </w:r>
      <w:r w:rsidR="00183128" w:rsidRPr="00FC7BB4">
        <w:rPr>
          <w:rFonts w:ascii="Times New Roman" w:hAnsi="Times New Roman" w:cs="Times New Roman"/>
          <w:sz w:val="24"/>
        </w:rPr>
        <w:t xml:space="preserve">); </w:t>
      </w:r>
      <w:bookmarkEnd w:id="26"/>
      <w:r w:rsidR="00183128" w:rsidRPr="00FC7BB4">
        <w:rPr>
          <w:rFonts w:ascii="Times New Roman" w:hAnsi="Times New Roman" w:cs="Times New Roman"/>
          <w:sz w:val="24"/>
        </w:rPr>
        <w:t xml:space="preserve">an estimate for </w:t>
      </w:r>
      <w:r w:rsidR="00183128" w:rsidRPr="00FC7BB4">
        <w:rPr>
          <w:rFonts w:ascii="Times New Roman" w:eastAsia="Cambria" w:hAnsi="Times New Roman" w:cs="Times New Roman"/>
          <w:i/>
          <w:sz w:val="24"/>
        </w:rPr>
        <w:t>β</w:t>
      </w:r>
      <w:r w:rsidR="00183128" w:rsidRPr="00FC7BB4">
        <w:rPr>
          <w:rFonts w:ascii="Times New Roman" w:eastAsia="Cambria" w:hAnsi="Times New Roman" w:cs="Times New Roman"/>
          <w:i/>
          <w:sz w:val="24"/>
          <w:vertAlign w:val="superscript"/>
        </w:rPr>
        <w:t xml:space="preserve"> (</w:t>
      </w:r>
      <w:proofErr w:type="spellStart"/>
      <w:r w:rsidR="00183128" w:rsidRPr="00FC7BB4">
        <w:rPr>
          <w:rFonts w:ascii="Times New Roman" w:eastAsia="Cambria" w:hAnsi="Times New Roman" w:cs="Times New Roman"/>
          <w:i/>
          <w:sz w:val="24"/>
          <w:vertAlign w:val="superscript"/>
        </w:rPr>
        <w:t>up+dn</w:t>
      </w:r>
      <w:proofErr w:type="spellEnd"/>
      <w:r w:rsidR="00183128" w:rsidRPr="00FC7BB4">
        <w:rPr>
          <w:rFonts w:ascii="Times New Roman" w:eastAsia="Cambria" w:hAnsi="Times New Roman" w:cs="Times New Roman"/>
          <w:i/>
          <w:sz w:val="24"/>
          <w:vertAlign w:val="superscript"/>
        </w:rPr>
        <w:t>)</w:t>
      </w:r>
      <w:r w:rsidR="00183128" w:rsidRPr="00FC7BB4">
        <w:rPr>
          <w:rFonts w:ascii="Times New Roman" w:eastAsia="Cambria" w:hAnsi="Times New Roman" w:cs="Times New Roman"/>
          <w:i/>
          <w:iCs/>
          <w:sz w:val="24"/>
          <w:vertAlign w:val="subscript"/>
        </w:rPr>
        <w:t>2,t</w:t>
      </w:r>
      <w:r w:rsidR="00183128" w:rsidRPr="00FC7BB4">
        <w:rPr>
          <w:rFonts w:ascii="Times New Roman" w:eastAsia="Cambria" w:hAnsi="Times New Roman" w:cs="Times New Roman"/>
          <w:i/>
          <w:sz w:val="24"/>
        </w:rPr>
        <w:t xml:space="preserve"> </w:t>
      </w:r>
      <w:r w:rsidR="00183128" w:rsidRPr="00FC7BB4">
        <w:rPr>
          <w:rFonts w:ascii="Times New Roman" w:hAnsi="Times New Roman" w:cs="Times New Roman"/>
          <w:sz w:val="24"/>
        </w:rPr>
        <w:t xml:space="preserve">of 0.2 </w:t>
      </w:r>
      <w:bookmarkStart w:id="27" w:name="_Hlk213163969"/>
      <w:r w:rsidR="00183128" w:rsidRPr="00FC7BB4">
        <w:rPr>
          <w:rFonts w:ascii="Times New Roman" w:hAnsi="Times New Roman" w:cs="Times New Roman"/>
          <w:sz w:val="24"/>
        </w:rPr>
        <w:t xml:space="preserve">would </w:t>
      </w:r>
      <w:bookmarkStart w:id="28" w:name="_Hlk213163933"/>
      <w:r w:rsidR="00183128" w:rsidRPr="00FC7BB4">
        <w:rPr>
          <w:rFonts w:ascii="Times New Roman" w:hAnsi="Times New Roman" w:cs="Times New Roman"/>
          <w:sz w:val="24"/>
        </w:rPr>
        <w:t>mean a one percent higher inflation rate is associated with 20 percent more firms changing prices in that 30-quarter window</w:t>
      </w:r>
      <w:r w:rsidRPr="00FC7BB4">
        <w:rPr>
          <w:rFonts w:ascii="Times New Roman" w:hAnsi="Times New Roman" w:cs="Times New Roman"/>
          <w:sz w:val="24"/>
        </w:rPr>
        <w:t>.</w:t>
      </w:r>
      <w:bookmarkEnd w:id="27"/>
      <w:bookmarkEnd w:id="28"/>
      <w:r w:rsidRPr="00FC7BB4">
        <w:rPr>
          <w:rStyle w:val="FootnoteReference"/>
          <w:rFonts w:ascii="Times New Roman" w:hAnsi="Times New Roman" w:cs="Times New Roman"/>
          <w:sz w:val="24"/>
        </w:rPr>
        <w:footnoteReference w:id="12"/>
      </w:r>
      <w:r w:rsidRPr="00FC7BB4">
        <w:rPr>
          <w:rFonts w:ascii="Times New Roman" w:hAnsi="Times New Roman" w:cs="Times New Roman"/>
          <w:sz w:val="24"/>
        </w:rPr>
        <w:t xml:space="preserve">  </w:t>
      </w:r>
    </w:p>
    <w:p w14:paraId="166389A6" w14:textId="2EA480AB" w:rsidR="003D0399" w:rsidRPr="00FC7BB4" w:rsidRDefault="003D0399" w:rsidP="00F3101B">
      <w:pPr>
        <w:pStyle w:val="PlainText"/>
        <w:shd w:val="clear" w:color="auto" w:fill="FFFFFF" w:themeFill="background1"/>
        <w:spacing w:line="360" w:lineRule="auto"/>
        <w:ind w:right="27" w:firstLine="284"/>
        <w:jc w:val="both"/>
        <w:rPr>
          <w:rFonts w:ascii="Times New Roman" w:hAnsi="Times New Roman" w:cs="Times New Roman"/>
          <w:sz w:val="24"/>
        </w:rPr>
      </w:pPr>
      <w:bookmarkStart w:id="29" w:name="_Hlk213162901"/>
      <w:bookmarkStart w:id="30" w:name="_Hlk213162872"/>
      <w:r w:rsidRPr="00FC7BB4">
        <w:rPr>
          <w:rFonts w:ascii="Times New Roman" w:hAnsi="Times New Roman" w:cs="Times New Roman"/>
          <w:sz w:val="24"/>
        </w:rPr>
        <w:t xml:space="preserve">Figure 3 shows three estimated time-varying relationships: </w:t>
      </w:r>
      <w:bookmarkEnd w:id="29"/>
      <w:r w:rsidRPr="00FC7BB4">
        <w:rPr>
          <w:rFonts w:ascii="Times New Roman" w:hAnsi="Times New Roman" w:cs="Times New Roman"/>
          <w:sz w:val="24"/>
        </w:rPr>
        <w:t>Panel (</w:t>
      </w:r>
      <w:proofErr w:type="spellStart"/>
      <w:r w:rsidRPr="00FC7BB4">
        <w:rPr>
          <w:rFonts w:ascii="Times New Roman" w:hAnsi="Times New Roman" w:cs="Times New Roman"/>
          <w:sz w:val="24"/>
        </w:rPr>
        <w:t>i</w:t>
      </w:r>
      <w:proofErr w:type="spellEnd"/>
      <w:r w:rsidRPr="00FC7BB4">
        <w:rPr>
          <w:rFonts w:ascii="Times New Roman" w:hAnsi="Times New Roman" w:cs="Times New Roman"/>
          <w:sz w:val="24"/>
        </w:rPr>
        <w:t xml:space="preserve">) shows the time-varying estimate of </w:t>
      </w:r>
      <w:r w:rsidRPr="00FC7BB4">
        <w:rPr>
          <w:rFonts w:ascii="Times New Roman" w:eastAsia="Cambria" w:hAnsi="Times New Roman" w:cs="Times New Roman"/>
          <w:i/>
          <w:sz w:val="24"/>
        </w:rPr>
        <w:t>β</w:t>
      </w:r>
      <w:r w:rsidRPr="00FC7BB4">
        <w:rPr>
          <w:rFonts w:ascii="Times New Roman" w:eastAsia="Cambria" w:hAnsi="Times New Roman" w:cs="Times New Roman"/>
          <w:i/>
          <w:sz w:val="24"/>
          <w:vertAlign w:val="superscript"/>
        </w:rPr>
        <w:t>d</w:t>
      </w:r>
      <w:r w:rsidRPr="00FC7BB4">
        <w:rPr>
          <w:rFonts w:ascii="Times New Roman" w:eastAsia="Cambria" w:hAnsi="Times New Roman" w:cs="Times New Roman"/>
          <w:sz w:val="24"/>
          <w:vertAlign w:val="subscript"/>
        </w:rPr>
        <w:t>2</w:t>
      </w:r>
      <w:r w:rsidR="004531B2" w:rsidRPr="00FC7BB4">
        <w:rPr>
          <w:rFonts w:ascii="Times New Roman" w:eastAsia="Cambria" w:hAnsi="Times New Roman" w:cs="Times New Roman"/>
          <w:sz w:val="24"/>
          <w:vertAlign w:val="subscript"/>
        </w:rPr>
        <w:t>,</w:t>
      </w:r>
      <w:r w:rsidRPr="00FC7BB4">
        <w:rPr>
          <w:rFonts w:ascii="Times New Roman" w:eastAsia="Cambria" w:hAnsi="Times New Roman" w:cs="Times New Roman"/>
          <w:i/>
          <w:sz w:val="24"/>
          <w:vertAlign w:val="subscript"/>
        </w:rPr>
        <w:t>t</w:t>
      </w:r>
      <w:r w:rsidRPr="00FC7BB4">
        <w:rPr>
          <w:rFonts w:ascii="Times New Roman" w:hAnsi="Times New Roman" w:cs="Times New Roman"/>
          <w:sz w:val="24"/>
        </w:rPr>
        <w:t xml:space="preserve"> </w:t>
      </w:r>
      <w:bookmarkStart w:id="31" w:name="_Hlk213162935"/>
      <w:r w:rsidRPr="00FC7BB4">
        <w:rPr>
          <w:rFonts w:ascii="Times New Roman" w:hAnsi="Times New Roman" w:cs="Times New Roman"/>
          <w:sz w:val="24"/>
        </w:rPr>
        <w:t xml:space="preserve">for inflation and </w:t>
      </w:r>
      <w:r w:rsidR="00B406F9" w:rsidRPr="00FC7BB4">
        <w:rPr>
          <w:rFonts w:ascii="Times New Roman" w:hAnsi="Times New Roman" w:cs="Times New Roman"/>
          <w:sz w:val="24"/>
        </w:rPr>
        <w:t xml:space="preserve">the </w:t>
      </w:r>
      <w:r w:rsidRPr="00FC7BB4">
        <w:rPr>
          <w:rFonts w:ascii="Times New Roman" w:hAnsi="Times New Roman" w:cs="Times New Roman"/>
          <w:sz w:val="24"/>
        </w:rPr>
        <w:t xml:space="preserve">proportion of firms increasing or decreasing prices </w:t>
      </w:r>
      <w:bookmarkEnd w:id="31"/>
      <w:r w:rsidRPr="00FC7BB4">
        <w:rPr>
          <w:rFonts w:ascii="Times New Roman" w:hAnsi="Times New Roman" w:cs="Times New Roman"/>
          <w:sz w:val="24"/>
        </w:rPr>
        <w:t>(</w:t>
      </w:r>
      <w:r w:rsidRPr="00FC7BB4">
        <w:rPr>
          <w:rFonts w:ascii="Times New Roman" w:hAnsi="Times New Roman" w:cs="Times New Roman"/>
          <w:i/>
          <w:iCs/>
          <w:sz w:val="24"/>
        </w:rPr>
        <w:t>d</w:t>
      </w:r>
      <w:r w:rsidRPr="00FC7BB4">
        <w:rPr>
          <w:rFonts w:ascii="Times New Roman" w:hAnsi="Times New Roman" w:cs="Times New Roman"/>
          <w:sz w:val="24"/>
        </w:rPr>
        <w:t>=</w:t>
      </w:r>
      <w:proofErr w:type="spellStart"/>
      <w:r w:rsidRPr="00FC7BB4">
        <w:rPr>
          <w:rFonts w:ascii="Times New Roman" w:hAnsi="Times New Roman" w:cs="Times New Roman"/>
          <w:sz w:val="24"/>
        </w:rPr>
        <w:t>up+dn</w:t>
      </w:r>
      <w:proofErr w:type="spellEnd"/>
      <w:r w:rsidRPr="00FC7BB4">
        <w:rPr>
          <w:rFonts w:ascii="Times New Roman" w:hAnsi="Times New Roman" w:cs="Times New Roman"/>
          <w:sz w:val="24"/>
        </w:rPr>
        <w:t xml:space="preserve">); Panel (ii) shows the time-varying estimate of </w:t>
      </w:r>
      <w:r w:rsidRPr="00FC7BB4">
        <w:rPr>
          <w:rFonts w:ascii="Times New Roman" w:eastAsia="Cambria" w:hAnsi="Times New Roman" w:cs="Times New Roman"/>
          <w:i/>
          <w:sz w:val="24"/>
        </w:rPr>
        <w:t>β</w:t>
      </w:r>
      <w:r w:rsidRPr="00FC7BB4">
        <w:rPr>
          <w:rFonts w:ascii="Times New Roman" w:eastAsia="Cambria" w:hAnsi="Times New Roman" w:cs="Times New Roman"/>
          <w:i/>
          <w:sz w:val="24"/>
          <w:vertAlign w:val="superscript"/>
        </w:rPr>
        <w:t>d</w:t>
      </w:r>
      <w:r w:rsidRPr="00FC7BB4">
        <w:rPr>
          <w:rFonts w:ascii="Times New Roman" w:eastAsia="Cambria" w:hAnsi="Times New Roman" w:cs="Times New Roman"/>
          <w:sz w:val="24"/>
          <w:vertAlign w:val="subscript"/>
        </w:rPr>
        <w:t>2</w:t>
      </w:r>
      <w:r w:rsidR="00B5087A" w:rsidRPr="00FC7BB4">
        <w:rPr>
          <w:rFonts w:ascii="Times New Roman" w:eastAsia="Cambria" w:hAnsi="Times New Roman" w:cs="Times New Roman"/>
          <w:sz w:val="24"/>
          <w:vertAlign w:val="subscript"/>
        </w:rPr>
        <w:t>,</w:t>
      </w:r>
      <w:r w:rsidRPr="00FC7BB4">
        <w:rPr>
          <w:rFonts w:ascii="Times New Roman" w:eastAsia="Cambria" w:hAnsi="Times New Roman" w:cs="Times New Roman"/>
          <w:i/>
          <w:sz w:val="24"/>
          <w:vertAlign w:val="subscript"/>
        </w:rPr>
        <w:t>t</w:t>
      </w:r>
      <w:r w:rsidRPr="00FC7BB4">
        <w:rPr>
          <w:rFonts w:ascii="Times New Roman" w:hAnsi="Times New Roman" w:cs="Times New Roman"/>
          <w:sz w:val="24"/>
        </w:rPr>
        <w:t xml:space="preserve"> for price increases (</w:t>
      </w:r>
      <w:r w:rsidRPr="00FC7BB4">
        <w:rPr>
          <w:rFonts w:ascii="Times New Roman" w:hAnsi="Times New Roman" w:cs="Times New Roman"/>
          <w:i/>
          <w:iCs/>
          <w:sz w:val="24"/>
        </w:rPr>
        <w:t>d</w:t>
      </w:r>
      <w:r w:rsidRPr="00FC7BB4">
        <w:rPr>
          <w:rFonts w:ascii="Times New Roman" w:hAnsi="Times New Roman" w:cs="Times New Roman"/>
          <w:sz w:val="24"/>
        </w:rPr>
        <w:t>=up); and Panel (iii) is for price decreases (</w:t>
      </w:r>
      <w:r w:rsidRPr="00FC7BB4">
        <w:rPr>
          <w:rFonts w:ascii="Times New Roman" w:hAnsi="Times New Roman" w:cs="Times New Roman"/>
          <w:i/>
          <w:iCs/>
          <w:sz w:val="24"/>
        </w:rPr>
        <w:t>d</w:t>
      </w:r>
      <w:r w:rsidRPr="00FC7BB4">
        <w:rPr>
          <w:rFonts w:ascii="Times New Roman" w:hAnsi="Times New Roman" w:cs="Times New Roman"/>
          <w:sz w:val="24"/>
        </w:rPr>
        <w:t>=</w:t>
      </w:r>
      <w:proofErr w:type="spellStart"/>
      <w:r w:rsidRPr="00FC7BB4">
        <w:rPr>
          <w:rFonts w:ascii="Times New Roman" w:hAnsi="Times New Roman" w:cs="Times New Roman"/>
          <w:sz w:val="24"/>
        </w:rPr>
        <w:t>dn</w:t>
      </w:r>
      <w:proofErr w:type="spellEnd"/>
      <w:r w:rsidRPr="00FC7BB4">
        <w:rPr>
          <w:rFonts w:ascii="Times New Roman" w:hAnsi="Times New Roman" w:cs="Times New Roman"/>
          <w:sz w:val="24"/>
        </w:rPr>
        <w:t>). The quarter on the horizontal axis represents the last quarter of the regression window.</w:t>
      </w:r>
      <w:r w:rsidRPr="00FC7BB4">
        <w:rPr>
          <w:rFonts w:ascii="Times New Roman" w:hAnsi="Times New Roman" w:cs="Times New Roman"/>
          <w:b/>
          <w:bCs/>
          <w:sz w:val="24"/>
        </w:rPr>
        <w:t xml:space="preserve"> </w:t>
      </w:r>
    </w:p>
    <w:p w14:paraId="5428143B" w14:textId="53DEDAAC" w:rsidR="003D0399" w:rsidRPr="00FC7BB4" w:rsidRDefault="003D0399" w:rsidP="00F3101B">
      <w:pPr>
        <w:spacing w:after="0" w:line="331" w:lineRule="auto"/>
        <w:ind w:left="-17" w:right="27"/>
        <w:rPr>
          <w:rFonts w:ascii="Times New Roman" w:hAnsi="Times New Roman" w:cs="Times New Roman"/>
          <w:sz w:val="24"/>
        </w:rPr>
      </w:pPr>
      <w:bookmarkStart w:id="32" w:name="_Hlk213162998"/>
      <w:r w:rsidRPr="00FC7BB4">
        <w:rPr>
          <w:rFonts w:ascii="Times New Roman" w:hAnsi="Times New Roman" w:cs="Times New Roman"/>
          <w:sz w:val="24"/>
        </w:rPr>
        <w:t xml:space="preserve">A significant change over time in the relationship between the proportion of firms changing prices and inflation is evident from </w:t>
      </w:r>
      <w:r w:rsidRPr="00FC7BB4">
        <w:rPr>
          <w:rFonts w:ascii="Times New Roman" w:hAnsi="Times New Roman" w:cs="Times New Roman"/>
          <w:color w:val="auto"/>
          <w:sz w:val="24"/>
        </w:rPr>
        <w:t xml:space="preserve">Figure 3. </w:t>
      </w:r>
      <w:bookmarkEnd w:id="32"/>
      <w:r w:rsidRPr="00FC7BB4">
        <w:rPr>
          <w:rFonts w:ascii="Times New Roman" w:hAnsi="Times New Roman" w:cs="Times New Roman"/>
          <w:sz w:val="24"/>
        </w:rPr>
        <w:t xml:space="preserve">The estimates of </w:t>
      </w:r>
      <w:r w:rsidRPr="00FC7BB4">
        <w:rPr>
          <w:rFonts w:ascii="Times New Roman" w:eastAsia="Cambria" w:hAnsi="Times New Roman" w:cs="Times New Roman"/>
          <w:i/>
          <w:sz w:val="24"/>
        </w:rPr>
        <w:t>β</w:t>
      </w:r>
      <w:r w:rsidRPr="00FC7BB4">
        <w:rPr>
          <w:rFonts w:ascii="Times New Roman" w:eastAsia="Cambria" w:hAnsi="Times New Roman" w:cs="Times New Roman"/>
          <w:i/>
          <w:sz w:val="24"/>
          <w:vertAlign w:val="superscript"/>
        </w:rPr>
        <w:t>(</w:t>
      </w:r>
      <w:proofErr w:type="spellStart"/>
      <w:r w:rsidRPr="00FC7BB4">
        <w:rPr>
          <w:rFonts w:ascii="Times New Roman" w:eastAsia="Cambria" w:hAnsi="Times New Roman" w:cs="Times New Roman"/>
          <w:i/>
          <w:sz w:val="24"/>
          <w:vertAlign w:val="superscript"/>
        </w:rPr>
        <w:t>up+dn</w:t>
      </w:r>
      <w:proofErr w:type="spellEnd"/>
      <w:r w:rsidRPr="00FC7BB4">
        <w:rPr>
          <w:rFonts w:ascii="Times New Roman" w:eastAsia="Cambria" w:hAnsi="Times New Roman" w:cs="Times New Roman"/>
          <w:i/>
          <w:sz w:val="24"/>
          <w:vertAlign w:val="superscript"/>
        </w:rPr>
        <w:t>)</w:t>
      </w:r>
      <w:proofErr w:type="gramStart"/>
      <w:r w:rsidRPr="00FC7BB4">
        <w:rPr>
          <w:rFonts w:ascii="Times New Roman" w:eastAsia="Cambria" w:hAnsi="Times New Roman" w:cs="Times New Roman"/>
          <w:i/>
          <w:iCs/>
          <w:sz w:val="24"/>
          <w:vertAlign w:val="subscript"/>
        </w:rPr>
        <w:t>2</w:t>
      </w:r>
      <w:r w:rsidR="00B5087A" w:rsidRPr="00FC7BB4">
        <w:rPr>
          <w:rFonts w:ascii="Times New Roman" w:eastAsia="Cambria" w:hAnsi="Times New Roman" w:cs="Times New Roman"/>
          <w:i/>
          <w:iCs/>
          <w:sz w:val="24"/>
          <w:vertAlign w:val="subscript"/>
        </w:rPr>
        <w:t>,t</w:t>
      </w:r>
      <w:proofErr w:type="gramEnd"/>
      <w:r w:rsidRPr="00FC7BB4">
        <w:rPr>
          <w:rFonts w:ascii="Times New Roman" w:hAnsi="Times New Roman" w:cs="Times New Roman"/>
          <w:color w:val="auto"/>
          <w:sz w:val="24"/>
        </w:rPr>
        <w:t xml:space="preserve"> are substantially larger once the COVID era is included in the rolling regression window; </w:t>
      </w:r>
      <w:bookmarkStart w:id="33" w:name="_Hlk213163030"/>
      <w:r w:rsidRPr="00FC7BB4">
        <w:rPr>
          <w:rFonts w:ascii="Times New Roman" w:hAnsi="Times New Roman" w:cs="Times New Roman"/>
          <w:color w:val="auto"/>
          <w:sz w:val="24"/>
        </w:rPr>
        <w:t>indeed, the estimates are larger even than during much higher rates of inflation during the 1970s and 1980s. In fact, this rise in the sensitivity coefficient appears to have been</w:t>
      </w:r>
      <w:r w:rsidRPr="00FC7BB4">
        <w:rPr>
          <w:rFonts w:ascii="Times New Roman" w:hAnsi="Times New Roman" w:cs="Times New Roman"/>
          <w:sz w:val="24"/>
        </w:rPr>
        <w:t xml:space="preserve"> present since the regression window ends around 2000. This suggests the relationship started to change in the 1990s, but low inflation during the subsequent three decades, the “Great Moderation”, masked </w:t>
      </w:r>
      <w:r w:rsidRPr="00FC7BB4">
        <w:rPr>
          <w:rFonts w:ascii="Times New Roman" w:hAnsi="Times New Roman" w:cs="Times New Roman"/>
          <w:sz w:val="24"/>
        </w:rPr>
        <w:lastRenderedPageBreak/>
        <w:t xml:space="preserve">evidence of a possible change in pricing behaviour, until the COVID episode of high inflation. </w:t>
      </w:r>
      <w:r w:rsidR="004531B2" w:rsidRPr="00FC7BB4">
        <w:rPr>
          <w:rFonts w:ascii="Times New Roman" w:hAnsi="Times New Roman" w:cs="Times New Roman"/>
          <w:color w:val="auto"/>
          <w:sz w:val="24"/>
        </w:rPr>
        <w:t>T</w:t>
      </w:r>
      <w:r w:rsidR="002752BC" w:rsidRPr="00FC7BB4">
        <w:rPr>
          <w:rFonts w:ascii="Times New Roman" w:hAnsi="Times New Roman" w:cs="Times New Roman"/>
          <w:sz w:val="24"/>
        </w:rPr>
        <w:t xml:space="preserve">he </w:t>
      </w:r>
      <w:r w:rsidR="00B40985" w:rsidRPr="00FC7BB4">
        <w:rPr>
          <w:rFonts w:ascii="Times New Roman" w:hAnsi="Times New Roman" w:cs="Times New Roman"/>
          <w:color w:val="auto"/>
          <w:sz w:val="24"/>
        </w:rPr>
        <w:t xml:space="preserve">rise in the sensitivity coefficient </w:t>
      </w:r>
      <w:r w:rsidR="00E755DA" w:rsidRPr="00FC7BB4">
        <w:rPr>
          <w:rFonts w:ascii="Times New Roman" w:hAnsi="Times New Roman" w:cs="Times New Roman"/>
          <w:sz w:val="24"/>
        </w:rPr>
        <w:t>indicates</w:t>
      </w:r>
      <w:r w:rsidR="002752BC" w:rsidRPr="00FC7BB4">
        <w:rPr>
          <w:rFonts w:ascii="Times New Roman" w:hAnsi="Times New Roman" w:cs="Times New Roman"/>
          <w:sz w:val="24"/>
        </w:rPr>
        <w:t xml:space="preserve"> that the inflation accelerator</w:t>
      </w:r>
      <w:r w:rsidR="001057B2" w:rsidRPr="00FC7BB4">
        <w:rPr>
          <w:rFonts w:ascii="Times New Roman" w:hAnsi="Times New Roman" w:cs="Times New Roman"/>
          <w:sz w:val="24"/>
        </w:rPr>
        <w:t xml:space="preserve"> (</w:t>
      </w:r>
      <w:r w:rsidR="002752BC" w:rsidRPr="00FC7BB4">
        <w:rPr>
          <w:rFonts w:ascii="Times New Roman" w:hAnsi="Times New Roman" w:cs="Times New Roman"/>
          <w:sz w:val="24"/>
        </w:rPr>
        <w:t xml:space="preserve">the endogenous </w:t>
      </w:r>
      <w:r w:rsidR="00980BD4" w:rsidRPr="00FC7BB4">
        <w:rPr>
          <w:rFonts w:ascii="Times New Roman" w:hAnsi="Times New Roman" w:cs="Times New Roman"/>
          <w:sz w:val="24"/>
        </w:rPr>
        <w:t xml:space="preserve">relationship </w:t>
      </w:r>
      <w:r w:rsidR="002752BC" w:rsidRPr="00FC7BB4">
        <w:rPr>
          <w:rFonts w:ascii="Times New Roman" w:hAnsi="Times New Roman" w:cs="Times New Roman"/>
          <w:sz w:val="24"/>
        </w:rPr>
        <w:t>between inflation and price adjustments</w:t>
      </w:r>
      <w:r w:rsidR="001057B2" w:rsidRPr="00FC7BB4">
        <w:rPr>
          <w:rFonts w:ascii="Times New Roman" w:hAnsi="Times New Roman" w:cs="Times New Roman"/>
          <w:sz w:val="24"/>
        </w:rPr>
        <w:t xml:space="preserve">) </w:t>
      </w:r>
      <w:r w:rsidR="002752BC" w:rsidRPr="00FC7BB4">
        <w:rPr>
          <w:rFonts w:ascii="Times New Roman" w:hAnsi="Times New Roman" w:cs="Times New Roman"/>
          <w:sz w:val="24"/>
        </w:rPr>
        <w:t xml:space="preserve">has intensified, </w:t>
      </w:r>
      <w:r w:rsidR="00E31922" w:rsidRPr="00FC7BB4">
        <w:rPr>
          <w:rFonts w:ascii="Times New Roman" w:hAnsi="Times New Roman" w:cs="Times New Roman"/>
          <w:sz w:val="24"/>
        </w:rPr>
        <w:t>suggesting</w:t>
      </w:r>
      <w:r w:rsidR="002752BC" w:rsidRPr="00FC7BB4">
        <w:rPr>
          <w:rFonts w:ascii="Times New Roman" w:hAnsi="Times New Roman" w:cs="Times New Roman"/>
          <w:sz w:val="24"/>
        </w:rPr>
        <w:t xml:space="preserve"> a steeper Phillips Curve at higher inflation levels</w:t>
      </w:r>
      <w:r w:rsidR="001057B2" w:rsidRPr="00FC7BB4">
        <w:rPr>
          <w:rFonts w:ascii="Times New Roman" w:hAnsi="Times New Roman" w:cs="Times New Roman"/>
          <w:sz w:val="24"/>
        </w:rPr>
        <w:t>.</w:t>
      </w:r>
    </w:p>
    <w:p w14:paraId="209CFFFD" w14:textId="69F1328A" w:rsidR="003D0399" w:rsidRPr="00FC7BB4" w:rsidRDefault="003D0399" w:rsidP="00F3101B">
      <w:pPr>
        <w:spacing w:after="0" w:line="331" w:lineRule="auto"/>
        <w:ind w:left="-17" w:right="27"/>
        <w:rPr>
          <w:rFonts w:ascii="Times New Roman" w:hAnsi="Times New Roman" w:cs="Times New Roman"/>
          <w:color w:val="auto"/>
          <w:sz w:val="24"/>
        </w:rPr>
      </w:pPr>
      <w:bookmarkStart w:id="34" w:name="_Hlk213163091"/>
      <w:bookmarkEnd w:id="33"/>
      <w:r w:rsidRPr="00FC7BB4">
        <w:rPr>
          <w:rFonts w:ascii="Times New Roman" w:hAnsi="Times New Roman" w:cs="Times New Roman"/>
          <w:color w:val="auto"/>
          <w:sz w:val="24"/>
        </w:rPr>
        <w:t>The change in the relationship between inflation and the proportion of firms changing prices per quarter is especially evident for price increases.</w:t>
      </w:r>
      <w:bookmarkEnd w:id="34"/>
      <w:r w:rsidRPr="00FC7BB4">
        <w:rPr>
          <w:rFonts w:ascii="Times New Roman" w:hAnsi="Times New Roman" w:cs="Times New Roman"/>
          <w:color w:val="auto"/>
          <w:sz w:val="24"/>
        </w:rPr>
        <w:t xml:space="preserve"> The time series estimates for </w:t>
      </w:r>
      <w:r w:rsidRPr="00FC7BB4">
        <w:rPr>
          <w:rFonts w:ascii="Times New Roman" w:eastAsia="Cambria" w:hAnsi="Times New Roman" w:cs="Times New Roman"/>
          <w:i/>
          <w:sz w:val="24"/>
        </w:rPr>
        <w:t>β</w:t>
      </w:r>
      <w:r w:rsidRPr="00FC7BB4">
        <w:rPr>
          <w:rFonts w:ascii="Times New Roman" w:eastAsia="Cambria" w:hAnsi="Times New Roman" w:cs="Times New Roman"/>
          <w:i/>
          <w:sz w:val="24"/>
          <w:vertAlign w:val="superscript"/>
        </w:rPr>
        <w:t>(up)</w:t>
      </w:r>
      <w:proofErr w:type="gramStart"/>
      <w:r w:rsidRPr="00FC7BB4">
        <w:rPr>
          <w:rFonts w:ascii="Times New Roman" w:eastAsia="Cambria" w:hAnsi="Times New Roman" w:cs="Times New Roman"/>
          <w:sz w:val="24"/>
          <w:vertAlign w:val="subscript"/>
        </w:rPr>
        <w:t>2</w:t>
      </w:r>
      <w:r w:rsidR="00DA6647" w:rsidRPr="00FC7BB4">
        <w:rPr>
          <w:rFonts w:ascii="Times New Roman" w:eastAsia="Cambria" w:hAnsi="Times New Roman" w:cs="Times New Roman"/>
          <w:sz w:val="24"/>
          <w:vertAlign w:val="subscript"/>
        </w:rPr>
        <w:t>,</w:t>
      </w:r>
      <w:r w:rsidRPr="00FC7BB4">
        <w:rPr>
          <w:rFonts w:ascii="Times New Roman" w:eastAsia="Cambria" w:hAnsi="Times New Roman" w:cs="Times New Roman"/>
          <w:i/>
          <w:sz w:val="24"/>
          <w:vertAlign w:val="subscript"/>
        </w:rPr>
        <w:t>t</w:t>
      </w:r>
      <w:proofErr w:type="gramEnd"/>
      <w:r w:rsidRPr="00FC7BB4">
        <w:rPr>
          <w:rFonts w:ascii="Times New Roman" w:hAnsi="Times New Roman" w:cs="Times New Roman"/>
          <w:color w:val="auto"/>
          <w:sz w:val="24"/>
        </w:rPr>
        <w:t xml:space="preserve"> indicate variation around 0.03 until the mid-1990s. </w:t>
      </w:r>
      <w:bookmarkStart w:id="35" w:name="_Hlk213163128"/>
      <w:r w:rsidRPr="00FC7BB4">
        <w:rPr>
          <w:rFonts w:ascii="Times New Roman" w:hAnsi="Times New Roman" w:cs="Times New Roman"/>
          <w:color w:val="auto"/>
          <w:sz w:val="24"/>
        </w:rPr>
        <w:t xml:space="preserve">Thereafter, the coefficient estimates start to increase and subsequently have on average been significantly higher than for prior decades. They are on average about twice as high since the mid-1990s than for previous decades, including during the high inflation episodes in the 1970s and 1980s. </w:t>
      </w:r>
    </w:p>
    <w:bookmarkEnd w:id="35"/>
    <w:p w14:paraId="17D71191" w14:textId="15323131" w:rsidR="005D6674" w:rsidRPr="00FC7BB4" w:rsidRDefault="003D0399" w:rsidP="00F3101B">
      <w:pPr>
        <w:spacing w:after="0" w:line="331" w:lineRule="auto"/>
        <w:ind w:right="27" w:firstLine="272"/>
        <w:rPr>
          <w:rFonts w:ascii="Times New Roman" w:hAnsi="Times New Roman" w:cs="Times New Roman"/>
          <w:color w:val="auto"/>
          <w:sz w:val="24"/>
        </w:rPr>
      </w:pPr>
      <w:r w:rsidRPr="00FC7BB4">
        <w:rPr>
          <w:rFonts w:ascii="Times New Roman" w:hAnsi="Times New Roman" w:cs="Times New Roman"/>
          <w:color w:val="auto"/>
          <w:sz w:val="24"/>
        </w:rPr>
        <w:t xml:space="preserve">The estimate of the coefficients for price decreases </w:t>
      </w:r>
      <w:r w:rsidRPr="00FC7BB4">
        <w:rPr>
          <w:rFonts w:ascii="Times New Roman" w:eastAsia="Cambria" w:hAnsi="Times New Roman" w:cs="Times New Roman"/>
          <w:i/>
          <w:sz w:val="24"/>
        </w:rPr>
        <w:t>β</w:t>
      </w:r>
      <w:r w:rsidRPr="00FC7BB4">
        <w:rPr>
          <w:rFonts w:ascii="Times New Roman" w:eastAsia="Cambria" w:hAnsi="Times New Roman" w:cs="Times New Roman"/>
          <w:i/>
          <w:sz w:val="24"/>
          <w:vertAlign w:val="superscript"/>
        </w:rPr>
        <w:t>(</w:t>
      </w:r>
      <w:proofErr w:type="spellStart"/>
      <w:r w:rsidRPr="00FC7BB4">
        <w:rPr>
          <w:rFonts w:ascii="Times New Roman" w:eastAsia="Cambria" w:hAnsi="Times New Roman" w:cs="Times New Roman"/>
          <w:i/>
          <w:sz w:val="24"/>
          <w:vertAlign w:val="superscript"/>
        </w:rPr>
        <w:t>dn</w:t>
      </w:r>
      <w:proofErr w:type="spellEnd"/>
      <w:r w:rsidRPr="00FC7BB4">
        <w:rPr>
          <w:rFonts w:ascii="Times New Roman" w:eastAsia="Cambria" w:hAnsi="Times New Roman" w:cs="Times New Roman"/>
          <w:i/>
          <w:sz w:val="24"/>
          <w:vertAlign w:val="superscript"/>
        </w:rPr>
        <w:t>)</w:t>
      </w:r>
      <w:proofErr w:type="gramStart"/>
      <w:r w:rsidRPr="00FC7BB4">
        <w:rPr>
          <w:rFonts w:ascii="Times New Roman" w:eastAsia="Cambria" w:hAnsi="Times New Roman" w:cs="Times New Roman"/>
          <w:sz w:val="24"/>
          <w:vertAlign w:val="subscript"/>
        </w:rPr>
        <w:t>2</w:t>
      </w:r>
      <w:r w:rsidR="00DA6647" w:rsidRPr="00FC7BB4">
        <w:rPr>
          <w:rFonts w:ascii="Times New Roman" w:eastAsia="Cambria" w:hAnsi="Times New Roman" w:cs="Times New Roman"/>
          <w:sz w:val="24"/>
          <w:vertAlign w:val="subscript"/>
        </w:rPr>
        <w:t>,</w:t>
      </w:r>
      <w:r w:rsidRPr="00FC7BB4">
        <w:rPr>
          <w:rFonts w:ascii="Times New Roman" w:eastAsia="Cambria" w:hAnsi="Times New Roman" w:cs="Times New Roman"/>
          <w:i/>
          <w:sz w:val="24"/>
          <w:vertAlign w:val="subscript"/>
        </w:rPr>
        <w:t>t</w:t>
      </w:r>
      <w:proofErr w:type="gramEnd"/>
      <w:r w:rsidRPr="00FC7BB4">
        <w:rPr>
          <w:rFonts w:ascii="Times New Roman" w:hAnsi="Times New Roman" w:cs="Times New Roman"/>
          <w:color w:val="auto"/>
          <w:sz w:val="24"/>
        </w:rPr>
        <w:t xml:space="preserve"> is considerably smaller than for price increases</w:t>
      </w:r>
      <w:bookmarkStart w:id="36" w:name="_Hlk213163158"/>
      <w:r w:rsidRPr="00FC7BB4">
        <w:rPr>
          <w:rFonts w:ascii="Times New Roman" w:hAnsi="Times New Roman" w:cs="Times New Roman"/>
          <w:color w:val="auto"/>
          <w:sz w:val="24"/>
        </w:rPr>
        <w:t xml:space="preserve">. </w:t>
      </w:r>
      <w:bookmarkStart w:id="37" w:name="_Hlk213163216"/>
      <w:r w:rsidRPr="00FC7BB4">
        <w:rPr>
          <w:rFonts w:ascii="Times New Roman" w:hAnsi="Times New Roman" w:cs="Times New Roman"/>
          <w:color w:val="auto"/>
          <w:sz w:val="24"/>
        </w:rPr>
        <w:t xml:space="preserve">This coefficient also reveals a change </w:t>
      </w:r>
      <w:r w:rsidR="001057B2" w:rsidRPr="00FC7BB4">
        <w:rPr>
          <w:rFonts w:ascii="Times New Roman" w:hAnsi="Times New Roman" w:cs="Times New Roman"/>
          <w:color w:val="auto"/>
          <w:sz w:val="24"/>
        </w:rPr>
        <w:t xml:space="preserve">occurring </w:t>
      </w:r>
      <w:r w:rsidRPr="00FC7BB4">
        <w:rPr>
          <w:rFonts w:ascii="Times New Roman" w:hAnsi="Times New Roman" w:cs="Times New Roman"/>
          <w:color w:val="auto"/>
          <w:sz w:val="24"/>
        </w:rPr>
        <w:t xml:space="preserve">during the early 1990s, drifting from a near zero value to negative indicating that as inflation increases firms are less likely to drop their prices. During the GFC the coefficient estimates drifted back toward zero. </w:t>
      </w:r>
      <w:bookmarkEnd w:id="36"/>
      <w:r w:rsidRPr="00FC7BB4">
        <w:rPr>
          <w:rFonts w:ascii="Times New Roman" w:hAnsi="Times New Roman" w:cs="Times New Roman"/>
          <w:color w:val="auto"/>
          <w:sz w:val="24"/>
        </w:rPr>
        <w:t xml:space="preserve">Thereafter, the estimated negative coefficient </w:t>
      </w:r>
      <w:r w:rsidRPr="00FC7BB4">
        <w:rPr>
          <w:rFonts w:ascii="Times New Roman" w:eastAsia="Cambria" w:hAnsi="Times New Roman" w:cs="Times New Roman"/>
          <w:i/>
          <w:sz w:val="24"/>
        </w:rPr>
        <w:t>β</w:t>
      </w:r>
      <w:r w:rsidRPr="00FC7BB4">
        <w:rPr>
          <w:rFonts w:ascii="Times New Roman" w:eastAsia="Cambria" w:hAnsi="Times New Roman" w:cs="Times New Roman"/>
          <w:i/>
          <w:sz w:val="24"/>
          <w:vertAlign w:val="superscript"/>
        </w:rPr>
        <w:t>(</w:t>
      </w:r>
      <w:proofErr w:type="spellStart"/>
      <w:r w:rsidRPr="00FC7BB4">
        <w:rPr>
          <w:rFonts w:ascii="Times New Roman" w:eastAsia="Cambria" w:hAnsi="Times New Roman" w:cs="Times New Roman"/>
          <w:i/>
          <w:sz w:val="24"/>
          <w:vertAlign w:val="superscript"/>
        </w:rPr>
        <w:t>dn</w:t>
      </w:r>
      <w:proofErr w:type="spellEnd"/>
      <w:r w:rsidRPr="00FC7BB4">
        <w:rPr>
          <w:rFonts w:ascii="Times New Roman" w:eastAsia="Cambria" w:hAnsi="Times New Roman" w:cs="Times New Roman"/>
          <w:i/>
          <w:sz w:val="24"/>
          <w:vertAlign w:val="superscript"/>
        </w:rPr>
        <w:t>)</w:t>
      </w:r>
      <w:proofErr w:type="gramStart"/>
      <w:r w:rsidRPr="00FC7BB4">
        <w:rPr>
          <w:rFonts w:ascii="Times New Roman" w:eastAsia="Cambria" w:hAnsi="Times New Roman" w:cs="Times New Roman"/>
          <w:sz w:val="24"/>
          <w:vertAlign w:val="subscript"/>
        </w:rPr>
        <w:t>2</w:t>
      </w:r>
      <w:r w:rsidR="00DA6647" w:rsidRPr="00FC7BB4">
        <w:rPr>
          <w:rFonts w:ascii="Times New Roman" w:eastAsia="Cambria" w:hAnsi="Times New Roman" w:cs="Times New Roman"/>
          <w:sz w:val="24"/>
          <w:vertAlign w:val="subscript"/>
        </w:rPr>
        <w:t>,</w:t>
      </w:r>
      <w:r w:rsidRPr="00FC7BB4">
        <w:rPr>
          <w:rFonts w:ascii="Times New Roman" w:eastAsia="Cambria" w:hAnsi="Times New Roman" w:cs="Times New Roman"/>
          <w:i/>
          <w:sz w:val="24"/>
          <w:vertAlign w:val="subscript"/>
        </w:rPr>
        <w:t>t</w:t>
      </w:r>
      <w:proofErr w:type="gramEnd"/>
      <w:r w:rsidRPr="00FC7BB4">
        <w:rPr>
          <w:rFonts w:ascii="Times New Roman" w:hAnsi="Times New Roman" w:cs="Times New Roman"/>
          <w:color w:val="auto"/>
          <w:sz w:val="24"/>
        </w:rPr>
        <w:t xml:space="preserve"> has again become on average, slightly larger. </w:t>
      </w:r>
      <w:bookmarkStart w:id="38" w:name="_Hlk213163235"/>
      <w:bookmarkEnd w:id="37"/>
      <w:r w:rsidR="00590425" w:rsidRPr="00FC7BB4">
        <w:rPr>
          <w:rFonts w:ascii="Times New Roman" w:hAnsi="Times New Roman" w:cs="Times New Roman"/>
          <w:color w:val="auto"/>
          <w:sz w:val="24"/>
        </w:rPr>
        <w:t xml:space="preserve">The respective time-varying estimates for </w:t>
      </w:r>
      <w:bookmarkStart w:id="39" w:name="_Hlk213164599"/>
      <w:r w:rsidR="00590425" w:rsidRPr="00FC7BB4">
        <w:rPr>
          <w:rFonts w:ascii="Times New Roman" w:eastAsia="Cambria" w:hAnsi="Times New Roman" w:cs="Times New Roman"/>
          <w:i/>
          <w:sz w:val="24"/>
        </w:rPr>
        <w:t>β</w:t>
      </w:r>
      <w:r w:rsidR="00590425" w:rsidRPr="00FC7BB4">
        <w:rPr>
          <w:rFonts w:ascii="Times New Roman" w:eastAsia="Cambria" w:hAnsi="Times New Roman" w:cs="Times New Roman"/>
          <w:i/>
          <w:sz w:val="24"/>
          <w:vertAlign w:val="superscript"/>
        </w:rPr>
        <w:t>d</w:t>
      </w:r>
      <w:proofErr w:type="gramStart"/>
      <w:r w:rsidR="00590425" w:rsidRPr="00FC7BB4">
        <w:rPr>
          <w:rFonts w:ascii="Times New Roman" w:eastAsia="Cambria" w:hAnsi="Times New Roman" w:cs="Times New Roman"/>
          <w:sz w:val="24"/>
          <w:vertAlign w:val="subscript"/>
        </w:rPr>
        <w:t>2</w:t>
      </w:r>
      <w:r w:rsidR="00DA6647" w:rsidRPr="00FC7BB4">
        <w:rPr>
          <w:rFonts w:ascii="Times New Roman" w:eastAsia="Cambria" w:hAnsi="Times New Roman" w:cs="Times New Roman"/>
          <w:sz w:val="24"/>
          <w:vertAlign w:val="subscript"/>
        </w:rPr>
        <w:t>,</w:t>
      </w:r>
      <w:r w:rsidR="00590425" w:rsidRPr="00FC7BB4">
        <w:rPr>
          <w:rFonts w:ascii="Times New Roman" w:eastAsia="Cambria" w:hAnsi="Times New Roman" w:cs="Times New Roman"/>
          <w:i/>
          <w:sz w:val="24"/>
          <w:vertAlign w:val="subscript"/>
        </w:rPr>
        <w:t>t</w:t>
      </w:r>
      <w:proofErr w:type="gramEnd"/>
      <w:r w:rsidR="00590425" w:rsidRPr="00FC7BB4">
        <w:rPr>
          <w:rFonts w:ascii="Times New Roman" w:hAnsi="Times New Roman" w:cs="Times New Roman"/>
          <w:color w:val="auto"/>
          <w:sz w:val="24"/>
        </w:rPr>
        <w:t xml:space="preserve"> </w:t>
      </w:r>
      <w:bookmarkEnd w:id="39"/>
      <w:r w:rsidR="00590425" w:rsidRPr="00FC7BB4">
        <w:rPr>
          <w:rFonts w:ascii="Times New Roman" w:hAnsi="Times New Roman" w:cs="Times New Roman"/>
          <w:color w:val="auto"/>
          <w:sz w:val="24"/>
        </w:rPr>
        <w:t xml:space="preserve">for price increases and decreases suggest an asymmetry in the way price changes respond to inflation, as predicted by the model developed by Ball and Mankiw (1994a). </w:t>
      </w:r>
      <w:bookmarkEnd w:id="38"/>
    </w:p>
    <w:p w14:paraId="1FF81CE3" w14:textId="65DAD981" w:rsidR="00590425" w:rsidRPr="00FC7BB4" w:rsidRDefault="00590425" w:rsidP="00F3101B">
      <w:pPr>
        <w:spacing w:after="0" w:line="331" w:lineRule="auto"/>
        <w:ind w:right="27" w:firstLine="272"/>
        <w:rPr>
          <w:rFonts w:ascii="Times New Roman" w:hAnsi="Times New Roman" w:cs="Times New Roman"/>
          <w:color w:val="auto"/>
          <w:sz w:val="24"/>
        </w:rPr>
      </w:pPr>
      <w:bookmarkStart w:id="40" w:name="_Hlk213163291"/>
      <w:r w:rsidRPr="00FC7BB4">
        <w:rPr>
          <w:rFonts w:ascii="Times New Roman" w:hAnsi="Times New Roman" w:cs="Times New Roman"/>
          <w:color w:val="auto"/>
          <w:sz w:val="24"/>
        </w:rPr>
        <w:t xml:space="preserve">Evidence of price asymmetry reported here using firm level data is consistent with results using item level data reported by Nakamura and Steinsson (2008), Gagnon (2009) and Bunn, </w:t>
      </w:r>
      <w:r w:rsidRPr="00FC7BB4">
        <w:rPr>
          <w:rFonts w:ascii="Times New Roman" w:hAnsi="Times New Roman" w:cs="Times New Roman"/>
          <w:i/>
          <w:iCs/>
          <w:color w:val="auto"/>
          <w:sz w:val="24"/>
        </w:rPr>
        <w:t>et al</w:t>
      </w:r>
      <w:r w:rsidRPr="00FC7BB4">
        <w:rPr>
          <w:rFonts w:ascii="Times New Roman" w:hAnsi="Times New Roman" w:cs="Times New Roman"/>
          <w:color w:val="auto"/>
          <w:sz w:val="24"/>
        </w:rPr>
        <w:t>. (2024).  Moreover, the results presented in Figure 3 indicate more acute price change asymmetry during the COVID era compared to the immediately previous low inflation years (i.e., more frequent price increases and less frequent price decreases occurred during the COVID inflation era). The presence of asymmetric price changes and comparison with comparable high inflation rates during the 1970s and 1980s is further evaluated in Section 5 using ordered probit estimates of the conditional probabilities of price changes.</w:t>
      </w:r>
    </w:p>
    <w:bookmarkEnd w:id="30"/>
    <w:bookmarkEnd w:id="40"/>
    <w:p w14:paraId="64812066" w14:textId="77777777" w:rsidR="00DA6647" w:rsidRPr="00FC7BB4" w:rsidRDefault="00DA6647" w:rsidP="00F3101B">
      <w:pPr>
        <w:spacing w:after="120" w:line="240" w:lineRule="auto"/>
        <w:ind w:right="27" w:firstLine="0"/>
        <w:jc w:val="center"/>
        <w:rPr>
          <w:rFonts w:ascii="Times New Roman" w:hAnsi="Times New Roman" w:cs="Times New Roman"/>
          <w:b/>
          <w:bCs/>
          <w:sz w:val="24"/>
        </w:rPr>
      </w:pPr>
    </w:p>
    <w:p w14:paraId="7D8249E9" w14:textId="77777777" w:rsidR="00DA6647" w:rsidRPr="00FC7BB4" w:rsidRDefault="00DA6647" w:rsidP="00F3101B">
      <w:pPr>
        <w:spacing w:after="120" w:line="240" w:lineRule="auto"/>
        <w:ind w:right="27" w:firstLine="0"/>
        <w:jc w:val="center"/>
        <w:rPr>
          <w:rFonts w:ascii="Times New Roman" w:hAnsi="Times New Roman" w:cs="Times New Roman"/>
          <w:b/>
          <w:bCs/>
          <w:sz w:val="24"/>
        </w:rPr>
      </w:pPr>
    </w:p>
    <w:p w14:paraId="6AFC5EB3" w14:textId="77777777" w:rsidR="00DA6647" w:rsidRPr="00FC7BB4" w:rsidRDefault="00DA6647" w:rsidP="00F3101B">
      <w:pPr>
        <w:spacing w:after="120" w:line="240" w:lineRule="auto"/>
        <w:ind w:right="27" w:firstLine="0"/>
        <w:jc w:val="center"/>
        <w:rPr>
          <w:rFonts w:ascii="Times New Roman" w:hAnsi="Times New Roman" w:cs="Times New Roman"/>
          <w:b/>
          <w:bCs/>
          <w:sz w:val="24"/>
        </w:rPr>
      </w:pPr>
    </w:p>
    <w:p w14:paraId="7DDADC45" w14:textId="77777777" w:rsidR="00DA6647" w:rsidRPr="00FC7BB4" w:rsidRDefault="00DA6647" w:rsidP="00F3101B">
      <w:pPr>
        <w:spacing w:after="120" w:line="240" w:lineRule="auto"/>
        <w:ind w:right="27" w:firstLine="0"/>
        <w:jc w:val="center"/>
        <w:rPr>
          <w:rFonts w:ascii="Times New Roman" w:hAnsi="Times New Roman" w:cs="Times New Roman"/>
          <w:b/>
          <w:bCs/>
          <w:sz w:val="24"/>
        </w:rPr>
      </w:pPr>
    </w:p>
    <w:p w14:paraId="44D5B7C2" w14:textId="77777777" w:rsidR="00DA6647" w:rsidRPr="00FC7BB4" w:rsidRDefault="00DA6647" w:rsidP="00F3101B">
      <w:pPr>
        <w:spacing w:after="120" w:line="240" w:lineRule="auto"/>
        <w:ind w:right="27" w:firstLine="0"/>
        <w:jc w:val="center"/>
        <w:rPr>
          <w:rFonts w:ascii="Times New Roman" w:hAnsi="Times New Roman" w:cs="Times New Roman"/>
          <w:b/>
          <w:bCs/>
          <w:sz w:val="24"/>
        </w:rPr>
      </w:pPr>
    </w:p>
    <w:p w14:paraId="1415B42D" w14:textId="77777777" w:rsidR="00DA6647" w:rsidRPr="00FC7BB4" w:rsidRDefault="00DA6647" w:rsidP="00F3101B">
      <w:pPr>
        <w:spacing w:after="120" w:line="240" w:lineRule="auto"/>
        <w:ind w:right="27" w:firstLine="0"/>
        <w:jc w:val="center"/>
        <w:rPr>
          <w:rFonts w:ascii="Times New Roman" w:hAnsi="Times New Roman" w:cs="Times New Roman"/>
          <w:b/>
          <w:bCs/>
          <w:sz w:val="24"/>
        </w:rPr>
      </w:pPr>
    </w:p>
    <w:p w14:paraId="08575F30" w14:textId="77777777" w:rsidR="00DA6647" w:rsidRPr="00FC7BB4" w:rsidRDefault="00DA6647" w:rsidP="00F3101B">
      <w:pPr>
        <w:spacing w:after="120" w:line="240" w:lineRule="auto"/>
        <w:ind w:right="27" w:firstLine="0"/>
        <w:jc w:val="center"/>
        <w:rPr>
          <w:rFonts w:ascii="Times New Roman" w:hAnsi="Times New Roman" w:cs="Times New Roman"/>
          <w:b/>
          <w:bCs/>
          <w:sz w:val="24"/>
        </w:rPr>
      </w:pPr>
    </w:p>
    <w:p w14:paraId="5E96FFC0" w14:textId="77777777" w:rsidR="00DA6647" w:rsidRPr="00FC7BB4" w:rsidRDefault="00DA6647" w:rsidP="00F3101B">
      <w:pPr>
        <w:spacing w:after="120" w:line="240" w:lineRule="auto"/>
        <w:ind w:right="27" w:firstLine="0"/>
        <w:jc w:val="center"/>
        <w:rPr>
          <w:rFonts w:ascii="Times New Roman" w:hAnsi="Times New Roman" w:cs="Times New Roman"/>
          <w:b/>
          <w:bCs/>
          <w:sz w:val="24"/>
        </w:rPr>
      </w:pPr>
    </w:p>
    <w:p w14:paraId="741C8B37" w14:textId="77777777" w:rsidR="00DA6647" w:rsidRPr="00FC7BB4" w:rsidRDefault="00DA6647" w:rsidP="00F3101B">
      <w:pPr>
        <w:spacing w:after="120" w:line="240" w:lineRule="auto"/>
        <w:ind w:right="27" w:firstLine="0"/>
        <w:jc w:val="center"/>
        <w:rPr>
          <w:rFonts w:ascii="Times New Roman" w:hAnsi="Times New Roman" w:cs="Times New Roman"/>
          <w:b/>
          <w:bCs/>
          <w:sz w:val="24"/>
        </w:rPr>
      </w:pPr>
    </w:p>
    <w:p w14:paraId="53AD6DAD" w14:textId="77777777" w:rsidR="00DA6647" w:rsidRPr="00FC7BB4" w:rsidRDefault="00DA6647" w:rsidP="00F3101B">
      <w:pPr>
        <w:spacing w:after="120" w:line="240" w:lineRule="auto"/>
        <w:ind w:right="27" w:firstLine="0"/>
        <w:jc w:val="center"/>
        <w:rPr>
          <w:rFonts w:ascii="Times New Roman" w:hAnsi="Times New Roman" w:cs="Times New Roman"/>
          <w:b/>
          <w:bCs/>
          <w:sz w:val="24"/>
        </w:rPr>
      </w:pPr>
    </w:p>
    <w:p w14:paraId="576F366E" w14:textId="77777777" w:rsidR="00DA6647" w:rsidRPr="00FC7BB4" w:rsidRDefault="00DA6647" w:rsidP="00F3101B">
      <w:pPr>
        <w:spacing w:after="120" w:line="240" w:lineRule="auto"/>
        <w:ind w:right="27" w:firstLine="0"/>
        <w:jc w:val="center"/>
        <w:rPr>
          <w:rFonts w:ascii="Times New Roman" w:hAnsi="Times New Roman" w:cs="Times New Roman"/>
          <w:b/>
          <w:bCs/>
          <w:sz w:val="24"/>
        </w:rPr>
      </w:pPr>
    </w:p>
    <w:p w14:paraId="743D1724" w14:textId="77777777" w:rsidR="00DA6647" w:rsidRPr="00FC7BB4" w:rsidRDefault="00DA6647" w:rsidP="00F3101B">
      <w:pPr>
        <w:spacing w:after="120" w:line="240" w:lineRule="auto"/>
        <w:ind w:right="27" w:firstLine="0"/>
        <w:jc w:val="center"/>
        <w:rPr>
          <w:rFonts w:ascii="Times New Roman" w:hAnsi="Times New Roman" w:cs="Times New Roman"/>
          <w:b/>
          <w:bCs/>
          <w:sz w:val="24"/>
        </w:rPr>
      </w:pPr>
    </w:p>
    <w:p w14:paraId="0F4D830A" w14:textId="77777777" w:rsidR="00DA6647" w:rsidRDefault="00DA6647" w:rsidP="00F3101B">
      <w:pPr>
        <w:spacing w:after="120" w:line="240" w:lineRule="auto"/>
        <w:ind w:right="27" w:firstLine="0"/>
        <w:jc w:val="center"/>
        <w:rPr>
          <w:rFonts w:ascii="Times New Roman" w:hAnsi="Times New Roman" w:cs="Times New Roman"/>
          <w:b/>
          <w:bCs/>
          <w:sz w:val="24"/>
        </w:rPr>
      </w:pPr>
    </w:p>
    <w:p w14:paraId="0EA32060" w14:textId="13B02FBA" w:rsidR="00307155" w:rsidRPr="00FC7BB4" w:rsidRDefault="00307155" w:rsidP="00F3101B">
      <w:pPr>
        <w:spacing w:after="120" w:line="240" w:lineRule="auto"/>
        <w:ind w:right="27" w:firstLine="0"/>
        <w:jc w:val="center"/>
        <w:rPr>
          <w:rFonts w:ascii="Times New Roman" w:hAnsi="Times New Roman" w:cs="Times New Roman"/>
          <w:b/>
          <w:bCs/>
          <w:sz w:val="24"/>
        </w:rPr>
      </w:pPr>
      <w:r w:rsidRPr="00FC7BB4">
        <w:rPr>
          <w:rFonts w:ascii="Times New Roman" w:hAnsi="Times New Roman" w:cs="Times New Roman"/>
          <w:b/>
          <w:bCs/>
          <w:sz w:val="24"/>
        </w:rPr>
        <w:lastRenderedPageBreak/>
        <w:t xml:space="preserve">Figure 3: </w:t>
      </w:r>
      <w:bookmarkStart w:id="41" w:name="_Hlk213340036"/>
      <w:r w:rsidRPr="00FC7BB4">
        <w:rPr>
          <w:rFonts w:ascii="Times New Roman" w:hAnsi="Times New Roman" w:cs="Times New Roman"/>
          <w:b/>
          <w:bCs/>
          <w:sz w:val="24"/>
        </w:rPr>
        <w:t>Time-varying relationship between inflation and price changes by firms</w:t>
      </w:r>
    </w:p>
    <w:bookmarkEnd w:id="41"/>
    <w:p w14:paraId="231DAA84" w14:textId="77777777" w:rsidR="00307155" w:rsidRPr="00FC7BB4" w:rsidRDefault="00307155" w:rsidP="00F3101B">
      <w:pPr>
        <w:spacing w:after="0" w:line="240" w:lineRule="auto"/>
        <w:ind w:right="27" w:firstLine="0"/>
        <w:jc w:val="center"/>
        <w:rPr>
          <w:rFonts w:ascii="Times New Roman" w:hAnsi="Times New Roman" w:cs="Times New Roman"/>
          <w:b/>
          <w:bCs/>
          <w:sz w:val="24"/>
        </w:rPr>
      </w:pPr>
      <w:r w:rsidRPr="00FC7BB4">
        <w:rPr>
          <w:rFonts w:ascii="Times New Roman" w:hAnsi="Times New Roman" w:cs="Times New Roman"/>
          <w:b/>
          <w:bCs/>
          <w:noProof/>
          <w:sz w:val="24"/>
        </w:rPr>
        <w:drawing>
          <wp:inline distT="0" distB="0" distL="0" distR="0" wp14:anchorId="49CF55C3" wp14:editId="47F3162A">
            <wp:extent cx="5760958" cy="7413528"/>
            <wp:effectExtent l="0" t="0" r="0" b="0"/>
            <wp:docPr id="1260056578" name="Picture 1" descr="A graph of a number of individu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56578" name="Picture 1" descr="A graph of a number of individuals&#10;&#10;AI-generated content may be incorrect."/>
                    <pic:cNvPicPr/>
                  </pic:nvPicPr>
                  <pic:blipFill>
                    <a:blip r:embed="rId11"/>
                    <a:stretch>
                      <a:fillRect/>
                    </a:stretch>
                  </pic:blipFill>
                  <pic:spPr>
                    <a:xfrm>
                      <a:off x="0" y="0"/>
                      <a:ext cx="5805600" cy="7470976"/>
                    </a:xfrm>
                    <a:prstGeom prst="rect">
                      <a:avLst/>
                    </a:prstGeom>
                  </pic:spPr>
                </pic:pic>
              </a:graphicData>
            </a:graphic>
          </wp:inline>
        </w:drawing>
      </w:r>
    </w:p>
    <w:p w14:paraId="442340CD" w14:textId="77777777" w:rsidR="00307155" w:rsidRPr="00FC7BB4" w:rsidRDefault="00307155" w:rsidP="00F3101B">
      <w:pPr>
        <w:spacing w:after="0" w:line="240" w:lineRule="auto"/>
        <w:ind w:left="-57" w:right="27" w:firstLine="0"/>
        <w:jc w:val="center"/>
        <w:rPr>
          <w:rFonts w:ascii="Times New Roman" w:hAnsi="Times New Roman" w:cs="Times New Roman"/>
          <w:color w:val="auto"/>
          <w:sz w:val="24"/>
        </w:rPr>
      </w:pPr>
    </w:p>
    <w:p w14:paraId="1779D0D1" w14:textId="67D5CC4C" w:rsidR="00307155" w:rsidRPr="00FC7BB4" w:rsidRDefault="00307155" w:rsidP="00F3101B">
      <w:pPr>
        <w:spacing w:line="240" w:lineRule="auto"/>
        <w:ind w:left="567" w:right="227" w:firstLine="0"/>
        <w:rPr>
          <w:rFonts w:ascii="Times New Roman" w:hAnsi="Times New Roman" w:cs="Times New Roman"/>
          <w:color w:val="auto"/>
          <w:sz w:val="18"/>
          <w:szCs w:val="18"/>
        </w:rPr>
      </w:pPr>
      <w:r w:rsidRPr="00FC7BB4">
        <w:rPr>
          <w:rFonts w:ascii="Times New Roman" w:hAnsi="Times New Roman" w:cs="Times New Roman"/>
          <w:color w:val="auto"/>
          <w:sz w:val="18"/>
          <w:szCs w:val="18"/>
        </w:rPr>
        <w:t xml:space="preserve">Notes: Solid lines are estimates of </w:t>
      </w:r>
      <w:r w:rsidRPr="00FC7BB4">
        <w:rPr>
          <w:rFonts w:ascii="Times New Roman" w:eastAsia="Cambria" w:hAnsi="Times New Roman" w:cs="Times New Roman"/>
          <w:i/>
          <w:sz w:val="18"/>
          <w:szCs w:val="18"/>
        </w:rPr>
        <w:t>β</w:t>
      </w:r>
      <w:r w:rsidRPr="00FC7BB4">
        <w:rPr>
          <w:rFonts w:ascii="Times New Roman" w:eastAsia="Cambria" w:hAnsi="Times New Roman" w:cs="Times New Roman"/>
          <w:i/>
          <w:sz w:val="18"/>
          <w:szCs w:val="18"/>
          <w:vertAlign w:val="superscript"/>
        </w:rPr>
        <w:t>d</w:t>
      </w:r>
      <w:proofErr w:type="gramStart"/>
      <w:r w:rsidRPr="00FC7BB4">
        <w:rPr>
          <w:rFonts w:ascii="Times New Roman" w:eastAsia="Cambria" w:hAnsi="Times New Roman" w:cs="Times New Roman"/>
          <w:sz w:val="18"/>
          <w:szCs w:val="18"/>
          <w:vertAlign w:val="subscript"/>
        </w:rPr>
        <w:t>2</w:t>
      </w:r>
      <w:r w:rsidR="00DA6647" w:rsidRPr="00FC7BB4">
        <w:rPr>
          <w:rFonts w:ascii="Times New Roman" w:eastAsia="Cambria" w:hAnsi="Times New Roman" w:cs="Times New Roman"/>
          <w:sz w:val="18"/>
          <w:szCs w:val="18"/>
          <w:vertAlign w:val="subscript"/>
        </w:rPr>
        <w:t>,t</w:t>
      </w:r>
      <w:proofErr w:type="gramEnd"/>
      <w:r w:rsidR="00DA6647" w:rsidRPr="00FC7BB4">
        <w:rPr>
          <w:rFonts w:ascii="Times New Roman" w:eastAsia="Cambria" w:hAnsi="Times New Roman" w:cs="Times New Roman"/>
          <w:sz w:val="18"/>
          <w:szCs w:val="18"/>
          <w:vertAlign w:val="subscript"/>
        </w:rPr>
        <w:t xml:space="preserve"> </w:t>
      </w:r>
      <w:r w:rsidRPr="00FC7BB4">
        <w:rPr>
          <w:rFonts w:ascii="Times New Roman" w:hAnsi="Times New Roman" w:cs="Times New Roman"/>
          <w:color w:val="auto"/>
          <w:sz w:val="18"/>
          <w:szCs w:val="18"/>
        </w:rPr>
        <w:t>from equation 1. The estimates are based on 30-quarter rolling regressions and the quarter on the horizontal axis represents the final quarter in the estimation window. Dashed lines are the 95 per cent confidence intervals.</w:t>
      </w:r>
    </w:p>
    <w:p w14:paraId="2652B6A1" w14:textId="77777777" w:rsidR="00C151A9" w:rsidRPr="00FC7BB4" w:rsidRDefault="00C151A9" w:rsidP="00F3101B">
      <w:pPr>
        <w:spacing w:after="0" w:line="331" w:lineRule="auto"/>
        <w:ind w:right="27" w:firstLine="272"/>
        <w:rPr>
          <w:rFonts w:ascii="Times New Roman" w:hAnsi="Times New Roman" w:cs="Times New Roman"/>
          <w:color w:val="auto"/>
          <w:sz w:val="24"/>
        </w:rPr>
      </w:pPr>
    </w:p>
    <w:p w14:paraId="318BC4D3" w14:textId="77777777" w:rsidR="00590425" w:rsidRPr="00FC7BB4" w:rsidRDefault="00590425" w:rsidP="00F3101B">
      <w:pPr>
        <w:spacing w:after="0" w:line="331" w:lineRule="auto"/>
        <w:ind w:right="27" w:firstLine="272"/>
        <w:rPr>
          <w:rFonts w:ascii="Times New Roman" w:hAnsi="Times New Roman" w:cs="Times New Roman"/>
          <w:color w:val="auto"/>
          <w:sz w:val="24"/>
        </w:rPr>
      </w:pPr>
    </w:p>
    <w:p w14:paraId="799B9B81" w14:textId="77777777" w:rsidR="00307155" w:rsidRPr="00FC7BB4" w:rsidRDefault="00307155" w:rsidP="005D65C5">
      <w:pPr>
        <w:spacing w:after="120" w:line="331" w:lineRule="auto"/>
        <w:ind w:right="28" w:firstLine="0"/>
        <w:rPr>
          <w:rFonts w:ascii="Times New Roman" w:hAnsi="Times New Roman" w:cs="Times New Roman"/>
          <w:b/>
          <w:bCs/>
          <w:i/>
          <w:iCs/>
          <w:color w:val="auto"/>
          <w:sz w:val="24"/>
        </w:rPr>
      </w:pPr>
      <w:proofErr w:type="gramStart"/>
      <w:r w:rsidRPr="00FC7BB4">
        <w:rPr>
          <w:rFonts w:ascii="Times New Roman" w:hAnsi="Times New Roman" w:cs="Times New Roman"/>
          <w:b/>
          <w:bCs/>
          <w:i/>
          <w:iCs/>
          <w:color w:val="auto"/>
          <w:sz w:val="24"/>
        </w:rPr>
        <w:lastRenderedPageBreak/>
        <w:t xml:space="preserve">4.2  </w:t>
      </w:r>
      <w:bookmarkStart w:id="42" w:name="_Hlk213855749"/>
      <w:r w:rsidRPr="00FC7BB4">
        <w:rPr>
          <w:rFonts w:ascii="Times New Roman" w:hAnsi="Times New Roman" w:cs="Times New Roman"/>
          <w:b/>
          <w:bCs/>
          <w:i/>
          <w:iCs/>
          <w:color w:val="auto"/>
          <w:sz w:val="24"/>
        </w:rPr>
        <w:t>Magnitude</w:t>
      </w:r>
      <w:proofErr w:type="gramEnd"/>
      <w:r w:rsidRPr="00FC7BB4">
        <w:rPr>
          <w:rFonts w:ascii="Times New Roman" w:hAnsi="Times New Roman" w:cs="Times New Roman"/>
          <w:b/>
          <w:bCs/>
          <w:i/>
          <w:iCs/>
          <w:color w:val="auto"/>
          <w:sz w:val="24"/>
        </w:rPr>
        <w:t xml:space="preserve"> and frequency of price changes and inflation</w:t>
      </w:r>
      <w:bookmarkEnd w:id="42"/>
    </w:p>
    <w:p w14:paraId="0F2AAC69" w14:textId="56100EE3" w:rsidR="00081147" w:rsidRPr="00FC7BB4" w:rsidRDefault="00590425" w:rsidP="00F3101B">
      <w:pPr>
        <w:spacing w:line="360" w:lineRule="auto"/>
        <w:ind w:right="27" w:firstLine="0"/>
        <w:rPr>
          <w:rFonts w:ascii="Times New Roman" w:hAnsi="Times New Roman" w:cs="Times New Roman"/>
          <w:sz w:val="24"/>
        </w:rPr>
      </w:pPr>
      <w:bookmarkStart w:id="43" w:name="_Hlk213164666"/>
      <w:r w:rsidRPr="00FC7BB4">
        <w:rPr>
          <w:rFonts w:ascii="Times New Roman" w:hAnsi="Times New Roman" w:cs="Times New Roman"/>
          <w:sz w:val="24"/>
        </w:rPr>
        <w:t>A</w:t>
      </w:r>
      <w:r w:rsidR="00081147" w:rsidRPr="00FC7BB4">
        <w:rPr>
          <w:rFonts w:ascii="Times New Roman" w:hAnsi="Times New Roman" w:cs="Times New Roman"/>
          <w:sz w:val="24"/>
        </w:rPr>
        <w:t>dditional metrics</w:t>
      </w:r>
      <w:r w:rsidRPr="00FC7BB4">
        <w:rPr>
          <w:rFonts w:ascii="Times New Roman" w:hAnsi="Times New Roman" w:cs="Times New Roman"/>
          <w:sz w:val="24"/>
        </w:rPr>
        <w:t xml:space="preserve"> are constructed using the survey data</w:t>
      </w:r>
      <w:r w:rsidR="00081147" w:rsidRPr="00FC7BB4">
        <w:rPr>
          <w:rFonts w:ascii="Times New Roman" w:hAnsi="Times New Roman" w:cs="Times New Roman"/>
          <w:sz w:val="24"/>
        </w:rPr>
        <w:t xml:space="preserve"> to compare firm pricing behaviour over the different inflation episodes experienced during the past six decades. These include </w:t>
      </w:r>
      <w:r w:rsidRPr="00FC7BB4">
        <w:rPr>
          <w:rFonts w:ascii="Times New Roman" w:hAnsi="Times New Roman" w:cs="Times New Roman"/>
          <w:sz w:val="24"/>
        </w:rPr>
        <w:t xml:space="preserve">the </w:t>
      </w:r>
      <w:r w:rsidR="00081147" w:rsidRPr="00FC7BB4">
        <w:rPr>
          <w:rFonts w:ascii="Times New Roman" w:hAnsi="Times New Roman" w:cs="Times New Roman"/>
          <w:sz w:val="24"/>
        </w:rPr>
        <w:t>average duration of prices, annual frequency (number) of prices changes</w:t>
      </w:r>
      <w:r w:rsidRPr="00FC7BB4">
        <w:rPr>
          <w:rFonts w:ascii="Times New Roman" w:hAnsi="Times New Roman" w:cs="Times New Roman"/>
          <w:sz w:val="24"/>
        </w:rPr>
        <w:t>,</w:t>
      </w:r>
      <w:r w:rsidR="00081147" w:rsidRPr="00FC7BB4">
        <w:rPr>
          <w:rFonts w:ascii="Times New Roman" w:hAnsi="Times New Roman" w:cs="Times New Roman"/>
          <w:sz w:val="24"/>
        </w:rPr>
        <w:t xml:space="preserve"> and average magnitude of each price change. </w:t>
      </w:r>
    </w:p>
    <w:bookmarkEnd w:id="43"/>
    <w:p w14:paraId="41BD8C4E" w14:textId="3119C3A7" w:rsidR="00307155" w:rsidRPr="00FC7BB4" w:rsidRDefault="00F3355B" w:rsidP="00F3101B">
      <w:pPr>
        <w:spacing w:line="360" w:lineRule="auto"/>
        <w:ind w:right="27"/>
        <w:rPr>
          <w:rFonts w:ascii="Times New Roman" w:hAnsi="Times New Roman" w:cs="Times New Roman"/>
          <w:sz w:val="24"/>
        </w:rPr>
      </w:pPr>
      <w:r w:rsidRPr="00FC7BB4">
        <w:rPr>
          <w:rFonts w:ascii="Times New Roman" w:hAnsi="Times New Roman" w:cs="Times New Roman"/>
          <w:sz w:val="24"/>
        </w:rPr>
        <w:t>A measure of</w:t>
      </w:r>
      <w:r w:rsidR="007B1073" w:rsidRPr="00FC7BB4">
        <w:rPr>
          <w:rFonts w:ascii="Times New Roman" w:hAnsi="Times New Roman" w:cs="Times New Roman"/>
          <w:sz w:val="24"/>
        </w:rPr>
        <w:t xml:space="preserve"> average</w:t>
      </w:r>
      <w:r w:rsidRPr="00FC7BB4">
        <w:rPr>
          <w:rFonts w:ascii="Times New Roman" w:hAnsi="Times New Roman" w:cs="Times New Roman"/>
          <w:sz w:val="24"/>
        </w:rPr>
        <w:t xml:space="preserve"> price duration (</w:t>
      </w:r>
      <w:r w:rsidRPr="00FC7BB4">
        <w:rPr>
          <w:rFonts w:ascii="Times New Roman" w:hAnsi="Times New Roman" w:cs="Times New Roman"/>
          <w:i/>
          <w:iCs/>
          <w:sz w:val="24"/>
        </w:rPr>
        <w:t>PD</w:t>
      </w:r>
      <w:r w:rsidRPr="00FC7BB4">
        <w:rPr>
          <w:rFonts w:ascii="Times New Roman" w:hAnsi="Times New Roman" w:cs="Times New Roman"/>
          <w:sz w:val="24"/>
        </w:rPr>
        <w:t xml:space="preserve">) can be obtained by </w:t>
      </w:r>
      <w:r w:rsidR="009D7ECE" w:rsidRPr="00FC7BB4">
        <w:rPr>
          <w:rFonts w:ascii="Times New Roman" w:hAnsi="Times New Roman" w:cs="Times New Roman"/>
          <w:sz w:val="24"/>
        </w:rPr>
        <w:t>calculating</w:t>
      </w:r>
      <w:r w:rsidRPr="00FC7BB4">
        <w:rPr>
          <w:rFonts w:ascii="Times New Roman" w:hAnsi="Times New Roman" w:cs="Times New Roman"/>
          <w:sz w:val="24"/>
        </w:rPr>
        <w:t xml:space="preserve"> </w:t>
      </w:r>
      <w:r w:rsidRPr="00FC7BB4">
        <w:rPr>
          <w:rFonts w:ascii="Times New Roman" w:eastAsia="Cambria" w:hAnsi="Times New Roman" w:cs="Times New Roman"/>
          <w:i/>
          <w:sz w:val="24"/>
        </w:rPr>
        <w:t>n/</w:t>
      </w:r>
      <w:r w:rsidRPr="00FC7BB4">
        <w:rPr>
          <w:rFonts w:ascii="Times New Roman" w:eastAsia="Cambria" w:hAnsi="Times New Roman" w:cs="Times New Roman"/>
          <w:sz w:val="24"/>
        </w:rPr>
        <w:t>(</w:t>
      </w:r>
      <w:r w:rsidRPr="00FC7BB4">
        <w:rPr>
          <w:rFonts w:ascii="Times New Roman" w:eastAsia="Cambria" w:hAnsi="Times New Roman" w:cs="Times New Roman"/>
          <w:i/>
          <w:sz w:val="24"/>
        </w:rPr>
        <w:t>p</w:t>
      </w:r>
      <w:r w:rsidRPr="00FC7BB4">
        <w:rPr>
          <w:rFonts w:ascii="Times New Roman" w:eastAsia="Cambria" w:hAnsi="Times New Roman" w:cs="Times New Roman"/>
          <w:i/>
          <w:sz w:val="24"/>
          <w:vertAlign w:val="subscript"/>
        </w:rPr>
        <w:t xml:space="preserve">up </w:t>
      </w:r>
      <w:r w:rsidRPr="00FC7BB4">
        <w:rPr>
          <w:rFonts w:ascii="Times New Roman" w:eastAsia="Cambria" w:hAnsi="Times New Roman" w:cs="Times New Roman"/>
          <w:sz w:val="24"/>
        </w:rPr>
        <w:t xml:space="preserve">+ </w:t>
      </w:r>
      <w:proofErr w:type="spellStart"/>
      <w:r w:rsidRPr="00FC7BB4">
        <w:rPr>
          <w:rFonts w:ascii="Times New Roman" w:eastAsia="Cambria" w:hAnsi="Times New Roman" w:cs="Times New Roman"/>
          <w:i/>
          <w:sz w:val="24"/>
        </w:rPr>
        <w:t>p</w:t>
      </w:r>
      <w:r w:rsidRPr="00FC7BB4">
        <w:rPr>
          <w:rFonts w:ascii="Times New Roman" w:eastAsia="Cambria" w:hAnsi="Times New Roman" w:cs="Times New Roman"/>
          <w:i/>
          <w:sz w:val="24"/>
          <w:vertAlign w:val="subscript"/>
        </w:rPr>
        <w:t>dn</w:t>
      </w:r>
      <w:proofErr w:type="spellEnd"/>
      <w:r w:rsidRPr="00FC7BB4">
        <w:rPr>
          <w:rFonts w:ascii="Times New Roman" w:eastAsia="Cambria" w:hAnsi="Times New Roman" w:cs="Times New Roman"/>
          <w:sz w:val="24"/>
        </w:rPr>
        <w:t>)</w:t>
      </w:r>
      <w:r w:rsidR="009D7ECE" w:rsidRPr="00FC7BB4">
        <w:rPr>
          <w:rFonts w:ascii="Times New Roman" w:eastAsia="Cambria" w:hAnsi="Times New Roman" w:cs="Times New Roman"/>
          <w:sz w:val="24"/>
        </w:rPr>
        <w:t xml:space="preserve"> in each quarter</w:t>
      </w:r>
      <w:r w:rsidRPr="00FC7BB4">
        <w:rPr>
          <w:rFonts w:ascii="Times New Roman" w:hAnsi="Times New Roman" w:cs="Times New Roman"/>
          <w:sz w:val="24"/>
        </w:rPr>
        <w:t xml:space="preserve">, where </w:t>
      </w:r>
      <w:r w:rsidRPr="00FC7BB4">
        <w:rPr>
          <w:rFonts w:ascii="Times New Roman" w:eastAsia="Cambria" w:hAnsi="Times New Roman" w:cs="Times New Roman"/>
          <w:i/>
          <w:sz w:val="24"/>
        </w:rPr>
        <w:t xml:space="preserve">n </w:t>
      </w:r>
      <w:r w:rsidRPr="00FC7BB4">
        <w:rPr>
          <w:rFonts w:ascii="Times New Roman" w:hAnsi="Times New Roman" w:cs="Times New Roman"/>
          <w:sz w:val="24"/>
        </w:rPr>
        <w:t>is the number of months the survey covers (</w:t>
      </w:r>
      <w:r w:rsidRPr="00FC7BB4">
        <w:rPr>
          <w:rFonts w:ascii="Times New Roman" w:eastAsia="Cambria" w:hAnsi="Times New Roman" w:cs="Times New Roman"/>
          <w:i/>
          <w:sz w:val="24"/>
        </w:rPr>
        <w:t>n</w:t>
      </w:r>
      <w:r w:rsidR="00C11821" w:rsidRPr="00FC7BB4">
        <w:rPr>
          <w:rFonts w:ascii="Times New Roman" w:eastAsia="Cambria" w:hAnsi="Times New Roman" w:cs="Times New Roman"/>
          <w:i/>
          <w:sz w:val="24"/>
        </w:rPr>
        <w:t xml:space="preserve"> </w:t>
      </w:r>
      <w:r w:rsidRPr="00FC7BB4">
        <w:rPr>
          <w:rFonts w:ascii="Times New Roman" w:eastAsia="Cambria" w:hAnsi="Times New Roman" w:cs="Times New Roman"/>
          <w:sz w:val="24"/>
        </w:rPr>
        <w:t>=</w:t>
      </w:r>
      <w:r w:rsidR="00C11821" w:rsidRPr="00FC7BB4">
        <w:rPr>
          <w:rFonts w:ascii="Times New Roman" w:eastAsia="Cambria" w:hAnsi="Times New Roman" w:cs="Times New Roman"/>
          <w:sz w:val="24"/>
        </w:rPr>
        <w:t xml:space="preserve"> </w:t>
      </w:r>
      <w:r w:rsidRPr="00FC7BB4">
        <w:rPr>
          <w:rFonts w:ascii="Times New Roman" w:eastAsia="Cambria" w:hAnsi="Times New Roman" w:cs="Times New Roman"/>
          <w:sz w:val="24"/>
        </w:rPr>
        <w:t xml:space="preserve">3 </w:t>
      </w:r>
      <w:r w:rsidRPr="00FC7BB4">
        <w:rPr>
          <w:rFonts w:ascii="Times New Roman" w:hAnsi="Times New Roman" w:cs="Times New Roman"/>
          <w:sz w:val="24"/>
        </w:rPr>
        <w:t xml:space="preserve">in this case as it is a quarterly survey) and where </w:t>
      </w:r>
      <w:r w:rsidRPr="00FC7BB4">
        <w:rPr>
          <w:rFonts w:ascii="Times New Roman" w:eastAsia="Cambria" w:hAnsi="Times New Roman" w:cs="Times New Roman"/>
          <w:i/>
          <w:sz w:val="24"/>
        </w:rPr>
        <w:t>p</w:t>
      </w:r>
      <w:r w:rsidRPr="00FC7BB4">
        <w:rPr>
          <w:rFonts w:ascii="Times New Roman" w:eastAsia="Cambria" w:hAnsi="Times New Roman" w:cs="Times New Roman"/>
          <w:i/>
          <w:sz w:val="24"/>
          <w:vertAlign w:val="subscript"/>
        </w:rPr>
        <w:t xml:space="preserve">up </w:t>
      </w:r>
      <w:r w:rsidRPr="00FC7BB4">
        <w:rPr>
          <w:rFonts w:ascii="Times New Roman" w:hAnsi="Times New Roman" w:cs="Times New Roman"/>
          <w:sz w:val="24"/>
        </w:rPr>
        <w:t xml:space="preserve">and </w:t>
      </w:r>
      <w:proofErr w:type="spellStart"/>
      <w:r w:rsidRPr="00FC7BB4">
        <w:rPr>
          <w:rFonts w:ascii="Times New Roman" w:eastAsia="Cambria" w:hAnsi="Times New Roman" w:cs="Times New Roman"/>
          <w:i/>
          <w:sz w:val="24"/>
        </w:rPr>
        <w:t>p</w:t>
      </w:r>
      <w:r w:rsidRPr="00FC7BB4">
        <w:rPr>
          <w:rFonts w:ascii="Times New Roman" w:eastAsia="Cambria" w:hAnsi="Times New Roman" w:cs="Times New Roman"/>
          <w:i/>
          <w:sz w:val="24"/>
          <w:vertAlign w:val="subscript"/>
        </w:rPr>
        <w:t>dn</w:t>
      </w:r>
      <w:proofErr w:type="spellEnd"/>
      <w:r w:rsidRPr="00FC7BB4">
        <w:rPr>
          <w:rFonts w:ascii="Times New Roman" w:hAnsi="Times New Roman" w:cs="Times New Roman"/>
          <w:sz w:val="24"/>
        </w:rPr>
        <w:t xml:space="preserve"> are respectively the proportions of firms that answered they increased or decreased prices in the quarter</w:t>
      </w:r>
      <w:r w:rsidR="00A26690" w:rsidRPr="00FC7BB4">
        <w:rPr>
          <w:rFonts w:ascii="Times New Roman" w:hAnsi="Times New Roman" w:cs="Times New Roman"/>
          <w:sz w:val="24"/>
        </w:rPr>
        <w:t xml:space="preserve">. </w:t>
      </w:r>
      <w:bookmarkStart w:id="44" w:name="_Hlk213164853"/>
      <w:r w:rsidR="00A26690" w:rsidRPr="00FC7BB4">
        <w:rPr>
          <w:rFonts w:ascii="Times New Roman" w:hAnsi="Times New Roman" w:cs="Times New Roman"/>
          <w:sz w:val="24"/>
        </w:rPr>
        <w:t xml:space="preserve">If </w:t>
      </w:r>
      <w:r w:rsidR="007F46DE" w:rsidRPr="00FC7BB4">
        <w:rPr>
          <w:rFonts w:ascii="Times New Roman" w:hAnsi="Times New Roman" w:cs="Times New Roman"/>
          <w:sz w:val="24"/>
        </w:rPr>
        <w:t>(</w:t>
      </w:r>
      <w:r w:rsidR="00A26690" w:rsidRPr="00FC7BB4">
        <w:rPr>
          <w:rFonts w:ascii="Times New Roman" w:eastAsia="Cambria" w:hAnsi="Times New Roman" w:cs="Times New Roman"/>
          <w:i/>
          <w:sz w:val="24"/>
        </w:rPr>
        <w:t>p</w:t>
      </w:r>
      <w:r w:rsidR="00A26690" w:rsidRPr="00FC7BB4">
        <w:rPr>
          <w:rFonts w:ascii="Times New Roman" w:eastAsia="Cambria" w:hAnsi="Times New Roman" w:cs="Times New Roman"/>
          <w:i/>
          <w:sz w:val="24"/>
          <w:vertAlign w:val="subscript"/>
        </w:rPr>
        <w:t xml:space="preserve">up </w:t>
      </w:r>
      <w:r w:rsidR="00A26690" w:rsidRPr="00FC7BB4">
        <w:rPr>
          <w:rFonts w:ascii="Times New Roman" w:eastAsia="Cambria" w:hAnsi="Times New Roman" w:cs="Times New Roman"/>
          <w:sz w:val="24"/>
        </w:rPr>
        <w:t xml:space="preserve">+ </w:t>
      </w:r>
      <w:proofErr w:type="spellStart"/>
      <w:r w:rsidR="00A26690" w:rsidRPr="00FC7BB4">
        <w:rPr>
          <w:rFonts w:ascii="Times New Roman" w:eastAsia="Cambria" w:hAnsi="Times New Roman" w:cs="Times New Roman"/>
          <w:i/>
          <w:sz w:val="24"/>
        </w:rPr>
        <w:t>p</w:t>
      </w:r>
      <w:r w:rsidR="00A26690" w:rsidRPr="00FC7BB4">
        <w:rPr>
          <w:rFonts w:ascii="Times New Roman" w:eastAsia="Cambria" w:hAnsi="Times New Roman" w:cs="Times New Roman"/>
          <w:i/>
          <w:sz w:val="24"/>
          <w:vertAlign w:val="subscript"/>
        </w:rPr>
        <w:t>dn</w:t>
      </w:r>
      <w:proofErr w:type="spellEnd"/>
      <w:r w:rsidR="007F46DE" w:rsidRPr="00FC7BB4">
        <w:rPr>
          <w:rFonts w:ascii="Times New Roman" w:eastAsia="Cambria" w:hAnsi="Times New Roman" w:cs="Times New Roman"/>
          <w:iCs/>
          <w:sz w:val="24"/>
        </w:rPr>
        <w:t>) is</w:t>
      </w:r>
      <w:r w:rsidR="00426D3C" w:rsidRPr="00FC7BB4">
        <w:rPr>
          <w:rFonts w:ascii="Times New Roman" w:eastAsia="Cambria" w:hAnsi="Times New Roman" w:cs="Times New Roman"/>
          <w:iCs/>
          <w:sz w:val="24"/>
        </w:rPr>
        <w:t xml:space="preserve"> 0.5 (</w:t>
      </w:r>
      <w:r w:rsidR="007F46DE" w:rsidRPr="00FC7BB4">
        <w:rPr>
          <w:rFonts w:ascii="Times New Roman" w:eastAsia="Cambria" w:hAnsi="Times New Roman" w:cs="Times New Roman"/>
          <w:iCs/>
          <w:sz w:val="24"/>
        </w:rPr>
        <w:t xml:space="preserve">i.e., </w:t>
      </w:r>
      <w:r w:rsidR="00426D3C" w:rsidRPr="00FC7BB4">
        <w:rPr>
          <w:rFonts w:ascii="Times New Roman" w:eastAsia="Cambria" w:hAnsi="Times New Roman" w:cs="Times New Roman"/>
          <w:iCs/>
          <w:sz w:val="24"/>
        </w:rPr>
        <w:t xml:space="preserve">50 percent of firms change prices in the quarter), the implied average price duration is </w:t>
      </w:r>
      <w:r w:rsidR="00716032" w:rsidRPr="00FC7BB4">
        <w:rPr>
          <w:rFonts w:ascii="Times New Roman" w:eastAsia="Cambria" w:hAnsi="Times New Roman" w:cs="Times New Roman"/>
          <w:iCs/>
          <w:sz w:val="24"/>
        </w:rPr>
        <w:t>six months (3/0.5)</w:t>
      </w:r>
      <w:r w:rsidRPr="00FC7BB4">
        <w:rPr>
          <w:rFonts w:ascii="Times New Roman" w:hAnsi="Times New Roman" w:cs="Times New Roman"/>
          <w:sz w:val="24"/>
        </w:rPr>
        <w:t>.</w:t>
      </w:r>
      <w:bookmarkEnd w:id="44"/>
      <w:r w:rsidRPr="00FC7BB4">
        <w:rPr>
          <w:rStyle w:val="FootnoteReference"/>
          <w:rFonts w:ascii="Times New Roman" w:hAnsi="Times New Roman" w:cs="Times New Roman"/>
          <w:sz w:val="24"/>
        </w:rPr>
        <w:footnoteReference w:id="13"/>
      </w:r>
      <w:r w:rsidRPr="00FC7BB4">
        <w:rPr>
          <w:rFonts w:ascii="Times New Roman" w:hAnsi="Times New Roman" w:cs="Times New Roman"/>
          <w:sz w:val="24"/>
        </w:rPr>
        <w:t xml:space="preserve"> </w:t>
      </w:r>
      <w:bookmarkStart w:id="45" w:name="_Hlk213164902"/>
      <w:r w:rsidR="007201B1" w:rsidRPr="00FC7BB4">
        <w:rPr>
          <w:rFonts w:ascii="Times New Roman" w:hAnsi="Times New Roman" w:cs="Times New Roman"/>
          <w:sz w:val="24"/>
        </w:rPr>
        <w:t xml:space="preserve">Using the average duration of prices, the </w:t>
      </w:r>
      <w:r w:rsidR="00307155" w:rsidRPr="00FC7BB4">
        <w:rPr>
          <w:rFonts w:ascii="Times New Roman" w:hAnsi="Times New Roman" w:cs="Times New Roman"/>
          <w:sz w:val="24"/>
        </w:rPr>
        <w:t>mean number of times the representative firm changes prices each year (</w:t>
      </w:r>
      <w:r w:rsidR="00307155" w:rsidRPr="00FC7BB4">
        <w:rPr>
          <w:rFonts w:ascii="Times New Roman" w:eastAsia="Cambria" w:hAnsi="Times New Roman" w:cs="Times New Roman"/>
          <w:i/>
          <w:sz w:val="24"/>
        </w:rPr>
        <w:t>N</w:t>
      </w:r>
      <w:r w:rsidR="00307155" w:rsidRPr="00FC7BB4">
        <w:rPr>
          <w:rFonts w:ascii="Times New Roman" w:eastAsia="Cambria" w:hAnsi="Times New Roman" w:cs="Times New Roman"/>
          <w:i/>
          <w:sz w:val="24"/>
          <w:vertAlign w:val="subscript"/>
        </w:rPr>
        <w:t>p</w:t>
      </w:r>
      <w:r w:rsidR="00307155" w:rsidRPr="00FC7BB4">
        <w:rPr>
          <w:rFonts w:ascii="Times New Roman" w:hAnsi="Times New Roman" w:cs="Times New Roman"/>
          <w:sz w:val="24"/>
        </w:rPr>
        <w:t xml:space="preserve">) </w:t>
      </w:r>
      <w:r w:rsidR="00D06B29" w:rsidRPr="00FC7BB4">
        <w:rPr>
          <w:rFonts w:ascii="Times New Roman" w:hAnsi="Times New Roman" w:cs="Times New Roman"/>
          <w:sz w:val="24"/>
        </w:rPr>
        <w:t>can be estimated as</w:t>
      </w:r>
      <w:r w:rsidR="00307155" w:rsidRPr="00FC7BB4">
        <w:rPr>
          <w:rFonts w:ascii="Times New Roman" w:hAnsi="Times New Roman" w:cs="Times New Roman"/>
          <w:sz w:val="24"/>
        </w:rPr>
        <w:t xml:space="preserve">: </w:t>
      </w:r>
      <w:bookmarkStart w:id="46" w:name="_Hlk209518441"/>
      <w:r w:rsidR="00307155" w:rsidRPr="00FC7BB4">
        <w:rPr>
          <w:rFonts w:ascii="Times New Roman" w:eastAsia="Cambria" w:hAnsi="Times New Roman" w:cs="Times New Roman"/>
          <w:i/>
          <w:sz w:val="24"/>
        </w:rPr>
        <w:t>N</w:t>
      </w:r>
      <w:r w:rsidR="00307155" w:rsidRPr="00FC7BB4">
        <w:rPr>
          <w:rFonts w:ascii="Times New Roman" w:eastAsia="Cambria" w:hAnsi="Times New Roman" w:cs="Times New Roman"/>
          <w:i/>
          <w:sz w:val="24"/>
          <w:vertAlign w:val="subscript"/>
        </w:rPr>
        <w:t>p</w:t>
      </w:r>
      <w:bookmarkEnd w:id="46"/>
      <w:r w:rsidR="00307155" w:rsidRPr="00FC7BB4">
        <w:rPr>
          <w:rFonts w:ascii="Times New Roman" w:eastAsia="Cambria" w:hAnsi="Times New Roman" w:cs="Times New Roman"/>
          <w:i/>
          <w:sz w:val="24"/>
        </w:rPr>
        <w:t xml:space="preserve"> </w:t>
      </w:r>
      <w:r w:rsidR="00307155" w:rsidRPr="00FC7BB4">
        <w:rPr>
          <w:rFonts w:ascii="Times New Roman" w:eastAsia="Cambria" w:hAnsi="Times New Roman" w:cs="Times New Roman"/>
          <w:sz w:val="24"/>
        </w:rPr>
        <w:t>= 12</w:t>
      </w:r>
      <w:r w:rsidR="00307155" w:rsidRPr="00FC7BB4">
        <w:rPr>
          <w:rFonts w:ascii="Times New Roman" w:eastAsia="Cambria" w:hAnsi="Times New Roman" w:cs="Times New Roman"/>
          <w:i/>
          <w:sz w:val="24"/>
        </w:rPr>
        <w:t>/PD</w:t>
      </w:r>
      <w:r w:rsidR="00307155" w:rsidRPr="00FC7BB4">
        <w:rPr>
          <w:rFonts w:ascii="Times New Roman" w:hAnsi="Times New Roman" w:cs="Times New Roman"/>
          <w:sz w:val="24"/>
        </w:rPr>
        <w:t>. If in a given quarter, price duration is six months, this formula implies prices are changed twice a year</w:t>
      </w:r>
      <w:r w:rsidR="002B009F" w:rsidRPr="00FC7BB4">
        <w:rPr>
          <w:rFonts w:ascii="Times New Roman" w:hAnsi="Times New Roman" w:cs="Times New Roman"/>
          <w:sz w:val="24"/>
        </w:rPr>
        <w:t>, on average.</w:t>
      </w:r>
      <w:r w:rsidR="00307155" w:rsidRPr="00FC7BB4">
        <w:rPr>
          <w:rFonts w:ascii="Times New Roman" w:hAnsi="Times New Roman" w:cs="Times New Roman"/>
          <w:sz w:val="24"/>
        </w:rPr>
        <w:t xml:space="preserve"> </w:t>
      </w:r>
      <w:r w:rsidR="00D06B29" w:rsidRPr="00FC7BB4">
        <w:rPr>
          <w:rFonts w:ascii="Times New Roman" w:hAnsi="Times New Roman" w:cs="Times New Roman"/>
          <w:sz w:val="24"/>
        </w:rPr>
        <w:t xml:space="preserve"> </w:t>
      </w:r>
      <w:r w:rsidR="00307155" w:rsidRPr="00FC7BB4">
        <w:rPr>
          <w:rFonts w:ascii="Times New Roman" w:hAnsi="Times New Roman" w:cs="Times New Roman"/>
          <w:sz w:val="24"/>
        </w:rPr>
        <w:t xml:space="preserve"> </w:t>
      </w:r>
    </w:p>
    <w:bookmarkEnd w:id="45"/>
    <w:p w14:paraId="1FBC6966" w14:textId="4473BA34" w:rsidR="00307155" w:rsidRPr="00FC7BB4" w:rsidRDefault="00307155" w:rsidP="00F3101B">
      <w:pPr>
        <w:spacing w:after="120" w:line="331" w:lineRule="auto"/>
        <w:ind w:right="27"/>
        <w:rPr>
          <w:rFonts w:ascii="Times New Roman" w:eastAsia="Cambria" w:hAnsi="Times New Roman" w:cs="Times New Roman"/>
          <w:iCs/>
          <w:color w:val="auto"/>
          <w:kern w:val="0"/>
          <w:sz w:val="24"/>
          <w:szCs w:val="21"/>
          <w:lang w:eastAsia="en-US"/>
          <w14:ligatures w14:val="none"/>
        </w:rPr>
      </w:pPr>
      <w:r w:rsidRPr="00FC7BB4">
        <w:rPr>
          <w:rFonts w:ascii="Times New Roman" w:hAnsi="Times New Roman" w:cs="Times New Roman"/>
          <w:sz w:val="24"/>
        </w:rPr>
        <w:t>With an estimate of the average duration of prices (</w:t>
      </w:r>
      <w:r w:rsidRPr="00FC7BB4">
        <w:rPr>
          <w:rFonts w:ascii="Times New Roman" w:hAnsi="Times New Roman" w:cs="Times New Roman"/>
          <w:i/>
          <w:iCs/>
          <w:sz w:val="24"/>
        </w:rPr>
        <w:t>PD</w:t>
      </w:r>
      <w:r w:rsidRPr="00FC7BB4">
        <w:rPr>
          <w:rFonts w:ascii="Times New Roman" w:hAnsi="Times New Roman" w:cs="Times New Roman"/>
          <w:sz w:val="24"/>
        </w:rPr>
        <w:t xml:space="preserve">) and therefore the corresponding value </w:t>
      </w:r>
      <w:r w:rsidRPr="00FC7BB4">
        <w:rPr>
          <w:rFonts w:ascii="Times New Roman" w:eastAsia="Cambria" w:hAnsi="Times New Roman" w:cs="Times New Roman"/>
          <w:i/>
          <w:sz w:val="24"/>
        </w:rPr>
        <w:t>N</w:t>
      </w:r>
      <w:r w:rsidRPr="00FC7BB4">
        <w:rPr>
          <w:rFonts w:ascii="Times New Roman" w:eastAsia="Cambria" w:hAnsi="Times New Roman" w:cs="Times New Roman"/>
          <w:i/>
          <w:sz w:val="24"/>
          <w:vertAlign w:val="subscript"/>
        </w:rPr>
        <w:t>p</w:t>
      </w:r>
      <w:r w:rsidRPr="00FC7BB4">
        <w:rPr>
          <w:rFonts w:ascii="Times New Roman" w:eastAsia="Cambria" w:hAnsi="Times New Roman" w:cs="Times New Roman"/>
          <w:i/>
          <w:sz w:val="24"/>
        </w:rPr>
        <w:t xml:space="preserve">, </w:t>
      </w:r>
      <w:r w:rsidRPr="00FC7BB4">
        <w:rPr>
          <w:rFonts w:ascii="Times New Roman" w:eastAsia="Cambria" w:hAnsi="Times New Roman" w:cs="Times New Roman"/>
          <w:iCs/>
          <w:sz w:val="24"/>
        </w:rPr>
        <w:t xml:space="preserve">it is possible to obtain an estimate of the average magnitude of each price adjustment. </w:t>
      </w:r>
      <w:r w:rsidRPr="00FC7BB4">
        <w:rPr>
          <w:rFonts w:ascii="Times New Roman" w:hAnsi="Times New Roman" w:cs="Times New Roman"/>
          <w:sz w:val="24"/>
        </w:rPr>
        <w:t xml:space="preserve">Recognising </w:t>
      </w:r>
      <w:r w:rsidRPr="00FC7BB4">
        <w:rPr>
          <w:rFonts w:ascii="Times New Roman" w:eastAsia="Cambria" w:hAnsi="Times New Roman" w:cs="Times New Roman"/>
          <w:sz w:val="24"/>
        </w:rPr>
        <w:t xml:space="preserve">(1 + </w:t>
      </w:r>
      <w:proofErr w:type="gramStart"/>
      <w:r w:rsidRPr="00FC7BB4">
        <w:rPr>
          <w:rFonts w:ascii="Times New Roman" w:eastAsia="Cambria" w:hAnsi="Times New Roman" w:cs="Times New Roman"/>
          <w:i/>
          <w:sz w:val="24"/>
        </w:rPr>
        <w:t>M</w:t>
      </w:r>
      <w:r w:rsidRPr="00FC7BB4">
        <w:rPr>
          <w:rFonts w:ascii="Times New Roman" w:eastAsia="Cambria" w:hAnsi="Times New Roman" w:cs="Times New Roman"/>
          <w:sz w:val="24"/>
        </w:rPr>
        <w:t>)</w:t>
      </w:r>
      <w:r w:rsidRPr="00FC7BB4">
        <w:rPr>
          <w:rFonts w:ascii="Times New Roman" w:eastAsia="Cambria" w:hAnsi="Times New Roman" w:cs="Times New Roman"/>
          <w:i/>
          <w:iCs/>
          <w:sz w:val="24"/>
          <w:vertAlign w:val="superscript"/>
        </w:rPr>
        <w:t>Np</w:t>
      </w:r>
      <w:proofErr w:type="gramEnd"/>
      <w:r w:rsidRPr="00FC7BB4">
        <w:rPr>
          <w:rFonts w:ascii="Times New Roman" w:eastAsia="Cambria" w:hAnsi="Times New Roman" w:cs="Times New Roman"/>
          <w:i/>
          <w:sz w:val="24"/>
        </w:rPr>
        <w:t xml:space="preserve"> </w:t>
      </w:r>
      <w:r w:rsidRPr="00FC7BB4">
        <w:rPr>
          <w:rFonts w:ascii="Times New Roman" w:eastAsia="Cambria" w:hAnsi="Times New Roman" w:cs="Times New Roman"/>
          <w:sz w:val="24"/>
        </w:rPr>
        <w:t xml:space="preserve">= </w:t>
      </w:r>
      <w:bookmarkStart w:id="47" w:name="_Hlk210049179"/>
      <w:r w:rsidRPr="00FC7BB4">
        <w:rPr>
          <w:rFonts w:ascii="Times New Roman" w:eastAsia="Cambria" w:hAnsi="Times New Roman" w:cs="Times New Roman"/>
          <w:i/>
          <w:sz w:val="24"/>
        </w:rPr>
        <w:t>π</w:t>
      </w:r>
      <w:bookmarkEnd w:id="47"/>
      <w:r w:rsidRPr="00FC7BB4">
        <w:rPr>
          <w:rFonts w:ascii="Times New Roman" w:eastAsia="Cambria" w:hAnsi="Times New Roman" w:cs="Times New Roman"/>
          <w:i/>
          <w:sz w:val="24"/>
        </w:rPr>
        <w:t xml:space="preserve"> </w:t>
      </w:r>
      <w:r w:rsidRPr="00FC7BB4">
        <w:rPr>
          <w:rFonts w:ascii="Times New Roman" w:eastAsia="Cambria" w:hAnsi="Times New Roman" w:cs="Times New Roman"/>
          <w:iCs/>
          <w:color w:val="auto"/>
          <w:kern w:val="0"/>
          <w:sz w:val="24"/>
          <w:szCs w:val="21"/>
          <w:lang w:eastAsia="en-US"/>
          <w14:ligatures w14:val="none"/>
        </w:rPr>
        <w:t>+ 1,</w:t>
      </w:r>
      <w:r w:rsidRPr="00FC7BB4">
        <w:rPr>
          <w:rFonts w:ascii="Times New Roman" w:eastAsia="Cambria" w:hAnsi="Times New Roman" w:cs="Times New Roman"/>
          <w:i/>
          <w:sz w:val="24"/>
        </w:rPr>
        <w:t xml:space="preserve"> </w:t>
      </w:r>
      <w:r w:rsidRPr="00FC7BB4">
        <w:rPr>
          <w:rFonts w:ascii="Times New Roman" w:eastAsia="Cambria" w:hAnsi="Times New Roman" w:cs="Times New Roman"/>
          <w:iCs/>
          <w:sz w:val="24"/>
        </w:rPr>
        <w:t>where</w:t>
      </w:r>
      <w:r w:rsidRPr="00FC7BB4">
        <w:rPr>
          <w:rFonts w:ascii="Times New Roman" w:eastAsia="Cambria" w:hAnsi="Times New Roman" w:cs="Times New Roman"/>
          <w:i/>
          <w:sz w:val="24"/>
        </w:rPr>
        <w:t xml:space="preserve"> M </w:t>
      </w:r>
      <w:r w:rsidRPr="00FC7BB4">
        <w:rPr>
          <w:rFonts w:ascii="Times New Roman" w:hAnsi="Times New Roman" w:cs="Times New Roman"/>
          <w:sz w:val="24"/>
        </w:rPr>
        <w:t xml:space="preserve">is the average magnitude of each price adjustment, it is possible to solve for </w:t>
      </w:r>
      <w:r w:rsidRPr="00FC7BB4">
        <w:rPr>
          <w:rFonts w:ascii="Times New Roman" w:hAnsi="Times New Roman" w:cs="Times New Roman"/>
          <w:i/>
          <w:iCs/>
          <w:sz w:val="24"/>
        </w:rPr>
        <w:t>M</w:t>
      </w:r>
      <w:r w:rsidRPr="00FC7BB4">
        <w:rPr>
          <w:rFonts w:ascii="Times New Roman" w:hAnsi="Times New Roman" w:cs="Times New Roman"/>
          <w:sz w:val="24"/>
        </w:rPr>
        <w:t>.</w:t>
      </w:r>
      <w:bookmarkStart w:id="48" w:name="_Hlk213165018"/>
      <w:r w:rsidR="007C28F2" w:rsidRPr="00FC7BB4">
        <w:rPr>
          <w:rStyle w:val="FootnoteReference"/>
          <w:rFonts w:ascii="Times New Roman" w:hAnsi="Times New Roman" w:cs="Times New Roman"/>
          <w:sz w:val="24"/>
        </w:rPr>
        <w:footnoteReference w:id="14"/>
      </w:r>
      <w:bookmarkEnd w:id="48"/>
      <w:r w:rsidRPr="00FC7BB4">
        <w:rPr>
          <w:rFonts w:ascii="Times New Roman" w:hAnsi="Times New Roman" w:cs="Times New Roman"/>
          <w:sz w:val="24"/>
        </w:rPr>
        <w:t xml:space="preserve"> </w:t>
      </w:r>
      <w:bookmarkStart w:id="49" w:name="_Hlk213165055"/>
      <w:r w:rsidRPr="00FC7BB4">
        <w:rPr>
          <w:rFonts w:ascii="Times New Roman" w:hAnsi="Times New Roman" w:cs="Times New Roman"/>
          <w:sz w:val="24"/>
        </w:rPr>
        <w:t>This estimate provides an approximation of the average magnitude of the price change by a firm over the 12 months up until the end of the quarter in question.</w:t>
      </w:r>
      <w:r w:rsidRPr="00FC7BB4">
        <w:rPr>
          <w:rFonts w:ascii="Times New Roman" w:eastAsia="Cambria" w:hAnsi="Times New Roman" w:cs="Times New Roman"/>
          <w:iCs/>
          <w:sz w:val="24"/>
        </w:rPr>
        <w:t xml:space="preserve"> </w:t>
      </w:r>
      <w:bookmarkStart w:id="50" w:name="_Hlk210137929"/>
      <w:r w:rsidRPr="00FC7BB4">
        <w:rPr>
          <w:rFonts w:ascii="Times New Roman" w:eastAsia="Cambria" w:hAnsi="Times New Roman" w:cs="Times New Roman"/>
          <w:iCs/>
          <w:sz w:val="24"/>
        </w:rPr>
        <w:t>This approach assumes the average annual percentage change in prices by firms for each year is equal to the percentage change in the selected price index used to derive the annual inflation rate (</w:t>
      </w:r>
      <w:r w:rsidRPr="00FC7BB4">
        <w:rPr>
          <w:rFonts w:ascii="Times New Roman" w:eastAsia="Cambria" w:hAnsi="Times New Roman" w:cs="Times New Roman"/>
          <w:i/>
          <w:sz w:val="24"/>
        </w:rPr>
        <w:t>π</w:t>
      </w:r>
      <w:r w:rsidRPr="00FC7BB4">
        <w:rPr>
          <w:rFonts w:ascii="Times New Roman" w:eastAsia="Cambria" w:hAnsi="Times New Roman" w:cs="Times New Roman"/>
          <w:iCs/>
          <w:sz w:val="24"/>
        </w:rPr>
        <w:t>), in this case the Consumers Price Index (CPI)</w:t>
      </w:r>
      <w:bookmarkEnd w:id="50"/>
      <w:r w:rsidRPr="00FC7BB4">
        <w:rPr>
          <w:rFonts w:ascii="Times New Roman" w:hAnsi="Times New Roman" w:cs="Times New Roman"/>
          <w:sz w:val="24"/>
        </w:rPr>
        <w:t>.</w:t>
      </w:r>
      <w:bookmarkStart w:id="51" w:name="_Hlk213165060"/>
      <w:r w:rsidRPr="00FC7BB4">
        <w:rPr>
          <w:rStyle w:val="FootnoteReference"/>
          <w:rFonts w:ascii="Times New Roman" w:hAnsi="Times New Roman" w:cs="Times New Roman"/>
          <w:sz w:val="24"/>
        </w:rPr>
        <w:footnoteReference w:id="15"/>
      </w:r>
      <w:bookmarkEnd w:id="51"/>
    </w:p>
    <w:bookmarkEnd w:id="49"/>
    <w:p w14:paraId="5FDFAF3A" w14:textId="77777777" w:rsidR="007F46DE" w:rsidRPr="00FC7BB4" w:rsidRDefault="007F46DE" w:rsidP="00F3101B">
      <w:pPr>
        <w:spacing w:after="0" w:line="264" w:lineRule="auto"/>
        <w:ind w:right="27" w:hanging="11"/>
        <w:jc w:val="center"/>
        <w:rPr>
          <w:rFonts w:ascii="Times New Roman" w:hAnsi="Times New Roman" w:cs="Times New Roman"/>
          <w:b/>
          <w:bCs/>
          <w:sz w:val="24"/>
        </w:rPr>
      </w:pPr>
    </w:p>
    <w:p w14:paraId="689179AB" w14:textId="77777777" w:rsidR="007F46DE" w:rsidRPr="00FC7BB4" w:rsidRDefault="007F46DE" w:rsidP="00F3101B">
      <w:pPr>
        <w:spacing w:after="0" w:line="264" w:lineRule="auto"/>
        <w:ind w:right="27" w:hanging="11"/>
        <w:jc w:val="center"/>
        <w:rPr>
          <w:rFonts w:ascii="Times New Roman" w:hAnsi="Times New Roman" w:cs="Times New Roman"/>
          <w:b/>
          <w:bCs/>
          <w:sz w:val="24"/>
        </w:rPr>
      </w:pPr>
    </w:p>
    <w:p w14:paraId="6A1163E4" w14:textId="77777777" w:rsidR="007F46DE" w:rsidRPr="00FC7BB4" w:rsidRDefault="007F46DE" w:rsidP="00F3101B">
      <w:pPr>
        <w:spacing w:after="0" w:line="264" w:lineRule="auto"/>
        <w:ind w:right="27" w:hanging="11"/>
        <w:jc w:val="center"/>
        <w:rPr>
          <w:rFonts w:ascii="Times New Roman" w:hAnsi="Times New Roman" w:cs="Times New Roman"/>
          <w:b/>
          <w:bCs/>
          <w:sz w:val="24"/>
        </w:rPr>
      </w:pPr>
    </w:p>
    <w:p w14:paraId="1B80D77D" w14:textId="77777777" w:rsidR="007F46DE" w:rsidRDefault="007F46DE" w:rsidP="00F3101B">
      <w:pPr>
        <w:spacing w:after="0" w:line="264" w:lineRule="auto"/>
        <w:ind w:right="27" w:hanging="11"/>
        <w:jc w:val="center"/>
        <w:rPr>
          <w:rFonts w:ascii="Times New Roman" w:hAnsi="Times New Roman" w:cs="Times New Roman"/>
          <w:b/>
          <w:bCs/>
          <w:sz w:val="24"/>
        </w:rPr>
      </w:pPr>
    </w:p>
    <w:p w14:paraId="4DBBE83C" w14:textId="77777777" w:rsidR="00717BD6" w:rsidRDefault="00717BD6" w:rsidP="00F3101B">
      <w:pPr>
        <w:spacing w:after="0" w:line="264" w:lineRule="auto"/>
        <w:ind w:right="27" w:hanging="11"/>
        <w:jc w:val="center"/>
        <w:rPr>
          <w:rFonts w:ascii="Times New Roman" w:hAnsi="Times New Roman" w:cs="Times New Roman"/>
          <w:b/>
          <w:bCs/>
          <w:sz w:val="24"/>
        </w:rPr>
      </w:pPr>
    </w:p>
    <w:p w14:paraId="0BCC7682" w14:textId="77777777" w:rsidR="00717BD6" w:rsidRDefault="00717BD6" w:rsidP="00F3101B">
      <w:pPr>
        <w:spacing w:after="0" w:line="264" w:lineRule="auto"/>
        <w:ind w:right="27" w:hanging="11"/>
        <w:jc w:val="center"/>
        <w:rPr>
          <w:rFonts w:ascii="Times New Roman" w:hAnsi="Times New Roman" w:cs="Times New Roman"/>
          <w:b/>
          <w:bCs/>
          <w:sz w:val="24"/>
        </w:rPr>
      </w:pPr>
    </w:p>
    <w:p w14:paraId="52AA1CA8" w14:textId="77777777" w:rsidR="005D65C5" w:rsidRPr="00FC7BB4" w:rsidRDefault="005D65C5" w:rsidP="00F3101B">
      <w:pPr>
        <w:spacing w:after="0" w:line="264" w:lineRule="auto"/>
        <w:ind w:right="27" w:hanging="11"/>
        <w:jc w:val="center"/>
        <w:rPr>
          <w:rFonts w:ascii="Times New Roman" w:hAnsi="Times New Roman" w:cs="Times New Roman"/>
          <w:b/>
          <w:bCs/>
          <w:sz w:val="24"/>
        </w:rPr>
      </w:pPr>
    </w:p>
    <w:p w14:paraId="1A243876" w14:textId="6E427472" w:rsidR="00307155" w:rsidRPr="00FC7BB4" w:rsidRDefault="00307155" w:rsidP="00F3101B">
      <w:pPr>
        <w:spacing w:after="0" w:line="264" w:lineRule="auto"/>
        <w:ind w:right="27" w:hanging="11"/>
        <w:jc w:val="center"/>
        <w:rPr>
          <w:rFonts w:ascii="Times New Roman" w:hAnsi="Times New Roman" w:cs="Times New Roman"/>
          <w:b/>
          <w:bCs/>
          <w:sz w:val="24"/>
        </w:rPr>
      </w:pPr>
      <w:r w:rsidRPr="00FC7BB4">
        <w:rPr>
          <w:rFonts w:ascii="Times New Roman" w:hAnsi="Times New Roman" w:cs="Times New Roman"/>
          <w:b/>
          <w:bCs/>
          <w:sz w:val="24"/>
        </w:rPr>
        <w:lastRenderedPageBreak/>
        <w:t xml:space="preserve">Table 1: Firm pricing behaviour by inflation periods  </w:t>
      </w:r>
    </w:p>
    <w:p w14:paraId="7A96C880" w14:textId="77777777" w:rsidR="00307155" w:rsidRPr="00FC7BB4" w:rsidRDefault="00307155" w:rsidP="00F3101B">
      <w:pPr>
        <w:spacing w:after="0" w:line="240" w:lineRule="auto"/>
        <w:ind w:right="27" w:hanging="11"/>
        <w:jc w:val="center"/>
        <w:rPr>
          <w:rFonts w:ascii="Times New Roman" w:hAnsi="Times New Roman" w:cs="Times New Roman"/>
          <w:b/>
          <w:bCs/>
          <w:sz w:val="24"/>
        </w:rPr>
      </w:pPr>
    </w:p>
    <w:tbl>
      <w:tblPr>
        <w:tblW w:w="9826" w:type="dxa"/>
        <w:tblLook w:val="04A0" w:firstRow="1" w:lastRow="0" w:firstColumn="1" w:lastColumn="0" w:noHBand="0" w:noVBand="1"/>
      </w:tblPr>
      <w:tblGrid>
        <w:gridCol w:w="965"/>
        <w:gridCol w:w="987"/>
        <w:gridCol w:w="960"/>
        <w:gridCol w:w="1313"/>
        <w:gridCol w:w="1313"/>
        <w:gridCol w:w="1038"/>
        <w:gridCol w:w="998"/>
        <w:gridCol w:w="1187"/>
        <w:gridCol w:w="1065"/>
      </w:tblGrid>
      <w:tr w:rsidR="00307155" w:rsidRPr="00FC7BB4" w14:paraId="784E5C3E" w14:textId="77777777" w:rsidTr="00291B27">
        <w:trPr>
          <w:trHeight w:val="1388"/>
        </w:trPr>
        <w:tc>
          <w:tcPr>
            <w:tcW w:w="965" w:type="dxa"/>
            <w:tcBorders>
              <w:top w:val="single" w:sz="4" w:space="0" w:color="auto"/>
              <w:left w:val="nil"/>
              <w:bottom w:val="single" w:sz="4" w:space="0" w:color="auto"/>
              <w:right w:val="nil"/>
            </w:tcBorders>
            <w:hideMark/>
          </w:tcPr>
          <w:p w14:paraId="0596DB34"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Inflation period</w:t>
            </w:r>
          </w:p>
        </w:tc>
        <w:tc>
          <w:tcPr>
            <w:tcW w:w="987" w:type="dxa"/>
            <w:tcBorders>
              <w:top w:val="single" w:sz="4" w:space="0" w:color="auto"/>
              <w:left w:val="nil"/>
              <w:bottom w:val="single" w:sz="4" w:space="0" w:color="auto"/>
              <w:right w:val="nil"/>
            </w:tcBorders>
            <w:hideMark/>
          </w:tcPr>
          <w:p w14:paraId="07640162"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Time    span</w:t>
            </w:r>
          </w:p>
        </w:tc>
        <w:tc>
          <w:tcPr>
            <w:tcW w:w="960" w:type="dxa"/>
            <w:tcBorders>
              <w:top w:val="single" w:sz="4" w:space="0" w:color="auto"/>
              <w:left w:val="nil"/>
              <w:bottom w:val="single" w:sz="4" w:space="0" w:color="auto"/>
              <w:right w:val="nil"/>
            </w:tcBorders>
            <w:hideMark/>
          </w:tcPr>
          <w:p w14:paraId="2295B584"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Average annual inflation </w:t>
            </w:r>
          </w:p>
          <w:p w14:paraId="6461432C"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p>
          <w:p w14:paraId="025ACDFF"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w:t>
            </w:r>
          </w:p>
        </w:tc>
        <w:tc>
          <w:tcPr>
            <w:tcW w:w="1313" w:type="dxa"/>
            <w:tcBorders>
              <w:top w:val="single" w:sz="4" w:space="0" w:color="auto"/>
              <w:left w:val="nil"/>
              <w:bottom w:val="single" w:sz="4" w:space="0" w:color="auto"/>
              <w:right w:val="nil"/>
            </w:tcBorders>
            <w:hideMark/>
          </w:tcPr>
          <w:p w14:paraId="709D6F66" w14:textId="47202095" w:rsidR="00307155" w:rsidRPr="00FC7BB4" w:rsidRDefault="00FE34D4" w:rsidP="00F3101B">
            <w:pPr>
              <w:spacing w:after="0" w:line="240" w:lineRule="auto"/>
              <w:ind w:right="27" w:firstLine="0"/>
              <w:jc w:val="center"/>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p</w:t>
            </w:r>
            <w:r w:rsidRPr="00FC7BB4">
              <w:rPr>
                <w:rFonts w:ascii="Times New Roman" w:eastAsia="Times New Roman" w:hAnsi="Times New Roman" w:cs="Times New Roman"/>
                <w:i/>
                <w:iCs/>
                <w:kern w:val="0"/>
                <w:szCs w:val="20"/>
                <w:vertAlign w:val="subscript"/>
                <w14:ligatures w14:val="none"/>
              </w:rPr>
              <w:t>up</w:t>
            </w:r>
            <w:r w:rsidRPr="00FC7BB4">
              <w:rPr>
                <w:rFonts w:ascii="Times New Roman" w:eastAsia="Times New Roman" w:hAnsi="Times New Roman" w:cs="Times New Roman"/>
                <w:i/>
                <w:iCs/>
                <w:kern w:val="0"/>
                <w:szCs w:val="20"/>
                <w14:ligatures w14:val="none"/>
              </w:rPr>
              <w:t xml:space="preserve">                                                        </w:t>
            </w:r>
          </w:p>
          <w:p w14:paraId="62C78C00" w14:textId="77777777" w:rsidR="00307155" w:rsidRPr="00FC7BB4" w:rsidRDefault="00307155" w:rsidP="00F3101B">
            <w:pPr>
              <w:spacing w:after="0" w:line="240" w:lineRule="auto"/>
              <w:ind w:right="27" w:firstLine="0"/>
              <w:jc w:val="center"/>
              <w:rPr>
                <w:rFonts w:ascii="Times New Roman" w:eastAsia="Times New Roman" w:hAnsi="Times New Roman" w:cs="Times New Roman"/>
                <w:i/>
                <w:iCs/>
                <w:kern w:val="0"/>
                <w:szCs w:val="20"/>
                <w14:ligatures w14:val="none"/>
              </w:rPr>
            </w:pPr>
          </w:p>
          <w:p w14:paraId="1C52B4CB" w14:textId="77777777" w:rsidR="00307155" w:rsidRPr="00FC7BB4" w:rsidRDefault="00307155" w:rsidP="00F3101B">
            <w:pPr>
              <w:spacing w:after="0" w:line="240" w:lineRule="auto"/>
              <w:ind w:right="27" w:firstLine="0"/>
              <w:jc w:val="center"/>
              <w:rPr>
                <w:rFonts w:ascii="Times New Roman" w:eastAsia="Times New Roman" w:hAnsi="Times New Roman" w:cs="Times New Roman"/>
                <w:i/>
                <w:iCs/>
                <w:kern w:val="0"/>
                <w:szCs w:val="20"/>
                <w14:ligatures w14:val="none"/>
              </w:rPr>
            </w:pPr>
          </w:p>
          <w:p w14:paraId="2BEE8C97" w14:textId="77777777" w:rsidR="00307155" w:rsidRPr="00FC7BB4" w:rsidRDefault="00307155" w:rsidP="00F3101B">
            <w:pPr>
              <w:spacing w:after="0" w:line="240" w:lineRule="auto"/>
              <w:ind w:right="27" w:firstLine="0"/>
              <w:jc w:val="center"/>
              <w:rPr>
                <w:rFonts w:ascii="Times New Roman" w:eastAsia="Times New Roman" w:hAnsi="Times New Roman" w:cs="Times New Roman"/>
                <w:i/>
                <w:iCs/>
                <w:kern w:val="0"/>
                <w:szCs w:val="20"/>
                <w14:ligatures w14:val="none"/>
              </w:rPr>
            </w:pPr>
          </w:p>
          <w:p w14:paraId="79944336"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(proportion)</w:t>
            </w:r>
          </w:p>
        </w:tc>
        <w:tc>
          <w:tcPr>
            <w:tcW w:w="1313" w:type="dxa"/>
            <w:tcBorders>
              <w:top w:val="single" w:sz="4" w:space="0" w:color="auto"/>
              <w:left w:val="nil"/>
              <w:bottom w:val="single" w:sz="4" w:space="0" w:color="auto"/>
              <w:right w:val="nil"/>
            </w:tcBorders>
            <w:hideMark/>
          </w:tcPr>
          <w:p w14:paraId="47E35DF6" w14:textId="368EDD54" w:rsidR="00307155" w:rsidRPr="00FC7BB4" w:rsidRDefault="00FE34D4" w:rsidP="00F3101B">
            <w:pPr>
              <w:spacing w:after="0" w:line="240" w:lineRule="auto"/>
              <w:ind w:right="27" w:firstLine="0"/>
              <w:jc w:val="center"/>
              <w:rPr>
                <w:rFonts w:ascii="Times New Roman" w:eastAsia="Times New Roman" w:hAnsi="Times New Roman" w:cs="Times New Roman"/>
                <w:i/>
                <w:iCs/>
                <w:kern w:val="0"/>
                <w:szCs w:val="20"/>
                <w:vertAlign w:val="subscript"/>
                <w14:ligatures w14:val="none"/>
              </w:rPr>
            </w:pPr>
            <w:proofErr w:type="spellStart"/>
            <w:r w:rsidRPr="00FC7BB4">
              <w:rPr>
                <w:rFonts w:ascii="Times New Roman" w:eastAsia="Times New Roman" w:hAnsi="Times New Roman" w:cs="Times New Roman"/>
                <w:i/>
                <w:iCs/>
                <w:kern w:val="0"/>
                <w:szCs w:val="20"/>
                <w14:ligatures w14:val="none"/>
              </w:rPr>
              <w:t>p</w:t>
            </w:r>
            <w:r w:rsidRPr="00FC7BB4">
              <w:rPr>
                <w:rFonts w:ascii="Times New Roman" w:eastAsia="Times New Roman" w:hAnsi="Times New Roman" w:cs="Times New Roman"/>
                <w:i/>
                <w:iCs/>
                <w:kern w:val="0"/>
                <w:szCs w:val="20"/>
                <w:vertAlign w:val="subscript"/>
                <w14:ligatures w14:val="none"/>
              </w:rPr>
              <w:t>up</w:t>
            </w:r>
            <w:r w:rsidR="00307155" w:rsidRPr="00FC7BB4">
              <w:rPr>
                <w:rFonts w:ascii="Times New Roman" w:eastAsia="Times New Roman" w:hAnsi="Times New Roman" w:cs="Times New Roman"/>
                <w:i/>
                <w:iCs/>
                <w:kern w:val="0"/>
                <w:szCs w:val="20"/>
                <w:vertAlign w:val="subscript"/>
                <w14:ligatures w14:val="none"/>
              </w:rPr>
              <w:t>+dn</w:t>
            </w:r>
            <w:proofErr w:type="spellEnd"/>
            <w:r w:rsidR="00307155" w:rsidRPr="00FC7BB4">
              <w:rPr>
                <w:rFonts w:ascii="Times New Roman" w:eastAsia="Times New Roman" w:hAnsi="Times New Roman" w:cs="Times New Roman"/>
                <w:i/>
                <w:iCs/>
                <w:kern w:val="0"/>
                <w:szCs w:val="20"/>
                <w:vertAlign w:val="subscript"/>
                <w14:ligatures w14:val="none"/>
              </w:rPr>
              <w:t xml:space="preserve"> </w:t>
            </w:r>
          </w:p>
          <w:p w14:paraId="78987D35" w14:textId="77777777" w:rsidR="00307155" w:rsidRPr="00FC7BB4" w:rsidRDefault="00307155" w:rsidP="00F3101B">
            <w:pPr>
              <w:spacing w:after="0" w:line="240" w:lineRule="auto"/>
              <w:ind w:right="27" w:firstLine="0"/>
              <w:jc w:val="center"/>
              <w:rPr>
                <w:rFonts w:ascii="Times New Roman" w:eastAsia="Times New Roman" w:hAnsi="Times New Roman" w:cs="Times New Roman"/>
                <w:i/>
                <w:iCs/>
                <w:kern w:val="0"/>
                <w:szCs w:val="20"/>
                <w14:ligatures w14:val="none"/>
              </w:rPr>
            </w:pPr>
          </w:p>
          <w:p w14:paraId="0D08481A" w14:textId="77777777" w:rsidR="00307155" w:rsidRPr="00FC7BB4" w:rsidRDefault="00307155" w:rsidP="00F3101B">
            <w:pPr>
              <w:spacing w:after="0" w:line="240" w:lineRule="auto"/>
              <w:ind w:right="27" w:firstLine="0"/>
              <w:jc w:val="center"/>
              <w:rPr>
                <w:rFonts w:ascii="Times New Roman" w:eastAsia="Times New Roman" w:hAnsi="Times New Roman" w:cs="Times New Roman"/>
                <w:i/>
                <w:iCs/>
                <w:kern w:val="0"/>
                <w:szCs w:val="20"/>
                <w14:ligatures w14:val="none"/>
              </w:rPr>
            </w:pPr>
          </w:p>
          <w:p w14:paraId="11C2CC03" w14:textId="77777777" w:rsidR="00307155" w:rsidRPr="00FC7BB4" w:rsidRDefault="00307155" w:rsidP="00F3101B">
            <w:pPr>
              <w:spacing w:after="0" w:line="240" w:lineRule="auto"/>
              <w:ind w:right="27" w:firstLine="0"/>
              <w:jc w:val="center"/>
              <w:rPr>
                <w:rFonts w:ascii="Times New Roman" w:eastAsia="Times New Roman" w:hAnsi="Times New Roman" w:cs="Times New Roman"/>
                <w:i/>
                <w:iCs/>
                <w:kern w:val="0"/>
                <w:szCs w:val="20"/>
                <w14:ligatures w14:val="none"/>
              </w:rPr>
            </w:pPr>
          </w:p>
          <w:p w14:paraId="79195C43"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(proportion)</w:t>
            </w:r>
          </w:p>
        </w:tc>
        <w:tc>
          <w:tcPr>
            <w:tcW w:w="1038" w:type="dxa"/>
            <w:tcBorders>
              <w:top w:val="single" w:sz="4" w:space="0" w:color="auto"/>
              <w:left w:val="nil"/>
              <w:bottom w:val="single" w:sz="4" w:space="0" w:color="auto"/>
              <w:right w:val="nil"/>
            </w:tcBorders>
            <w:hideMark/>
          </w:tcPr>
          <w:p w14:paraId="5CF579FD"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Price duration, </w:t>
            </w:r>
            <w:r w:rsidRPr="00FC7BB4">
              <w:rPr>
                <w:rFonts w:ascii="Times New Roman" w:eastAsia="Times New Roman" w:hAnsi="Times New Roman" w:cs="Times New Roman"/>
                <w:i/>
                <w:iCs/>
                <w:kern w:val="0"/>
                <w:szCs w:val="20"/>
                <w14:ligatures w14:val="none"/>
              </w:rPr>
              <w:t>PD</w:t>
            </w:r>
            <w:r w:rsidRPr="00FC7BB4">
              <w:rPr>
                <w:rFonts w:ascii="Times New Roman" w:eastAsia="Times New Roman" w:hAnsi="Times New Roman" w:cs="Times New Roman"/>
                <w:kern w:val="0"/>
                <w:szCs w:val="20"/>
                <w14:ligatures w14:val="none"/>
              </w:rPr>
              <w:t xml:space="preserve"> </w:t>
            </w:r>
          </w:p>
          <w:p w14:paraId="5055BE4B"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p>
          <w:p w14:paraId="047225DB"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(months)</w:t>
            </w:r>
          </w:p>
        </w:tc>
        <w:tc>
          <w:tcPr>
            <w:tcW w:w="998" w:type="dxa"/>
            <w:tcBorders>
              <w:top w:val="single" w:sz="4" w:space="0" w:color="auto"/>
              <w:left w:val="nil"/>
              <w:bottom w:val="single" w:sz="4" w:space="0" w:color="auto"/>
              <w:right w:val="nil"/>
            </w:tcBorders>
            <w:hideMark/>
          </w:tcPr>
          <w:p w14:paraId="2A22F789"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Annual number of price changes, </w:t>
            </w:r>
            <w:r w:rsidRPr="00FC7BB4">
              <w:rPr>
                <w:rFonts w:ascii="Times New Roman" w:eastAsia="Times New Roman" w:hAnsi="Times New Roman" w:cs="Times New Roman"/>
                <w:i/>
                <w:iCs/>
                <w:kern w:val="0"/>
                <w:szCs w:val="20"/>
                <w14:ligatures w14:val="none"/>
              </w:rPr>
              <w:t>Np</w:t>
            </w:r>
          </w:p>
        </w:tc>
        <w:tc>
          <w:tcPr>
            <w:tcW w:w="1187" w:type="dxa"/>
            <w:tcBorders>
              <w:top w:val="single" w:sz="4" w:space="0" w:color="auto"/>
              <w:left w:val="nil"/>
              <w:bottom w:val="single" w:sz="4" w:space="0" w:color="auto"/>
              <w:right w:val="nil"/>
            </w:tcBorders>
            <w:hideMark/>
          </w:tcPr>
          <w:p w14:paraId="1A7F065C" w14:textId="26BB433F"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Magnitude of price adjustment, </w:t>
            </w:r>
            <w:r w:rsidRPr="00FC7BB4">
              <w:rPr>
                <w:rFonts w:ascii="Times New Roman" w:eastAsia="Times New Roman" w:hAnsi="Times New Roman" w:cs="Times New Roman"/>
                <w:i/>
                <w:iCs/>
                <w:kern w:val="0"/>
                <w:szCs w:val="20"/>
                <w14:ligatures w14:val="none"/>
              </w:rPr>
              <w:t>M</w:t>
            </w:r>
          </w:p>
          <w:p w14:paraId="1623A4C2"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w:t>
            </w:r>
          </w:p>
        </w:tc>
        <w:tc>
          <w:tcPr>
            <w:tcW w:w="1065" w:type="dxa"/>
            <w:tcBorders>
              <w:top w:val="single" w:sz="4" w:space="0" w:color="auto"/>
              <w:left w:val="nil"/>
              <w:bottom w:val="single" w:sz="4" w:space="0" w:color="auto"/>
              <w:right w:val="nil"/>
            </w:tcBorders>
            <w:hideMark/>
          </w:tcPr>
          <w:p w14:paraId="707455D4" w14:textId="730C95D6"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Ratio</w:t>
            </w:r>
            <w:r w:rsidR="005D6674" w:rsidRPr="00FC7BB4">
              <w:rPr>
                <w:rFonts w:ascii="Times New Roman" w:eastAsia="Times New Roman" w:hAnsi="Times New Roman" w:cs="Times New Roman"/>
                <w:kern w:val="0"/>
                <w:szCs w:val="20"/>
                <w14:ligatures w14:val="none"/>
              </w:rPr>
              <w:t xml:space="preserve"> of </w:t>
            </w:r>
            <w:r w:rsidRPr="00FC7BB4">
              <w:rPr>
                <w:rFonts w:ascii="Times New Roman" w:eastAsia="Times New Roman" w:hAnsi="Times New Roman" w:cs="Times New Roman"/>
                <w:kern w:val="0"/>
                <w:szCs w:val="20"/>
                <w14:ligatures w14:val="none"/>
              </w:rPr>
              <w:t xml:space="preserve">     </w:t>
            </w:r>
          </w:p>
          <w:p w14:paraId="0B4AADB8" w14:textId="790F8001" w:rsidR="00307155" w:rsidRPr="00FC7BB4" w:rsidRDefault="00307155" w:rsidP="00F3101B">
            <w:pPr>
              <w:spacing w:after="0" w:line="240" w:lineRule="auto"/>
              <w:ind w:right="27" w:firstLine="0"/>
              <w:jc w:val="center"/>
              <w:rPr>
                <w:rFonts w:ascii="Times New Roman" w:eastAsia="Times New Roman" w:hAnsi="Times New Roman" w:cs="Times New Roman"/>
                <w:i/>
                <w:iCs/>
                <w:kern w:val="0"/>
                <w:sz w:val="22"/>
                <w:szCs w:val="22"/>
                <w14:ligatures w14:val="none"/>
              </w:rPr>
            </w:pPr>
            <w:r w:rsidRPr="00FC7BB4">
              <w:rPr>
                <w:rFonts w:ascii="Times New Roman" w:eastAsia="Times New Roman" w:hAnsi="Times New Roman" w:cs="Times New Roman"/>
                <w:i/>
                <w:iCs/>
                <w:kern w:val="0"/>
                <w:sz w:val="22"/>
                <w:szCs w:val="22"/>
                <w14:ligatures w14:val="none"/>
              </w:rPr>
              <w:t>Np</w:t>
            </w:r>
            <w:r w:rsidR="005D6674" w:rsidRPr="00FC7BB4">
              <w:rPr>
                <w:rFonts w:ascii="Times New Roman" w:eastAsia="Times New Roman" w:hAnsi="Times New Roman" w:cs="Times New Roman"/>
                <w:kern w:val="0"/>
                <w:sz w:val="22"/>
                <w:szCs w:val="22"/>
                <w14:ligatures w14:val="none"/>
              </w:rPr>
              <w:t xml:space="preserve"> to </w:t>
            </w:r>
            <w:r w:rsidRPr="00FC7BB4">
              <w:rPr>
                <w:rFonts w:ascii="Times New Roman" w:eastAsia="Times New Roman" w:hAnsi="Times New Roman" w:cs="Times New Roman"/>
                <w:i/>
                <w:iCs/>
                <w:kern w:val="0"/>
                <w:sz w:val="22"/>
                <w:szCs w:val="22"/>
                <w14:ligatures w14:val="none"/>
              </w:rPr>
              <w:t>M</w:t>
            </w:r>
          </w:p>
          <w:p w14:paraId="460F746E" w14:textId="77777777" w:rsidR="005D6674" w:rsidRPr="00FC7BB4" w:rsidRDefault="005D6674" w:rsidP="00F3101B">
            <w:pPr>
              <w:spacing w:after="0" w:line="240" w:lineRule="auto"/>
              <w:ind w:right="27" w:firstLine="0"/>
              <w:jc w:val="center"/>
              <w:rPr>
                <w:rFonts w:ascii="Times New Roman" w:eastAsia="Times New Roman" w:hAnsi="Times New Roman" w:cs="Times New Roman"/>
                <w:kern w:val="0"/>
                <w:szCs w:val="22"/>
                <w14:ligatures w14:val="none"/>
              </w:rPr>
            </w:pPr>
          </w:p>
          <w:p w14:paraId="20F3C291" w14:textId="77777777" w:rsidR="005D6674" w:rsidRPr="00FC7BB4" w:rsidRDefault="005D6674" w:rsidP="00F3101B">
            <w:pPr>
              <w:spacing w:after="0" w:line="240" w:lineRule="auto"/>
              <w:ind w:right="27" w:firstLine="0"/>
              <w:jc w:val="center"/>
              <w:rPr>
                <w:rFonts w:ascii="Times New Roman" w:eastAsia="Times New Roman" w:hAnsi="Times New Roman" w:cs="Times New Roman"/>
                <w:i/>
                <w:iCs/>
                <w:kern w:val="0"/>
                <w:szCs w:val="22"/>
                <w14:ligatures w14:val="none"/>
              </w:rPr>
            </w:pPr>
          </w:p>
          <w:p w14:paraId="59BB0F7F" w14:textId="42C1D421" w:rsidR="005D6674" w:rsidRPr="00FC7BB4" w:rsidRDefault="005D6674" w:rsidP="00F3101B">
            <w:pPr>
              <w:spacing w:after="0" w:line="240" w:lineRule="auto"/>
              <w:ind w:right="27" w:firstLine="0"/>
              <w:jc w:val="center"/>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2"/>
                <w14:ligatures w14:val="none"/>
              </w:rPr>
              <w:t>Np/M</w:t>
            </w:r>
          </w:p>
        </w:tc>
      </w:tr>
      <w:tr w:rsidR="00307155" w:rsidRPr="00FC7BB4" w14:paraId="77BEBFC4" w14:textId="77777777" w:rsidTr="00291B27">
        <w:trPr>
          <w:trHeight w:val="606"/>
        </w:trPr>
        <w:tc>
          <w:tcPr>
            <w:tcW w:w="965" w:type="dxa"/>
            <w:tcBorders>
              <w:top w:val="nil"/>
              <w:left w:val="nil"/>
              <w:bottom w:val="nil"/>
              <w:right w:val="nil"/>
            </w:tcBorders>
            <w:noWrap/>
            <w:vAlign w:val="center"/>
            <w:hideMark/>
          </w:tcPr>
          <w:p w14:paraId="71359FF2"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I</w:t>
            </w:r>
          </w:p>
        </w:tc>
        <w:tc>
          <w:tcPr>
            <w:tcW w:w="987" w:type="dxa"/>
            <w:tcBorders>
              <w:top w:val="nil"/>
              <w:left w:val="nil"/>
              <w:bottom w:val="nil"/>
              <w:right w:val="nil"/>
            </w:tcBorders>
            <w:vAlign w:val="bottom"/>
            <w:hideMark/>
          </w:tcPr>
          <w:p w14:paraId="3145F6A2"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1963Q3-    1967Q1</w:t>
            </w:r>
          </w:p>
        </w:tc>
        <w:tc>
          <w:tcPr>
            <w:tcW w:w="960" w:type="dxa"/>
            <w:tcBorders>
              <w:top w:val="nil"/>
              <w:left w:val="nil"/>
              <w:bottom w:val="nil"/>
              <w:right w:val="nil"/>
            </w:tcBorders>
            <w:noWrap/>
            <w:vAlign w:val="center"/>
            <w:hideMark/>
          </w:tcPr>
          <w:p w14:paraId="64137818"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3.13</w:t>
            </w:r>
          </w:p>
        </w:tc>
        <w:tc>
          <w:tcPr>
            <w:tcW w:w="1313" w:type="dxa"/>
            <w:tcBorders>
              <w:top w:val="nil"/>
              <w:left w:val="nil"/>
              <w:bottom w:val="nil"/>
              <w:right w:val="nil"/>
            </w:tcBorders>
            <w:noWrap/>
            <w:vAlign w:val="center"/>
            <w:hideMark/>
          </w:tcPr>
          <w:p w14:paraId="59F3295A"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0.28</w:t>
            </w:r>
          </w:p>
        </w:tc>
        <w:tc>
          <w:tcPr>
            <w:tcW w:w="1313" w:type="dxa"/>
            <w:tcBorders>
              <w:top w:val="nil"/>
              <w:left w:val="nil"/>
              <w:bottom w:val="nil"/>
              <w:right w:val="nil"/>
            </w:tcBorders>
            <w:noWrap/>
            <w:vAlign w:val="center"/>
            <w:hideMark/>
          </w:tcPr>
          <w:p w14:paraId="60864C77"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0.35</w:t>
            </w:r>
          </w:p>
        </w:tc>
        <w:tc>
          <w:tcPr>
            <w:tcW w:w="1038" w:type="dxa"/>
            <w:tcBorders>
              <w:top w:val="nil"/>
              <w:left w:val="nil"/>
              <w:bottom w:val="nil"/>
              <w:right w:val="nil"/>
            </w:tcBorders>
            <w:noWrap/>
            <w:vAlign w:val="center"/>
            <w:hideMark/>
          </w:tcPr>
          <w:p w14:paraId="1B306B37"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9.20</w:t>
            </w:r>
          </w:p>
        </w:tc>
        <w:tc>
          <w:tcPr>
            <w:tcW w:w="998" w:type="dxa"/>
            <w:tcBorders>
              <w:top w:val="nil"/>
              <w:left w:val="nil"/>
              <w:bottom w:val="nil"/>
              <w:right w:val="nil"/>
            </w:tcBorders>
            <w:noWrap/>
            <w:vAlign w:val="center"/>
            <w:hideMark/>
          </w:tcPr>
          <w:p w14:paraId="2B8DEBBB"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1.40</w:t>
            </w:r>
          </w:p>
        </w:tc>
        <w:tc>
          <w:tcPr>
            <w:tcW w:w="1187" w:type="dxa"/>
            <w:tcBorders>
              <w:top w:val="nil"/>
              <w:left w:val="nil"/>
              <w:bottom w:val="nil"/>
              <w:right w:val="nil"/>
            </w:tcBorders>
            <w:noWrap/>
            <w:vAlign w:val="center"/>
            <w:hideMark/>
          </w:tcPr>
          <w:p w14:paraId="7E993B19"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2.39</w:t>
            </w:r>
          </w:p>
        </w:tc>
        <w:tc>
          <w:tcPr>
            <w:tcW w:w="1065" w:type="dxa"/>
            <w:tcBorders>
              <w:top w:val="nil"/>
              <w:left w:val="nil"/>
              <w:bottom w:val="nil"/>
              <w:right w:val="nil"/>
            </w:tcBorders>
            <w:noWrap/>
            <w:vAlign w:val="center"/>
            <w:hideMark/>
          </w:tcPr>
          <w:p w14:paraId="577D29F0"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0.59</w:t>
            </w:r>
          </w:p>
        </w:tc>
      </w:tr>
      <w:tr w:rsidR="00307155" w:rsidRPr="00FC7BB4" w14:paraId="3735E278" w14:textId="77777777" w:rsidTr="00291B27">
        <w:trPr>
          <w:trHeight w:val="613"/>
        </w:trPr>
        <w:tc>
          <w:tcPr>
            <w:tcW w:w="965" w:type="dxa"/>
            <w:tcBorders>
              <w:top w:val="nil"/>
              <w:left w:val="nil"/>
              <w:bottom w:val="nil"/>
              <w:right w:val="nil"/>
            </w:tcBorders>
            <w:noWrap/>
            <w:vAlign w:val="center"/>
            <w:hideMark/>
          </w:tcPr>
          <w:p w14:paraId="6BCFAB66"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II</w:t>
            </w:r>
          </w:p>
        </w:tc>
        <w:tc>
          <w:tcPr>
            <w:tcW w:w="987" w:type="dxa"/>
            <w:tcBorders>
              <w:top w:val="nil"/>
              <w:left w:val="nil"/>
              <w:bottom w:val="nil"/>
              <w:right w:val="nil"/>
            </w:tcBorders>
            <w:vAlign w:val="bottom"/>
            <w:hideMark/>
          </w:tcPr>
          <w:p w14:paraId="18EF6929"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1967Q2-1973Q3</w:t>
            </w:r>
          </w:p>
        </w:tc>
        <w:tc>
          <w:tcPr>
            <w:tcW w:w="960" w:type="dxa"/>
            <w:tcBorders>
              <w:top w:val="nil"/>
              <w:left w:val="nil"/>
              <w:bottom w:val="nil"/>
              <w:right w:val="nil"/>
            </w:tcBorders>
            <w:noWrap/>
            <w:vAlign w:val="center"/>
            <w:hideMark/>
          </w:tcPr>
          <w:p w14:paraId="33A1FC2C"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6.73</w:t>
            </w:r>
          </w:p>
        </w:tc>
        <w:tc>
          <w:tcPr>
            <w:tcW w:w="1313" w:type="dxa"/>
            <w:tcBorders>
              <w:top w:val="nil"/>
              <w:left w:val="nil"/>
              <w:bottom w:val="nil"/>
              <w:right w:val="nil"/>
            </w:tcBorders>
            <w:noWrap/>
            <w:vAlign w:val="center"/>
            <w:hideMark/>
          </w:tcPr>
          <w:p w14:paraId="6853F940"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0.40</w:t>
            </w:r>
          </w:p>
        </w:tc>
        <w:tc>
          <w:tcPr>
            <w:tcW w:w="1313" w:type="dxa"/>
            <w:tcBorders>
              <w:top w:val="nil"/>
              <w:left w:val="nil"/>
              <w:bottom w:val="nil"/>
              <w:right w:val="nil"/>
            </w:tcBorders>
            <w:noWrap/>
            <w:vAlign w:val="center"/>
            <w:hideMark/>
          </w:tcPr>
          <w:p w14:paraId="788E0136"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0.44</w:t>
            </w:r>
          </w:p>
        </w:tc>
        <w:tc>
          <w:tcPr>
            <w:tcW w:w="1038" w:type="dxa"/>
            <w:tcBorders>
              <w:top w:val="nil"/>
              <w:left w:val="nil"/>
              <w:bottom w:val="nil"/>
              <w:right w:val="nil"/>
            </w:tcBorders>
            <w:noWrap/>
            <w:vAlign w:val="center"/>
            <w:hideMark/>
          </w:tcPr>
          <w:p w14:paraId="7AD16335"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7.24</w:t>
            </w:r>
          </w:p>
        </w:tc>
        <w:tc>
          <w:tcPr>
            <w:tcW w:w="998" w:type="dxa"/>
            <w:tcBorders>
              <w:top w:val="nil"/>
              <w:left w:val="nil"/>
              <w:bottom w:val="nil"/>
              <w:right w:val="nil"/>
            </w:tcBorders>
            <w:noWrap/>
            <w:vAlign w:val="center"/>
            <w:hideMark/>
          </w:tcPr>
          <w:p w14:paraId="4DD7EC5A"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1.75</w:t>
            </w:r>
          </w:p>
        </w:tc>
        <w:tc>
          <w:tcPr>
            <w:tcW w:w="1187" w:type="dxa"/>
            <w:tcBorders>
              <w:top w:val="nil"/>
              <w:left w:val="nil"/>
              <w:bottom w:val="nil"/>
              <w:right w:val="nil"/>
            </w:tcBorders>
            <w:noWrap/>
            <w:vAlign w:val="center"/>
            <w:hideMark/>
          </w:tcPr>
          <w:p w14:paraId="6F931B86"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3.77</w:t>
            </w:r>
          </w:p>
        </w:tc>
        <w:tc>
          <w:tcPr>
            <w:tcW w:w="1065" w:type="dxa"/>
            <w:tcBorders>
              <w:top w:val="nil"/>
              <w:left w:val="nil"/>
              <w:bottom w:val="nil"/>
              <w:right w:val="nil"/>
            </w:tcBorders>
            <w:noWrap/>
            <w:vAlign w:val="center"/>
            <w:hideMark/>
          </w:tcPr>
          <w:p w14:paraId="7993D3EB"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0.46</w:t>
            </w:r>
          </w:p>
        </w:tc>
      </w:tr>
      <w:tr w:rsidR="00307155" w:rsidRPr="00FC7BB4" w14:paraId="7A92FEEC" w14:textId="77777777" w:rsidTr="00291B27">
        <w:trPr>
          <w:trHeight w:val="590"/>
        </w:trPr>
        <w:tc>
          <w:tcPr>
            <w:tcW w:w="965" w:type="dxa"/>
            <w:tcBorders>
              <w:top w:val="nil"/>
              <w:left w:val="nil"/>
              <w:bottom w:val="nil"/>
              <w:right w:val="nil"/>
            </w:tcBorders>
            <w:noWrap/>
            <w:vAlign w:val="center"/>
            <w:hideMark/>
          </w:tcPr>
          <w:p w14:paraId="293DF86D"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III</w:t>
            </w:r>
          </w:p>
        </w:tc>
        <w:tc>
          <w:tcPr>
            <w:tcW w:w="987" w:type="dxa"/>
            <w:tcBorders>
              <w:top w:val="nil"/>
              <w:left w:val="nil"/>
              <w:bottom w:val="nil"/>
              <w:right w:val="nil"/>
            </w:tcBorders>
            <w:vAlign w:val="bottom"/>
            <w:hideMark/>
          </w:tcPr>
          <w:p w14:paraId="4970377A"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1973Q4- 1983Q1</w:t>
            </w:r>
          </w:p>
        </w:tc>
        <w:tc>
          <w:tcPr>
            <w:tcW w:w="960" w:type="dxa"/>
            <w:tcBorders>
              <w:top w:val="nil"/>
              <w:left w:val="nil"/>
              <w:bottom w:val="nil"/>
              <w:right w:val="nil"/>
            </w:tcBorders>
            <w:noWrap/>
            <w:vAlign w:val="center"/>
            <w:hideMark/>
          </w:tcPr>
          <w:p w14:paraId="710D20E7"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14.43</w:t>
            </w:r>
          </w:p>
        </w:tc>
        <w:tc>
          <w:tcPr>
            <w:tcW w:w="1313" w:type="dxa"/>
            <w:tcBorders>
              <w:top w:val="nil"/>
              <w:left w:val="nil"/>
              <w:bottom w:val="nil"/>
              <w:right w:val="nil"/>
            </w:tcBorders>
            <w:noWrap/>
            <w:vAlign w:val="center"/>
            <w:hideMark/>
          </w:tcPr>
          <w:p w14:paraId="1FB4391A"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0.60</w:t>
            </w:r>
          </w:p>
        </w:tc>
        <w:tc>
          <w:tcPr>
            <w:tcW w:w="1313" w:type="dxa"/>
            <w:tcBorders>
              <w:top w:val="nil"/>
              <w:left w:val="nil"/>
              <w:bottom w:val="nil"/>
              <w:right w:val="nil"/>
            </w:tcBorders>
            <w:noWrap/>
            <w:vAlign w:val="center"/>
            <w:hideMark/>
          </w:tcPr>
          <w:p w14:paraId="5FFF6599"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0.63</w:t>
            </w:r>
          </w:p>
        </w:tc>
        <w:tc>
          <w:tcPr>
            <w:tcW w:w="1038" w:type="dxa"/>
            <w:tcBorders>
              <w:top w:val="nil"/>
              <w:left w:val="nil"/>
              <w:bottom w:val="nil"/>
              <w:right w:val="nil"/>
            </w:tcBorders>
            <w:noWrap/>
            <w:vAlign w:val="center"/>
            <w:hideMark/>
          </w:tcPr>
          <w:p w14:paraId="63E97F8A"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5.06</w:t>
            </w:r>
          </w:p>
        </w:tc>
        <w:tc>
          <w:tcPr>
            <w:tcW w:w="998" w:type="dxa"/>
            <w:tcBorders>
              <w:top w:val="nil"/>
              <w:left w:val="nil"/>
              <w:bottom w:val="nil"/>
              <w:right w:val="nil"/>
            </w:tcBorders>
            <w:noWrap/>
            <w:vAlign w:val="center"/>
            <w:hideMark/>
          </w:tcPr>
          <w:p w14:paraId="0FCEACA0"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2.51</w:t>
            </w:r>
          </w:p>
        </w:tc>
        <w:tc>
          <w:tcPr>
            <w:tcW w:w="1187" w:type="dxa"/>
            <w:tcBorders>
              <w:top w:val="nil"/>
              <w:left w:val="nil"/>
              <w:bottom w:val="nil"/>
              <w:right w:val="nil"/>
            </w:tcBorders>
            <w:noWrap/>
            <w:vAlign w:val="center"/>
            <w:hideMark/>
          </w:tcPr>
          <w:p w14:paraId="06C1214A"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5.45</w:t>
            </w:r>
          </w:p>
        </w:tc>
        <w:tc>
          <w:tcPr>
            <w:tcW w:w="1065" w:type="dxa"/>
            <w:tcBorders>
              <w:top w:val="nil"/>
              <w:left w:val="nil"/>
              <w:bottom w:val="nil"/>
              <w:right w:val="nil"/>
            </w:tcBorders>
            <w:noWrap/>
            <w:vAlign w:val="center"/>
            <w:hideMark/>
          </w:tcPr>
          <w:p w14:paraId="3A26B8F9"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0.46</w:t>
            </w:r>
          </w:p>
        </w:tc>
      </w:tr>
      <w:tr w:rsidR="00307155" w:rsidRPr="00FC7BB4" w14:paraId="221E5084" w14:textId="77777777" w:rsidTr="00291B27">
        <w:trPr>
          <w:trHeight w:val="598"/>
        </w:trPr>
        <w:tc>
          <w:tcPr>
            <w:tcW w:w="965" w:type="dxa"/>
            <w:tcBorders>
              <w:top w:val="nil"/>
              <w:left w:val="nil"/>
              <w:bottom w:val="nil"/>
              <w:right w:val="nil"/>
            </w:tcBorders>
            <w:noWrap/>
            <w:vAlign w:val="center"/>
            <w:hideMark/>
          </w:tcPr>
          <w:p w14:paraId="744A9519"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IV</w:t>
            </w:r>
          </w:p>
        </w:tc>
        <w:tc>
          <w:tcPr>
            <w:tcW w:w="987" w:type="dxa"/>
            <w:tcBorders>
              <w:top w:val="nil"/>
              <w:left w:val="nil"/>
              <w:bottom w:val="nil"/>
              <w:right w:val="nil"/>
            </w:tcBorders>
            <w:vAlign w:val="bottom"/>
            <w:hideMark/>
          </w:tcPr>
          <w:p w14:paraId="6C46D98A"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1983Q2- 1984Q2</w:t>
            </w:r>
          </w:p>
        </w:tc>
        <w:tc>
          <w:tcPr>
            <w:tcW w:w="960" w:type="dxa"/>
            <w:tcBorders>
              <w:top w:val="nil"/>
              <w:left w:val="nil"/>
              <w:bottom w:val="nil"/>
              <w:right w:val="nil"/>
            </w:tcBorders>
            <w:noWrap/>
            <w:vAlign w:val="center"/>
            <w:hideMark/>
          </w:tcPr>
          <w:p w14:paraId="75146DE7"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5.09</w:t>
            </w:r>
          </w:p>
        </w:tc>
        <w:tc>
          <w:tcPr>
            <w:tcW w:w="1313" w:type="dxa"/>
            <w:tcBorders>
              <w:top w:val="nil"/>
              <w:left w:val="nil"/>
              <w:bottom w:val="nil"/>
              <w:right w:val="nil"/>
            </w:tcBorders>
            <w:noWrap/>
            <w:vAlign w:val="center"/>
            <w:hideMark/>
          </w:tcPr>
          <w:p w14:paraId="2BC930FA"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0.26</w:t>
            </w:r>
          </w:p>
        </w:tc>
        <w:tc>
          <w:tcPr>
            <w:tcW w:w="1313" w:type="dxa"/>
            <w:tcBorders>
              <w:top w:val="nil"/>
              <w:left w:val="nil"/>
              <w:bottom w:val="nil"/>
              <w:right w:val="nil"/>
            </w:tcBorders>
            <w:noWrap/>
            <w:vAlign w:val="center"/>
            <w:hideMark/>
          </w:tcPr>
          <w:p w14:paraId="6068BC9D"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0.34</w:t>
            </w:r>
          </w:p>
        </w:tc>
        <w:tc>
          <w:tcPr>
            <w:tcW w:w="1038" w:type="dxa"/>
            <w:tcBorders>
              <w:top w:val="nil"/>
              <w:left w:val="nil"/>
              <w:bottom w:val="nil"/>
              <w:right w:val="nil"/>
            </w:tcBorders>
            <w:noWrap/>
            <w:vAlign w:val="center"/>
            <w:hideMark/>
          </w:tcPr>
          <w:p w14:paraId="2D18AC0D"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9.61</w:t>
            </w:r>
          </w:p>
        </w:tc>
        <w:tc>
          <w:tcPr>
            <w:tcW w:w="998" w:type="dxa"/>
            <w:tcBorders>
              <w:top w:val="nil"/>
              <w:left w:val="nil"/>
              <w:bottom w:val="nil"/>
              <w:right w:val="nil"/>
            </w:tcBorders>
            <w:noWrap/>
            <w:vAlign w:val="center"/>
            <w:hideMark/>
          </w:tcPr>
          <w:p w14:paraId="268D4079"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1.38</w:t>
            </w:r>
          </w:p>
        </w:tc>
        <w:tc>
          <w:tcPr>
            <w:tcW w:w="1187" w:type="dxa"/>
            <w:tcBorders>
              <w:top w:val="nil"/>
              <w:left w:val="nil"/>
              <w:bottom w:val="nil"/>
              <w:right w:val="nil"/>
            </w:tcBorders>
            <w:noWrap/>
            <w:vAlign w:val="center"/>
            <w:hideMark/>
          </w:tcPr>
          <w:p w14:paraId="13EF1BF4"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4.22</w:t>
            </w:r>
          </w:p>
        </w:tc>
        <w:tc>
          <w:tcPr>
            <w:tcW w:w="1065" w:type="dxa"/>
            <w:tcBorders>
              <w:top w:val="nil"/>
              <w:left w:val="nil"/>
              <w:bottom w:val="nil"/>
              <w:right w:val="nil"/>
            </w:tcBorders>
            <w:noWrap/>
            <w:vAlign w:val="center"/>
            <w:hideMark/>
          </w:tcPr>
          <w:p w14:paraId="571029BE"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0.33</w:t>
            </w:r>
          </w:p>
        </w:tc>
      </w:tr>
      <w:tr w:rsidR="00307155" w:rsidRPr="00FC7BB4" w14:paraId="69EBFC73" w14:textId="77777777" w:rsidTr="00291B27">
        <w:trPr>
          <w:trHeight w:val="613"/>
        </w:trPr>
        <w:tc>
          <w:tcPr>
            <w:tcW w:w="965" w:type="dxa"/>
            <w:tcBorders>
              <w:top w:val="nil"/>
              <w:left w:val="nil"/>
              <w:bottom w:val="nil"/>
              <w:right w:val="nil"/>
            </w:tcBorders>
            <w:noWrap/>
            <w:vAlign w:val="center"/>
            <w:hideMark/>
          </w:tcPr>
          <w:p w14:paraId="0003A06A"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V</w:t>
            </w:r>
          </w:p>
        </w:tc>
        <w:tc>
          <w:tcPr>
            <w:tcW w:w="987" w:type="dxa"/>
            <w:tcBorders>
              <w:top w:val="nil"/>
              <w:left w:val="nil"/>
              <w:bottom w:val="nil"/>
              <w:right w:val="nil"/>
            </w:tcBorders>
            <w:vAlign w:val="bottom"/>
            <w:hideMark/>
          </w:tcPr>
          <w:p w14:paraId="262DA86C"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1984Q3- 1988Q3</w:t>
            </w:r>
          </w:p>
        </w:tc>
        <w:tc>
          <w:tcPr>
            <w:tcW w:w="960" w:type="dxa"/>
            <w:tcBorders>
              <w:top w:val="nil"/>
              <w:left w:val="nil"/>
              <w:bottom w:val="nil"/>
              <w:right w:val="nil"/>
            </w:tcBorders>
            <w:noWrap/>
            <w:vAlign w:val="center"/>
            <w:hideMark/>
          </w:tcPr>
          <w:p w14:paraId="40A30DA1"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12.67</w:t>
            </w:r>
          </w:p>
        </w:tc>
        <w:tc>
          <w:tcPr>
            <w:tcW w:w="1313" w:type="dxa"/>
            <w:tcBorders>
              <w:top w:val="nil"/>
              <w:left w:val="nil"/>
              <w:bottom w:val="nil"/>
              <w:right w:val="nil"/>
            </w:tcBorders>
            <w:noWrap/>
            <w:vAlign w:val="center"/>
            <w:hideMark/>
          </w:tcPr>
          <w:p w14:paraId="4A4EAB59"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0.49</w:t>
            </w:r>
          </w:p>
        </w:tc>
        <w:tc>
          <w:tcPr>
            <w:tcW w:w="1313" w:type="dxa"/>
            <w:tcBorders>
              <w:top w:val="nil"/>
              <w:left w:val="nil"/>
              <w:bottom w:val="nil"/>
              <w:right w:val="nil"/>
            </w:tcBorders>
            <w:noWrap/>
            <w:vAlign w:val="center"/>
            <w:hideMark/>
          </w:tcPr>
          <w:p w14:paraId="47104CFF"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0.59</w:t>
            </w:r>
          </w:p>
        </w:tc>
        <w:tc>
          <w:tcPr>
            <w:tcW w:w="1038" w:type="dxa"/>
            <w:tcBorders>
              <w:top w:val="nil"/>
              <w:left w:val="nil"/>
              <w:bottom w:val="nil"/>
              <w:right w:val="nil"/>
            </w:tcBorders>
            <w:noWrap/>
            <w:vAlign w:val="center"/>
            <w:hideMark/>
          </w:tcPr>
          <w:p w14:paraId="5766C068"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5.24</w:t>
            </w:r>
          </w:p>
        </w:tc>
        <w:tc>
          <w:tcPr>
            <w:tcW w:w="998" w:type="dxa"/>
            <w:tcBorders>
              <w:top w:val="nil"/>
              <w:left w:val="nil"/>
              <w:bottom w:val="nil"/>
              <w:right w:val="nil"/>
            </w:tcBorders>
            <w:noWrap/>
            <w:vAlign w:val="center"/>
            <w:hideMark/>
          </w:tcPr>
          <w:p w14:paraId="1BF03398"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2.36</w:t>
            </w:r>
          </w:p>
        </w:tc>
        <w:tc>
          <w:tcPr>
            <w:tcW w:w="1187" w:type="dxa"/>
            <w:tcBorders>
              <w:top w:val="nil"/>
              <w:left w:val="nil"/>
              <w:bottom w:val="nil"/>
              <w:right w:val="nil"/>
            </w:tcBorders>
            <w:noWrap/>
            <w:vAlign w:val="center"/>
            <w:hideMark/>
          </w:tcPr>
          <w:p w14:paraId="68F81194"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5.11</w:t>
            </w:r>
          </w:p>
        </w:tc>
        <w:tc>
          <w:tcPr>
            <w:tcW w:w="1065" w:type="dxa"/>
            <w:tcBorders>
              <w:top w:val="nil"/>
              <w:left w:val="nil"/>
              <w:bottom w:val="nil"/>
              <w:right w:val="nil"/>
            </w:tcBorders>
            <w:noWrap/>
            <w:vAlign w:val="center"/>
            <w:hideMark/>
          </w:tcPr>
          <w:p w14:paraId="0FC73FEC"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0.46</w:t>
            </w:r>
          </w:p>
        </w:tc>
      </w:tr>
      <w:tr w:rsidR="00307155" w:rsidRPr="00FC7BB4" w14:paraId="326753D0" w14:textId="77777777" w:rsidTr="00291B27">
        <w:trPr>
          <w:trHeight w:val="606"/>
        </w:trPr>
        <w:tc>
          <w:tcPr>
            <w:tcW w:w="965" w:type="dxa"/>
            <w:tcBorders>
              <w:top w:val="nil"/>
              <w:left w:val="nil"/>
              <w:bottom w:val="nil"/>
              <w:right w:val="nil"/>
            </w:tcBorders>
            <w:noWrap/>
            <w:vAlign w:val="center"/>
            <w:hideMark/>
          </w:tcPr>
          <w:p w14:paraId="1D40BF11"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VI</w:t>
            </w:r>
          </w:p>
        </w:tc>
        <w:tc>
          <w:tcPr>
            <w:tcW w:w="987" w:type="dxa"/>
            <w:tcBorders>
              <w:top w:val="nil"/>
              <w:left w:val="nil"/>
              <w:bottom w:val="nil"/>
              <w:right w:val="nil"/>
            </w:tcBorders>
            <w:vAlign w:val="bottom"/>
            <w:hideMark/>
          </w:tcPr>
          <w:p w14:paraId="57EEA93E"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1988Q4- 1990Q3</w:t>
            </w:r>
          </w:p>
        </w:tc>
        <w:tc>
          <w:tcPr>
            <w:tcW w:w="960" w:type="dxa"/>
            <w:tcBorders>
              <w:top w:val="nil"/>
              <w:left w:val="nil"/>
              <w:bottom w:val="nil"/>
              <w:right w:val="nil"/>
            </w:tcBorders>
            <w:noWrap/>
            <w:vAlign w:val="center"/>
            <w:hideMark/>
          </w:tcPr>
          <w:p w14:paraId="79DFA6F5"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5.90</w:t>
            </w:r>
          </w:p>
        </w:tc>
        <w:tc>
          <w:tcPr>
            <w:tcW w:w="1313" w:type="dxa"/>
            <w:tcBorders>
              <w:top w:val="nil"/>
              <w:left w:val="nil"/>
              <w:bottom w:val="nil"/>
              <w:right w:val="nil"/>
            </w:tcBorders>
            <w:noWrap/>
            <w:vAlign w:val="center"/>
            <w:hideMark/>
          </w:tcPr>
          <w:p w14:paraId="1414F360"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0.24</w:t>
            </w:r>
          </w:p>
        </w:tc>
        <w:tc>
          <w:tcPr>
            <w:tcW w:w="1313" w:type="dxa"/>
            <w:tcBorders>
              <w:top w:val="nil"/>
              <w:left w:val="nil"/>
              <w:bottom w:val="nil"/>
              <w:right w:val="nil"/>
            </w:tcBorders>
            <w:noWrap/>
            <w:vAlign w:val="center"/>
            <w:hideMark/>
          </w:tcPr>
          <w:p w14:paraId="02C972C9"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0.41</w:t>
            </w:r>
          </w:p>
        </w:tc>
        <w:tc>
          <w:tcPr>
            <w:tcW w:w="1038" w:type="dxa"/>
            <w:tcBorders>
              <w:top w:val="nil"/>
              <w:left w:val="nil"/>
              <w:bottom w:val="nil"/>
              <w:right w:val="nil"/>
            </w:tcBorders>
            <w:noWrap/>
            <w:vAlign w:val="center"/>
            <w:hideMark/>
          </w:tcPr>
          <w:p w14:paraId="05453262"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7.24</w:t>
            </w:r>
          </w:p>
        </w:tc>
        <w:tc>
          <w:tcPr>
            <w:tcW w:w="998" w:type="dxa"/>
            <w:tcBorders>
              <w:top w:val="nil"/>
              <w:left w:val="nil"/>
              <w:bottom w:val="nil"/>
              <w:right w:val="nil"/>
            </w:tcBorders>
            <w:noWrap/>
            <w:vAlign w:val="center"/>
            <w:hideMark/>
          </w:tcPr>
          <w:p w14:paraId="4AAA9745"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1.66</w:t>
            </w:r>
          </w:p>
        </w:tc>
        <w:tc>
          <w:tcPr>
            <w:tcW w:w="1187" w:type="dxa"/>
            <w:tcBorders>
              <w:top w:val="nil"/>
              <w:left w:val="nil"/>
              <w:bottom w:val="nil"/>
              <w:right w:val="nil"/>
            </w:tcBorders>
            <w:noWrap/>
            <w:vAlign w:val="center"/>
            <w:hideMark/>
          </w:tcPr>
          <w:p w14:paraId="0D7A0F59"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3.45</w:t>
            </w:r>
          </w:p>
        </w:tc>
        <w:tc>
          <w:tcPr>
            <w:tcW w:w="1065" w:type="dxa"/>
            <w:tcBorders>
              <w:top w:val="nil"/>
              <w:left w:val="nil"/>
              <w:bottom w:val="nil"/>
              <w:right w:val="nil"/>
            </w:tcBorders>
            <w:noWrap/>
            <w:vAlign w:val="center"/>
            <w:hideMark/>
          </w:tcPr>
          <w:p w14:paraId="1EAB72FF"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0.48</w:t>
            </w:r>
          </w:p>
        </w:tc>
      </w:tr>
      <w:tr w:rsidR="00307155" w:rsidRPr="00FC7BB4" w14:paraId="2D46EDB5" w14:textId="77777777" w:rsidTr="00291B27">
        <w:trPr>
          <w:trHeight w:val="613"/>
        </w:trPr>
        <w:tc>
          <w:tcPr>
            <w:tcW w:w="965" w:type="dxa"/>
            <w:tcBorders>
              <w:top w:val="nil"/>
              <w:left w:val="nil"/>
              <w:bottom w:val="nil"/>
              <w:right w:val="nil"/>
            </w:tcBorders>
            <w:noWrap/>
            <w:vAlign w:val="center"/>
            <w:hideMark/>
          </w:tcPr>
          <w:p w14:paraId="41072EB9"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VII</w:t>
            </w:r>
          </w:p>
        </w:tc>
        <w:tc>
          <w:tcPr>
            <w:tcW w:w="987" w:type="dxa"/>
            <w:tcBorders>
              <w:top w:val="nil"/>
              <w:left w:val="nil"/>
              <w:bottom w:val="nil"/>
              <w:right w:val="nil"/>
            </w:tcBorders>
            <w:vAlign w:val="bottom"/>
            <w:hideMark/>
          </w:tcPr>
          <w:p w14:paraId="4B985915"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1990Q4- 2011Q1</w:t>
            </w:r>
          </w:p>
        </w:tc>
        <w:tc>
          <w:tcPr>
            <w:tcW w:w="960" w:type="dxa"/>
            <w:tcBorders>
              <w:top w:val="nil"/>
              <w:left w:val="nil"/>
              <w:bottom w:val="nil"/>
              <w:right w:val="nil"/>
            </w:tcBorders>
            <w:noWrap/>
            <w:vAlign w:val="center"/>
            <w:hideMark/>
          </w:tcPr>
          <w:p w14:paraId="2E9E475B"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2.27</w:t>
            </w:r>
          </w:p>
        </w:tc>
        <w:tc>
          <w:tcPr>
            <w:tcW w:w="1313" w:type="dxa"/>
            <w:tcBorders>
              <w:top w:val="nil"/>
              <w:left w:val="nil"/>
              <w:bottom w:val="nil"/>
              <w:right w:val="nil"/>
            </w:tcBorders>
            <w:noWrap/>
            <w:vAlign w:val="center"/>
            <w:hideMark/>
          </w:tcPr>
          <w:p w14:paraId="092447E7"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0.24</w:t>
            </w:r>
          </w:p>
        </w:tc>
        <w:tc>
          <w:tcPr>
            <w:tcW w:w="1313" w:type="dxa"/>
            <w:tcBorders>
              <w:top w:val="nil"/>
              <w:left w:val="nil"/>
              <w:bottom w:val="nil"/>
              <w:right w:val="nil"/>
            </w:tcBorders>
            <w:noWrap/>
            <w:vAlign w:val="center"/>
            <w:hideMark/>
          </w:tcPr>
          <w:p w14:paraId="4FE7143A"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0.39</w:t>
            </w:r>
          </w:p>
        </w:tc>
        <w:tc>
          <w:tcPr>
            <w:tcW w:w="1038" w:type="dxa"/>
            <w:tcBorders>
              <w:top w:val="nil"/>
              <w:left w:val="nil"/>
              <w:bottom w:val="nil"/>
              <w:right w:val="nil"/>
            </w:tcBorders>
            <w:noWrap/>
            <w:vAlign w:val="center"/>
            <w:hideMark/>
          </w:tcPr>
          <w:p w14:paraId="6EFFCE75"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7.89</w:t>
            </w:r>
          </w:p>
        </w:tc>
        <w:tc>
          <w:tcPr>
            <w:tcW w:w="998" w:type="dxa"/>
            <w:tcBorders>
              <w:top w:val="nil"/>
              <w:left w:val="nil"/>
              <w:bottom w:val="nil"/>
              <w:right w:val="nil"/>
            </w:tcBorders>
            <w:noWrap/>
            <w:vAlign w:val="center"/>
            <w:hideMark/>
          </w:tcPr>
          <w:p w14:paraId="66A05317"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1.56</w:t>
            </w:r>
          </w:p>
        </w:tc>
        <w:tc>
          <w:tcPr>
            <w:tcW w:w="1187" w:type="dxa"/>
            <w:tcBorders>
              <w:top w:val="nil"/>
              <w:left w:val="nil"/>
              <w:bottom w:val="nil"/>
              <w:right w:val="nil"/>
            </w:tcBorders>
            <w:noWrap/>
            <w:vAlign w:val="center"/>
            <w:hideMark/>
          </w:tcPr>
          <w:p w14:paraId="2FA08B79"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1.44</w:t>
            </w:r>
          </w:p>
        </w:tc>
        <w:tc>
          <w:tcPr>
            <w:tcW w:w="1065" w:type="dxa"/>
            <w:tcBorders>
              <w:top w:val="nil"/>
              <w:left w:val="nil"/>
              <w:bottom w:val="nil"/>
              <w:right w:val="nil"/>
            </w:tcBorders>
            <w:noWrap/>
            <w:vAlign w:val="center"/>
            <w:hideMark/>
          </w:tcPr>
          <w:p w14:paraId="3D136CEF"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1.08</w:t>
            </w:r>
          </w:p>
        </w:tc>
      </w:tr>
      <w:tr w:rsidR="00307155" w:rsidRPr="00FC7BB4" w14:paraId="1B75F325" w14:textId="77777777" w:rsidTr="00291B27">
        <w:trPr>
          <w:trHeight w:val="613"/>
        </w:trPr>
        <w:tc>
          <w:tcPr>
            <w:tcW w:w="965" w:type="dxa"/>
            <w:tcBorders>
              <w:top w:val="nil"/>
              <w:left w:val="nil"/>
              <w:bottom w:val="nil"/>
              <w:right w:val="nil"/>
            </w:tcBorders>
            <w:noWrap/>
            <w:vAlign w:val="center"/>
            <w:hideMark/>
          </w:tcPr>
          <w:p w14:paraId="151A0D47"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VIII</w:t>
            </w:r>
          </w:p>
        </w:tc>
        <w:tc>
          <w:tcPr>
            <w:tcW w:w="987" w:type="dxa"/>
            <w:tcBorders>
              <w:top w:val="nil"/>
              <w:left w:val="nil"/>
              <w:bottom w:val="nil"/>
              <w:right w:val="nil"/>
            </w:tcBorders>
            <w:vAlign w:val="bottom"/>
            <w:hideMark/>
          </w:tcPr>
          <w:p w14:paraId="237C0C13"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2011Q2- 2021Q1</w:t>
            </w:r>
          </w:p>
        </w:tc>
        <w:tc>
          <w:tcPr>
            <w:tcW w:w="960" w:type="dxa"/>
            <w:tcBorders>
              <w:top w:val="nil"/>
              <w:left w:val="nil"/>
              <w:bottom w:val="nil"/>
              <w:right w:val="nil"/>
            </w:tcBorders>
            <w:noWrap/>
            <w:vAlign w:val="center"/>
            <w:hideMark/>
          </w:tcPr>
          <w:p w14:paraId="68E7FFFA"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1.45</w:t>
            </w:r>
          </w:p>
        </w:tc>
        <w:tc>
          <w:tcPr>
            <w:tcW w:w="1313" w:type="dxa"/>
            <w:tcBorders>
              <w:top w:val="nil"/>
              <w:left w:val="nil"/>
              <w:bottom w:val="nil"/>
              <w:right w:val="nil"/>
            </w:tcBorders>
            <w:noWrap/>
            <w:vAlign w:val="center"/>
            <w:hideMark/>
          </w:tcPr>
          <w:p w14:paraId="27541A2D"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0.21</w:t>
            </w:r>
          </w:p>
        </w:tc>
        <w:tc>
          <w:tcPr>
            <w:tcW w:w="1313" w:type="dxa"/>
            <w:tcBorders>
              <w:top w:val="nil"/>
              <w:left w:val="nil"/>
              <w:bottom w:val="nil"/>
              <w:right w:val="nil"/>
            </w:tcBorders>
            <w:noWrap/>
            <w:vAlign w:val="center"/>
            <w:hideMark/>
          </w:tcPr>
          <w:p w14:paraId="607CE997"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0.30</w:t>
            </w:r>
          </w:p>
        </w:tc>
        <w:tc>
          <w:tcPr>
            <w:tcW w:w="1038" w:type="dxa"/>
            <w:tcBorders>
              <w:top w:val="nil"/>
              <w:left w:val="nil"/>
              <w:bottom w:val="nil"/>
              <w:right w:val="nil"/>
            </w:tcBorders>
            <w:noWrap/>
            <w:vAlign w:val="center"/>
            <w:hideMark/>
          </w:tcPr>
          <w:p w14:paraId="331A3D5E"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10.10</w:t>
            </w:r>
          </w:p>
        </w:tc>
        <w:tc>
          <w:tcPr>
            <w:tcW w:w="998" w:type="dxa"/>
            <w:tcBorders>
              <w:top w:val="nil"/>
              <w:left w:val="nil"/>
              <w:bottom w:val="nil"/>
              <w:right w:val="nil"/>
            </w:tcBorders>
            <w:noWrap/>
            <w:vAlign w:val="center"/>
            <w:hideMark/>
          </w:tcPr>
          <w:p w14:paraId="10B10E20"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1.21</w:t>
            </w:r>
          </w:p>
        </w:tc>
        <w:tc>
          <w:tcPr>
            <w:tcW w:w="1187" w:type="dxa"/>
            <w:tcBorders>
              <w:top w:val="nil"/>
              <w:left w:val="nil"/>
              <w:bottom w:val="nil"/>
              <w:right w:val="nil"/>
            </w:tcBorders>
            <w:noWrap/>
            <w:vAlign w:val="center"/>
            <w:hideMark/>
          </w:tcPr>
          <w:p w14:paraId="7377A655"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1.15</w:t>
            </w:r>
          </w:p>
        </w:tc>
        <w:tc>
          <w:tcPr>
            <w:tcW w:w="1065" w:type="dxa"/>
            <w:tcBorders>
              <w:top w:val="nil"/>
              <w:left w:val="nil"/>
              <w:bottom w:val="nil"/>
              <w:right w:val="nil"/>
            </w:tcBorders>
            <w:noWrap/>
            <w:vAlign w:val="center"/>
            <w:hideMark/>
          </w:tcPr>
          <w:p w14:paraId="5034FA5F"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1.05</w:t>
            </w:r>
          </w:p>
        </w:tc>
      </w:tr>
      <w:tr w:rsidR="00307155" w:rsidRPr="00FC7BB4" w14:paraId="63DF16A2" w14:textId="77777777" w:rsidTr="00291B27">
        <w:trPr>
          <w:trHeight w:val="628"/>
        </w:trPr>
        <w:tc>
          <w:tcPr>
            <w:tcW w:w="965" w:type="dxa"/>
            <w:tcBorders>
              <w:top w:val="nil"/>
              <w:left w:val="nil"/>
              <w:bottom w:val="single" w:sz="4" w:space="0" w:color="auto"/>
              <w:right w:val="nil"/>
            </w:tcBorders>
            <w:noWrap/>
            <w:vAlign w:val="center"/>
            <w:hideMark/>
          </w:tcPr>
          <w:p w14:paraId="16FD83BF"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IX</w:t>
            </w:r>
          </w:p>
        </w:tc>
        <w:tc>
          <w:tcPr>
            <w:tcW w:w="987" w:type="dxa"/>
            <w:tcBorders>
              <w:top w:val="nil"/>
              <w:left w:val="nil"/>
              <w:bottom w:val="single" w:sz="4" w:space="0" w:color="auto"/>
              <w:right w:val="nil"/>
            </w:tcBorders>
            <w:vAlign w:val="bottom"/>
            <w:hideMark/>
          </w:tcPr>
          <w:p w14:paraId="16B3FDCC"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2021Q2- 2024Q3</w:t>
            </w:r>
          </w:p>
        </w:tc>
        <w:tc>
          <w:tcPr>
            <w:tcW w:w="960" w:type="dxa"/>
            <w:tcBorders>
              <w:top w:val="nil"/>
              <w:left w:val="nil"/>
              <w:bottom w:val="single" w:sz="4" w:space="0" w:color="auto"/>
              <w:right w:val="nil"/>
            </w:tcBorders>
            <w:noWrap/>
            <w:vAlign w:val="center"/>
            <w:hideMark/>
          </w:tcPr>
          <w:p w14:paraId="121C328F"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5.39</w:t>
            </w:r>
          </w:p>
        </w:tc>
        <w:tc>
          <w:tcPr>
            <w:tcW w:w="1313" w:type="dxa"/>
            <w:tcBorders>
              <w:top w:val="nil"/>
              <w:left w:val="nil"/>
              <w:bottom w:val="single" w:sz="4" w:space="0" w:color="auto"/>
              <w:right w:val="nil"/>
            </w:tcBorders>
            <w:noWrap/>
            <w:vAlign w:val="center"/>
            <w:hideMark/>
          </w:tcPr>
          <w:p w14:paraId="5ECC5B4F"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0.54</w:t>
            </w:r>
          </w:p>
        </w:tc>
        <w:tc>
          <w:tcPr>
            <w:tcW w:w="1313" w:type="dxa"/>
            <w:tcBorders>
              <w:top w:val="nil"/>
              <w:left w:val="nil"/>
              <w:bottom w:val="single" w:sz="4" w:space="0" w:color="auto"/>
              <w:right w:val="nil"/>
            </w:tcBorders>
            <w:noWrap/>
            <w:vAlign w:val="center"/>
            <w:hideMark/>
          </w:tcPr>
          <w:p w14:paraId="60D7CADA"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0.58</w:t>
            </w:r>
          </w:p>
        </w:tc>
        <w:tc>
          <w:tcPr>
            <w:tcW w:w="1038" w:type="dxa"/>
            <w:tcBorders>
              <w:top w:val="nil"/>
              <w:left w:val="nil"/>
              <w:bottom w:val="single" w:sz="4" w:space="0" w:color="auto"/>
              <w:right w:val="nil"/>
            </w:tcBorders>
            <w:noWrap/>
            <w:vAlign w:val="center"/>
            <w:hideMark/>
          </w:tcPr>
          <w:p w14:paraId="518DEF47"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5.34</w:t>
            </w:r>
          </w:p>
        </w:tc>
        <w:tc>
          <w:tcPr>
            <w:tcW w:w="998" w:type="dxa"/>
            <w:tcBorders>
              <w:top w:val="nil"/>
              <w:left w:val="nil"/>
              <w:bottom w:val="single" w:sz="4" w:space="0" w:color="auto"/>
              <w:right w:val="nil"/>
            </w:tcBorders>
            <w:noWrap/>
            <w:vAlign w:val="center"/>
            <w:hideMark/>
          </w:tcPr>
          <w:p w14:paraId="4D2147B7"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2.32</w:t>
            </w:r>
          </w:p>
        </w:tc>
        <w:tc>
          <w:tcPr>
            <w:tcW w:w="1187" w:type="dxa"/>
            <w:tcBorders>
              <w:top w:val="nil"/>
              <w:left w:val="nil"/>
              <w:bottom w:val="single" w:sz="4" w:space="0" w:color="auto"/>
              <w:right w:val="nil"/>
            </w:tcBorders>
            <w:noWrap/>
            <w:vAlign w:val="center"/>
            <w:hideMark/>
          </w:tcPr>
          <w:p w14:paraId="10C917EB"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2.41</w:t>
            </w:r>
          </w:p>
        </w:tc>
        <w:tc>
          <w:tcPr>
            <w:tcW w:w="1065" w:type="dxa"/>
            <w:tcBorders>
              <w:top w:val="nil"/>
              <w:left w:val="nil"/>
              <w:bottom w:val="single" w:sz="4" w:space="0" w:color="auto"/>
              <w:right w:val="nil"/>
            </w:tcBorders>
            <w:noWrap/>
            <w:vAlign w:val="center"/>
            <w:hideMark/>
          </w:tcPr>
          <w:p w14:paraId="0DA73D15" w14:textId="77777777" w:rsidR="00307155" w:rsidRPr="00FC7BB4" w:rsidRDefault="00307155" w:rsidP="00F3101B">
            <w:pPr>
              <w:spacing w:after="0" w:line="240" w:lineRule="auto"/>
              <w:ind w:right="27" w:firstLine="0"/>
              <w:jc w:val="center"/>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0.96</w:t>
            </w:r>
          </w:p>
        </w:tc>
      </w:tr>
    </w:tbl>
    <w:p w14:paraId="0074340D" w14:textId="7F653B02" w:rsidR="00307155" w:rsidRPr="00FC7BB4" w:rsidRDefault="00307155" w:rsidP="00F3101B">
      <w:pPr>
        <w:spacing w:after="120" w:line="264" w:lineRule="auto"/>
        <w:ind w:left="57" w:right="454" w:firstLine="0"/>
        <w:rPr>
          <w:rFonts w:ascii="Times New Roman" w:hAnsi="Times New Roman" w:cs="Times New Roman"/>
          <w:sz w:val="16"/>
          <w:szCs w:val="16"/>
        </w:rPr>
      </w:pPr>
      <w:r w:rsidRPr="00FC7BB4">
        <w:rPr>
          <w:rFonts w:ascii="Times New Roman" w:hAnsi="Times New Roman" w:cs="Times New Roman"/>
          <w:sz w:val="16"/>
          <w:szCs w:val="16"/>
        </w:rPr>
        <w:t xml:space="preserve">Notes: </w:t>
      </w:r>
      <w:r w:rsidRPr="00FC7BB4">
        <w:rPr>
          <w:rFonts w:ascii="Times New Roman" w:eastAsia="Cambria" w:hAnsi="Times New Roman" w:cs="Times New Roman"/>
          <w:i/>
          <w:sz w:val="16"/>
          <w:szCs w:val="16"/>
        </w:rPr>
        <w:t>p</w:t>
      </w:r>
      <w:r w:rsidRPr="00FC7BB4">
        <w:rPr>
          <w:rFonts w:ascii="Times New Roman" w:hAnsi="Times New Roman" w:cs="Times New Roman"/>
          <w:sz w:val="16"/>
          <w:szCs w:val="16"/>
          <w:vertAlign w:val="subscript"/>
        </w:rPr>
        <w:t xml:space="preserve">up </w:t>
      </w:r>
      <w:r w:rsidRPr="00FC7BB4">
        <w:rPr>
          <w:rFonts w:ascii="Times New Roman" w:hAnsi="Times New Roman" w:cs="Times New Roman"/>
          <w:sz w:val="16"/>
          <w:szCs w:val="16"/>
        </w:rPr>
        <w:t xml:space="preserve">is the average quarterly proportion of firms that increased prices; </w:t>
      </w:r>
      <w:proofErr w:type="spellStart"/>
      <w:r w:rsidRPr="00FC7BB4">
        <w:rPr>
          <w:rFonts w:ascii="Times New Roman" w:eastAsia="Cambria" w:hAnsi="Times New Roman" w:cs="Times New Roman"/>
          <w:i/>
          <w:sz w:val="16"/>
          <w:szCs w:val="16"/>
        </w:rPr>
        <w:t>p</w:t>
      </w:r>
      <w:r w:rsidRPr="00FC7BB4">
        <w:rPr>
          <w:rFonts w:ascii="Times New Roman" w:hAnsi="Times New Roman" w:cs="Times New Roman"/>
          <w:sz w:val="16"/>
          <w:szCs w:val="16"/>
          <w:vertAlign w:val="subscript"/>
        </w:rPr>
        <w:t>up+dn</w:t>
      </w:r>
      <w:proofErr w:type="spellEnd"/>
      <w:r w:rsidRPr="00FC7BB4">
        <w:rPr>
          <w:rFonts w:ascii="Times New Roman" w:hAnsi="Times New Roman" w:cs="Times New Roman"/>
          <w:sz w:val="16"/>
          <w:szCs w:val="16"/>
          <w:vertAlign w:val="subscript"/>
        </w:rPr>
        <w:t xml:space="preserve"> </w:t>
      </w:r>
      <w:r w:rsidRPr="00FC7BB4">
        <w:rPr>
          <w:rFonts w:ascii="Times New Roman" w:hAnsi="Times New Roman" w:cs="Times New Roman"/>
          <w:sz w:val="16"/>
          <w:szCs w:val="16"/>
        </w:rPr>
        <w:t xml:space="preserve">is the average quarterly proportion of firms that either increased or decreased (i.e., changed) prices. </w:t>
      </w:r>
      <w:r w:rsidR="008D03B8" w:rsidRPr="00FC7BB4">
        <w:rPr>
          <w:rFonts w:ascii="Times New Roman" w:hAnsi="Times New Roman" w:cs="Times New Roman"/>
          <w:sz w:val="16"/>
          <w:szCs w:val="16"/>
        </w:rPr>
        <w:t>P</w:t>
      </w:r>
      <w:r w:rsidRPr="00FC7BB4">
        <w:rPr>
          <w:rFonts w:ascii="Times New Roman" w:hAnsi="Times New Roman" w:cs="Times New Roman"/>
          <w:sz w:val="16"/>
          <w:szCs w:val="16"/>
        </w:rPr>
        <w:t xml:space="preserve">rice duration is calculated: </w:t>
      </w:r>
      <w:r w:rsidRPr="00FC7BB4">
        <w:rPr>
          <w:rFonts w:ascii="Times New Roman" w:eastAsia="Cambria" w:hAnsi="Times New Roman" w:cs="Times New Roman"/>
          <w:i/>
          <w:sz w:val="16"/>
          <w:szCs w:val="16"/>
        </w:rPr>
        <w:t>n</w:t>
      </w:r>
      <w:proofErr w:type="gramStart"/>
      <w:r w:rsidRPr="00FC7BB4">
        <w:rPr>
          <w:rFonts w:ascii="Times New Roman" w:eastAsia="Cambria" w:hAnsi="Times New Roman" w:cs="Times New Roman"/>
          <w:i/>
          <w:sz w:val="16"/>
          <w:szCs w:val="16"/>
        </w:rPr>
        <w:t>/</w:t>
      </w:r>
      <w:r w:rsidRPr="00FC7BB4">
        <w:rPr>
          <w:rFonts w:ascii="Times New Roman" w:eastAsia="Cambria" w:hAnsi="Times New Roman" w:cs="Times New Roman"/>
          <w:sz w:val="16"/>
          <w:szCs w:val="16"/>
        </w:rPr>
        <w:t>(</w:t>
      </w:r>
      <w:proofErr w:type="gramEnd"/>
      <w:r w:rsidRPr="00FC7BB4">
        <w:rPr>
          <w:rFonts w:ascii="Times New Roman" w:eastAsia="Cambria" w:hAnsi="Times New Roman" w:cs="Times New Roman"/>
          <w:i/>
          <w:sz w:val="16"/>
          <w:szCs w:val="16"/>
        </w:rPr>
        <w:t>p</w:t>
      </w:r>
      <w:r w:rsidRPr="00FC7BB4">
        <w:rPr>
          <w:rFonts w:ascii="Times New Roman" w:eastAsia="Cambria" w:hAnsi="Times New Roman" w:cs="Times New Roman"/>
          <w:i/>
          <w:sz w:val="16"/>
          <w:szCs w:val="16"/>
          <w:vertAlign w:val="subscript"/>
        </w:rPr>
        <w:t xml:space="preserve">up </w:t>
      </w:r>
      <w:r w:rsidRPr="00FC7BB4">
        <w:rPr>
          <w:rFonts w:ascii="Times New Roman" w:eastAsia="Cambria" w:hAnsi="Times New Roman" w:cs="Times New Roman"/>
          <w:sz w:val="16"/>
          <w:szCs w:val="16"/>
        </w:rPr>
        <w:t xml:space="preserve">+ </w:t>
      </w:r>
      <w:proofErr w:type="spellStart"/>
      <w:r w:rsidRPr="00FC7BB4">
        <w:rPr>
          <w:rFonts w:ascii="Times New Roman" w:eastAsia="Cambria" w:hAnsi="Times New Roman" w:cs="Times New Roman"/>
          <w:i/>
          <w:sz w:val="16"/>
          <w:szCs w:val="16"/>
        </w:rPr>
        <w:t>p</w:t>
      </w:r>
      <w:r w:rsidRPr="00FC7BB4">
        <w:rPr>
          <w:rFonts w:ascii="Times New Roman" w:eastAsia="Cambria" w:hAnsi="Times New Roman" w:cs="Times New Roman"/>
          <w:i/>
          <w:sz w:val="16"/>
          <w:szCs w:val="16"/>
          <w:vertAlign w:val="subscript"/>
        </w:rPr>
        <w:t>dn</w:t>
      </w:r>
      <w:proofErr w:type="spellEnd"/>
      <w:r w:rsidRPr="00FC7BB4">
        <w:rPr>
          <w:rFonts w:ascii="Times New Roman" w:eastAsia="Cambria" w:hAnsi="Times New Roman" w:cs="Times New Roman"/>
          <w:sz w:val="16"/>
          <w:szCs w:val="16"/>
        </w:rPr>
        <w:t>)</w:t>
      </w:r>
      <w:r w:rsidRPr="00FC7BB4">
        <w:rPr>
          <w:rFonts w:ascii="Times New Roman" w:hAnsi="Times New Roman" w:cs="Times New Roman"/>
          <w:sz w:val="16"/>
          <w:szCs w:val="16"/>
        </w:rPr>
        <w:t xml:space="preserve">, where </w:t>
      </w:r>
      <w:r w:rsidRPr="00FC7BB4">
        <w:rPr>
          <w:rFonts w:ascii="Times New Roman" w:eastAsia="Cambria" w:hAnsi="Times New Roman" w:cs="Times New Roman"/>
          <w:i/>
          <w:sz w:val="16"/>
          <w:szCs w:val="16"/>
        </w:rPr>
        <w:t xml:space="preserve">n </w:t>
      </w:r>
      <w:r w:rsidRPr="00FC7BB4">
        <w:rPr>
          <w:rFonts w:ascii="Times New Roman" w:hAnsi="Times New Roman" w:cs="Times New Roman"/>
          <w:sz w:val="16"/>
          <w:szCs w:val="16"/>
        </w:rPr>
        <w:t>is the number of months the survey covers (3 months). The number of price changes in a year,</w:t>
      </w:r>
      <w:r w:rsidRPr="00FC7BB4">
        <w:rPr>
          <w:rFonts w:ascii="Times New Roman" w:hAnsi="Times New Roman" w:cs="Times New Roman"/>
          <w:i/>
          <w:iCs/>
          <w:sz w:val="16"/>
          <w:szCs w:val="16"/>
        </w:rPr>
        <w:t xml:space="preserve"> N</w:t>
      </w:r>
      <w:r w:rsidRPr="00FC7BB4">
        <w:rPr>
          <w:rFonts w:ascii="Times New Roman" w:hAnsi="Times New Roman" w:cs="Times New Roman"/>
          <w:i/>
          <w:iCs/>
          <w:sz w:val="16"/>
          <w:szCs w:val="16"/>
          <w:vertAlign w:val="subscript"/>
        </w:rPr>
        <w:t>p</w:t>
      </w:r>
      <w:r w:rsidRPr="00FC7BB4">
        <w:rPr>
          <w:rFonts w:ascii="Times New Roman" w:hAnsi="Times New Roman" w:cs="Times New Roman"/>
          <w:sz w:val="16"/>
          <w:szCs w:val="16"/>
        </w:rPr>
        <w:t>, is calculated as 12/</w:t>
      </w:r>
      <w:r w:rsidRPr="00FC7BB4">
        <w:rPr>
          <w:rFonts w:ascii="Times New Roman" w:hAnsi="Times New Roman" w:cs="Times New Roman"/>
          <w:i/>
          <w:sz w:val="16"/>
          <w:szCs w:val="16"/>
        </w:rPr>
        <w:t xml:space="preserve">price duration. </w:t>
      </w:r>
      <w:r w:rsidRPr="00FC7BB4">
        <w:rPr>
          <w:rFonts w:ascii="Times New Roman" w:hAnsi="Times New Roman" w:cs="Times New Roman"/>
          <w:iCs/>
          <w:sz w:val="16"/>
          <w:szCs w:val="16"/>
        </w:rPr>
        <w:t>Magnitude of each price adjustment</w:t>
      </w:r>
      <w:r w:rsidRPr="00FC7BB4">
        <w:rPr>
          <w:rFonts w:ascii="Times New Roman" w:hAnsi="Times New Roman" w:cs="Times New Roman"/>
          <w:i/>
          <w:sz w:val="16"/>
          <w:szCs w:val="16"/>
        </w:rPr>
        <w:t xml:space="preserve"> </w:t>
      </w:r>
      <w:r w:rsidRPr="00FC7BB4">
        <w:rPr>
          <w:rFonts w:ascii="Times New Roman" w:hAnsi="Times New Roman" w:cs="Times New Roman"/>
          <w:sz w:val="16"/>
          <w:szCs w:val="16"/>
        </w:rPr>
        <w:t xml:space="preserve">is calculated by solving the following equation </w:t>
      </w:r>
      <w:r w:rsidRPr="00FC7BB4">
        <w:rPr>
          <w:rFonts w:ascii="Times New Roman" w:eastAsia="Cambria" w:hAnsi="Times New Roman" w:cs="Times New Roman"/>
          <w:sz w:val="16"/>
          <w:szCs w:val="16"/>
        </w:rPr>
        <w:t xml:space="preserve">(1+ </w:t>
      </w:r>
      <w:proofErr w:type="gramStart"/>
      <w:r w:rsidRPr="00FC7BB4">
        <w:rPr>
          <w:rFonts w:ascii="Times New Roman" w:eastAsia="Cambria" w:hAnsi="Times New Roman" w:cs="Times New Roman"/>
          <w:i/>
          <w:iCs/>
          <w:sz w:val="16"/>
          <w:szCs w:val="16"/>
        </w:rPr>
        <w:t>M</w:t>
      </w:r>
      <w:r w:rsidRPr="00FC7BB4">
        <w:rPr>
          <w:rFonts w:ascii="Times New Roman" w:eastAsia="Cambria" w:hAnsi="Times New Roman" w:cs="Times New Roman"/>
          <w:sz w:val="16"/>
          <w:szCs w:val="16"/>
        </w:rPr>
        <w:t>)</w:t>
      </w:r>
      <w:r w:rsidRPr="00FC7BB4">
        <w:rPr>
          <w:rFonts w:ascii="Times New Roman" w:eastAsia="Cambria" w:hAnsi="Times New Roman" w:cs="Times New Roman"/>
          <w:i/>
          <w:iCs/>
          <w:sz w:val="16"/>
          <w:szCs w:val="16"/>
          <w:vertAlign w:val="superscript"/>
        </w:rPr>
        <w:t>Np</w:t>
      </w:r>
      <w:proofErr w:type="gramEnd"/>
      <w:r w:rsidRPr="00FC7BB4">
        <w:rPr>
          <w:rFonts w:ascii="Times New Roman" w:eastAsia="Cambria" w:hAnsi="Times New Roman" w:cs="Times New Roman"/>
          <w:i/>
          <w:sz w:val="16"/>
          <w:szCs w:val="16"/>
          <w:vertAlign w:val="superscript"/>
        </w:rPr>
        <w:t xml:space="preserve"> </w:t>
      </w:r>
      <w:r w:rsidRPr="00FC7BB4">
        <w:rPr>
          <w:rFonts w:ascii="Times New Roman" w:eastAsia="Cambria" w:hAnsi="Times New Roman" w:cs="Times New Roman"/>
          <w:sz w:val="16"/>
          <w:szCs w:val="16"/>
        </w:rPr>
        <w:t xml:space="preserve">= </w:t>
      </w:r>
      <w:r w:rsidRPr="00FC7BB4">
        <w:rPr>
          <w:rFonts w:ascii="Times New Roman" w:eastAsia="Cambria" w:hAnsi="Times New Roman" w:cs="Times New Roman"/>
          <w:i/>
          <w:sz w:val="16"/>
          <w:szCs w:val="16"/>
        </w:rPr>
        <w:t>π</w:t>
      </w:r>
      <w:r w:rsidRPr="00FC7BB4">
        <w:rPr>
          <w:rFonts w:ascii="Times New Roman" w:eastAsia="Cambria" w:hAnsi="Times New Roman" w:cs="Times New Roman"/>
          <w:iCs/>
          <w:sz w:val="16"/>
          <w:szCs w:val="16"/>
        </w:rPr>
        <w:t xml:space="preserve">+1 </w:t>
      </w:r>
      <w:r w:rsidRPr="00FC7BB4">
        <w:rPr>
          <w:rFonts w:ascii="Times New Roman" w:hAnsi="Times New Roman" w:cs="Times New Roman"/>
          <w:sz w:val="16"/>
          <w:szCs w:val="16"/>
        </w:rPr>
        <w:t xml:space="preserve">for </w:t>
      </w:r>
      <w:r w:rsidR="00FE34D4" w:rsidRPr="00FC7BB4">
        <w:rPr>
          <w:rFonts w:ascii="Times New Roman" w:hAnsi="Times New Roman" w:cs="Times New Roman"/>
          <w:i/>
          <w:iCs/>
          <w:sz w:val="16"/>
          <w:szCs w:val="16"/>
        </w:rPr>
        <w:t>M</w:t>
      </w:r>
      <w:r w:rsidR="00FE34D4" w:rsidRPr="00FC7BB4">
        <w:rPr>
          <w:rFonts w:ascii="Times New Roman" w:eastAsia="Cambria" w:hAnsi="Times New Roman" w:cs="Times New Roman"/>
          <w:i/>
          <w:sz w:val="16"/>
          <w:szCs w:val="16"/>
        </w:rPr>
        <w:t xml:space="preserve"> </w:t>
      </w:r>
      <w:r w:rsidRPr="00FC7BB4">
        <w:rPr>
          <w:rFonts w:ascii="Times New Roman" w:hAnsi="Times New Roman" w:cs="Times New Roman"/>
          <w:sz w:val="16"/>
          <w:szCs w:val="16"/>
        </w:rPr>
        <w:t xml:space="preserve">each quarter, where </w:t>
      </w:r>
      <w:r w:rsidRPr="00FC7BB4">
        <w:rPr>
          <w:rFonts w:ascii="Times New Roman" w:eastAsia="Cambria" w:hAnsi="Times New Roman" w:cs="Times New Roman"/>
          <w:i/>
          <w:sz w:val="16"/>
          <w:szCs w:val="16"/>
        </w:rPr>
        <w:t>π</w:t>
      </w:r>
      <w:r w:rsidRPr="00FC7BB4">
        <w:rPr>
          <w:rFonts w:ascii="Times New Roman" w:hAnsi="Times New Roman" w:cs="Times New Roman"/>
          <w:sz w:val="16"/>
          <w:szCs w:val="16"/>
        </w:rPr>
        <w:t xml:space="preserve"> is annual inflation and </w:t>
      </w:r>
      <w:r w:rsidRPr="00FC7BB4">
        <w:rPr>
          <w:rFonts w:ascii="Times New Roman" w:hAnsi="Times New Roman" w:cs="Times New Roman"/>
          <w:i/>
          <w:iCs/>
          <w:sz w:val="16"/>
          <w:szCs w:val="16"/>
        </w:rPr>
        <w:t>N</w:t>
      </w:r>
      <w:r w:rsidRPr="00FC7BB4">
        <w:rPr>
          <w:rFonts w:ascii="Times New Roman" w:hAnsi="Times New Roman" w:cs="Times New Roman"/>
          <w:i/>
          <w:iCs/>
          <w:sz w:val="16"/>
          <w:szCs w:val="16"/>
          <w:vertAlign w:val="subscript"/>
        </w:rPr>
        <w:t>p</w:t>
      </w:r>
      <w:r w:rsidRPr="00FC7BB4">
        <w:rPr>
          <w:rFonts w:ascii="Times New Roman" w:eastAsia="Cambria" w:hAnsi="Times New Roman" w:cs="Times New Roman"/>
          <w:i/>
          <w:sz w:val="16"/>
          <w:szCs w:val="16"/>
        </w:rPr>
        <w:t xml:space="preserve"> </w:t>
      </w:r>
      <w:r w:rsidRPr="00FC7BB4">
        <w:rPr>
          <w:rFonts w:ascii="Times New Roman" w:hAnsi="Times New Roman" w:cs="Times New Roman"/>
          <w:sz w:val="16"/>
          <w:szCs w:val="16"/>
        </w:rPr>
        <w:t>is the annual number of price changes</w:t>
      </w:r>
      <w:r w:rsidR="003C3C50" w:rsidRPr="00FC7BB4">
        <w:rPr>
          <w:rFonts w:ascii="Times New Roman" w:hAnsi="Times New Roman" w:cs="Times New Roman"/>
          <w:sz w:val="16"/>
          <w:szCs w:val="16"/>
        </w:rPr>
        <w:t xml:space="preserve"> </w:t>
      </w:r>
      <w:r w:rsidR="00790C59" w:rsidRPr="00FC7BB4">
        <w:rPr>
          <w:rFonts w:ascii="Times New Roman" w:hAnsi="Times New Roman" w:cs="Times New Roman"/>
          <w:sz w:val="16"/>
          <w:szCs w:val="16"/>
        </w:rPr>
        <w:t>(</w:t>
      </w:r>
      <w:r w:rsidR="00F06F69" w:rsidRPr="00FC7BB4">
        <w:rPr>
          <w:rFonts w:ascii="Times New Roman" w:hAnsi="Times New Roman" w:cs="Times New Roman"/>
          <w:sz w:val="16"/>
          <w:szCs w:val="16"/>
        </w:rPr>
        <w:t xml:space="preserve">for the </w:t>
      </w:r>
      <w:r w:rsidR="00F06F69" w:rsidRPr="00FC7BB4">
        <w:rPr>
          <w:rFonts w:ascii="Times New Roman" w:hAnsi="Times New Roman" w:cs="Times New Roman"/>
          <w:iCs/>
          <w:sz w:val="16"/>
          <w:szCs w:val="16"/>
        </w:rPr>
        <w:t>magnitude of each price adjustment</w:t>
      </w:r>
      <w:r w:rsidR="00375FC6" w:rsidRPr="00FC7BB4">
        <w:rPr>
          <w:rFonts w:ascii="Times New Roman" w:hAnsi="Times New Roman" w:cs="Times New Roman"/>
          <w:iCs/>
          <w:sz w:val="16"/>
          <w:szCs w:val="16"/>
        </w:rPr>
        <w:t xml:space="preserve"> calculations, the four quarter moving average of </w:t>
      </w:r>
      <w:r w:rsidR="00375FC6" w:rsidRPr="00FC7BB4">
        <w:rPr>
          <w:rFonts w:ascii="Times New Roman" w:hAnsi="Times New Roman" w:cs="Times New Roman"/>
          <w:i/>
          <w:iCs/>
          <w:sz w:val="16"/>
          <w:szCs w:val="16"/>
        </w:rPr>
        <w:t>N</w:t>
      </w:r>
      <w:r w:rsidR="00375FC6" w:rsidRPr="00FC7BB4">
        <w:rPr>
          <w:rFonts w:ascii="Times New Roman" w:hAnsi="Times New Roman" w:cs="Times New Roman"/>
          <w:i/>
          <w:iCs/>
          <w:sz w:val="16"/>
          <w:szCs w:val="16"/>
          <w:vertAlign w:val="subscript"/>
        </w:rPr>
        <w:t>p</w:t>
      </w:r>
      <w:r w:rsidR="00375FC6" w:rsidRPr="00FC7BB4">
        <w:rPr>
          <w:rFonts w:ascii="Times New Roman" w:hAnsi="Times New Roman" w:cs="Times New Roman"/>
          <w:i/>
          <w:iCs/>
          <w:sz w:val="16"/>
          <w:szCs w:val="16"/>
        </w:rPr>
        <w:t xml:space="preserve"> </w:t>
      </w:r>
      <w:r w:rsidR="00375FC6" w:rsidRPr="00FC7BB4">
        <w:rPr>
          <w:rFonts w:ascii="Times New Roman" w:hAnsi="Times New Roman" w:cs="Times New Roman"/>
          <w:sz w:val="16"/>
          <w:szCs w:val="16"/>
        </w:rPr>
        <w:t>is used,</w:t>
      </w:r>
      <w:r w:rsidR="00F06F69" w:rsidRPr="00FC7BB4">
        <w:rPr>
          <w:rFonts w:ascii="Times New Roman" w:hAnsi="Times New Roman" w:cs="Times New Roman"/>
          <w:sz w:val="16"/>
          <w:szCs w:val="16"/>
        </w:rPr>
        <w:t xml:space="preserve"> </w:t>
      </w:r>
      <w:r w:rsidR="00790C59" w:rsidRPr="00FC7BB4">
        <w:rPr>
          <w:rFonts w:ascii="Times New Roman" w:hAnsi="Times New Roman" w:cs="Times New Roman"/>
          <w:sz w:val="16"/>
          <w:szCs w:val="16"/>
        </w:rPr>
        <w:t>see footnote 14)</w:t>
      </w:r>
      <w:r w:rsidRPr="00FC7BB4">
        <w:rPr>
          <w:rFonts w:ascii="Times New Roman" w:hAnsi="Times New Roman" w:cs="Times New Roman"/>
          <w:sz w:val="16"/>
          <w:szCs w:val="16"/>
        </w:rPr>
        <w:t xml:space="preserve">. </w:t>
      </w:r>
    </w:p>
    <w:p w14:paraId="7A9A793D" w14:textId="77777777" w:rsidR="00F3101B" w:rsidRPr="00FC7BB4" w:rsidRDefault="00F3101B" w:rsidP="00F3101B">
      <w:pPr>
        <w:spacing w:after="0" w:line="331" w:lineRule="auto"/>
        <w:ind w:left="-17" w:right="27"/>
        <w:rPr>
          <w:rFonts w:ascii="Times New Roman" w:hAnsi="Times New Roman" w:cs="Times New Roman"/>
          <w:sz w:val="24"/>
        </w:rPr>
      </w:pPr>
    </w:p>
    <w:p w14:paraId="04FD791E" w14:textId="198863FA" w:rsidR="00307155" w:rsidRPr="00FC7BB4" w:rsidRDefault="00307155" w:rsidP="00F3101B">
      <w:pPr>
        <w:spacing w:after="0" w:line="331" w:lineRule="auto"/>
        <w:ind w:left="-17" w:right="27"/>
        <w:rPr>
          <w:rFonts w:ascii="Times New Roman" w:hAnsi="Times New Roman" w:cs="Times New Roman"/>
          <w:sz w:val="24"/>
        </w:rPr>
      </w:pPr>
      <w:bookmarkStart w:id="52" w:name="_Hlk213166055"/>
      <w:r w:rsidRPr="00FC7BB4">
        <w:rPr>
          <w:rFonts w:ascii="Times New Roman" w:hAnsi="Times New Roman" w:cs="Times New Roman"/>
          <w:sz w:val="24"/>
        </w:rPr>
        <w:t>The estimated values for average duration of prices (</w:t>
      </w:r>
      <w:r w:rsidRPr="00FC7BB4">
        <w:rPr>
          <w:rFonts w:ascii="Times New Roman" w:hAnsi="Times New Roman" w:cs="Times New Roman"/>
          <w:i/>
          <w:iCs/>
          <w:sz w:val="24"/>
        </w:rPr>
        <w:t>PD</w:t>
      </w:r>
      <w:r w:rsidRPr="00FC7BB4">
        <w:rPr>
          <w:rFonts w:ascii="Times New Roman" w:hAnsi="Times New Roman" w:cs="Times New Roman"/>
          <w:sz w:val="24"/>
        </w:rPr>
        <w:t>), frequency of price changes (</w:t>
      </w:r>
      <w:r w:rsidRPr="00FC7BB4">
        <w:rPr>
          <w:rFonts w:ascii="Times New Roman" w:eastAsia="Cambria" w:hAnsi="Times New Roman" w:cs="Times New Roman"/>
          <w:i/>
          <w:sz w:val="24"/>
        </w:rPr>
        <w:t>N</w:t>
      </w:r>
      <w:r w:rsidRPr="00FC7BB4">
        <w:rPr>
          <w:rFonts w:ascii="Times New Roman" w:eastAsia="Cambria" w:hAnsi="Times New Roman" w:cs="Times New Roman"/>
          <w:i/>
          <w:sz w:val="24"/>
          <w:vertAlign w:val="subscript"/>
        </w:rPr>
        <w:t>p</w:t>
      </w:r>
      <w:r w:rsidRPr="00FC7BB4">
        <w:rPr>
          <w:rFonts w:ascii="Times New Roman" w:hAnsi="Times New Roman" w:cs="Times New Roman"/>
          <w:sz w:val="24"/>
        </w:rPr>
        <w:t>), and magnitude of each price adjustment (</w:t>
      </w:r>
      <w:r w:rsidRPr="00FC7BB4">
        <w:rPr>
          <w:rFonts w:ascii="Times New Roman" w:hAnsi="Times New Roman" w:cs="Times New Roman"/>
          <w:i/>
          <w:iCs/>
          <w:sz w:val="24"/>
        </w:rPr>
        <w:t>M</w:t>
      </w:r>
      <w:r w:rsidRPr="00FC7BB4">
        <w:rPr>
          <w:rFonts w:ascii="Times New Roman" w:hAnsi="Times New Roman" w:cs="Times New Roman"/>
          <w:sz w:val="24"/>
        </w:rPr>
        <w:t>), are also shown in Table 1 for different inflation episodes since 1963. The time span for each inflation episode is determined by when annual inflation moves between two selected thresholds: five percent and 10 percent.</w:t>
      </w:r>
      <w:r w:rsidRPr="00FC7BB4">
        <w:rPr>
          <w:rStyle w:val="FootnoteReference"/>
          <w:rFonts w:ascii="Times New Roman" w:hAnsi="Times New Roman" w:cs="Times New Roman"/>
          <w:sz w:val="24"/>
        </w:rPr>
        <w:footnoteReference w:id="16"/>
      </w:r>
      <w:r w:rsidRPr="00FC7BB4">
        <w:rPr>
          <w:rFonts w:ascii="Times New Roman" w:hAnsi="Times New Roman" w:cs="Times New Roman"/>
          <w:sz w:val="24"/>
        </w:rPr>
        <w:t xml:space="preserve"> This results in nine inflation episodes since 1963 shown in the first two c</w:t>
      </w:r>
      <w:r w:rsidRPr="00FC7BB4">
        <w:rPr>
          <w:rFonts w:ascii="Times New Roman" w:hAnsi="Times New Roman" w:cs="Times New Roman"/>
          <w:color w:val="auto"/>
          <w:sz w:val="24"/>
        </w:rPr>
        <w:t>olumns of Table 1. The following metrics are generated for each inflation episode. C</w:t>
      </w:r>
      <w:r w:rsidRPr="00FC7BB4">
        <w:rPr>
          <w:rFonts w:ascii="Times New Roman" w:hAnsi="Times New Roman" w:cs="Times New Roman"/>
          <w:sz w:val="24"/>
        </w:rPr>
        <w:t xml:space="preserve">olumns three to six </w:t>
      </w:r>
      <w:r w:rsidRPr="00FC7BB4">
        <w:rPr>
          <w:rFonts w:ascii="Times New Roman" w:hAnsi="Times New Roman" w:cs="Times New Roman"/>
          <w:color w:val="auto"/>
          <w:sz w:val="24"/>
        </w:rPr>
        <w:t xml:space="preserve">include respectively average annual inflation rates, average quarterly proportion of firms that </w:t>
      </w:r>
      <w:r w:rsidRPr="00FC7BB4">
        <w:rPr>
          <w:rFonts w:ascii="Times New Roman" w:hAnsi="Times New Roman" w:cs="Times New Roman"/>
          <w:sz w:val="24"/>
        </w:rPr>
        <w:t xml:space="preserve">increased prices </w:t>
      </w:r>
      <w:bookmarkStart w:id="53" w:name="_Hlk209600359"/>
      <w:r w:rsidRPr="00FC7BB4">
        <w:rPr>
          <w:rFonts w:ascii="Times New Roman" w:hAnsi="Times New Roman" w:cs="Times New Roman"/>
          <w:sz w:val="24"/>
        </w:rPr>
        <w:t>(</w:t>
      </w:r>
      <w:r w:rsidRPr="00FC7BB4">
        <w:rPr>
          <w:rFonts w:ascii="Times New Roman" w:eastAsia="Cambria" w:hAnsi="Times New Roman" w:cs="Times New Roman"/>
          <w:i/>
          <w:sz w:val="24"/>
        </w:rPr>
        <w:t>p</w:t>
      </w:r>
      <w:r w:rsidRPr="00FC7BB4">
        <w:rPr>
          <w:rFonts w:ascii="Times New Roman" w:hAnsi="Times New Roman" w:cs="Times New Roman"/>
          <w:i/>
          <w:iCs/>
          <w:sz w:val="24"/>
          <w:vertAlign w:val="subscript"/>
        </w:rPr>
        <w:t>up</w:t>
      </w:r>
      <w:r w:rsidRPr="00FC7BB4">
        <w:rPr>
          <w:rFonts w:ascii="Times New Roman" w:hAnsi="Times New Roman" w:cs="Times New Roman"/>
          <w:sz w:val="24"/>
        </w:rPr>
        <w:t xml:space="preserve">), </w:t>
      </w:r>
      <w:bookmarkEnd w:id="53"/>
      <w:r w:rsidRPr="00FC7BB4">
        <w:rPr>
          <w:rFonts w:ascii="Times New Roman" w:hAnsi="Times New Roman" w:cs="Times New Roman"/>
          <w:sz w:val="24"/>
        </w:rPr>
        <w:t>that changed prices (</w:t>
      </w:r>
      <w:proofErr w:type="spellStart"/>
      <w:r w:rsidRPr="00FC7BB4">
        <w:rPr>
          <w:rFonts w:ascii="Times New Roman" w:eastAsia="Cambria" w:hAnsi="Times New Roman" w:cs="Times New Roman"/>
          <w:i/>
          <w:sz w:val="24"/>
        </w:rPr>
        <w:t>p</w:t>
      </w:r>
      <w:r w:rsidRPr="00FC7BB4">
        <w:rPr>
          <w:rFonts w:ascii="Times New Roman" w:hAnsi="Times New Roman" w:cs="Times New Roman"/>
          <w:i/>
          <w:sz w:val="24"/>
          <w:vertAlign w:val="subscript"/>
        </w:rPr>
        <w:t>up+dn</w:t>
      </w:r>
      <w:proofErr w:type="spellEnd"/>
      <w:r w:rsidRPr="00FC7BB4">
        <w:rPr>
          <w:rFonts w:ascii="Times New Roman" w:hAnsi="Times New Roman" w:cs="Times New Roman"/>
          <w:sz w:val="24"/>
        </w:rPr>
        <w:t xml:space="preserve">), and average price duration. Columns seven to eight </w:t>
      </w:r>
      <w:r w:rsidRPr="00FC7BB4">
        <w:rPr>
          <w:rFonts w:ascii="Times New Roman" w:hAnsi="Times New Roman" w:cs="Times New Roman"/>
          <w:sz w:val="24"/>
        </w:rPr>
        <w:lastRenderedPageBreak/>
        <w:t xml:space="preserve">include period means of </w:t>
      </w:r>
      <w:r w:rsidR="00794CE6" w:rsidRPr="00FC7BB4">
        <w:rPr>
          <w:rFonts w:ascii="Times New Roman" w:hAnsi="Times New Roman" w:cs="Times New Roman"/>
          <w:sz w:val="24"/>
        </w:rPr>
        <w:t xml:space="preserve">the </w:t>
      </w:r>
      <w:r w:rsidRPr="00FC7BB4">
        <w:rPr>
          <w:rFonts w:ascii="Times New Roman" w:hAnsi="Times New Roman" w:cs="Times New Roman"/>
          <w:sz w:val="24"/>
        </w:rPr>
        <w:t>annual number (frequency) and magnitude of each price adjustment</w:t>
      </w:r>
      <w:r w:rsidRPr="00FC7BB4">
        <w:rPr>
          <w:rFonts w:ascii="Times New Roman" w:hAnsi="Times New Roman" w:cs="Times New Roman"/>
          <w:color w:val="auto"/>
          <w:sz w:val="24"/>
        </w:rPr>
        <w:t>.</w:t>
      </w:r>
      <w:r w:rsidRPr="00FC7BB4">
        <w:rPr>
          <w:rStyle w:val="FootnoteReference"/>
          <w:rFonts w:ascii="Times New Roman" w:hAnsi="Times New Roman" w:cs="Times New Roman"/>
          <w:sz w:val="24"/>
        </w:rPr>
        <w:footnoteReference w:id="17"/>
      </w:r>
      <w:r w:rsidRPr="00FC7BB4">
        <w:rPr>
          <w:rFonts w:ascii="Times New Roman" w:hAnsi="Times New Roman" w:cs="Times New Roman"/>
          <w:sz w:val="24"/>
        </w:rPr>
        <w:t xml:space="preserve"> </w:t>
      </w:r>
      <w:r w:rsidR="00895C99" w:rsidRPr="00FC7BB4">
        <w:rPr>
          <w:rFonts w:ascii="Times New Roman" w:hAnsi="Times New Roman" w:cs="Times New Roman"/>
          <w:sz w:val="24"/>
        </w:rPr>
        <w:t xml:space="preserve">Column nine gives the ratio of </w:t>
      </w:r>
      <w:r w:rsidR="00895C99" w:rsidRPr="00FC7BB4">
        <w:rPr>
          <w:rFonts w:ascii="Times New Roman" w:hAnsi="Times New Roman" w:cs="Times New Roman"/>
          <w:i/>
          <w:iCs/>
          <w:sz w:val="24"/>
        </w:rPr>
        <w:t>Np</w:t>
      </w:r>
      <w:r w:rsidR="00895C99" w:rsidRPr="00FC7BB4">
        <w:rPr>
          <w:rFonts w:ascii="Times New Roman" w:hAnsi="Times New Roman" w:cs="Times New Roman"/>
          <w:sz w:val="24"/>
        </w:rPr>
        <w:t xml:space="preserve"> to </w:t>
      </w:r>
      <w:r w:rsidR="00895C99" w:rsidRPr="00FC7BB4">
        <w:rPr>
          <w:rFonts w:ascii="Times New Roman" w:hAnsi="Times New Roman" w:cs="Times New Roman"/>
          <w:i/>
          <w:iCs/>
          <w:sz w:val="24"/>
        </w:rPr>
        <w:t>M</w:t>
      </w:r>
      <w:r w:rsidR="00895C99" w:rsidRPr="00FC7BB4">
        <w:rPr>
          <w:rFonts w:ascii="Times New Roman" w:hAnsi="Times New Roman" w:cs="Times New Roman"/>
          <w:sz w:val="24"/>
        </w:rPr>
        <w:t>.</w:t>
      </w:r>
    </w:p>
    <w:p w14:paraId="54447257" w14:textId="2DD5FE81" w:rsidR="00307155" w:rsidRPr="00FC7BB4" w:rsidRDefault="006A2490" w:rsidP="00F3101B">
      <w:pPr>
        <w:spacing w:after="0" w:line="360" w:lineRule="auto"/>
        <w:ind w:right="27" w:firstLine="284"/>
        <w:rPr>
          <w:rFonts w:ascii="Times New Roman" w:hAnsi="Times New Roman" w:cs="Times New Roman"/>
          <w:sz w:val="24"/>
          <w:highlight w:val="yellow"/>
        </w:rPr>
      </w:pPr>
      <w:bookmarkStart w:id="54" w:name="_Hlk213166176"/>
      <w:bookmarkEnd w:id="52"/>
      <w:r w:rsidRPr="00FC7BB4">
        <w:rPr>
          <w:rFonts w:ascii="Times New Roman" w:hAnsi="Times New Roman" w:cs="Times New Roman"/>
          <w:sz w:val="24"/>
        </w:rPr>
        <w:t xml:space="preserve">Table 1 </w:t>
      </w:r>
      <w:r w:rsidR="00307155" w:rsidRPr="00FC7BB4">
        <w:rPr>
          <w:rFonts w:ascii="Times New Roman" w:hAnsi="Times New Roman" w:cs="Times New Roman"/>
          <w:sz w:val="24"/>
        </w:rPr>
        <w:t>supports the conclusions in Section 4.1 that there has been a change in pricing behaviour. This change is seen most clearly by comparing the most recent inflation periods VIII and IX with earlier periods of comparable average annual inflation rates. During the most recent high inflation episode of the COVID era (Period IX), the proportion of firms changing prices is considerably higher than during earlier periods with similar inflation rates (Periods IV and VI). This change is particularly noticeable for the proportion of firms increasing prices (</w:t>
      </w:r>
      <w:r w:rsidR="00307155" w:rsidRPr="00FC7BB4">
        <w:rPr>
          <w:rFonts w:ascii="Times New Roman" w:eastAsia="Cambria" w:hAnsi="Times New Roman" w:cs="Times New Roman"/>
          <w:i/>
          <w:sz w:val="24"/>
        </w:rPr>
        <w:t>p</w:t>
      </w:r>
      <w:r w:rsidR="00307155" w:rsidRPr="00FC7BB4">
        <w:rPr>
          <w:rFonts w:ascii="Times New Roman" w:hAnsi="Times New Roman" w:cs="Times New Roman"/>
          <w:i/>
          <w:iCs/>
          <w:sz w:val="24"/>
          <w:vertAlign w:val="subscript"/>
        </w:rPr>
        <w:t>up</w:t>
      </w:r>
      <w:r w:rsidR="00307155" w:rsidRPr="00FC7BB4">
        <w:rPr>
          <w:rFonts w:ascii="Times New Roman" w:hAnsi="Times New Roman" w:cs="Times New Roman"/>
          <w:sz w:val="24"/>
        </w:rPr>
        <w:t>) which is twice as high in Period IX than in Periods IV and VI. The proportion of firms raising prices in Period IX is even higher than in Period II when average annual inflation was about 1.</w:t>
      </w:r>
      <w:r w:rsidR="00621BDD" w:rsidRPr="00FC7BB4">
        <w:rPr>
          <w:rFonts w:ascii="Times New Roman" w:hAnsi="Times New Roman" w:cs="Times New Roman"/>
          <w:sz w:val="24"/>
        </w:rPr>
        <w:t xml:space="preserve">3 </w:t>
      </w:r>
      <w:r w:rsidR="00307155" w:rsidRPr="00FC7BB4">
        <w:rPr>
          <w:rFonts w:ascii="Times New Roman" w:hAnsi="Times New Roman" w:cs="Times New Roman"/>
          <w:sz w:val="24"/>
        </w:rPr>
        <w:t>percentage points higher. The average annual proportion of firms changing prices (</w:t>
      </w:r>
      <w:proofErr w:type="spellStart"/>
      <w:r w:rsidR="00307155" w:rsidRPr="00FC7BB4">
        <w:rPr>
          <w:rFonts w:ascii="Times New Roman" w:eastAsia="Cambria" w:hAnsi="Times New Roman" w:cs="Times New Roman"/>
          <w:i/>
          <w:sz w:val="24"/>
        </w:rPr>
        <w:t>p</w:t>
      </w:r>
      <w:r w:rsidR="00307155" w:rsidRPr="00FC7BB4">
        <w:rPr>
          <w:rFonts w:ascii="Times New Roman" w:hAnsi="Times New Roman" w:cs="Times New Roman"/>
          <w:i/>
          <w:sz w:val="24"/>
          <w:vertAlign w:val="subscript"/>
        </w:rPr>
        <w:t>up+dn</w:t>
      </w:r>
      <w:proofErr w:type="spellEnd"/>
      <w:r w:rsidR="00307155" w:rsidRPr="00FC7BB4">
        <w:rPr>
          <w:rFonts w:ascii="Times New Roman" w:hAnsi="Times New Roman" w:cs="Times New Roman"/>
          <w:sz w:val="24"/>
        </w:rPr>
        <w:t xml:space="preserve">) and </w:t>
      </w:r>
      <w:r w:rsidR="001C6DC5" w:rsidRPr="00FC7BB4">
        <w:rPr>
          <w:rFonts w:ascii="Times New Roman" w:hAnsi="Times New Roman" w:cs="Times New Roman"/>
          <w:sz w:val="24"/>
        </w:rPr>
        <w:t>increasing</w:t>
      </w:r>
      <w:r w:rsidR="00A44D86" w:rsidRPr="00FC7BB4">
        <w:rPr>
          <w:rFonts w:ascii="Times New Roman" w:hAnsi="Times New Roman" w:cs="Times New Roman"/>
          <w:sz w:val="24"/>
        </w:rPr>
        <w:t xml:space="preserve"> </w:t>
      </w:r>
      <w:r w:rsidR="00307155" w:rsidRPr="00FC7BB4">
        <w:rPr>
          <w:rFonts w:ascii="Times New Roman" w:hAnsi="Times New Roman" w:cs="Times New Roman"/>
          <w:sz w:val="24"/>
        </w:rPr>
        <w:t>prices (</w:t>
      </w:r>
      <w:r w:rsidR="00307155" w:rsidRPr="00FC7BB4">
        <w:rPr>
          <w:rFonts w:ascii="Times New Roman" w:eastAsia="Cambria" w:hAnsi="Times New Roman" w:cs="Times New Roman"/>
          <w:i/>
          <w:sz w:val="24"/>
        </w:rPr>
        <w:t>p</w:t>
      </w:r>
      <w:r w:rsidR="00307155" w:rsidRPr="00FC7BB4">
        <w:rPr>
          <w:rFonts w:ascii="Times New Roman" w:hAnsi="Times New Roman" w:cs="Times New Roman"/>
          <w:i/>
          <w:iCs/>
          <w:sz w:val="24"/>
          <w:vertAlign w:val="subscript"/>
        </w:rPr>
        <w:t>up</w:t>
      </w:r>
      <w:r w:rsidR="00307155" w:rsidRPr="00FC7BB4">
        <w:rPr>
          <w:rFonts w:ascii="Times New Roman" w:hAnsi="Times New Roman" w:cs="Times New Roman"/>
          <w:sz w:val="24"/>
        </w:rPr>
        <w:t xml:space="preserve">) in Period IX is comparable with the much higher inflation periods in the 1970s and 1980s (Periods III and V). Consequently, the estimated annual number of price changes during the COVID era is higher and the duration of prices shorter than during earlier periods with similar inflation outcomes. Moreover, the average magnitude of each price change in the most recent Period IX at 2.41 per cent, is considerably smaller than in earlier periods with similar average inflation outcomes. </w:t>
      </w:r>
    </w:p>
    <w:p w14:paraId="60E36686" w14:textId="059176F4" w:rsidR="00307155" w:rsidRPr="00FC7BB4" w:rsidRDefault="00307155" w:rsidP="00F3101B">
      <w:pPr>
        <w:spacing w:after="0" w:line="331" w:lineRule="auto"/>
        <w:ind w:right="27"/>
        <w:rPr>
          <w:rFonts w:ascii="Times New Roman" w:hAnsi="Times New Roman" w:cs="Times New Roman"/>
          <w:sz w:val="24"/>
        </w:rPr>
      </w:pPr>
      <w:bookmarkStart w:id="55" w:name="_Hlk213339605"/>
      <w:r w:rsidRPr="00FC7BB4">
        <w:rPr>
          <w:rFonts w:ascii="Times New Roman" w:hAnsi="Times New Roman" w:cs="Times New Roman"/>
          <w:sz w:val="24"/>
        </w:rPr>
        <w:t xml:space="preserve">These pricing behavioural changes are not restricted to the COVID inflation episode. The average annual number of price changes during the years immediately prior to COVID (Period VIII: 2011Q2 to 2021Q1) when annual inflation averaged 1.45 per cent, is </w:t>
      </w:r>
      <w:proofErr w:type="gramStart"/>
      <w:r w:rsidRPr="00FC7BB4">
        <w:rPr>
          <w:rFonts w:ascii="Times New Roman" w:hAnsi="Times New Roman" w:cs="Times New Roman"/>
          <w:sz w:val="24"/>
        </w:rPr>
        <w:t>similar to</w:t>
      </w:r>
      <w:proofErr w:type="gramEnd"/>
      <w:r w:rsidRPr="00FC7BB4">
        <w:rPr>
          <w:rFonts w:ascii="Times New Roman" w:hAnsi="Times New Roman" w:cs="Times New Roman"/>
          <w:sz w:val="24"/>
        </w:rPr>
        <w:t xml:space="preserve"> that for Periods I (1963Q3 to 1967Q1) and IV (1983Q2-1984Q2) when average annual inflation was more than twice as high at 3.13 and 5.09 per cent respectively. As indicated by Figure 3, changes in pricing behaviour appears to have been occurring since the mid-1990s. This is illustrated further by taking the ratio of the number of price changes per year to the magnitude of price changes (</w:t>
      </w:r>
      <w:r w:rsidRPr="00FC7BB4">
        <w:rPr>
          <w:rFonts w:ascii="Times New Roman" w:eastAsia="Cambria" w:hAnsi="Times New Roman" w:cs="Times New Roman"/>
          <w:i/>
          <w:sz w:val="24"/>
        </w:rPr>
        <w:t>N</w:t>
      </w:r>
      <w:r w:rsidRPr="00FC7BB4">
        <w:rPr>
          <w:rFonts w:ascii="Times New Roman" w:eastAsia="Cambria" w:hAnsi="Times New Roman" w:cs="Times New Roman"/>
          <w:i/>
          <w:sz w:val="24"/>
          <w:vertAlign w:val="subscript"/>
        </w:rPr>
        <w:t>p</w:t>
      </w:r>
      <w:r w:rsidRPr="00FC7BB4">
        <w:rPr>
          <w:rFonts w:ascii="Times New Roman" w:hAnsi="Times New Roman" w:cs="Times New Roman"/>
          <w:sz w:val="24"/>
        </w:rPr>
        <w:t>/</w:t>
      </w:r>
      <w:r w:rsidRPr="00FC7BB4">
        <w:rPr>
          <w:rFonts w:ascii="Times New Roman" w:hAnsi="Times New Roman" w:cs="Times New Roman"/>
          <w:i/>
          <w:iCs/>
          <w:sz w:val="24"/>
        </w:rPr>
        <w:t>M</w:t>
      </w:r>
      <w:r w:rsidRPr="00FC7BB4">
        <w:rPr>
          <w:rFonts w:ascii="Times New Roman" w:hAnsi="Times New Roman" w:cs="Times New Roman"/>
          <w:sz w:val="24"/>
        </w:rPr>
        <w:t xml:space="preserve">) shown in column 9 of Table 1. The average number of price changes per year has increased relative to the size of each price change </w:t>
      </w:r>
      <w:r w:rsidR="00194249" w:rsidRPr="00FC7BB4">
        <w:rPr>
          <w:rFonts w:ascii="Times New Roman" w:hAnsi="Times New Roman" w:cs="Times New Roman"/>
          <w:sz w:val="24"/>
        </w:rPr>
        <w:t xml:space="preserve">after </w:t>
      </w:r>
      <w:r w:rsidRPr="00FC7BB4">
        <w:rPr>
          <w:rFonts w:ascii="Times New Roman" w:hAnsi="Times New Roman" w:cs="Times New Roman"/>
          <w:sz w:val="24"/>
        </w:rPr>
        <w:t xml:space="preserve">Period VI (1988Q4-1990Q3).  </w:t>
      </w:r>
    </w:p>
    <w:bookmarkEnd w:id="55"/>
    <w:p w14:paraId="6B646C64" w14:textId="45A3B221" w:rsidR="00C520BB" w:rsidRPr="00FC7BB4" w:rsidRDefault="003B492F" w:rsidP="00F3101B">
      <w:pPr>
        <w:spacing w:after="0" w:line="331" w:lineRule="auto"/>
        <w:ind w:right="27"/>
        <w:rPr>
          <w:rFonts w:ascii="Times New Roman" w:hAnsi="Times New Roman" w:cs="Times New Roman"/>
          <w:sz w:val="24"/>
        </w:rPr>
      </w:pPr>
      <w:r w:rsidRPr="00FC7BB4">
        <w:rPr>
          <w:rFonts w:ascii="Times New Roman" w:hAnsi="Times New Roman" w:cs="Times New Roman"/>
          <w:sz w:val="24"/>
        </w:rPr>
        <w:t xml:space="preserve">Using Table 1, </w:t>
      </w:r>
      <w:r w:rsidR="00C90EBC" w:rsidRPr="00FC7BB4">
        <w:rPr>
          <w:rFonts w:ascii="Times New Roman" w:hAnsi="Times New Roman" w:cs="Times New Roman"/>
          <w:sz w:val="24"/>
        </w:rPr>
        <w:t>the</w:t>
      </w:r>
      <w:r w:rsidR="00307155" w:rsidRPr="00FC7BB4">
        <w:rPr>
          <w:rFonts w:ascii="Times New Roman" w:hAnsi="Times New Roman" w:cs="Times New Roman"/>
          <w:sz w:val="24"/>
        </w:rPr>
        <w:t xml:space="preserve"> frequency and magnitude of price adjustments</w:t>
      </w:r>
      <w:r w:rsidR="009D1BC9" w:rsidRPr="00FC7BB4">
        <w:rPr>
          <w:rFonts w:ascii="Times New Roman" w:hAnsi="Times New Roman" w:cs="Times New Roman"/>
          <w:sz w:val="24"/>
        </w:rPr>
        <w:t xml:space="preserve"> changed between Periods</w:t>
      </w:r>
      <w:r w:rsidR="009C2173" w:rsidRPr="00FC7BB4">
        <w:rPr>
          <w:rFonts w:ascii="Times New Roman" w:hAnsi="Times New Roman" w:cs="Times New Roman"/>
          <w:sz w:val="24"/>
        </w:rPr>
        <w:t xml:space="preserve"> VIII</w:t>
      </w:r>
      <w:r w:rsidR="009D1BC9" w:rsidRPr="00FC7BB4">
        <w:rPr>
          <w:rFonts w:ascii="Times New Roman" w:hAnsi="Times New Roman" w:cs="Times New Roman"/>
          <w:sz w:val="24"/>
        </w:rPr>
        <w:t xml:space="preserve"> and </w:t>
      </w:r>
      <w:r w:rsidR="009C2173" w:rsidRPr="00FC7BB4">
        <w:rPr>
          <w:rFonts w:ascii="Times New Roman" w:hAnsi="Times New Roman" w:cs="Times New Roman"/>
          <w:sz w:val="24"/>
        </w:rPr>
        <w:t>IX can be compared.</w:t>
      </w:r>
      <w:r w:rsidR="00307155" w:rsidRPr="00FC7BB4">
        <w:rPr>
          <w:rFonts w:ascii="Times New Roman" w:hAnsi="Times New Roman" w:cs="Times New Roman"/>
          <w:sz w:val="24"/>
        </w:rPr>
        <w:t xml:space="preserve"> </w:t>
      </w:r>
      <w:r w:rsidR="008373EC" w:rsidRPr="00FC7BB4">
        <w:rPr>
          <w:rFonts w:ascii="Times New Roman" w:hAnsi="Times New Roman" w:cs="Times New Roman"/>
          <w:sz w:val="24"/>
        </w:rPr>
        <w:t xml:space="preserve">Table 1 </w:t>
      </w:r>
      <w:r w:rsidR="00C90EBC" w:rsidRPr="00FC7BB4">
        <w:rPr>
          <w:rFonts w:ascii="Times New Roman" w:hAnsi="Times New Roman" w:cs="Times New Roman"/>
          <w:sz w:val="24"/>
        </w:rPr>
        <w:t>suggest</w:t>
      </w:r>
      <w:r w:rsidR="00482264" w:rsidRPr="00FC7BB4">
        <w:rPr>
          <w:rFonts w:ascii="Times New Roman" w:hAnsi="Times New Roman" w:cs="Times New Roman"/>
          <w:sz w:val="24"/>
        </w:rPr>
        <w:t xml:space="preserve">s the elevated levels of inflation during the COVID era arose more from an increase in the frequency of price changes than from a rise in the magnitude of price adjustments. </w:t>
      </w:r>
      <w:r w:rsidR="001A19CF" w:rsidRPr="00FC7BB4">
        <w:rPr>
          <w:rFonts w:ascii="Times New Roman" w:hAnsi="Times New Roman" w:cs="Times New Roman"/>
          <w:sz w:val="24"/>
        </w:rPr>
        <w:t>This pattern is also evident in the quarterly estimates of the annual frequency of price changes and the magnitude of price changes report</w:t>
      </w:r>
      <w:r w:rsidR="009C2173" w:rsidRPr="00FC7BB4">
        <w:rPr>
          <w:rFonts w:ascii="Times New Roman" w:hAnsi="Times New Roman" w:cs="Times New Roman"/>
          <w:sz w:val="24"/>
        </w:rPr>
        <w:t>ed</w:t>
      </w:r>
      <w:r w:rsidR="001A19CF" w:rsidRPr="00FC7BB4">
        <w:rPr>
          <w:rFonts w:ascii="Times New Roman" w:hAnsi="Times New Roman" w:cs="Times New Roman"/>
          <w:sz w:val="24"/>
        </w:rPr>
        <w:t xml:space="preserve"> in Figure A1</w:t>
      </w:r>
      <w:r w:rsidR="00513D43" w:rsidRPr="00FC7BB4">
        <w:rPr>
          <w:rFonts w:ascii="Times New Roman" w:hAnsi="Times New Roman" w:cs="Times New Roman"/>
          <w:sz w:val="24"/>
        </w:rPr>
        <w:t xml:space="preserve">. The quarterly estimates </w:t>
      </w:r>
      <w:r w:rsidR="00F665DF" w:rsidRPr="00FC7BB4">
        <w:rPr>
          <w:rFonts w:ascii="Times New Roman" w:hAnsi="Times New Roman" w:cs="Times New Roman"/>
          <w:sz w:val="24"/>
        </w:rPr>
        <w:t xml:space="preserve">plotted in Figure A1 </w:t>
      </w:r>
      <w:r w:rsidR="00513D43" w:rsidRPr="00FC7BB4">
        <w:rPr>
          <w:rFonts w:ascii="Times New Roman" w:hAnsi="Times New Roman" w:cs="Times New Roman"/>
          <w:sz w:val="24"/>
        </w:rPr>
        <w:t xml:space="preserve">suggest that </w:t>
      </w:r>
      <w:r w:rsidR="001B4440" w:rsidRPr="00FC7BB4">
        <w:rPr>
          <w:rFonts w:ascii="Times New Roman" w:hAnsi="Times New Roman" w:cs="Times New Roman"/>
          <w:sz w:val="24"/>
        </w:rPr>
        <w:t xml:space="preserve">the magnitude of price changes was between 1 and 2 percent over </w:t>
      </w:r>
      <w:r w:rsidR="00620C48" w:rsidRPr="00FC7BB4">
        <w:rPr>
          <w:rFonts w:ascii="Times New Roman" w:hAnsi="Times New Roman" w:cs="Times New Roman"/>
          <w:sz w:val="24"/>
        </w:rPr>
        <w:t>2019 and 2020</w:t>
      </w:r>
      <w:r w:rsidR="00D03454" w:rsidRPr="00FC7BB4">
        <w:rPr>
          <w:rFonts w:ascii="Times New Roman" w:hAnsi="Times New Roman" w:cs="Times New Roman"/>
          <w:sz w:val="24"/>
        </w:rPr>
        <w:t xml:space="preserve"> before </w:t>
      </w:r>
      <w:r w:rsidR="001B4440" w:rsidRPr="00FC7BB4">
        <w:rPr>
          <w:rFonts w:ascii="Times New Roman" w:hAnsi="Times New Roman" w:cs="Times New Roman"/>
          <w:sz w:val="24"/>
        </w:rPr>
        <w:t>peak</w:t>
      </w:r>
      <w:r w:rsidR="00D03454" w:rsidRPr="00FC7BB4">
        <w:rPr>
          <w:rFonts w:ascii="Times New Roman" w:hAnsi="Times New Roman" w:cs="Times New Roman"/>
          <w:sz w:val="24"/>
        </w:rPr>
        <w:t>ing</w:t>
      </w:r>
      <w:r w:rsidR="001B4440" w:rsidRPr="00FC7BB4">
        <w:rPr>
          <w:rFonts w:ascii="Times New Roman" w:hAnsi="Times New Roman" w:cs="Times New Roman"/>
          <w:sz w:val="24"/>
        </w:rPr>
        <w:t xml:space="preserve"> at 3.7 percent </w:t>
      </w:r>
      <w:r w:rsidR="001B4440" w:rsidRPr="00FC7BB4">
        <w:rPr>
          <w:rFonts w:ascii="Times New Roman" w:hAnsi="Times New Roman" w:cs="Times New Roman"/>
          <w:sz w:val="24"/>
        </w:rPr>
        <w:lastRenderedPageBreak/>
        <w:t>in 2021Q4</w:t>
      </w:r>
      <w:r w:rsidR="006F4928" w:rsidRPr="00FC7BB4">
        <w:rPr>
          <w:rFonts w:ascii="Times New Roman" w:hAnsi="Times New Roman" w:cs="Times New Roman"/>
          <w:sz w:val="24"/>
        </w:rPr>
        <w:t xml:space="preserve">. These results are </w:t>
      </w:r>
      <w:proofErr w:type="gramStart"/>
      <w:r w:rsidR="006F4928" w:rsidRPr="00FC7BB4">
        <w:rPr>
          <w:rFonts w:ascii="Times New Roman" w:hAnsi="Times New Roman" w:cs="Times New Roman"/>
          <w:sz w:val="24"/>
        </w:rPr>
        <w:t>similar to</w:t>
      </w:r>
      <w:proofErr w:type="gramEnd"/>
      <w:r w:rsidR="006F4928" w:rsidRPr="00FC7BB4">
        <w:rPr>
          <w:rFonts w:ascii="Times New Roman" w:hAnsi="Times New Roman" w:cs="Times New Roman"/>
          <w:sz w:val="24"/>
        </w:rPr>
        <w:t xml:space="preserve"> those</w:t>
      </w:r>
      <w:r w:rsidR="00307155" w:rsidRPr="00FC7BB4">
        <w:rPr>
          <w:rFonts w:ascii="Times New Roman" w:hAnsi="Times New Roman" w:cs="Times New Roman"/>
          <w:sz w:val="24"/>
        </w:rPr>
        <w:t xml:space="preserve"> reported by </w:t>
      </w:r>
      <w:r w:rsidR="00307155" w:rsidRPr="00FC7BB4">
        <w:rPr>
          <w:rFonts w:ascii="Times New Roman" w:hAnsi="Times New Roman" w:cs="Times New Roman"/>
          <w:color w:val="auto"/>
          <w:sz w:val="24"/>
        </w:rPr>
        <w:t xml:space="preserve">Montag and Villar </w:t>
      </w:r>
      <w:proofErr w:type="spellStart"/>
      <w:r w:rsidR="00307155" w:rsidRPr="00FC7BB4">
        <w:rPr>
          <w:rFonts w:ascii="Times New Roman" w:hAnsi="Times New Roman" w:cs="Times New Roman"/>
          <w:color w:val="auto"/>
          <w:sz w:val="24"/>
        </w:rPr>
        <w:t>Vallenas</w:t>
      </w:r>
      <w:proofErr w:type="spellEnd"/>
      <w:r w:rsidR="00307155" w:rsidRPr="00FC7BB4">
        <w:rPr>
          <w:rFonts w:ascii="Times New Roman" w:hAnsi="Times New Roman" w:cs="Times New Roman"/>
          <w:color w:val="auto"/>
          <w:sz w:val="24"/>
        </w:rPr>
        <w:t xml:space="preserve"> (2023) for the USA derived </w:t>
      </w:r>
      <w:r w:rsidR="00307155" w:rsidRPr="00FC7BB4">
        <w:rPr>
          <w:rFonts w:ascii="Times New Roman" w:hAnsi="Times New Roman" w:cs="Times New Roman"/>
          <w:sz w:val="24"/>
        </w:rPr>
        <w:t>using item-level prices.</w:t>
      </w:r>
      <w:r w:rsidR="006F4928" w:rsidRPr="00FC7BB4">
        <w:rPr>
          <w:rFonts w:ascii="Times New Roman" w:hAnsi="Times New Roman" w:cs="Times New Roman"/>
          <w:sz w:val="24"/>
        </w:rPr>
        <w:t xml:space="preserve"> </w:t>
      </w:r>
      <w:r w:rsidR="00307155" w:rsidRPr="00FC7BB4">
        <w:rPr>
          <w:rFonts w:ascii="Times New Roman" w:hAnsi="Times New Roman" w:cs="Times New Roman"/>
          <w:color w:val="auto"/>
          <w:sz w:val="24"/>
        </w:rPr>
        <w:t xml:space="preserve">They </w:t>
      </w:r>
      <w:r w:rsidR="00307155" w:rsidRPr="00FC7BB4">
        <w:rPr>
          <w:rFonts w:ascii="Times New Roman" w:hAnsi="Times New Roman" w:cs="Times New Roman"/>
          <w:sz w:val="24"/>
        </w:rPr>
        <w:t xml:space="preserve">find the magnitude of price changes remained relatively flat through 2019 and 2020, fluctuating between 1.5 and 2 per cent. </w:t>
      </w:r>
      <w:r w:rsidR="00447F18" w:rsidRPr="00FC7BB4">
        <w:rPr>
          <w:rFonts w:ascii="Times New Roman" w:hAnsi="Times New Roman" w:cs="Times New Roman"/>
          <w:color w:val="auto"/>
          <w:sz w:val="24"/>
        </w:rPr>
        <w:t xml:space="preserve">Montag and Villar </w:t>
      </w:r>
      <w:proofErr w:type="spellStart"/>
      <w:r w:rsidR="00447F18" w:rsidRPr="00FC7BB4">
        <w:rPr>
          <w:rFonts w:ascii="Times New Roman" w:hAnsi="Times New Roman" w:cs="Times New Roman"/>
          <w:color w:val="auto"/>
          <w:sz w:val="24"/>
        </w:rPr>
        <w:t>Vallenas</w:t>
      </w:r>
      <w:proofErr w:type="spellEnd"/>
      <w:r w:rsidR="00447F18" w:rsidRPr="00FC7BB4">
        <w:rPr>
          <w:rFonts w:ascii="Times New Roman" w:hAnsi="Times New Roman" w:cs="Times New Roman"/>
          <w:color w:val="auto"/>
          <w:sz w:val="24"/>
        </w:rPr>
        <w:t xml:space="preserve"> (2023</w:t>
      </w:r>
      <w:proofErr w:type="gramStart"/>
      <w:r w:rsidR="00447F18" w:rsidRPr="00FC7BB4">
        <w:rPr>
          <w:rFonts w:ascii="Times New Roman" w:hAnsi="Times New Roman" w:cs="Times New Roman"/>
          <w:color w:val="auto"/>
          <w:sz w:val="24"/>
        </w:rPr>
        <w:t>)  report</w:t>
      </w:r>
      <w:proofErr w:type="gramEnd"/>
      <w:r w:rsidR="00447F18" w:rsidRPr="00FC7BB4">
        <w:rPr>
          <w:rFonts w:ascii="Times New Roman" w:hAnsi="Times New Roman" w:cs="Times New Roman"/>
          <w:color w:val="auto"/>
          <w:sz w:val="24"/>
        </w:rPr>
        <w:t xml:space="preserve"> </w:t>
      </w:r>
      <w:r w:rsidR="009C2173" w:rsidRPr="00FC7BB4">
        <w:rPr>
          <w:rFonts w:ascii="Times New Roman" w:hAnsi="Times New Roman" w:cs="Times New Roman"/>
          <w:color w:val="auto"/>
          <w:sz w:val="24"/>
        </w:rPr>
        <w:t xml:space="preserve">that </w:t>
      </w:r>
      <w:r w:rsidR="00447F18" w:rsidRPr="00FC7BB4">
        <w:rPr>
          <w:rFonts w:ascii="Times New Roman" w:hAnsi="Times New Roman" w:cs="Times New Roman"/>
          <w:color w:val="auto"/>
          <w:sz w:val="24"/>
        </w:rPr>
        <w:t xml:space="preserve">the </w:t>
      </w:r>
      <w:r w:rsidR="00307155" w:rsidRPr="00FC7BB4">
        <w:rPr>
          <w:rFonts w:ascii="Times New Roman" w:hAnsi="Times New Roman" w:cs="Times New Roman"/>
          <w:sz w:val="24"/>
        </w:rPr>
        <w:t>magnitude increased through 2021 reaching 4 percent early in 2022 before declining from mid-2022. Their measure of frequency implies firms changed prices about every ten months prior to the COVID inflation, then fell to five months (implying 2.4 price changes per year) during the peak of the COVID inflation, which is very similar to that shown in Table 1</w:t>
      </w:r>
      <w:r w:rsidR="00F45804" w:rsidRPr="00FC7BB4">
        <w:rPr>
          <w:rFonts w:ascii="Times New Roman" w:hAnsi="Times New Roman" w:cs="Times New Roman"/>
          <w:sz w:val="24"/>
        </w:rPr>
        <w:t xml:space="preserve"> (and in Figure A1)</w:t>
      </w:r>
      <w:r w:rsidR="00307155" w:rsidRPr="00FC7BB4">
        <w:rPr>
          <w:rFonts w:ascii="Times New Roman" w:hAnsi="Times New Roman" w:cs="Times New Roman"/>
          <w:sz w:val="24"/>
        </w:rPr>
        <w:t xml:space="preserve"> for New Zealand firms during the COVID inflation period</w:t>
      </w:r>
      <w:r w:rsidR="00BB377F" w:rsidRPr="00FC7BB4">
        <w:rPr>
          <w:rFonts w:ascii="Times New Roman" w:hAnsi="Times New Roman" w:cs="Times New Roman"/>
          <w:sz w:val="24"/>
        </w:rPr>
        <w:t>.</w:t>
      </w:r>
      <w:r w:rsidR="00307155" w:rsidRPr="00FC7BB4">
        <w:rPr>
          <w:rStyle w:val="FootnoteReference"/>
          <w:rFonts w:ascii="Times New Roman" w:hAnsi="Times New Roman" w:cs="Times New Roman"/>
          <w:sz w:val="24"/>
        </w:rPr>
        <w:footnoteReference w:id="18"/>
      </w:r>
      <w:r w:rsidR="00A86984" w:rsidRPr="00FC7BB4">
        <w:rPr>
          <w:rFonts w:ascii="Times New Roman" w:hAnsi="Times New Roman" w:cs="Times New Roman"/>
          <w:sz w:val="24"/>
        </w:rPr>
        <w:t xml:space="preserve"> </w:t>
      </w:r>
    </w:p>
    <w:p w14:paraId="6D1B343F" w14:textId="15D50FFA" w:rsidR="00307155" w:rsidRPr="00FC7BB4" w:rsidRDefault="00A86984" w:rsidP="00F3101B">
      <w:pPr>
        <w:spacing w:after="120" w:line="331" w:lineRule="auto"/>
        <w:ind w:right="27"/>
        <w:rPr>
          <w:rFonts w:ascii="Times New Roman" w:hAnsi="Times New Roman" w:cs="Times New Roman"/>
          <w:color w:val="auto"/>
          <w:sz w:val="24"/>
        </w:rPr>
      </w:pPr>
      <w:r w:rsidRPr="00FC7BB4">
        <w:rPr>
          <w:rFonts w:ascii="Times New Roman" w:hAnsi="Times New Roman" w:cs="Times New Roman"/>
          <w:color w:val="auto"/>
          <w:sz w:val="24"/>
        </w:rPr>
        <w:t>Inflation</w:t>
      </w:r>
      <w:r w:rsidR="00B040BE" w:rsidRPr="00FC7BB4">
        <w:rPr>
          <w:rFonts w:ascii="Times New Roman" w:hAnsi="Times New Roman" w:cs="Times New Roman"/>
          <w:color w:val="auto"/>
          <w:sz w:val="24"/>
        </w:rPr>
        <w:t xml:space="preserve"> rates</w:t>
      </w:r>
      <w:r w:rsidRPr="00FC7BB4">
        <w:rPr>
          <w:rFonts w:ascii="Times New Roman" w:hAnsi="Times New Roman" w:cs="Times New Roman"/>
          <w:color w:val="auto"/>
          <w:sz w:val="24"/>
        </w:rPr>
        <w:t xml:space="preserve"> in New Zealand w</w:t>
      </w:r>
      <w:r w:rsidR="00B040BE" w:rsidRPr="00FC7BB4">
        <w:rPr>
          <w:rFonts w:ascii="Times New Roman" w:hAnsi="Times New Roman" w:cs="Times New Roman"/>
          <w:color w:val="auto"/>
          <w:sz w:val="24"/>
        </w:rPr>
        <w:t>ere</w:t>
      </w:r>
      <w:r w:rsidRPr="00FC7BB4">
        <w:rPr>
          <w:rFonts w:ascii="Times New Roman" w:hAnsi="Times New Roman" w:cs="Times New Roman"/>
          <w:color w:val="auto"/>
          <w:sz w:val="24"/>
        </w:rPr>
        <w:t xml:space="preserve"> </w:t>
      </w:r>
      <w:proofErr w:type="gramStart"/>
      <w:r w:rsidRPr="00FC7BB4">
        <w:rPr>
          <w:rFonts w:ascii="Times New Roman" w:hAnsi="Times New Roman" w:cs="Times New Roman"/>
          <w:color w:val="auto"/>
          <w:sz w:val="24"/>
        </w:rPr>
        <w:t>similar to</w:t>
      </w:r>
      <w:proofErr w:type="gramEnd"/>
      <w:r w:rsidRPr="00FC7BB4">
        <w:rPr>
          <w:rFonts w:ascii="Times New Roman" w:hAnsi="Times New Roman" w:cs="Times New Roman"/>
          <w:color w:val="auto"/>
          <w:sz w:val="24"/>
        </w:rPr>
        <w:t xml:space="preserve"> the USA during the period of </w:t>
      </w:r>
      <w:r w:rsidR="004355EE" w:rsidRPr="00FC7BB4">
        <w:rPr>
          <w:rFonts w:ascii="Times New Roman" w:hAnsi="Times New Roman" w:cs="Times New Roman"/>
          <w:color w:val="auto"/>
          <w:sz w:val="24"/>
        </w:rPr>
        <w:t xml:space="preserve">Montag and Villar </w:t>
      </w:r>
      <w:proofErr w:type="spellStart"/>
      <w:r w:rsidR="004355EE" w:rsidRPr="00FC7BB4">
        <w:rPr>
          <w:rFonts w:ascii="Times New Roman" w:hAnsi="Times New Roman" w:cs="Times New Roman"/>
          <w:color w:val="auto"/>
          <w:sz w:val="24"/>
        </w:rPr>
        <w:t>Vallenas</w:t>
      </w:r>
      <w:proofErr w:type="spellEnd"/>
      <w:r w:rsidR="004355EE" w:rsidRPr="00FC7BB4">
        <w:rPr>
          <w:rFonts w:ascii="Times New Roman" w:hAnsi="Times New Roman" w:cs="Times New Roman"/>
          <w:color w:val="auto"/>
          <w:sz w:val="24"/>
        </w:rPr>
        <w:t xml:space="preserve"> (2023)</w:t>
      </w:r>
      <w:r w:rsidRPr="00FC7BB4">
        <w:rPr>
          <w:rFonts w:ascii="Times New Roman" w:hAnsi="Times New Roman" w:cs="Times New Roman"/>
          <w:color w:val="auto"/>
          <w:sz w:val="24"/>
        </w:rPr>
        <w:t xml:space="preserve"> study</w:t>
      </w:r>
      <w:r w:rsidR="004355EE" w:rsidRPr="00FC7BB4">
        <w:rPr>
          <w:rFonts w:ascii="Times New Roman" w:hAnsi="Times New Roman" w:cs="Times New Roman"/>
          <w:color w:val="auto"/>
          <w:sz w:val="24"/>
        </w:rPr>
        <w:t xml:space="preserve">, </w:t>
      </w:r>
      <w:r w:rsidR="00092C83" w:rsidRPr="00FC7BB4">
        <w:rPr>
          <w:rFonts w:ascii="Times New Roman" w:hAnsi="Times New Roman" w:cs="Times New Roman"/>
          <w:sz w:val="24"/>
        </w:rPr>
        <w:t>which helps explain why our results are similar</w:t>
      </w:r>
      <w:r w:rsidRPr="00FC7BB4">
        <w:rPr>
          <w:rFonts w:ascii="Times New Roman" w:hAnsi="Times New Roman" w:cs="Times New Roman"/>
          <w:color w:val="auto"/>
          <w:sz w:val="24"/>
        </w:rPr>
        <w:t>.</w:t>
      </w:r>
      <w:r w:rsidR="00525CD7" w:rsidRPr="00FC7BB4">
        <w:rPr>
          <w:rFonts w:ascii="Times New Roman" w:hAnsi="Times New Roman" w:cs="Times New Roman"/>
          <w:color w:val="auto"/>
          <w:sz w:val="24"/>
        </w:rPr>
        <w:t xml:space="preserve"> </w:t>
      </w:r>
      <w:r w:rsidR="00092C83" w:rsidRPr="00FC7BB4">
        <w:rPr>
          <w:rFonts w:ascii="Times New Roman" w:hAnsi="Times New Roman" w:cs="Times New Roman"/>
          <w:color w:val="auto"/>
          <w:sz w:val="24"/>
        </w:rPr>
        <w:t>T</w:t>
      </w:r>
      <w:r w:rsidR="00525CD7" w:rsidRPr="00FC7BB4">
        <w:rPr>
          <w:rFonts w:ascii="Times New Roman" w:hAnsi="Times New Roman" w:cs="Times New Roman"/>
          <w:color w:val="auto"/>
          <w:sz w:val="24"/>
        </w:rPr>
        <w:t xml:space="preserve">he similarity </w:t>
      </w:r>
      <w:r w:rsidR="00092C83" w:rsidRPr="00FC7BB4">
        <w:rPr>
          <w:rFonts w:ascii="Times New Roman" w:hAnsi="Times New Roman" w:cs="Times New Roman"/>
          <w:color w:val="auto"/>
          <w:sz w:val="24"/>
        </w:rPr>
        <w:t>also</w:t>
      </w:r>
      <w:r w:rsidR="00525CD7" w:rsidRPr="00FC7BB4">
        <w:rPr>
          <w:rFonts w:ascii="Times New Roman" w:hAnsi="Times New Roman" w:cs="Times New Roman"/>
          <w:color w:val="auto"/>
          <w:sz w:val="24"/>
        </w:rPr>
        <w:t xml:space="preserve"> suggest</w:t>
      </w:r>
      <w:r w:rsidR="00092C83" w:rsidRPr="00FC7BB4">
        <w:rPr>
          <w:rFonts w:ascii="Times New Roman" w:hAnsi="Times New Roman" w:cs="Times New Roman"/>
          <w:color w:val="auto"/>
          <w:sz w:val="24"/>
        </w:rPr>
        <w:t>s</w:t>
      </w:r>
      <w:r w:rsidR="00525CD7" w:rsidRPr="00FC7BB4">
        <w:rPr>
          <w:rFonts w:ascii="Times New Roman" w:hAnsi="Times New Roman" w:cs="Times New Roman"/>
          <w:color w:val="auto"/>
          <w:sz w:val="24"/>
        </w:rPr>
        <w:t xml:space="preserve"> </w:t>
      </w:r>
      <w:r w:rsidR="002B43EB" w:rsidRPr="00FC7BB4">
        <w:rPr>
          <w:rFonts w:ascii="Times New Roman" w:hAnsi="Times New Roman" w:cs="Times New Roman"/>
          <w:sz w:val="24"/>
        </w:rPr>
        <w:t>that firm-level data</w:t>
      </w:r>
      <w:r w:rsidR="00A72A14" w:rsidRPr="00FC7BB4">
        <w:rPr>
          <w:rFonts w:ascii="Times New Roman" w:hAnsi="Times New Roman" w:cs="Times New Roman"/>
          <w:sz w:val="24"/>
        </w:rPr>
        <w:t xml:space="preserve"> used in this study</w:t>
      </w:r>
      <w:r w:rsidR="00F319FA" w:rsidRPr="00FC7BB4">
        <w:rPr>
          <w:rFonts w:ascii="Times New Roman" w:hAnsi="Times New Roman" w:cs="Times New Roman"/>
          <w:sz w:val="24"/>
        </w:rPr>
        <w:t xml:space="preserve"> </w:t>
      </w:r>
      <w:r w:rsidR="002B43EB" w:rsidRPr="00FC7BB4">
        <w:rPr>
          <w:rFonts w:ascii="Times New Roman" w:hAnsi="Times New Roman" w:cs="Times New Roman"/>
          <w:sz w:val="24"/>
        </w:rPr>
        <w:t>provide a reliable basis for capturing the key insights obtained from item-level data</w:t>
      </w:r>
      <w:r w:rsidR="00250244" w:rsidRPr="00FC7BB4">
        <w:rPr>
          <w:rFonts w:ascii="Times New Roman" w:hAnsi="Times New Roman" w:cs="Times New Roman"/>
          <w:color w:val="auto"/>
          <w:sz w:val="24"/>
        </w:rPr>
        <w:t>.</w:t>
      </w:r>
      <w:r w:rsidR="00525CD7" w:rsidRPr="00FC7BB4">
        <w:rPr>
          <w:rFonts w:ascii="Times New Roman" w:hAnsi="Times New Roman" w:cs="Times New Roman"/>
          <w:color w:val="auto"/>
          <w:sz w:val="24"/>
        </w:rPr>
        <w:t xml:space="preserve"> </w:t>
      </w:r>
      <w:r w:rsidR="00307155" w:rsidRPr="00FC7BB4">
        <w:rPr>
          <w:rFonts w:ascii="Times New Roman" w:hAnsi="Times New Roman" w:cs="Times New Roman"/>
          <w:sz w:val="24"/>
        </w:rPr>
        <w:t xml:space="preserve">By using the firm-level data available since the early 1960s, </w:t>
      </w:r>
      <w:r w:rsidR="001914DC" w:rsidRPr="00FC7BB4">
        <w:rPr>
          <w:rFonts w:ascii="Times New Roman" w:hAnsi="Times New Roman" w:cs="Times New Roman"/>
          <w:sz w:val="24"/>
        </w:rPr>
        <w:t xml:space="preserve">however, </w:t>
      </w:r>
      <w:r w:rsidR="00A72A14" w:rsidRPr="00FC7BB4">
        <w:rPr>
          <w:rFonts w:ascii="Times New Roman" w:hAnsi="Times New Roman" w:cs="Times New Roman"/>
          <w:sz w:val="24"/>
        </w:rPr>
        <w:t>it is possible to</w:t>
      </w:r>
      <w:r w:rsidR="00CC44CA" w:rsidRPr="00FC7BB4">
        <w:rPr>
          <w:rFonts w:ascii="Times New Roman" w:hAnsi="Times New Roman" w:cs="Times New Roman"/>
          <w:sz w:val="24"/>
        </w:rPr>
        <w:t xml:space="preserve"> extend the comparison beyond the immediate pre-COVID period</w:t>
      </w:r>
      <w:r w:rsidR="008C006F" w:rsidRPr="00FC7BB4">
        <w:rPr>
          <w:rFonts w:ascii="Times New Roman" w:hAnsi="Times New Roman" w:cs="Times New Roman"/>
          <w:sz w:val="24"/>
        </w:rPr>
        <w:t xml:space="preserve"> and provide</w:t>
      </w:r>
      <w:r w:rsidR="00307155" w:rsidRPr="00FC7BB4">
        <w:rPr>
          <w:rFonts w:ascii="Times New Roman" w:hAnsi="Times New Roman" w:cs="Times New Roman"/>
          <w:sz w:val="24"/>
        </w:rPr>
        <w:t xml:space="preserve"> further insight that studies</w:t>
      </w:r>
      <w:r w:rsidR="005D0A7B" w:rsidRPr="00FC7BB4">
        <w:rPr>
          <w:rFonts w:ascii="Times New Roman" w:hAnsi="Times New Roman" w:cs="Times New Roman"/>
          <w:sz w:val="24"/>
        </w:rPr>
        <w:t xml:space="preserve"> such as </w:t>
      </w:r>
      <w:r w:rsidR="00A72A14" w:rsidRPr="00FC7BB4">
        <w:rPr>
          <w:rFonts w:ascii="Times New Roman" w:hAnsi="Times New Roman" w:cs="Times New Roman"/>
          <w:sz w:val="24"/>
        </w:rPr>
        <w:t xml:space="preserve">that by </w:t>
      </w:r>
      <w:r w:rsidR="005D0A7B" w:rsidRPr="00FC7BB4">
        <w:rPr>
          <w:rFonts w:ascii="Times New Roman" w:hAnsi="Times New Roman" w:cs="Times New Roman"/>
          <w:color w:val="auto"/>
          <w:sz w:val="24"/>
        </w:rPr>
        <w:t xml:space="preserve">Montag and Villar </w:t>
      </w:r>
      <w:proofErr w:type="spellStart"/>
      <w:r w:rsidR="005D0A7B" w:rsidRPr="00FC7BB4">
        <w:rPr>
          <w:rFonts w:ascii="Times New Roman" w:hAnsi="Times New Roman" w:cs="Times New Roman"/>
          <w:color w:val="auto"/>
          <w:sz w:val="24"/>
        </w:rPr>
        <w:t>Vallenas</w:t>
      </w:r>
      <w:proofErr w:type="spellEnd"/>
      <w:r w:rsidR="005D0A7B" w:rsidRPr="00FC7BB4">
        <w:rPr>
          <w:rFonts w:ascii="Times New Roman" w:hAnsi="Times New Roman" w:cs="Times New Roman"/>
          <w:color w:val="auto"/>
          <w:sz w:val="24"/>
        </w:rPr>
        <w:t xml:space="preserve"> (2023) </w:t>
      </w:r>
      <w:r w:rsidR="00307155" w:rsidRPr="00FC7BB4">
        <w:rPr>
          <w:rFonts w:ascii="Times New Roman" w:hAnsi="Times New Roman" w:cs="Times New Roman"/>
          <w:sz w:val="24"/>
        </w:rPr>
        <w:t>cannot</w:t>
      </w:r>
      <w:r w:rsidR="00A63FF5" w:rsidRPr="00FC7BB4">
        <w:rPr>
          <w:rFonts w:ascii="Times New Roman" w:hAnsi="Times New Roman" w:cs="Times New Roman"/>
          <w:sz w:val="24"/>
        </w:rPr>
        <w:t>. The</w:t>
      </w:r>
      <w:r w:rsidR="001C6DC5" w:rsidRPr="00FC7BB4">
        <w:rPr>
          <w:rFonts w:ascii="Times New Roman" w:hAnsi="Times New Roman" w:cs="Times New Roman"/>
          <w:sz w:val="24"/>
        </w:rPr>
        <w:t xml:space="preserve"> further</w:t>
      </w:r>
      <w:r w:rsidR="00A63FF5" w:rsidRPr="00FC7BB4">
        <w:rPr>
          <w:rFonts w:ascii="Times New Roman" w:hAnsi="Times New Roman" w:cs="Times New Roman"/>
          <w:sz w:val="24"/>
        </w:rPr>
        <w:t xml:space="preserve"> insight is </w:t>
      </w:r>
      <w:r w:rsidR="00A72A14" w:rsidRPr="00FC7BB4">
        <w:rPr>
          <w:rFonts w:ascii="Times New Roman" w:hAnsi="Times New Roman" w:cs="Times New Roman"/>
          <w:sz w:val="24"/>
        </w:rPr>
        <w:t xml:space="preserve">that </w:t>
      </w:r>
      <w:r w:rsidR="00307155" w:rsidRPr="00FC7BB4">
        <w:rPr>
          <w:rFonts w:ascii="Times New Roman" w:hAnsi="Times New Roman" w:cs="Times New Roman"/>
          <w:sz w:val="24"/>
        </w:rPr>
        <w:t>firms</w:t>
      </w:r>
      <w:r w:rsidR="00A72A14" w:rsidRPr="00FC7BB4">
        <w:rPr>
          <w:rFonts w:ascii="Times New Roman" w:hAnsi="Times New Roman" w:cs="Times New Roman"/>
          <w:sz w:val="24"/>
        </w:rPr>
        <w:t xml:space="preserve"> </w:t>
      </w:r>
      <w:r w:rsidR="00307155" w:rsidRPr="00FC7BB4">
        <w:rPr>
          <w:rFonts w:ascii="Times New Roman" w:hAnsi="Times New Roman" w:cs="Times New Roman"/>
          <w:sz w:val="24"/>
        </w:rPr>
        <w:t>changed prices as frequently during the COVID inflation era as they did during the much higher inflation periods in the 1970s and 1980s, but the average magnitude of price adjustment (the percentage change in price</w:t>
      </w:r>
      <w:r w:rsidR="00B86546" w:rsidRPr="00FC7BB4">
        <w:rPr>
          <w:rFonts w:ascii="Times New Roman" w:hAnsi="Times New Roman" w:cs="Times New Roman"/>
          <w:sz w:val="24"/>
        </w:rPr>
        <w:t xml:space="preserve">) </w:t>
      </w:r>
      <w:r w:rsidR="00307155" w:rsidRPr="00FC7BB4">
        <w:rPr>
          <w:rFonts w:ascii="Times New Roman" w:hAnsi="Times New Roman" w:cs="Times New Roman"/>
          <w:sz w:val="24"/>
        </w:rPr>
        <w:t xml:space="preserve">was much smaller during the COVID inflation era. Price change frequency was generating more of the inflation dynamic during the COVID episode than during previous high inflation </w:t>
      </w:r>
      <w:r w:rsidR="00307155" w:rsidRPr="00FC7BB4">
        <w:rPr>
          <w:rFonts w:ascii="Times New Roman" w:hAnsi="Times New Roman" w:cs="Times New Roman"/>
          <w:color w:val="auto"/>
          <w:sz w:val="24"/>
        </w:rPr>
        <w:t>episodes. Furthermore, this changing pattern of behaviour is evident since the 1990s</w:t>
      </w:r>
      <w:r w:rsidR="00E40389" w:rsidRPr="00FC7BB4">
        <w:rPr>
          <w:rFonts w:ascii="Times New Roman" w:hAnsi="Times New Roman" w:cs="Times New Roman"/>
          <w:color w:val="auto"/>
          <w:sz w:val="24"/>
        </w:rPr>
        <w:t>, but it was previously masked by low in</w:t>
      </w:r>
      <w:r w:rsidR="0050367D" w:rsidRPr="00FC7BB4">
        <w:rPr>
          <w:rFonts w:ascii="Times New Roman" w:hAnsi="Times New Roman" w:cs="Times New Roman"/>
          <w:color w:val="auto"/>
          <w:sz w:val="24"/>
        </w:rPr>
        <w:t>f</w:t>
      </w:r>
      <w:r w:rsidR="00E40389" w:rsidRPr="00FC7BB4">
        <w:rPr>
          <w:rFonts w:ascii="Times New Roman" w:hAnsi="Times New Roman" w:cs="Times New Roman"/>
          <w:color w:val="auto"/>
          <w:sz w:val="24"/>
        </w:rPr>
        <w:t>lation</w:t>
      </w:r>
      <w:r w:rsidR="00307155" w:rsidRPr="00FC7BB4">
        <w:rPr>
          <w:rFonts w:ascii="Times New Roman" w:hAnsi="Times New Roman" w:cs="Times New Roman"/>
          <w:color w:val="auto"/>
          <w:sz w:val="24"/>
        </w:rPr>
        <w:t xml:space="preserve">. </w:t>
      </w:r>
    </w:p>
    <w:bookmarkEnd w:id="54"/>
    <w:p w14:paraId="47B0492D" w14:textId="77777777" w:rsidR="00307155" w:rsidRPr="00FC7BB4" w:rsidRDefault="00307155" w:rsidP="00F3101B">
      <w:pPr>
        <w:spacing w:after="120" w:line="331" w:lineRule="auto"/>
        <w:ind w:right="27" w:firstLine="0"/>
        <w:rPr>
          <w:rFonts w:ascii="Times New Roman" w:hAnsi="Times New Roman" w:cs="Times New Roman"/>
          <w:color w:val="000000" w:themeColor="text1"/>
          <w:sz w:val="24"/>
        </w:rPr>
      </w:pPr>
      <w:r w:rsidRPr="00FC7BB4">
        <w:rPr>
          <w:rFonts w:ascii="Times New Roman" w:hAnsi="Times New Roman" w:cs="Times New Roman"/>
          <w:b/>
          <w:bCs/>
          <w:color w:val="000000" w:themeColor="text1"/>
          <w:sz w:val="24"/>
        </w:rPr>
        <w:t>5. Estimating the conditional probability of price changes by firms</w:t>
      </w:r>
      <w:r w:rsidRPr="00FC7BB4">
        <w:rPr>
          <w:rFonts w:ascii="Times New Roman" w:hAnsi="Times New Roman" w:cs="Times New Roman"/>
          <w:color w:val="000000" w:themeColor="text1"/>
          <w:sz w:val="24"/>
        </w:rPr>
        <w:t xml:space="preserve"> </w:t>
      </w:r>
    </w:p>
    <w:p w14:paraId="50F41997" w14:textId="019444BC" w:rsidR="00DD673D" w:rsidRDefault="003A02D2" w:rsidP="00F3101B">
      <w:pPr>
        <w:spacing w:after="0" w:line="331" w:lineRule="auto"/>
        <w:ind w:right="27" w:firstLine="0"/>
        <w:rPr>
          <w:rFonts w:ascii="Times New Roman" w:hAnsi="Times New Roman" w:cs="Times New Roman"/>
          <w:sz w:val="24"/>
        </w:rPr>
      </w:pPr>
      <w:bookmarkStart w:id="56" w:name="_Hlk213167739"/>
      <w:r w:rsidRPr="00FC7BB4">
        <w:rPr>
          <w:rFonts w:ascii="Times New Roman" w:hAnsi="Times New Roman" w:cs="Times New Roman"/>
          <w:sz w:val="24"/>
        </w:rPr>
        <w:t xml:space="preserve">The temporal analysis in Section 4 examined firms’ pricing behaviour at the aggregate level. </w:t>
      </w:r>
      <w:r w:rsidR="00307155" w:rsidRPr="00FC7BB4">
        <w:rPr>
          <w:rFonts w:ascii="Times New Roman" w:hAnsi="Times New Roman" w:cs="Times New Roman"/>
          <w:sz w:val="24"/>
        </w:rPr>
        <w:t>To understand what might be determining some of the changes in pricing behaviour observed in aggregate, Section 5 draws on the individual firm responses to estimate, using ordered probit models, how the probabilities of price change are affected by inflation, and by the individual demand and cost conditions experienced by firms</w:t>
      </w:r>
      <w:r w:rsidR="007B7823" w:rsidRPr="00FC7BB4">
        <w:rPr>
          <w:rFonts w:ascii="Times New Roman" w:hAnsi="Times New Roman" w:cs="Times New Roman"/>
          <w:sz w:val="24"/>
        </w:rPr>
        <w:t xml:space="preserve"> as recorded</w:t>
      </w:r>
      <w:r w:rsidR="00307155" w:rsidRPr="00FC7BB4">
        <w:rPr>
          <w:rFonts w:ascii="Times New Roman" w:hAnsi="Times New Roman" w:cs="Times New Roman"/>
          <w:sz w:val="24"/>
        </w:rPr>
        <w:t xml:space="preserve"> in the QSBO firm</w:t>
      </w:r>
      <w:r w:rsidR="00E40963" w:rsidRPr="00FC7BB4">
        <w:rPr>
          <w:rFonts w:ascii="Times New Roman" w:hAnsi="Times New Roman" w:cs="Times New Roman"/>
          <w:sz w:val="24"/>
        </w:rPr>
        <w:t>-level</w:t>
      </w:r>
      <w:r w:rsidR="00307155" w:rsidRPr="00FC7BB4">
        <w:rPr>
          <w:rFonts w:ascii="Times New Roman" w:hAnsi="Times New Roman" w:cs="Times New Roman"/>
          <w:sz w:val="24"/>
        </w:rPr>
        <w:t xml:space="preserve"> database. </w:t>
      </w:r>
      <w:r w:rsidR="00DF2AF3" w:rsidRPr="00FC7BB4">
        <w:rPr>
          <w:rFonts w:ascii="Times New Roman" w:hAnsi="Times New Roman" w:cs="Times New Roman"/>
          <w:sz w:val="24"/>
        </w:rPr>
        <w:t>This provides</w:t>
      </w:r>
      <w:r w:rsidR="007B7823" w:rsidRPr="00FC7BB4">
        <w:rPr>
          <w:rFonts w:ascii="Times New Roman" w:hAnsi="Times New Roman" w:cs="Times New Roman"/>
          <w:sz w:val="24"/>
        </w:rPr>
        <w:t xml:space="preserve"> an insight into</w:t>
      </w:r>
      <w:r w:rsidR="00307155" w:rsidRPr="00FC7BB4">
        <w:rPr>
          <w:rFonts w:ascii="Times New Roman" w:hAnsi="Times New Roman" w:cs="Times New Roman"/>
          <w:sz w:val="24"/>
        </w:rPr>
        <w:t xml:space="preserve"> how inflation affects the propensity of firms to change</w:t>
      </w:r>
      <w:r w:rsidR="00E47EFF" w:rsidRPr="00FC7BB4">
        <w:rPr>
          <w:rFonts w:ascii="Times New Roman" w:hAnsi="Times New Roman" w:cs="Times New Roman"/>
          <w:sz w:val="24"/>
        </w:rPr>
        <w:t xml:space="preserve"> prices</w:t>
      </w:r>
      <w:r w:rsidR="00307155" w:rsidRPr="00FC7BB4">
        <w:rPr>
          <w:rFonts w:ascii="Times New Roman" w:hAnsi="Times New Roman" w:cs="Times New Roman"/>
          <w:sz w:val="24"/>
        </w:rPr>
        <w:t xml:space="preserve"> in response to </w:t>
      </w:r>
      <w:r w:rsidR="00E47EFF" w:rsidRPr="00FC7BB4">
        <w:rPr>
          <w:rFonts w:ascii="Times New Roman" w:hAnsi="Times New Roman" w:cs="Times New Roman"/>
          <w:sz w:val="24"/>
        </w:rPr>
        <w:t xml:space="preserve">the </w:t>
      </w:r>
      <w:r w:rsidR="00307155" w:rsidRPr="00FC7BB4">
        <w:rPr>
          <w:rFonts w:ascii="Times New Roman" w:hAnsi="Times New Roman" w:cs="Times New Roman"/>
          <w:sz w:val="24"/>
        </w:rPr>
        <w:t xml:space="preserve">idiosyncratic shocks experienced by individual firms. </w:t>
      </w:r>
    </w:p>
    <w:p w14:paraId="301D8756" w14:textId="77777777" w:rsidR="00DD673D" w:rsidRDefault="00DD673D">
      <w:pPr>
        <w:spacing w:after="160" w:line="259" w:lineRule="auto"/>
        <w:ind w:right="0" w:firstLine="0"/>
        <w:jc w:val="left"/>
        <w:rPr>
          <w:rFonts w:ascii="Times New Roman" w:hAnsi="Times New Roman" w:cs="Times New Roman"/>
          <w:sz w:val="24"/>
        </w:rPr>
      </w:pPr>
      <w:r>
        <w:rPr>
          <w:rFonts w:ascii="Times New Roman" w:hAnsi="Times New Roman" w:cs="Times New Roman"/>
          <w:sz w:val="24"/>
        </w:rPr>
        <w:br w:type="page"/>
      </w:r>
    </w:p>
    <w:p w14:paraId="6DC38A0F" w14:textId="77777777" w:rsidR="00307155" w:rsidRPr="00FC7BB4" w:rsidRDefault="00307155" w:rsidP="00F3101B">
      <w:pPr>
        <w:spacing w:after="0" w:line="331" w:lineRule="auto"/>
        <w:ind w:right="27" w:firstLine="0"/>
        <w:rPr>
          <w:rFonts w:ascii="Times New Roman" w:hAnsi="Times New Roman" w:cs="Times New Roman"/>
          <w:b/>
          <w:bCs/>
          <w:sz w:val="24"/>
        </w:rPr>
      </w:pPr>
    </w:p>
    <w:p w14:paraId="3F869251" w14:textId="77777777" w:rsidR="00307155" w:rsidRPr="00717BD6" w:rsidRDefault="00307155" w:rsidP="005D65C5">
      <w:pPr>
        <w:pStyle w:val="Heading2"/>
        <w:spacing w:before="0" w:after="120" w:line="331" w:lineRule="auto"/>
        <w:ind w:left="-6" w:right="28" w:hanging="11"/>
        <w:rPr>
          <w:rFonts w:ascii="Times New Roman" w:eastAsia="Calibri" w:hAnsi="Times New Roman" w:cs="Times New Roman"/>
          <w:b/>
          <w:bCs/>
          <w:i/>
          <w:iCs/>
          <w:color w:val="000000" w:themeColor="text1"/>
          <w:sz w:val="24"/>
          <w:szCs w:val="24"/>
        </w:rPr>
      </w:pPr>
      <w:bookmarkStart w:id="57" w:name="_Hlk195257157"/>
      <w:bookmarkEnd w:id="56"/>
      <w:r w:rsidRPr="00717BD6">
        <w:rPr>
          <w:rFonts w:ascii="Times New Roman" w:eastAsia="Calibri" w:hAnsi="Times New Roman" w:cs="Times New Roman"/>
          <w:b/>
          <w:bCs/>
          <w:i/>
          <w:iCs/>
          <w:color w:val="000000" w:themeColor="text1"/>
          <w:sz w:val="24"/>
          <w:szCs w:val="24"/>
        </w:rPr>
        <w:t xml:space="preserve">5.1. Specification of an ordered probit model </w:t>
      </w:r>
    </w:p>
    <w:p w14:paraId="7B4C299D" w14:textId="2EB13FF1" w:rsidR="00FA0311" w:rsidRPr="00FC7BB4" w:rsidRDefault="00FA0311" w:rsidP="00F3101B">
      <w:pPr>
        <w:spacing w:after="120" w:line="331" w:lineRule="auto"/>
        <w:ind w:right="27" w:firstLine="0"/>
        <w:rPr>
          <w:rFonts w:ascii="Times New Roman" w:eastAsia="Cambria" w:hAnsi="Times New Roman" w:cs="Times New Roman"/>
          <w:i/>
          <w:sz w:val="24"/>
        </w:rPr>
      </w:pPr>
      <w:bookmarkStart w:id="58" w:name="_Hlk213167776"/>
      <w:bookmarkEnd w:id="57"/>
      <w:r w:rsidRPr="00FC7BB4">
        <w:rPr>
          <w:rFonts w:ascii="Times New Roman" w:hAnsi="Times New Roman" w:cs="Times New Roman"/>
          <w:sz w:val="24"/>
        </w:rPr>
        <w:t>The</w:t>
      </w:r>
      <w:r w:rsidR="00B040BE" w:rsidRPr="00FC7BB4">
        <w:rPr>
          <w:rFonts w:ascii="Times New Roman" w:hAnsi="Times New Roman" w:cs="Times New Roman"/>
          <w:sz w:val="24"/>
        </w:rPr>
        <w:t xml:space="preserve"> estimated </w:t>
      </w:r>
      <w:r w:rsidRPr="00FC7BB4">
        <w:rPr>
          <w:rFonts w:ascii="Times New Roman" w:hAnsi="Times New Roman" w:cs="Times New Roman"/>
          <w:sz w:val="24"/>
        </w:rPr>
        <w:t xml:space="preserve">probit model is </w:t>
      </w:r>
      <w:r w:rsidR="00E40963" w:rsidRPr="00FC7BB4">
        <w:rPr>
          <w:rFonts w:ascii="Times New Roman" w:hAnsi="Times New Roman" w:cs="Times New Roman"/>
          <w:sz w:val="24"/>
        </w:rPr>
        <w:t>set out in equation (2)</w:t>
      </w:r>
      <w:r w:rsidRPr="00FC7BB4">
        <w:rPr>
          <w:rFonts w:ascii="Times New Roman" w:hAnsi="Times New Roman" w:cs="Times New Roman"/>
          <w:sz w:val="24"/>
        </w:rPr>
        <w:t xml:space="preserve">. Each firm’s quarterly pricing decision (indexed as </w:t>
      </w:r>
      <w:r w:rsidRPr="00FC7BB4">
        <w:rPr>
          <w:rFonts w:ascii="Times New Roman" w:eastAsia="Cambria" w:hAnsi="Times New Roman" w:cs="Times New Roman"/>
          <w:i/>
          <w:sz w:val="24"/>
        </w:rPr>
        <w:t>j</w:t>
      </w:r>
      <w:r w:rsidRPr="00FC7BB4">
        <w:rPr>
          <w:rFonts w:ascii="Times New Roman" w:hAnsi="Times New Roman" w:cs="Times New Roman"/>
          <w:sz w:val="24"/>
        </w:rPr>
        <w:t>)</w:t>
      </w:r>
      <w:r w:rsidR="00E40963" w:rsidRPr="00FC7BB4">
        <w:rPr>
          <w:rFonts w:ascii="Times New Roman" w:hAnsi="Times New Roman" w:cs="Times New Roman"/>
          <w:sz w:val="24"/>
        </w:rPr>
        <w:t xml:space="preserve"> in quarter </w:t>
      </w:r>
      <w:r w:rsidR="00E40963" w:rsidRPr="00FC7BB4">
        <w:rPr>
          <w:rFonts w:ascii="Times New Roman" w:hAnsi="Times New Roman" w:cs="Times New Roman"/>
          <w:i/>
          <w:iCs/>
          <w:sz w:val="24"/>
        </w:rPr>
        <w:t>t</w:t>
      </w:r>
      <w:r w:rsidRPr="00FC7BB4">
        <w:rPr>
          <w:rFonts w:ascii="Times New Roman" w:hAnsi="Times New Roman" w:cs="Times New Roman"/>
          <w:sz w:val="24"/>
        </w:rPr>
        <w:t xml:space="preserve"> is modelled as follows:</w:t>
      </w:r>
    </w:p>
    <w:bookmarkEnd w:id="58"/>
    <w:p w14:paraId="33E5601A" w14:textId="04C5F581" w:rsidR="00FA0311" w:rsidRPr="00FC7BB4" w:rsidRDefault="00FA0311" w:rsidP="00F3101B">
      <w:pPr>
        <w:spacing w:after="0" w:line="331" w:lineRule="auto"/>
        <w:ind w:right="27" w:firstLine="301"/>
        <w:rPr>
          <w:rFonts w:ascii="Times New Roman" w:hAnsi="Times New Roman" w:cs="Times New Roman"/>
          <w:i/>
          <w:sz w:val="24"/>
        </w:rPr>
      </w:pPr>
      <w:proofErr w:type="spellStart"/>
      <w:proofErr w:type="gramStart"/>
      <w:r w:rsidRPr="00FC7BB4">
        <w:rPr>
          <w:rFonts w:ascii="Times New Roman" w:eastAsia="Cambria" w:hAnsi="Times New Roman" w:cs="Times New Roman"/>
          <w:i/>
          <w:sz w:val="24"/>
        </w:rPr>
        <w:t>V</w:t>
      </w:r>
      <w:r w:rsidRPr="00FC7BB4">
        <w:rPr>
          <w:rFonts w:ascii="Times New Roman" w:eastAsia="Cambria" w:hAnsi="Times New Roman" w:cs="Times New Roman"/>
          <w:i/>
          <w:sz w:val="24"/>
          <w:vertAlign w:val="subscript"/>
        </w:rPr>
        <w:t>j</w:t>
      </w:r>
      <w:r w:rsidR="00ED3595" w:rsidRPr="00FC7BB4">
        <w:rPr>
          <w:rFonts w:ascii="Times New Roman" w:eastAsia="Cambria" w:hAnsi="Times New Roman" w:cs="Times New Roman"/>
          <w:i/>
          <w:sz w:val="24"/>
          <w:vertAlign w:val="subscript"/>
        </w:rPr>
        <w:t>,</w:t>
      </w:r>
      <w:r w:rsidRPr="00FC7BB4">
        <w:rPr>
          <w:rFonts w:ascii="Times New Roman" w:eastAsia="Cambria" w:hAnsi="Times New Roman" w:cs="Times New Roman"/>
          <w:i/>
          <w:sz w:val="24"/>
          <w:vertAlign w:val="subscript"/>
        </w:rPr>
        <w:t>t</w:t>
      </w:r>
      <w:proofErr w:type="spellEnd"/>
      <w:proofErr w:type="gramEnd"/>
      <w:r w:rsidRPr="00FC7BB4">
        <w:rPr>
          <w:rFonts w:ascii="Times New Roman" w:eastAsia="Cambria" w:hAnsi="Times New Roman" w:cs="Times New Roman"/>
          <w:i/>
          <w:sz w:val="24"/>
          <w:vertAlign w:val="subscript"/>
        </w:rPr>
        <w:t xml:space="preserve">  </w:t>
      </w:r>
      <w:r w:rsidRPr="00FC7BB4">
        <w:rPr>
          <w:rFonts w:ascii="Times New Roman" w:eastAsia="Cambria" w:hAnsi="Times New Roman" w:cs="Times New Roman"/>
          <w:i/>
          <w:sz w:val="24"/>
        </w:rPr>
        <w:t>= (b</w:t>
      </w:r>
      <w:r w:rsidRPr="00FC7BB4">
        <w:rPr>
          <w:rFonts w:ascii="Times New Roman" w:eastAsia="Cambria" w:hAnsi="Times New Roman" w:cs="Times New Roman"/>
          <w:i/>
          <w:sz w:val="24"/>
          <w:vertAlign w:val="subscript"/>
        </w:rPr>
        <w:t xml:space="preserve">1 </w:t>
      </w:r>
      <w:r w:rsidRPr="00FC7BB4">
        <w:rPr>
          <w:rFonts w:ascii="Times New Roman" w:eastAsia="Cambria" w:hAnsi="Times New Roman" w:cs="Times New Roman"/>
          <w:i/>
          <w:sz w:val="24"/>
        </w:rPr>
        <w:t>+ b</w:t>
      </w:r>
      <w:r w:rsidRPr="00FC7BB4">
        <w:rPr>
          <w:rFonts w:ascii="Times New Roman" w:eastAsia="Cambria" w:hAnsi="Times New Roman" w:cs="Times New Roman"/>
          <w:i/>
          <w:sz w:val="24"/>
          <w:vertAlign w:val="subscript"/>
        </w:rPr>
        <w:t>2</w:t>
      </w:r>
      <w:r w:rsidRPr="00FC7BB4">
        <w:rPr>
          <w:rFonts w:ascii="Times New Roman" w:eastAsia="Cambria" w:hAnsi="Times New Roman" w:cs="Times New Roman"/>
          <w:i/>
          <w:sz w:val="24"/>
        </w:rPr>
        <w:t>π</w:t>
      </w:r>
      <w:proofErr w:type="gramStart"/>
      <w:r w:rsidRPr="00FC7BB4">
        <w:rPr>
          <w:rFonts w:ascii="Times New Roman" w:eastAsia="Cambria" w:hAnsi="Times New Roman" w:cs="Times New Roman"/>
          <w:i/>
          <w:sz w:val="24"/>
          <w:vertAlign w:val="subscript"/>
        </w:rPr>
        <w:t>t</w:t>
      </w:r>
      <w:r w:rsidRPr="00FC7BB4">
        <w:rPr>
          <w:rFonts w:ascii="Times New Roman" w:eastAsia="Cambria" w:hAnsi="Times New Roman" w:cs="Times New Roman"/>
          <w:i/>
          <w:sz w:val="24"/>
        </w:rPr>
        <w:t>)</w:t>
      </w:r>
      <w:proofErr w:type="spellStart"/>
      <w:r w:rsidRPr="00FC7BB4">
        <w:rPr>
          <w:rFonts w:ascii="Times New Roman" w:hAnsi="Times New Roman" w:cs="Times New Roman"/>
          <w:i/>
          <w:sz w:val="24"/>
        </w:rPr>
        <w:t>Cup</w:t>
      </w:r>
      <w:r w:rsidRPr="00FC7BB4">
        <w:rPr>
          <w:rFonts w:ascii="Times New Roman" w:eastAsia="Cambria" w:hAnsi="Times New Roman" w:cs="Times New Roman"/>
          <w:i/>
          <w:sz w:val="24"/>
          <w:vertAlign w:val="subscript"/>
        </w:rPr>
        <w:t>j</w:t>
      </w:r>
      <w:proofErr w:type="gramEnd"/>
      <w:r w:rsidR="00895C99" w:rsidRPr="00FC7BB4">
        <w:rPr>
          <w:rFonts w:ascii="Times New Roman" w:eastAsia="Cambria" w:hAnsi="Times New Roman" w:cs="Times New Roman"/>
          <w:i/>
          <w:sz w:val="24"/>
          <w:vertAlign w:val="subscript"/>
        </w:rPr>
        <w:t>,</w:t>
      </w:r>
      <w:proofErr w:type="gramStart"/>
      <w:r w:rsidRPr="00FC7BB4">
        <w:rPr>
          <w:rFonts w:ascii="Times New Roman" w:eastAsia="Cambria" w:hAnsi="Times New Roman" w:cs="Times New Roman"/>
          <w:i/>
          <w:sz w:val="24"/>
          <w:vertAlign w:val="subscript"/>
        </w:rPr>
        <w:t>t</w:t>
      </w:r>
      <w:proofErr w:type="spellEnd"/>
      <w:r w:rsidRPr="00FC7BB4">
        <w:rPr>
          <w:rFonts w:ascii="Times New Roman" w:eastAsia="Cambria" w:hAnsi="Times New Roman" w:cs="Times New Roman"/>
          <w:i/>
          <w:sz w:val="24"/>
          <w:vertAlign w:val="subscript"/>
        </w:rPr>
        <w:t xml:space="preserve">  </w:t>
      </w:r>
      <w:r w:rsidRPr="00FC7BB4">
        <w:rPr>
          <w:rFonts w:ascii="Times New Roman" w:eastAsia="Cambria" w:hAnsi="Times New Roman" w:cs="Times New Roman"/>
          <w:i/>
          <w:sz w:val="24"/>
        </w:rPr>
        <w:t>+</w:t>
      </w:r>
      <w:proofErr w:type="gramEnd"/>
      <w:r w:rsidRPr="00FC7BB4">
        <w:rPr>
          <w:rFonts w:ascii="Times New Roman" w:eastAsia="Cambria" w:hAnsi="Times New Roman" w:cs="Times New Roman"/>
          <w:i/>
          <w:sz w:val="24"/>
        </w:rPr>
        <w:t xml:space="preserve"> (b</w:t>
      </w:r>
      <w:r w:rsidRPr="00FC7BB4">
        <w:rPr>
          <w:rFonts w:ascii="Times New Roman" w:eastAsia="Cambria" w:hAnsi="Times New Roman" w:cs="Times New Roman"/>
          <w:i/>
          <w:sz w:val="24"/>
          <w:vertAlign w:val="subscript"/>
        </w:rPr>
        <w:t xml:space="preserve">3 </w:t>
      </w:r>
      <w:r w:rsidRPr="00FC7BB4">
        <w:rPr>
          <w:rFonts w:ascii="Times New Roman" w:eastAsia="Cambria" w:hAnsi="Times New Roman" w:cs="Times New Roman"/>
          <w:i/>
          <w:sz w:val="24"/>
        </w:rPr>
        <w:t>+ b</w:t>
      </w:r>
      <w:r w:rsidRPr="00FC7BB4">
        <w:rPr>
          <w:rFonts w:ascii="Times New Roman" w:eastAsia="Cambria" w:hAnsi="Times New Roman" w:cs="Times New Roman"/>
          <w:i/>
          <w:sz w:val="24"/>
          <w:vertAlign w:val="subscript"/>
        </w:rPr>
        <w:t>4</w:t>
      </w:r>
      <w:r w:rsidRPr="00FC7BB4">
        <w:rPr>
          <w:rFonts w:ascii="Times New Roman" w:eastAsia="Cambria" w:hAnsi="Times New Roman" w:cs="Times New Roman"/>
          <w:i/>
          <w:sz w:val="24"/>
        </w:rPr>
        <w:t>π</w:t>
      </w:r>
      <w:proofErr w:type="gramStart"/>
      <w:r w:rsidRPr="00FC7BB4">
        <w:rPr>
          <w:rFonts w:ascii="Times New Roman" w:eastAsia="Cambria" w:hAnsi="Times New Roman" w:cs="Times New Roman"/>
          <w:i/>
          <w:sz w:val="24"/>
          <w:vertAlign w:val="subscript"/>
        </w:rPr>
        <w:t>t</w:t>
      </w:r>
      <w:r w:rsidRPr="00FC7BB4">
        <w:rPr>
          <w:rFonts w:ascii="Times New Roman" w:eastAsia="Cambria" w:hAnsi="Times New Roman" w:cs="Times New Roman"/>
          <w:i/>
          <w:sz w:val="24"/>
        </w:rPr>
        <w:t>)</w:t>
      </w:r>
      <w:proofErr w:type="spellStart"/>
      <w:r w:rsidRPr="00FC7BB4">
        <w:rPr>
          <w:rFonts w:ascii="Times New Roman" w:hAnsi="Times New Roman" w:cs="Times New Roman"/>
          <w:i/>
          <w:sz w:val="24"/>
        </w:rPr>
        <w:t>Dup</w:t>
      </w:r>
      <w:r w:rsidRPr="00FC7BB4">
        <w:rPr>
          <w:rFonts w:ascii="Times New Roman" w:eastAsia="Cambria" w:hAnsi="Times New Roman" w:cs="Times New Roman"/>
          <w:i/>
          <w:sz w:val="24"/>
          <w:vertAlign w:val="subscript"/>
        </w:rPr>
        <w:t>j</w:t>
      </w:r>
      <w:proofErr w:type="gramEnd"/>
      <w:r w:rsidR="00895C99" w:rsidRPr="00FC7BB4">
        <w:rPr>
          <w:rFonts w:ascii="Times New Roman" w:eastAsia="Cambria" w:hAnsi="Times New Roman" w:cs="Times New Roman"/>
          <w:i/>
          <w:sz w:val="24"/>
          <w:vertAlign w:val="subscript"/>
        </w:rPr>
        <w:t>,</w:t>
      </w:r>
      <w:proofErr w:type="gramStart"/>
      <w:r w:rsidRPr="00FC7BB4">
        <w:rPr>
          <w:rFonts w:ascii="Times New Roman" w:eastAsia="Cambria" w:hAnsi="Times New Roman" w:cs="Times New Roman"/>
          <w:i/>
          <w:sz w:val="24"/>
          <w:vertAlign w:val="subscript"/>
        </w:rPr>
        <w:t>t</w:t>
      </w:r>
      <w:proofErr w:type="spellEnd"/>
      <w:r w:rsidRPr="00FC7BB4">
        <w:rPr>
          <w:rFonts w:ascii="Times New Roman" w:eastAsia="Cambria" w:hAnsi="Times New Roman" w:cs="Times New Roman"/>
          <w:i/>
          <w:sz w:val="24"/>
          <w:vertAlign w:val="subscript"/>
        </w:rPr>
        <w:t xml:space="preserve">  </w:t>
      </w:r>
      <w:r w:rsidRPr="00FC7BB4">
        <w:rPr>
          <w:rFonts w:ascii="Times New Roman" w:eastAsia="Cambria" w:hAnsi="Times New Roman" w:cs="Times New Roman"/>
          <w:i/>
          <w:sz w:val="24"/>
        </w:rPr>
        <w:t>+</w:t>
      </w:r>
      <w:proofErr w:type="gramEnd"/>
      <w:r w:rsidRPr="00FC7BB4">
        <w:rPr>
          <w:rFonts w:ascii="Times New Roman" w:eastAsia="Cambria" w:hAnsi="Times New Roman" w:cs="Times New Roman"/>
          <w:i/>
          <w:sz w:val="24"/>
        </w:rPr>
        <w:t xml:space="preserve"> (b</w:t>
      </w:r>
      <w:r w:rsidRPr="00FC7BB4">
        <w:rPr>
          <w:rFonts w:ascii="Times New Roman" w:eastAsia="Cambria" w:hAnsi="Times New Roman" w:cs="Times New Roman"/>
          <w:i/>
          <w:sz w:val="24"/>
          <w:vertAlign w:val="subscript"/>
        </w:rPr>
        <w:t xml:space="preserve">5 </w:t>
      </w:r>
      <w:r w:rsidRPr="00FC7BB4">
        <w:rPr>
          <w:rFonts w:ascii="Times New Roman" w:eastAsia="Cambria" w:hAnsi="Times New Roman" w:cs="Times New Roman"/>
          <w:i/>
          <w:sz w:val="24"/>
        </w:rPr>
        <w:t>+ b</w:t>
      </w:r>
      <w:r w:rsidRPr="00FC7BB4">
        <w:rPr>
          <w:rFonts w:ascii="Times New Roman" w:eastAsia="Cambria" w:hAnsi="Times New Roman" w:cs="Times New Roman"/>
          <w:i/>
          <w:sz w:val="24"/>
          <w:vertAlign w:val="subscript"/>
        </w:rPr>
        <w:t>6</w:t>
      </w:r>
      <w:r w:rsidRPr="00FC7BB4">
        <w:rPr>
          <w:rFonts w:ascii="Times New Roman" w:eastAsia="Cambria" w:hAnsi="Times New Roman" w:cs="Times New Roman"/>
          <w:i/>
          <w:sz w:val="24"/>
        </w:rPr>
        <w:t>π</w:t>
      </w:r>
      <w:proofErr w:type="gramStart"/>
      <w:r w:rsidRPr="00FC7BB4">
        <w:rPr>
          <w:rFonts w:ascii="Times New Roman" w:eastAsia="Cambria" w:hAnsi="Times New Roman" w:cs="Times New Roman"/>
          <w:i/>
          <w:sz w:val="24"/>
          <w:vertAlign w:val="subscript"/>
        </w:rPr>
        <w:t>t</w:t>
      </w:r>
      <w:r w:rsidRPr="00FC7BB4">
        <w:rPr>
          <w:rFonts w:ascii="Times New Roman" w:eastAsia="Cambria" w:hAnsi="Times New Roman" w:cs="Times New Roman"/>
          <w:i/>
          <w:sz w:val="24"/>
        </w:rPr>
        <w:t>)</w:t>
      </w:r>
      <w:proofErr w:type="spellStart"/>
      <w:r w:rsidRPr="00FC7BB4">
        <w:rPr>
          <w:rFonts w:ascii="Times New Roman" w:hAnsi="Times New Roman" w:cs="Times New Roman"/>
          <w:i/>
          <w:sz w:val="24"/>
        </w:rPr>
        <w:t>Cdn</w:t>
      </w:r>
      <w:r w:rsidRPr="00FC7BB4">
        <w:rPr>
          <w:rFonts w:ascii="Times New Roman" w:eastAsia="Cambria" w:hAnsi="Times New Roman" w:cs="Times New Roman"/>
          <w:i/>
          <w:sz w:val="24"/>
          <w:vertAlign w:val="subscript"/>
        </w:rPr>
        <w:t>j</w:t>
      </w:r>
      <w:proofErr w:type="gramEnd"/>
      <w:r w:rsidR="00895C99" w:rsidRPr="00FC7BB4">
        <w:rPr>
          <w:rFonts w:ascii="Times New Roman" w:eastAsia="Cambria" w:hAnsi="Times New Roman" w:cs="Times New Roman"/>
          <w:i/>
          <w:sz w:val="24"/>
          <w:vertAlign w:val="subscript"/>
        </w:rPr>
        <w:t>,</w:t>
      </w:r>
      <w:proofErr w:type="gramStart"/>
      <w:r w:rsidRPr="00FC7BB4">
        <w:rPr>
          <w:rFonts w:ascii="Times New Roman" w:eastAsia="Cambria" w:hAnsi="Times New Roman" w:cs="Times New Roman"/>
          <w:i/>
          <w:sz w:val="24"/>
          <w:vertAlign w:val="subscript"/>
        </w:rPr>
        <w:t>t</w:t>
      </w:r>
      <w:proofErr w:type="spellEnd"/>
      <w:r w:rsidRPr="00FC7BB4">
        <w:rPr>
          <w:rFonts w:ascii="Times New Roman" w:eastAsia="Cambria" w:hAnsi="Times New Roman" w:cs="Times New Roman"/>
          <w:i/>
          <w:sz w:val="24"/>
          <w:vertAlign w:val="subscript"/>
        </w:rPr>
        <w:t xml:space="preserve">  </w:t>
      </w:r>
      <w:r w:rsidRPr="00FC7BB4">
        <w:rPr>
          <w:rFonts w:ascii="Times New Roman" w:eastAsia="Cambria" w:hAnsi="Times New Roman" w:cs="Times New Roman"/>
          <w:i/>
          <w:sz w:val="24"/>
        </w:rPr>
        <w:t>+</w:t>
      </w:r>
      <w:proofErr w:type="gramEnd"/>
      <w:r w:rsidRPr="00FC7BB4">
        <w:rPr>
          <w:rFonts w:ascii="Times New Roman" w:eastAsia="Cambria" w:hAnsi="Times New Roman" w:cs="Times New Roman"/>
          <w:i/>
          <w:sz w:val="24"/>
        </w:rPr>
        <w:t xml:space="preserve"> (b</w:t>
      </w:r>
      <w:r w:rsidRPr="00FC7BB4">
        <w:rPr>
          <w:rFonts w:ascii="Times New Roman" w:eastAsia="Cambria" w:hAnsi="Times New Roman" w:cs="Times New Roman"/>
          <w:i/>
          <w:sz w:val="24"/>
          <w:vertAlign w:val="subscript"/>
        </w:rPr>
        <w:t xml:space="preserve">7 </w:t>
      </w:r>
      <w:r w:rsidRPr="00FC7BB4">
        <w:rPr>
          <w:rFonts w:ascii="Times New Roman" w:eastAsia="Cambria" w:hAnsi="Times New Roman" w:cs="Times New Roman"/>
          <w:i/>
          <w:sz w:val="24"/>
        </w:rPr>
        <w:t>+ b</w:t>
      </w:r>
      <w:r w:rsidRPr="00FC7BB4">
        <w:rPr>
          <w:rFonts w:ascii="Times New Roman" w:eastAsia="Cambria" w:hAnsi="Times New Roman" w:cs="Times New Roman"/>
          <w:i/>
          <w:sz w:val="24"/>
          <w:vertAlign w:val="subscript"/>
        </w:rPr>
        <w:t>8</w:t>
      </w:r>
      <w:r w:rsidRPr="00FC7BB4">
        <w:rPr>
          <w:rFonts w:ascii="Times New Roman" w:eastAsia="Cambria" w:hAnsi="Times New Roman" w:cs="Times New Roman"/>
          <w:i/>
          <w:sz w:val="24"/>
        </w:rPr>
        <w:t>π</w:t>
      </w:r>
      <w:proofErr w:type="gramStart"/>
      <w:r w:rsidRPr="00FC7BB4">
        <w:rPr>
          <w:rFonts w:ascii="Times New Roman" w:eastAsia="Cambria" w:hAnsi="Times New Roman" w:cs="Times New Roman"/>
          <w:i/>
          <w:sz w:val="24"/>
          <w:vertAlign w:val="subscript"/>
        </w:rPr>
        <w:t>t</w:t>
      </w:r>
      <w:r w:rsidRPr="00FC7BB4">
        <w:rPr>
          <w:rFonts w:ascii="Times New Roman" w:eastAsia="Cambria" w:hAnsi="Times New Roman" w:cs="Times New Roman"/>
          <w:i/>
          <w:sz w:val="24"/>
        </w:rPr>
        <w:t>)</w:t>
      </w:r>
      <w:proofErr w:type="spellStart"/>
      <w:r w:rsidRPr="00FC7BB4">
        <w:rPr>
          <w:rFonts w:ascii="Times New Roman" w:hAnsi="Times New Roman" w:cs="Times New Roman"/>
          <w:i/>
          <w:sz w:val="24"/>
        </w:rPr>
        <w:t>Ddn</w:t>
      </w:r>
      <w:r w:rsidRPr="00FC7BB4">
        <w:rPr>
          <w:rFonts w:ascii="Times New Roman" w:eastAsia="Cambria" w:hAnsi="Times New Roman" w:cs="Times New Roman"/>
          <w:i/>
          <w:sz w:val="24"/>
          <w:vertAlign w:val="subscript"/>
        </w:rPr>
        <w:t>j</w:t>
      </w:r>
      <w:proofErr w:type="gramEnd"/>
      <w:r w:rsidR="00895C99" w:rsidRPr="00FC7BB4">
        <w:rPr>
          <w:rFonts w:ascii="Times New Roman" w:eastAsia="Cambria" w:hAnsi="Times New Roman" w:cs="Times New Roman"/>
          <w:i/>
          <w:sz w:val="24"/>
          <w:vertAlign w:val="subscript"/>
        </w:rPr>
        <w:t>,</w:t>
      </w:r>
      <w:r w:rsidRPr="00FC7BB4">
        <w:rPr>
          <w:rFonts w:ascii="Times New Roman" w:eastAsia="Cambria" w:hAnsi="Times New Roman" w:cs="Times New Roman"/>
          <w:i/>
          <w:sz w:val="24"/>
          <w:vertAlign w:val="subscript"/>
        </w:rPr>
        <w:t>t</w:t>
      </w:r>
      <w:proofErr w:type="spellEnd"/>
      <w:r w:rsidRPr="00FC7BB4">
        <w:rPr>
          <w:rFonts w:ascii="Times New Roman" w:hAnsi="Times New Roman" w:cs="Times New Roman"/>
          <w:i/>
          <w:sz w:val="24"/>
        </w:rPr>
        <w:t xml:space="preserve"> +</w:t>
      </w:r>
    </w:p>
    <w:p w14:paraId="01A486DD" w14:textId="1D5A21BA" w:rsidR="00FA0311" w:rsidRPr="00FC7BB4" w:rsidRDefault="00FA0311" w:rsidP="00F3101B">
      <w:pPr>
        <w:spacing w:after="0" w:line="331" w:lineRule="auto"/>
        <w:ind w:right="27" w:firstLine="0"/>
        <w:rPr>
          <w:rFonts w:ascii="Times New Roman" w:hAnsi="Times New Roman" w:cs="Times New Roman"/>
          <w:i/>
          <w:sz w:val="24"/>
        </w:rPr>
      </w:pPr>
      <w:r w:rsidRPr="00FC7BB4">
        <w:rPr>
          <w:rFonts w:ascii="Times New Roman" w:hAnsi="Times New Roman" w:cs="Times New Roman"/>
          <w:i/>
          <w:sz w:val="24"/>
        </w:rPr>
        <w:t xml:space="preserve">       </w:t>
      </w:r>
      <w:r w:rsidRPr="00FC7BB4">
        <w:rPr>
          <w:rFonts w:ascii="Times New Roman" w:hAnsi="Times New Roman" w:cs="Times New Roman"/>
          <w:i/>
          <w:sz w:val="24"/>
        </w:rPr>
        <w:tab/>
        <w:t xml:space="preserve"> </w:t>
      </w:r>
      <w:r w:rsidRPr="00FC7BB4">
        <w:rPr>
          <w:rFonts w:ascii="Times New Roman" w:eastAsia="Cambria" w:hAnsi="Times New Roman" w:cs="Times New Roman"/>
          <w:i/>
          <w:sz w:val="24"/>
        </w:rPr>
        <w:t>Recent [(a</w:t>
      </w:r>
      <w:r w:rsidRPr="00FC7BB4">
        <w:rPr>
          <w:rFonts w:ascii="Times New Roman" w:eastAsia="Cambria" w:hAnsi="Times New Roman" w:cs="Times New Roman"/>
          <w:i/>
          <w:sz w:val="24"/>
          <w:vertAlign w:val="subscript"/>
        </w:rPr>
        <w:t xml:space="preserve">1 </w:t>
      </w:r>
      <w:r w:rsidRPr="00FC7BB4">
        <w:rPr>
          <w:rFonts w:ascii="Times New Roman" w:eastAsia="Cambria" w:hAnsi="Times New Roman" w:cs="Times New Roman"/>
          <w:i/>
          <w:sz w:val="24"/>
        </w:rPr>
        <w:t>+ a</w:t>
      </w:r>
      <w:r w:rsidRPr="00FC7BB4">
        <w:rPr>
          <w:rFonts w:ascii="Times New Roman" w:eastAsia="Cambria" w:hAnsi="Times New Roman" w:cs="Times New Roman"/>
          <w:i/>
          <w:sz w:val="24"/>
          <w:vertAlign w:val="subscript"/>
        </w:rPr>
        <w:t>2</w:t>
      </w:r>
      <w:r w:rsidRPr="00FC7BB4">
        <w:rPr>
          <w:rFonts w:ascii="Times New Roman" w:eastAsia="Cambria" w:hAnsi="Times New Roman" w:cs="Times New Roman"/>
          <w:i/>
          <w:sz w:val="24"/>
        </w:rPr>
        <w:t>π</w:t>
      </w:r>
      <w:proofErr w:type="gramStart"/>
      <w:r w:rsidRPr="00FC7BB4">
        <w:rPr>
          <w:rFonts w:ascii="Times New Roman" w:eastAsia="Cambria" w:hAnsi="Times New Roman" w:cs="Times New Roman"/>
          <w:i/>
          <w:sz w:val="24"/>
          <w:vertAlign w:val="subscript"/>
        </w:rPr>
        <w:t>t</w:t>
      </w:r>
      <w:r w:rsidRPr="00FC7BB4">
        <w:rPr>
          <w:rFonts w:ascii="Times New Roman" w:eastAsia="Cambria" w:hAnsi="Times New Roman" w:cs="Times New Roman"/>
          <w:i/>
          <w:sz w:val="24"/>
        </w:rPr>
        <w:t>)</w:t>
      </w:r>
      <w:proofErr w:type="spellStart"/>
      <w:r w:rsidRPr="00FC7BB4">
        <w:rPr>
          <w:rFonts w:ascii="Times New Roman" w:hAnsi="Times New Roman" w:cs="Times New Roman"/>
          <w:i/>
          <w:sz w:val="24"/>
        </w:rPr>
        <w:t>Cup</w:t>
      </w:r>
      <w:r w:rsidRPr="00FC7BB4">
        <w:rPr>
          <w:rFonts w:ascii="Times New Roman" w:eastAsia="Cambria" w:hAnsi="Times New Roman" w:cs="Times New Roman"/>
          <w:i/>
          <w:sz w:val="24"/>
          <w:vertAlign w:val="subscript"/>
        </w:rPr>
        <w:t>j</w:t>
      </w:r>
      <w:proofErr w:type="gramEnd"/>
      <w:r w:rsidR="00895C99" w:rsidRPr="00FC7BB4">
        <w:rPr>
          <w:rFonts w:ascii="Times New Roman" w:eastAsia="Cambria" w:hAnsi="Times New Roman" w:cs="Times New Roman"/>
          <w:i/>
          <w:sz w:val="24"/>
          <w:vertAlign w:val="subscript"/>
        </w:rPr>
        <w:t>,</w:t>
      </w:r>
      <w:r w:rsidRPr="00FC7BB4">
        <w:rPr>
          <w:rFonts w:ascii="Times New Roman" w:eastAsia="Cambria" w:hAnsi="Times New Roman" w:cs="Times New Roman"/>
          <w:i/>
          <w:sz w:val="24"/>
          <w:vertAlign w:val="subscript"/>
        </w:rPr>
        <w:t>t</w:t>
      </w:r>
      <w:proofErr w:type="spellEnd"/>
      <w:r w:rsidRPr="00FC7BB4">
        <w:rPr>
          <w:rFonts w:ascii="Times New Roman" w:eastAsia="Cambria" w:hAnsi="Times New Roman" w:cs="Times New Roman"/>
          <w:i/>
          <w:sz w:val="24"/>
          <w:vertAlign w:val="subscript"/>
        </w:rPr>
        <w:t xml:space="preserve"> </w:t>
      </w:r>
      <w:r w:rsidRPr="00FC7BB4">
        <w:rPr>
          <w:rFonts w:ascii="Times New Roman" w:eastAsia="Cambria" w:hAnsi="Times New Roman" w:cs="Times New Roman"/>
          <w:i/>
          <w:sz w:val="24"/>
        </w:rPr>
        <w:t>+(a</w:t>
      </w:r>
      <w:r w:rsidRPr="00FC7BB4">
        <w:rPr>
          <w:rFonts w:ascii="Times New Roman" w:eastAsia="Cambria" w:hAnsi="Times New Roman" w:cs="Times New Roman"/>
          <w:i/>
          <w:sz w:val="24"/>
          <w:vertAlign w:val="subscript"/>
        </w:rPr>
        <w:t xml:space="preserve">3 </w:t>
      </w:r>
      <w:r w:rsidRPr="00FC7BB4">
        <w:rPr>
          <w:rFonts w:ascii="Times New Roman" w:eastAsia="Cambria" w:hAnsi="Times New Roman" w:cs="Times New Roman"/>
          <w:i/>
          <w:sz w:val="24"/>
        </w:rPr>
        <w:t>+ a</w:t>
      </w:r>
      <w:r w:rsidRPr="00FC7BB4">
        <w:rPr>
          <w:rFonts w:ascii="Times New Roman" w:eastAsia="Cambria" w:hAnsi="Times New Roman" w:cs="Times New Roman"/>
          <w:i/>
          <w:sz w:val="24"/>
          <w:vertAlign w:val="subscript"/>
        </w:rPr>
        <w:t>4</w:t>
      </w:r>
      <w:r w:rsidRPr="00FC7BB4">
        <w:rPr>
          <w:rFonts w:ascii="Times New Roman" w:eastAsia="Cambria" w:hAnsi="Times New Roman" w:cs="Times New Roman"/>
          <w:i/>
          <w:sz w:val="24"/>
        </w:rPr>
        <w:t>π</w:t>
      </w:r>
      <w:proofErr w:type="gramStart"/>
      <w:r w:rsidRPr="00FC7BB4">
        <w:rPr>
          <w:rFonts w:ascii="Times New Roman" w:eastAsia="Cambria" w:hAnsi="Times New Roman" w:cs="Times New Roman"/>
          <w:i/>
          <w:sz w:val="24"/>
          <w:vertAlign w:val="subscript"/>
        </w:rPr>
        <w:t>t</w:t>
      </w:r>
      <w:r w:rsidRPr="00FC7BB4">
        <w:rPr>
          <w:rFonts w:ascii="Times New Roman" w:eastAsia="Cambria" w:hAnsi="Times New Roman" w:cs="Times New Roman"/>
          <w:i/>
          <w:sz w:val="24"/>
        </w:rPr>
        <w:t>)</w:t>
      </w:r>
      <w:proofErr w:type="spellStart"/>
      <w:r w:rsidRPr="00FC7BB4">
        <w:rPr>
          <w:rFonts w:ascii="Times New Roman" w:hAnsi="Times New Roman" w:cs="Times New Roman"/>
          <w:i/>
          <w:sz w:val="24"/>
        </w:rPr>
        <w:t>Dup</w:t>
      </w:r>
      <w:r w:rsidRPr="00FC7BB4">
        <w:rPr>
          <w:rFonts w:ascii="Times New Roman" w:eastAsia="Cambria" w:hAnsi="Times New Roman" w:cs="Times New Roman"/>
          <w:i/>
          <w:sz w:val="24"/>
          <w:vertAlign w:val="subscript"/>
        </w:rPr>
        <w:t>j</w:t>
      </w:r>
      <w:proofErr w:type="gramEnd"/>
      <w:r w:rsidR="00895C99" w:rsidRPr="00FC7BB4">
        <w:rPr>
          <w:rFonts w:ascii="Times New Roman" w:eastAsia="Cambria" w:hAnsi="Times New Roman" w:cs="Times New Roman"/>
          <w:i/>
          <w:sz w:val="24"/>
          <w:vertAlign w:val="subscript"/>
        </w:rPr>
        <w:t>,</w:t>
      </w:r>
      <w:r w:rsidRPr="00FC7BB4">
        <w:rPr>
          <w:rFonts w:ascii="Times New Roman" w:eastAsia="Cambria" w:hAnsi="Times New Roman" w:cs="Times New Roman"/>
          <w:i/>
          <w:sz w:val="24"/>
          <w:vertAlign w:val="subscript"/>
        </w:rPr>
        <w:t>t</w:t>
      </w:r>
      <w:proofErr w:type="spellEnd"/>
      <w:r w:rsidRPr="00FC7BB4">
        <w:rPr>
          <w:rFonts w:ascii="Times New Roman" w:eastAsia="Cambria" w:hAnsi="Times New Roman" w:cs="Times New Roman"/>
          <w:i/>
          <w:sz w:val="24"/>
          <w:vertAlign w:val="subscript"/>
        </w:rPr>
        <w:t xml:space="preserve"> </w:t>
      </w:r>
      <w:r w:rsidRPr="00FC7BB4">
        <w:rPr>
          <w:rFonts w:ascii="Times New Roman" w:eastAsia="Cambria" w:hAnsi="Times New Roman" w:cs="Times New Roman"/>
          <w:i/>
          <w:sz w:val="24"/>
        </w:rPr>
        <w:t>+(a</w:t>
      </w:r>
      <w:r w:rsidRPr="00FC7BB4">
        <w:rPr>
          <w:rFonts w:ascii="Times New Roman" w:eastAsia="Cambria" w:hAnsi="Times New Roman" w:cs="Times New Roman"/>
          <w:i/>
          <w:sz w:val="24"/>
          <w:vertAlign w:val="subscript"/>
        </w:rPr>
        <w:t xml:space="preserve">5 </w:t>
      </w:r>
      <w:r w:rsidRPr="00FC7BB4">
        <w:rPr>
          <w:rFonts w:ascii="Times New Roman" w:eastAsia="Cambria" w:hAnsi="Times New Roman" w:cs="Times New Roman"/>
          <w:i/>
          <w:sz w:val="24"/>
        </w:rPr>
        <w:t>+ a</w:t>
      </w:r>
      <w:r w:rsidRPr="00FC7BB4">
        <w:rPr>
          <w:rFonts w:ascii="Times New Roman" w:eastAsia="Cambria" w:hAnsi="Times New Roman" w:cs="Times New Roman"/>
          <w:i/>
          <w:sz w:val="24"/>
          <w:vertAlign w:val="subscript"/>
        </w:rPr>
        <w:t>6</w:t>
      </w:r>
      <w:r w:rsidRPr="00FC7BB4">
        <w:rPr>
          <w:rFonts w:ascii="Times New Roman" w:eastAsia="Cambria" w:hAnsi="Times New Roman" w:cs="Times New Roman"/>
          <w:i/>
          <w:sz w:val="24"/>
        </w:rPr>
        <w:t>π</w:t>
      </w:r>
      <w:proofErr w:type="gramStart"/>
      <w:r w:rsidRPr="00FC7BB4">
        <w:rPr>
          <w:rFonts w:ascii="Times New Roman" w:eastAsia="Cambria" w:hAnsi="Times New Roman" w:cs="Times New Roman"/>
          <w:i/>
          <w:sz w:val="24"/>
          <w:vertAlign w:val="subscript"/>
        </w:rPr>
        <w:t>t</w:t>
      </w:r>
      <w:r w:rsidRPr="00FC7BB4">
        <w:rPr>
          <w:rFonts w:ascii="Times New Roman" w:eastAsia="Cambria" w:hAnsi="Times New Roman" w:cs="Times New Roman"/>
          <w:i/>
          <w:sz w:val="24"/>
        </w:rPr>
        <w:t>)</w:t>
      </w:r>
      <w:proofErr w:type="spellStart"/>
      <w:r w:rsidRPr="00FC7BB4">
        <w:rPr>
          <w:rFonts w:ascii="Times New Roman" w:hAnsi="Times New Roman" w:cs="Times New Roman"/>
          <w:i/>
          <w:sz w:val="24"/>
        </w:rPr>
        <w:t>Cdn</w:t>
      </w:r>
      <w:r w:rsidRPr="00FC7BB4">
        <w:rPr>
          <w:rFonts w:ascii="Times New Roman" w:eastAsia="Cambria" w:hAnsi="Times New Roman" w:cs="Times New Roman"/>
          <w:i/>
          <w:sz w:val="24"/>
          <w:vertAlign w:val="subscript"/>
        </w:rPr>
        <w:t>j</w:t>
      </w:r>
      <w:proofErr w:type="gramEnd"/>
      <w:r w:rsidR="00895C99" w:rsidRPr="00FC7BB4">
        <w:rPr>
          <w:rFonts w:ascii="Times New Roman" w:eastAsia="Cambria" w:hAnsi="Times New Roman" w:cs="Times New Roman"/>
          <w:i/>
          <w:sz w:val="24"/>
          <w:vertAlign w:val="subscript"/>
        </w:rPr>
        <w:t>,</w:t>
      </w:r>
      <w:r w:rsidRPr="00FC7BB4">
        <w:rPr>
          <w:rFonts w:ascii="Times New Roman" w:eastAsia="Cambria" w:hAnsi="Times New Roman" w:cs="Times New Roman"/>
          <w:i/>
          <w:sz w:val="24"/>
          <w:vertAlign w:val="subscript"/>
        </w:rPr>
        <w:t>t</w:t>
      </w:r>
      <w:proofErr w:type="spellEnd"/>
      <w:r w:rsidRPr="00FC7BB4">
        <w:rPr>
          <w:rFonts w:ascii="Times New Roman" w:eastAsia="Cambria" w:hAnsi="Times New Roman" w:cs="Times New Roman"/>
          <w:i/>
          <w:sz w:val="24"/>
          <w:vertAlign w:val="subscript"/>
        </w:rPr>
        <w:t xml:space="preserve"> </w:t>
      </w:r>
      <w:r w:rsidRPr="00FC7BB4">
        <w:rPr>
          <w:rFonts w:ascii="Times New Roman" w:eastAsia="Cambria" w:hAnsi="Times New Roman" w:cs="Times New Roman"/>
          <w:i/>
          <w:sz w:val="24"/>
        </w:rPr>
        <w:t>+(a</w:t>
      </w:r>
      <w:r w:rsidRPr="00FC7BB4">
        <w:rPr>
          <w:rFonts w:ascii="Times New Roman" w:eastAsia="Cambria" w:hAnsi="Times New Roman" w:cs="Times New Roman"/>
          <w:i/>
          <w:sz w:val="24"/>
          <w:vertAlign w:val="subscript"/>
        </w:rPr>
        <w:t xml:space="preserve">7 </w:t>
      </w:r>
      <w:r w:rsidRPr="00FC7BB4">
        <w:rPr>
          <w:rFonts w:ascii="Times New Roman" w:eastAsia="Cambria" w:hAnsi="Times New Roman" w:cs="Times New Roman"/>
          <w:i/>
          <w:sz w:val="24"/>
        </w:rPr>
        <w:t>+ a</w:t>
      </w:r>
      <w:r w:rsidRPr="00FC7BB4">
        <w:rPr>
          <w:rFonts w:ascii="Times New Roman" w:eastAsia="Cambria" w:hAnsi="Times New Roman" w:cs="Times New Roman"/>
          <w:i/>
          <w:sz w:val="24"/>
          <w:vertAlign w:val="subscript"/>
        </w:rPr>
        <w:t>8</w:t>
      </w:r>
      <w:r w:rsidRPr="00FC7BB4">
        <w:rPr>
          <w:rFonts w:ascii="Times New Roman" w:eastAsia="Cambria" w:hAnsi="Times New Roman" w:cs="Times New Roman"/>
          <w:i/>
          <w:sz w:val="24"/>
        </w:rPr>
        <w:t>π</w:t>
      </w:r>
      <w:proofErr w:type="gramStart"/>
      <w:r w:rsidRPr="00FC7BB4">
        <w:rPr>
          <w:rFonts w:ascii="Times New Roman" w:eastAsia="Cambria" w:hAnsi="Times New Roman" w:cs="Times New Roman"/>
          <w:i/>
          <w:sz w:val="24"/>
          <w:vertAlign w:val="subscript"/>
        </w:rPr>
        <w:t>t</w:t>
      </w:r>
      <w:r w:rsidRPr="00FC7BB4">
        <w:rPr>
          <w:rFonts w:ascii="Times New Roman" w:eastAsia="Cambria" w:hAnsi="Times New Roman" w:cs="Times New Roman"/>
          <w:i/>
          <w:sz w:val="24"/>
        </w:rPr>
        <w:t>)</w:t>
      </w:r>
      <w:proofErr w:type="spellStart"/>
      <w:r w:rsidRPr="00FC7BB4">
        <w:rPr>
          <w:rFonts w:ascii="Times New Roman" w:hAnsi="Times New Roman" w:cs="Times New Roman"/>
          <w:i/>
          <w:sz w:val="24"/>
        </w:rPr>
        <w:t>Ddn</w:t>
      </w:r>
      <w:r w:rsidRPr="00FC7BB4">
        <w:rPr>
          <w:rFonts w:ascii="Times New Roman" w:eastAsia="Cambria" w:hAnsi="Times New Roman" w:cs="Times New Roman"/>
          <w:i/>
          <w:sz w:val="24"/>
          <w:vertAlign w:val="subscript"/>
        </w:rPr>
        <w:t>j</w:t>
      </w:r>
      <w:proofErr w:type="gramEnd"/>
      <w:r w:rsidR="00895C99" w:rsidRPr="00FC7BB4">
        <w:rPr>
          <w:rFonts w:ascii="Times New Roman" w:eastAsia="Cambria" w:hAnsi="Times New Roman" w:cs="Times New Roman"/>
          <w:i/>
          <w:sz w:val="24"/>
          <w:vertAlign w:val="subscript"/>
        </w:rPr>
        <w:t>,</w:t>
      </w:r>
      <w:proofErr w:type="gramStart"/>
      <w:r w:rsidRPr="00FC7BB4">
        <w:rPr>
          <w:rFonts w:ascii="Times New Roman" w:eastAsia="Cambria" w:hAnsi="Times New Roman" w:cs="Times New Roman"/>
          <w:i/>
          <w:sz w:val="24"/>
          <w:vertAlign w:val="subscript"/>
        </w:rPr>
        <w:t>t</w:t>
      </w:r>
      <w:proofErr w:type="spellEnd"/>
      <w:r w:rsidRPr="00FC7BB4">
        <w:rPr>
          <w:rFonts w:ascii="Times New Roman" w:hAnsi="Times New Roman" w:cs="Times New Roman"/>
          <w:i/>
          <w:sz w:val="24"/>
        </w:rPr>
        <w:t xml:space="preserve">]   </w:t>
      </w:r>
      <w:proofErr w:type="gramEnd"/>
      <w:r w:rsidRPr="00FC7BB4">
        <w:rPr>
          <w:rFonts w:ascii="Times New Roman" w:hAnsi="Times New Roman" w:cs="Times New Roman"/>
          <w:i/>
          <w:sz w:val="24"/>
        </w:rPr>
        <w:tab/>
        <w:t xml:space="preserve">    </w:t>
      </w:r>
      <w:r w:rsidRPr="00FC7BB4">
        <w:rPr>
          <w:rFonts w:ascii="Times New Roman" w:hAnsi="Times New Roman" w:cs="Times New Roman"/>
          <w:i/>
          <w:sz w:val="24"/>
        </w:rPr>
        <w:tab/>
      </w:r>
      <w:proofErr w:type="gramStart"/>
      <w:r w:rsidR="00300158" w:rsidRPr="00FC7BB4">
        <w:rPr>
          <w:rFonts w:ascii="Times New Roman" w:hAnsi="Times New Roman" w:cs="Times New Roman"/>
          <w:i/>
          <w:sz w:val="24"/>
        </w:rPr>
        <w:t xml:space="preserve">   </w:t>
      </w:r>
      <w:r w:rsidRPr="00FC7BB4">
        <w:rPr>
          <w:rFonts w:ascii="Times New Roman" w:hAnsi="Times New Roman" w:cs="Times New Roman"/>
          <w:sz w:val="24"/>
        </w:rPr>
        <w:t>(</w:t>
      </w:r>
      <w:proofErr w:type="gramEnd"/>
      <w:r w:rsidR="002D196F" w:rsidRPr="00FC7BB4">
        <w:rPr>
          <w:rFonts w:ascii="Times New Roman" w:hAnsi="Times New Roman" w:cs="Times New Roman"/>
          <w:sz w:val="24"/>
        </w:rPr>
        <w:t>2</w:t>
      </w:r>
      <w:r w:rsidRPr="00FC7BB4">
        <w:rPr>
          <w:rFonts w:ascii="Times New Roman" w:hAnsi="Times New Roman" w:cs="Times New Roman"/>
          <w:sz w:val="24"/>
        </w:rPr>
        <w:t>)</w:t>
      </w:r>
    </w:p>
    <w:p w14:paraId="1FD66F5B" w14:textId="77777777" w:rsidR="00FA0311" w:rsidRPr="00FC7BB4" w:rsidRDefault="00FA0311" w:rsidP="00F3101B">
      <w:pPr>
        <w:ind w:left="-15" w:right="27" w:firstLine="0"/>
        <w:rPr>
          <w:rFonts w:ascii="Times New Roman" w:hAnsi="Times New Roman" w:cs="Times New Roman"/>
          <w:sz w:val="24"/>
        </w:rPr>
      </w:pPr>
      <w:r w:rsidRPr="00FC7BB4">
        <w:rPr>
          <w:rFonts w:ascii="Times New Roman" w:hAnsi="Times New Roman" w:cs="Times New Roman"/>
          <w:sz w:val="24"/>
        </w:rPr>
        <w:t xml:space="preserve">where: </w:t>
      </w:r>
    </w:p>
    <w:p w14:paraId="007AA9D7" w14:textId="4032B79D" w:rsidR="00FA0311" w:rsidRPr="00FC7BB4" w:rsidRDefault="00FA0311" w:rsidP="00F3101B">
      <w:pPr>
        <w:spacing w:after="0" w:line="360" w:lineRule="auto"/>
        <w:ind w:left="720" w:right="27" w:hanging="419"/>
        <w:jc w:val="left"/>
        <w:rPr>
          <w:rFonts w:ascii="Times New Roman" w:eastAsia="Times New Roman" w:hAnsi="Times New Roman" w:cs="Times New Roman"/>
          <w:color w:val="auto"/>
          <w:kern w:val="0"/>
          <w:sz w:val="24"/>
          <w14:ligatures w14:val="none"/>
        </w:rPr>
      </w:pPr>
      <w:proofErr w:type="spellStart"/>
      <w:proofErr w:type="gramStart"/>
      <w:r w:rsidRPr="00FC7BB4">
        <w:rPr>
          <w:rFonts w:ascii="Times New Roman" w:eastAsia="Cambria" w:hAnsi="Times New Roman" w:cs="Times New Roman"/>
          <w:i/>
          <w:sz w:val="24"/>
        </w:rPr>
        <w:t>V</w:t>
      </w:r>
      <w:r w:rsidRPr="00FC7BB4">
        <w:rPr>
          <w:rFonts w:ascii="Times New Roman" w:eastAsia="Cambria" w:hAnsi="Times New Roman" w:cs="Times New Roman"/>
          <w:i/>
          <w:sz w:val="24"/>
          <w:vertAlign w:val="subscript"/>
        </w:rPr>
        <w:t>j</w:t>
      </w:r>
      <w:r w:rsidR="00DA6647" w:rsidRPr="00FC7BB4">
        <w:rPr>
          <w:rFonts w:ascii="Times New Roman" w:eastAsia="Cambria" w:hAnsi="Times New Roman" w:cs="Times New Roman"/>
          <w:i/>
          <w:sz w:val="24"/>
          <w:vertAlign w:val="subscript"/>
        </w:rPr>
        <w:t>,t</w:t>
      </w:r>
      <w:proofErr w:type="spellEnd"/>
      <w:proofErr w:type="gramEnd"/>
      <w:r w:rsidRPr="00FC7BB4">
        <w:rPr>
          <w:rFonts w:ascii="Times New Roman" w:eastAsia="Cambria" w:hAnsi="Times New Roman" w:cs="Times New Roman"/>
          <w:i/>
          <w:sz w:val="24"/>
          <w:vertAlign w:val="subscript"/>
        </w:rPr>
        <w:t xml:space="preserve">  </w:t>
      </w:r>
      <w:r w:rsidRPr="00FC7BB4">
        <w:rPr>
          <w:rFonts w:ascii="Times New Roman" w:eastAsia="Times New Roman" w:hAnsi="Times New Roman" w:cs="Times New Roman"/>
          <w:color w:val="auto"/>
          <w:kern w:val="0"/>
          <w:sz w:val="24"/>
          <w14:ligatures w14:val="none"/>
        </w:rPr>
        <w:tab/>
      </w:r>
      <w:bookmarkStart w:id="59" w:name="_Hlk213167913"/>
      <w:r w:rsidRPr="00FC7BB4">
        <w:rPr>
          <w:rFonts w:ascii="Times New Roman" w:eastAsia="Times New Roman" w:hAnsi="Times New Roman" w:cs="Times New Roman"/>
          <w:color w:val="auto"/>
          <w:kern w:val="0"/>
          <w:sz w:val="24"/>
          <w14:ligatures w14:val="none"/>
        </w:rPr>
        <w:t>is a latent index of pricing pressure: i.e., higher values imply a greater probability of a price   increase</w:t>
      </w:r>
      <w:bookmarkEnd w:id="59"/>
      <w:r w:rsidRPr="00FC7BB4">
        <w:rPr>
          <w:rFonts w:ascii="Times New Roman" w:hAnsi="Times New Roman" w:cs="Times New Roman"/>
          <w:sz w:val="24"/>
        </w:rPr>
        <w:t>;</w:t>
      </w:r>
      <w:r w:rsidRPr="00FC7BB4">
        <w:rPr>
          <w:rStyle w:val="FootnoteReference"/>
          <w:rFonts w:ascii="Times New Roman" w:hAnsi="Times New Roman" w:cs="Times New Roman"/>
          <w:sz w:val="24"/>
        </w:rPr>
        <w:footnoteReference w:id="19"/>
      </w:r>
      <w:r w:rsidRPr="00FC7BB4">
        <w:rPr>
          <w:rFonts w:ascii="Times New Roman" w:hAnsi="Times New Roman" w:cs="Times New Roman"/>
          <w:sz w:val="24"/>
        </w:rPr>
        <w:t xml:space="preserve"> </w:t>
      </w:r>
    </w:p>
    <w:p w14:paraId="7CD2496C" w14:textId="77777777" w:rsidR="00FA0311" w:rsidRPr="00FC7BB4" w:rsidRDefault="00FA0311" w:rsidP="00F3101B">
      <w:pPr>
        <w:spacing w:after="0" w:line="360" w:lineRule="auto"/>
        <w:ind w:left="301" w:right="27" w:firstLine="0"/>
        <w:rPr>
          <w:rFonts w:ascii="Times New Roman" w:eastAsia="Cambria" w:hAnsi="Times New Roman" w:cs="Times New Roman"/>
          <w:i/>
          <w:sz w:val="24"/>
        </w:rPr>
      </w:pPr>
      <w:r w:rsidRPr="00FC7BB4">
        <w:rPr>
          <w:rFonts w:ascii="Times New Roman" w:eastAsia="Cambria" w:hAnsi="Times New Roman" w:cs="Times New Roman"/>
          <w:i/>
          <w:sz w:val="24"/>
        </w:rPr>
        <w:t xml:space="preserve">Cup </w:t>
      </w:r>
      <w:r w:rsidRPr="00FC7BB4">
        <w:rPr>
          <w:rFonts w:ascii="Times New Roman" w:eastAsia="Cambria" w:hAnsi="Times New Roman" w:cs="Times New Roman"/>
          <w:sz w:val="24"/>
        </w:rPr>
        <w:t xml:space="preserve">= </w:t>
      </w:r>
      <w:r w:rsidRPr="00FC7BB4">
        <w:rPr>
          <w:rFonts w:ascii="Times New Roman" w:hAnsi="Times New Roman" w:cs="Times New Roman"/>
          <w:sz w:val="24"/>
        </w:rPr>
        <w:t xml:space="preserve">cost increase </w:t>
      </w:r>
      <w:r w:rsidRPr="00FC7BB4">
        <w:rPr>
          <w:rFonts w:ascii="Times New Roman" w:eastAsia="Cambria" w:hAnsi="Times New Roman" w:cs="Times New Roman"/>
          <w:sz w:val="24"/>
        </w:rPr>
        <w:t xml:space="preserve">(= 1 </w:t>
      </w:r>
      <w:r w:rsidRPr="00FC7BB4">
        <w:rPr>
          <w:rFonts w:ascii="Times New Roman" w:hAnsi="Times New Roman" w:cs="Times New Roman"/>
          <w:sz w:val="24"/>
        </w:rPr>
        <w:t>if the firm reports a cost increase</w:t>
      </w:r>
      <w:r w:rsidRPr="00FC7BB4">
        <w:rPr>
          <w:rFonts w:ascii="Times New Roman" w:eastAsia="Cambria" w:hAnsi="Times New Roman" w:cs="Times New Roman"/>
          <w:i/>
          <w:sz w:val="24"/>
        </w:rPr>
        <w:t>,</w:t>
      </w:r>
      <w:r w:rsidRPr="00FC7BB4">
        <w:rPr>
          <w:rFonts w:ascii="Times New Roman" w:eastAsia="Cambria" w:hAnsi="Times New Roman" w:cs="Times New Roman"/>
          <w:sz w:val="24"/>
        </w:rPr>
        <w:t xml:space="preserve"> and = 0 </w:t>
      </w:r>
      <w:r w:rsidRPr="00FC7BB4">
        <w:rPr>
          <w:rFonts w:ascii="Times New Roman" w:hAnsi="Times New Roman" w:cs="Times New Roman"/>
          <w:sz w:val="24"/>
        </w:rPr>
        <w:t>otherwise</w:t>
      </w:r>
      <w:r w:rsidRPr="00FC7BB4">
        <w:rPr>
          <w:rFonts w:ascii="Times New Roman" w:eastAsia="Cambria" w:hAnsi="Times New Roman" w:cs="Times New Roman"/>
          <w:sz w:val="24"/>
        </w:rPr>
        <w:t>)</w:t>
      </w:r>
      <w:r w:rsidRPr="00FC7BB4">
        <w:rPr>
          <w:rFonts w:ascii="Times New Roman" w:eastAsia="Cambria" w:hAnsi="Times New Roman" w:cs="Times New Roman"/>
          <w:i/>
          <w:sz w:val="24"/>
        </w:rPr>
        <w:t xml:space="preserve">, </w:t>
      </w:r>
    </w:p>
    <w:p w14:paraId="2A57B227" w14:textId="77777777" w:rsidR="00FA0311" w:rsidRPr="00FC7BB4" w:rsidRDefault="00FA0311" w:rsidP="00F3101B">
      <w:pPr>
        <w:spacing w:after="0" w:line="360" w:lineRule="auto"/>
        <w:ind w:left="301" w:right="27" w:firstLine="0"/>
        <w:rPr>
          <w:rFonts w:ascii="Times New Roman" w:eastAsia="Cambria" w:hAnsi="Times New Roman" w:cs="Times New Roman"/>
          <w:i/>
          <w:sz w:val="24"/>
        </w:rPr>
      </w:pPr>
      <w:r w:rsidRPr="00FC7BB4">
        <w:rPr>
          <w:rFonts w:ascii="Times New Roman" w:eastAsia="Cambria" w:hAnsi="Times New Roman" w:cs="Times New Roman"/>
          <w:i/>
          <w:sz w:val="24"/>
        </w:rPr>
        <w:t xml:space="preserve">Dup </w:t>
      </w:r>
      <w:r w:rsidRPr="00FC7BB4">
        <w:rPr>
          <w:rFonts w:ascii="Times New Roman" w:eastAsia="Cambria" w:hAnsi="Times New Roman" w:cs="Times New Roman"/>
          <w:sz w:val="24"/>
        </w:rPr>
        <w:t xml:space="preserve">= </w:t>
      </w:r>
      <w:r w:rsidRPr="00FC7BB4">
        <w:rPr>
          <w:rFonts w:ascii="Times New Roman" w:hAnsi="Times New Roman" w:cs="Times New Roman"/>
          <w:sz w:val="24"/>
        </w:rPr>
        <w:t xml:space="preserve">demand increase </w:t>
      </w:r>
      <w:r w:rsidRPr="00FC7BB4">
        <w:rPr>
          <w:rFonts w:ascii="Times New Roman" w:eastAsia="Cambria" w:hAnsi="Times New Roman" w:cs="Times New Roman"/>
          <w:sz w:val="24"/>
        </w:rPr>
        <w:t xml:space="preserve">(= 1 </w:t>
      </w:r>
      <w:r w:rsidRPr="00FC7BB4">
        <w:rPr>
          <w:rFonts w:ascii="Times New Roman" w:hAnsi="Times New Roman" w:cs="Times New Roman"/>
          <w:sz w:val="24"/>
        </w:rPr>
        <w:t>if the firm reports a demand increase</w:t>
      </w:r>
      <w:r w:rsidRPr="00FC7BB4">
        <w:rPr>
          <w:rFonts w:ascii="Times New Roman" w:eastAsia="Cambria" w:hAnsi="Times New Roman" w:cs="Times New Roman"/>
          <w:iCs/>
          <w:sz w:val="24"/>
        </w:rPr>
        <w:t>, and</w:t>
      </w:r>
      <w:r w:rsidRPr="00FC7BB4">
        <w:rPr>
          <w:rFonts w:ascii="Times New Roman" w:eastAsia="Cambria" w:hAnsi="Times New Roman" w:cs="Times New Roman"/>
          <w:i/>
          <w:sz w:val="24"/>
        </w:rPr>
        <w:t xml:space="preserve"> </w:t>
      </w:r>
      <w:r w:rsidRPr="00FC7BB4">
        <w:rPr>
          <w:rFonts w:ascii="Times New Roman" w:eastAsia="Cambria" w:hAnsi="Times New Roman" w:cs="Times New Roman"/>
          <w:iCs/>
          <w:sz w:val="24"/>
        </w:rPr>
        <w:t>=</w:t>
      </w:r>
      <w:r w:rsidRPr="00FC7BB4">
        <w:rPr>
          <w:rFonts w:ascii="Times New Roman" w:eastAsia="Cambria" w:hAnsi="Times New Roman" w:cs="Times New Roman"/>
          <w:i/>
          <w:sz w:val="24"/>
        </w:rPr>
        <w:t xml:space="preserve"> </w:t>
      </w:r>
      <w:r w:rsidRPr="00FC7BB4">
        <w:rPr>
          <w:rFonts w:ascii="Times New Roman" w:eastAsia="Cambria" w:hAnsi="Times New Roman" w:cs="Times New Roman"/>
          <w:sz w:val="24"/>
        </w:rPr>
        <w:t xml:space="preserve">0 </w:t>
      </w:r>
      <w:r w:rsidRPr="00FC7BB4">
        <w:rPr>
          <w:rFonts w:ascii="Times New Roman" w:hAnsi="Times New Roman" w:cs="Times New Roman"/>
          <w:sz w:val="24"/>
        </w:rPr>
        <w:t>otherwise</w:t>
      </w:r>
      <w:r w:rsidRPr="00FC7BB4">
        <w:rPr>
          <w:rFonts w:ascii="Times New Roman" w:eastAsia="Cambria" w:hAnsi="Times New Roman" w:cs="Times New Roman"/>
          <w:sz w:val="24"/>
        </w:rPr>
        <w:t>)</w:t>
      </w:r>
      <w:r w:rsidRPr="00FC7BB4">
        <w:rPr>
          <w:rFonts w:ascii="Times New Roman" w:eastAsia="Cambria" w:hAnsi="Times New Roman" w:cs="Times New Roman"/>
          <w:i/>
          <w:sz w:val="24"/>
        </w:rPr>
        <w:t xml:space="preserve">, </w:t>
      </w:r>
    </w:p>
    <w:p w14:paraId="015A5DCF" w14:textId="77777777" w:rsidR="00FA0311" w:rsidRPr="00FC7BB4" w:rsidRDefault="00FA0311" w:rsidP="00F3101B">
      <w:pPr>
        <w:spacing w:after="0" w:line="360" w:lineRule="auto"/>
        <w:ind w:left="301" w:right="27" w:firstLine="0"/>
        <w:rPr>
          <w:rFonts w:ascii="Times New Roman" w:eastAsia="Cambria" w:hAnsi="Times New Roman" w:cs="Times New Roman"/>
          <w:i/>
          <w:sz w:val="24"/>
        </w:rPr>
      </w:pPr>
      <w:proofErr w:type="spellStart"/>
      <w:r w:rsidRPr="00FC7BB4">
        <w:rPr>
          <w:rFonts w:ascii="Times New Roman" w:eastAsia="Cambria" w:hAnsi="Times New Roman" w:cs="Times New Roman"/>
          <w:i/>
          <w:sz w:val="24"/>
        </w:rPr>
        <w:t>Cdn</w:t>
      </w:r>
      <w:proofErr w:type="spellEnd"/>
      <w:r w:rsidRPr="00FC7BB4">
        <w:rPr>
          <w:rFonts w:ascii="Times New Roman" w:eastAsia="Cambria" w:hAnsi="Times New Roman" w:cs="Times New Roman"/>
          <w:i/>
          <w:sz w:val="24"/>
        </w:rPr>
        <w:t xml:space="preserve"> </w:t>
      </w:r>
      <w:r w:rsidRPr="00FC7BB4">
        <w:rPr>
          <w:rFonts w:ascii="Times New Roman" w:eastAsia="Cambria" w:hAnsi="Times New Roman" w:cs="Times New Roman"/>
          <w:sz w:val="24"/>
        </w:rPr>
        <w:t xml:space="preserve">= </w:t>
      </w:r>
      <w:r w:rsidRPr="00FC7BB4">
        <w:rPr>
          <w:rFonts w:ascii="Times New Roman" w:hAnsi="Times New Roman" w:cs="Times New Roman"/>
          <w:sz w:val="24"/>
        </w:rPr>
        <w:t xml:space="preserve">cost decrease </w:t>
      </w:r>
      <w:r w:rsidRPr="00FC7BB4">
        <w:rPr>
          <w:rFonts w:ascii="Times New Roman" w:eastAsia="Cambria" w:hAnsi="Times New Roman" w:cs="Times New Roman"/>
          <w:sz w:val="24"/>
        </w:rPr>
        <w:t xml:space="preserve">(= −1 </w:t>
      </w:r>
      <w:r w:rsidRPr="00FC7BB4">
        <w:rPr>
          <w:rFonts w:ascii="Times New Roman" w:hAnsi="Times New Roman" w:cs="Times New Roman"/>
          <w:sz w:val="24"/>
        </w:rPr>
        <w:t>if the firm reports a cost decrease</w:t>
      </w:r>
      <w:r w:rsidRPr="00FC7BB4">
        <w:rPr>
          <w:rFonts w:ascii="Times New Roman" w:eastAsia="Cambria" w:hAnsi="Times New Roman" w:cs="Times New Roman"/>
          <w:i/>
          <w:sz w:val="24"/>
        </w:rPr>
        <w:t xml:space="preserve">, </w:t>
      </w:r>
      <w:r w:rsidRPr="00FC7BB4">
        <w:rPr>
          <w:rFonts w:ascii="Times New Roman" w:eastAsia="Cambria" w:hAnsi="Times New Roman" w:cs="Times New Roman"/>
          <w:iCs/>
          <w:sz w:val="24"/>
        </w:rPr>
        <w:t>and</w:t>
      </w:r>
      <w:r w:rsidRPr="00FC7BB4">
        <w:rPr>
          <w:rFonts w:ascii="Times New Roman" w:eastAsia="Cambria" w:hAnsi="Times New Roman" w:cs="Times New Roman"/>
          <w:i/>
          <w:sz w:val="24"/>
        </w:rPr>
        <w:t xml:space="preserve"> </w:t>
      </w:r>
      <w:r w:rsidRPr="00FC7BB4">
        <w:rPr>
          <w:rFonts w:ascii="Times New Roman" w:eastAsia="Cambria" w:hAnsi="Times New Roman" w:cs="Times New Roman"/>
          <w:sz w:val="24"/>
        </w:rPr>
        <w:t xml:space="preserve">= 0 </w:t>
      </w:r>
      <w:r w:rsidRPr="00FC7BB4">
        <w:rPr>
          <w:rFonts w:ascii="Times New Roman" w:hAnsi="Times New Roman" w:cs="Times New Roman"/>
          <w:sz w:val="24"/>
        </w:rPr>
        <w:t>otherwise</w:t>
      </w:r>
      <w:r w:rsidRPr="00FC7BB4">
        <w:rPr>
          <w:rFonts w:ascii="Times New Roman" w:eastAsia="Cambria" w:hAnsi="Times New Roman" w:cs="Times New Roman"/>
          <w:sz w:val="24"/>
        </w:rPr>
        <w:t>)</w:t>
      </w:r>
      <w:r w:rsidRPr="00FC7BB4">
        <w:rPr>
          <w:rFonts w:ascii="Times New Roman" w:eastAsia="Cambria" w:hAnsi="Times New Roman" w:cs="Times New Roman"/>
          <w:i/>
          <w:sz w:val="24"/>
        </w:rPr>
        <w:t xml:space="preserve">, </w:t>
      </w:r>
    </w:p>
    <w:p w14:paraId="02CD874C" w14:textId="77777777" w:rsidR="00FA0311" w:rsidRPr="00FC7BB4" w:rsidRDefault="00FA0311" w:rsidP="00F3101B">
      <w:pPr>
        <w:spacing w:after="0" w:line="360" w:lineRule="auto"/>
        <w:ind w:left="301" w:right="27" w:firstLine="0"/>
        <w:rPr>
          <w:rFonts w:ascii="Times New Roman" w:eastAsia="Cambria" w:hAnsi="Times New Roman" w:cs="Times New Roman"/>
          <w:i/>
          <w:sz w:val="24"/>
        </w:rPr>
      </w:pPr>
      <w:proofErr w:type="spellStart"/>
      <w:r w:rsidRPr="00FC7BB4">
        <w:rPr>
          <w:rFonts w:ascii="Times New Roman" w:eastAsia="Cambria" w:hAnsi="Times New Roman" w:cs="Times New Roman"/>
          <w:i/>
          <w:sz w:val="24"/>
        </w:rPr>
        <w:t>Ddn</w:t>
      </w:r>
      <w:proofErr w:type="spellEnd"/>
      <w:r w:rsidRPr="00FC7BB4">
        <w:rPr>
          <w:rFonts w:ascii="Times New Roman" w:eastAsia="Cambria" w:hAnsi="Times New Roman" w:cs="Times New Roman"/>
          <w:i/>
          <w:sz w:val="24"/>
        </w:rPr>
        <w:t xml:space="preserve"> </w:t>
      </w:r>
      <w:r w:rsidRPr="00FC7BB4">
        <w:rPr>
          <w:rFonts w:ascii="Times New Roman" w:eastAsia="Cambria" w:hAnsi="Times New Roman" w:cs="Times New Roman"/>
          <w:sz w:val="24"/>
        </w:rPr>
        <w:t xml:space="preserve">= </w:t>
      </w:r>
      <w:r w:rsidRPr="00FC7BB4">
        <w:rPr>
          <w:rFonts w:ascii="Times New Roman" w:hAnsi="Times New Roman" w:cs="Times New Roman"/>
          <w:sz w:val="24"/>
        </w:rPr>
        <w:t xml:space="preserve">demand decrease </w:t>
      </w:r>
      <w:r w:rsidRPr="00FC7BB4">
        <w:rPr>
          <w:rFonts w:ascii="Times New Roman" w:eastAsia="Cambria" w:hAnsi="Times New Roman" w:cs="Times New Roman"/>
          <w:sz w:val="24"/>
        </w:rPr>
        <w:t xml:space="preserve">(= −1 </w:t>
      </w:r>
      <w:r w:rsidRPr="00FC7BB4">
        <w:rPr>
          <w:rFonts w:ascii="Times New Roman" w:hAnsi="Times New Roman" w:cs="Times New Roman"/>
          <w:sz w:val="24"/>
        </w:rPr>
        <w:t>if the firm reports a demand decrease</w:t>
      </w:r>
      <w:r w:rsidRPr="00FC7BB4">
        <w:rPr>
          <w:rFonts w:ascii="Times New Roman" w:eastAsia="Cambria" w:hAnsi="Times New Roman" w:cs="Times New Roman"/>
          <w:i/>
          <w:sz w:val="24"/>
        </w:rPr>
        <w:t xml:space="preserve">, </w:t>
      </w:r>
      <w:r w:rsidRPr="00FC7BB4">
        <w:rPr>
          <w:rFonts w:ascii="Times New Roman" w:eastAsia="Cambria" w:hAnsi="Times New Roman" w:cs="Times New Roman"/>
          <w:sz w:val="24"/>
        </w:rPr>
        <w:t xml:space="preserve">and = 0 </w:t>
      </w:r>
      <w:r w:rsidRPr="00FC7BB4">
        <w:rPr>
          <w:rFonts w:ascii="Times New Roman" w:hAnsi="Times New Roman" w:cs="Times New Roman"/>
          <w:sz w:val="24"/>
        </w:rPr>
        <w:t>otherwise</w:t>
      </w:r>
      <w:proofErr w:type="gramStart"/>
      <w:r w:rsidRPr="00FC7BB4">
        <w:rPr>
          <w:rFonts w:ascii="Times New Roman" w:eastAsia="Cambria" w:hAnsi="Times New Roman" w:cs="Times New Roman"/>
          <w:sz w:val="24"/>
        </w:rPr>
        <w:t>)</w:t>
      </w:r>
      <w:r w:rsidRPr="00FC7BB4">
        <w:rPr>
          <w:rFonts w:ascii="Times New Roman" w:eastAsia="Cambria" w:hAnsi="Times New Roman" w:cs="Times New Roman"/>
          <w:i/>
          <w:sz w:val="24"/>
        </w:rPr>
        <w:t>;</w:t>
      </w:r>
      <w:proofErr w:type="gramEnd"/>
    </w:p>
    <w:p w14:paraId="21CC31D3" w14:textId="77777777" w:rsidR="00FA0311" w:rsidRPr="00FC7BB4" w:rsidRDefault="00FA0311" w:rsidP="00F3101B">
      <w:pPr>
        <w:spacing w:after="0" w:line="360" w:lineRule="auto"/>
        <w:ind w:left="301" w:right="27" w:firstLine="0"/>
        <w:rPr>
          <w:rFonts w:ascii="Times New Roman" w:eastAsia="Cambria" w:hAnsi="Times New Roman" w:cs="Times New Roman"/>
          <w:i/>
          <w:sz w:val="24"/>
        </w:rPr>
      </w:pPr>
      <w:r w:rsidRPr="00FC7BB4">
        <w:rPr>
          <w:rFonts w:ascii="Times New Roman" w:eastAsia="Cambria" w:hAnsi="Times New Roman" w:cs="Times New Roman"/>
          <w:i/>
          <w:sz w:val="24"/>
        </w:rPr>
        <w:t>π</w:t>
      </w:r>
      <w:r w:rsidRPr="00FC7BB4">
        <w:rPr>
          <w:rFonts w:ascii="Times New Roman" w:eastAsia="Cambria" w:hAnsi="Times New Roman" w:cs="Times New Roman"/>
          <w:i/>
          <w:sz w:val="24"/>
          <w:vertAlign w:val="subscript"/>
        </w:rPr>
        <w:t>t</w:t>
      </w:r>
      <w:r w:rsidRPr="00FC7BB4">
        <w:rPr>
          <w:rFonts w:ascii="Times New Roman" w:eastAsia="Cambria" w:hAnsi="Times New Roman" w:cs="Times New Roman"/>
          <w:i/>
          <w:sz w:val="24"/>
        </w:rPr>
        <w:t xml:space="preserve"> </w:t>
      </w:r>
      <w:r w:rsidRPr="00FC7BB4">
        <w:rPr>
          <w:rFonts w:ascii="Times New Roman" w:eastAsia="Cambria" w:hAnsi="Times New Roman" w:cs="Times New Roman"/>
          <w:i/>
          <w:sz w:val="24"/>
        </w:rPr>
        <w:tab/>
      </w:r>
      <w:r w:rsidRPr="00FC7BB4">
        <w:rPr>
          <w:rFonts w:ascii="Times New Roman" w:eastAsia="Cambria" w:hAnsi="Times New Roman" w:cs="Times New Roman"/>
          <w:sz w:val="24"/>
        </w:rPr>
        <w:t xml:space="preserve">= </w:t>
      </w:r>
      <w:r w:rsidRPr="00FC7BB4">
        <w:rPr>
          <w:rFonts w:ascii="Times New Roman" w:hAnsi="Times New Roman" w:cs="Times New Roman"/>
          <w:sz w:val="24"/>
        </w:rPr>
        <w:t xml:space="preserve">annual CPI inflation rate for the year to quarter </w:t>
      </w:r>
      <w:r w:rsidRPr="00FC7BB4">
        <w:rPr>
          <w:rFonts w:ascii="Times New Roman" w:hAnsi="Times New Roman" w:cs="Times New Roman"/>
          <w:i/>
          <w:iCs/>
          <w:sz w:val="24"/>
        </w:rPr>
        <w:t>t</w:t>
      </w:r>
      <w:r w:rsidRPr="00FC7BB4">
        <w:rPr>
          <w:rFonts w:ascii="Times New Roman" w:eastAsia="Cambria" w:hAnsi="Times New Roman" w:cs="Times New Roman"/>
          <w:i/>
          <w:sz w:val="24"/>
        </w:rPr>
        <w:t>.</w:t>
      </w:r>
    </w:p>
    <w:p w14:paraId="31A02802" w14:textId="77777777" w:rsidR="00FA0311" w:rsidRPr="00FC7BB4" w:rsidRDefault="00FA0311" w:rsidP="00F3101B">
      <w:pPr>
        <w:spacing w:after="120" w:line="360" w:lineRule="auto"/>
        <w:ind w:right="27" w:firstLine="272"/>
        <w:rPr>
          <w:rFonts w:ascii="Times New Roman" w:hAnsi="Times New Roman" w:cs="Times New Roman"/>
          <w:sz w:val="24"/>
        </w:rPr>
      </w:pPr>
      <w:r w:rsidRPr="00FC7BB4">
        <w:rPr>
          <w:rFonts w:ascii="Times New Roman" w:eastAsia="Cambria" w:hAnsi="Times New Roman" w:cs="Times New Roman"/>
          <w:i/>
          <w:sz w:val="24"/>
        </w:rPr>
        <w:t xml:space="preserve">Recent </w:t>
      </w:r>
      <w:r w:rsidRPr="00FC7BB4">
        <w:rPr>
          <w:rFonts w:ascii="Times New Roman" w:hAnsi="Times New Roman" w:cs="Times New Roman"/>
          <w:sz w:val="24"/>
        </w:rPr>
        <w:t xml:space="preserve">takes a value of one from 2011Q2, zero otherwise.  </w:t>
      </w:r>
    </w:p>
    <w:p w14:paraId="2DAD22D0" w14:textId="754A64AB" w:rsidR="00B90C5B" w:rsidRPr="00FC7BB4" w:rsidRDefault="00FA0311" w:rsidP="00F3101B">
      <w:pPr>
        <w:spacing w:after="0" w:line="360" w:lineRule="auto"/>
        <w:ind w:right="27"/>
        <w:rPr>
          <w:rFonts w:ascii="Times New Roman" w:hAnsi="Times New Roman" w:cs="Times New Roman"/>
          <w:sz w:val="24"/>
        </w:rPr>
      </w:pPr>
      <w:r w:rsidRPr="00FC7BB4">
        <w:rPr>
          <w:rFonts w:ascii="Times New Roman" w:hAnsi="Times New Roman" w:cs="Times New Roman"/>
          <w:sz w:val="24"/>
        </w:rPr>
        <w:t xml:space="preserve">In addition to estimating the parameters </w:t>
      </w:r>
      <w:r w:rsidRPr="00FC7BB4">
        <w:rPr>
          <w:rFonts w:ascii="Times New Roman" w:hAnsi="Times New Roman" w:cs="Times New Roman"/>
          <w:color w:val="auto"/>
          <w:sz w:val="24"/>
        </w:rPr>
        <w:t>set out in equation (</w:t>
      </w:r>
      <w:r w:rsidR="002D196F" w:rsidRPr="00FC7BB4">
        <w:rPr>
          <w:rFonts w:ascii="Times New Roman" w:hAnsi="Times New Roman" w:cs="Times New Roman"/>
          <w:color w:val="auto"/>
          <w:sz w:val="24"/>
        </w:rPr>
        <w:t>2</w:t>
      </w:r>
      <w:r w:rsidRPr="00FC7BB4">
        <w:rPr>
          <w:rFonts w:ascii="Times New Roman" w:hAnsi="Times New Roman" w:cs="Times New Roman"/>
          <w:color w:val="auto"/>
          <w:sz w:val="24"/>
        </w:rPr>
        <w:t xml:space="preserve">), there </w:t>
      </w:r>
      <w:r w:rsidRPr="00FC7BB4">
        <w:rPr>
          <w:rFonts w:ascii="Times New Roman" w:hAnsi="Times New Roman" w:cs="Times New Roman"/>
          <w:sz w:val="24"/>
        </w:rPr>
        <w:t xml:space="preserve">are two more parameters to estimate, </w:t>
      </w:r>
      <w:r w:rsidRPr="00FC7BB4">
        <w:rPr>
          <w:rFonts w:ascii="Times New Roman" w:eastAsia="Cambria" w:hAnsi="Times New Roman" w:cs="Times New Roman"/>
          <w:i/>
          <w:sz w:val="24"/>
        </w:rPr>
        <w:t>k</w:t>
      </w:r>
      <w:r w:rsidRPr="00FC7BB4">
        <w:rPr>
          <w:rFonts w:ascii="Times New Roman" w:eastAsia="Cambria" w:hAnsi="Times New Roman" w:cs="Times New Roman"/>
          <w:sz w:val="24"/>
          <w:vertAlign w:val="subscript"/>
        </w:rPr>
        <w:t xml:space="preserve">1 </w:t>
      </w:r>
      <w:r w:rsidRPr="00FC7BB4">
        <w:rPr>
          <w:rFonts w:ascii="Times New Roman" w:hAnsi="Times New Roman" w:cs="Times New Roman"/>
          <w:sz w:val="24"/>
        </w:rPr>
        <w:t xml:space="preserve">and </w:t>
      </w:r>
      <w:r w:rsidRPr="00FC7BB4">
        <w:rPr>
          <w:rFonts w:ascii="Times New Roman" w:eastAsia="Cambria" w:hAnsi="Times New Roman" w:cs="Times New Roman"/>
          <w:i/>
          <w:sz w:val="24"/>
        </w:rPr>
        <w:t>k</w:t>
      </w:r>
      <w:r w:rsidRPr="00FC7BB4">
        <w:rPr>
          <w:rFonts w:ascii="Times New Roman" w:eastAsia="Cambria" w:hAnsi="Times New Roman" w:cs="Times New Roman"/>
          <w:sz w:val="24"/>
          <w:vertAlign w:val="subscript"/>
        </w:rPr>
        <w:t xml:space="preserve">2, </w:t>
      </w:r>
      <w:r w:rsidRPr="00FC7BB4">
        <w:rPr>
          <w:rFonts w:ascii="Times New Roman" w:hAnsi="Times New Roman" w:cs="Times New Roman"/>
          <w:sz w:val="24"/>
        </w:rPr>
        <w:t xml:space="preserve">which define the threshold values. These threshold values partition the range of the unobservable index of the </w:t>
      </w:r>
      <w:r w:rsidR="00FA2DD0" w:rsidRPr="00FC7BB4">
        <w:rPr>
          <w:rFonts w:ascii="Times New Roman" w:hAnsi="Times New Roman" w:cs="Times New Roman"/>
          <w:sz w:val="24"/>
        </w:rPr>
        <w:t>pressure</w:t>
      </w:r>
      <w:r w:rsidRPr="00FC7BB4">
        <w:rPr>
          <w:rFonts w:ascii="Times New Roman" w:hAnsi="Times New Roman" w:cs="Times New Roman"/>
          <w:sz w:val="24"/>
        </w:rPr>
        <w:t xml:space="preserve"> to raise prices,</w:t>
      </w:r>
      <w:r w:rsidR="00B040BE" w:rsidRPr="00FC7BB4">
        <w:rPr>
          <w:rFonts w:ascii="Times New Roman" w:eastAsia="Cambria" w:hAnsi="Times New Roman" w:cs="Times New Roman"/>
          <w:i/>
          <w:sz w:val="24"/>
        </w:rPr>
        <w:t xml:space="preserve"> </w:t>
      </w:r>
      <w:proofErr w:type="spellStart"/>
      <w:proofErr w:type="gramStart"/>
      <w:r w:rsidR="00B040BE" w:rsidRPr="00FC7BB4">
        <w:rPr>
          <w:rFonts w:ascii="Times New Roman" w:eastAsia="Cambria" w:hAnsi="Times New Roman" w:cs="Times New Roman"/>
          <w:i/>
          <w:sz w:val="24"/>
        </w:rPr>
        <w:t>V</w:t>
      </w:r>
      <w:r w:rsidRPr="00FC7BB4">
        <w:rPr>
          <w:rFonts w:ascii="Times New Roman" w:eastAsia="Cambria" w:hAnsi="Times New Roman" w:cs="Times New Roman"/>
          <w:i/>
          <w:sz w:val="24"/>
          <w:vertAlign w:val="subscript"/>
        </w:rPr>
        <w:t>j</w:t>
      </w:r>
      <w:r w:rsidR="00ED3595" w:rsidRPr="00FC7BB4">
        <w:rPr>
          <w:rFonts w:ascii="Times New Roman" w:eastAsia="Cambria" w:hAnsi="Times New Roman" w:cs="Times New Roman"/>
          <w:i/>
          <w:sz w:val="24"/>
          <w:vertAlign w:val="subscript"/>
        </w:rPr>
        <w:t>,t</w:t>
      </w:r>
      <w:proofErr w:type="spellEnd"/>
      <w:proofErr w:type="gramEnd"/>
      <w:r w:rsidRPr="00FC7BB4">
        <w:rPr>
          <w:rFonts w:ascii="Times New Roman" w:hAnsi="Times New Roman" w:cs="Times New Roman"/>
          <w:sz w:val="24"/>
        </w:rPr>
        <w:t xml:space="preserve">, allowing the probabilities of a firm increasing, not changing, and decreasing prices to be defined as </w:t>
      </w:r>
      <w:proofErr w:type="spellStart"/>
      <w:proofErr w:type="gramStart"/>
      <w:r w:rsidRPr="00FC7BB4">
        <w:rPr>
          <w:rFonts w:ascii="Times New Roman" w:hAnsi="Times New Roman" w:cs="Times New Roman"/>
          <w:sz w:val="24"/>
        </w:rPr>
        <w:t>Pr</w:t>
      </w:r>
      <w:proofErr w:type="spellEnd"/>
      <w:r w:rsidRPr="00FC7BB4">
        <w:rPr>
          <w:rFonts w:ascii="Times New Roman" w:hAnsi="Times New Roman" w:cs="Times New Roman"/>
          <w:sz w:val="24"/>
        </w:rPr>
        <w:t>(</w:t>
      </w:r>
      <w:proofErr w:type="spellStart"/>
      <w:r w:rsidR="00B040BE" w:rsidRPr="00FC7BB4">
        <w:rPr>
          <w:rFonts w:ascii="Times New Roman" w:eastAsia="Cambria" w:hAnsi="Times New Roman" w:cs="Times New Roman"/>
          <w:i/>
          <w:sz w:val="24"/>
        </w:rPr>
        <w:t>V</w:t>
      </w:r>
      <w:r w:rsidR="00ED3595" w:rsidRPr="00FC7BB4">
        <w:rPr>
          <w:rFonts w:ascii="Times New Roman" w:eastAsia="Cambria" w:hAnsi="Times New Roman" w:cs="Times New Roman"/>
          <w:i/>
          <w:sz w:val="24"/>
          <w:vertAlign w:val="subscript"/>
        </w:rPr>
        <w:t>j,t</w:t>
      </w:r>
      <w:proofErr w:type="spellEnd"/>
      <w:proofErr w:type="gramEnd"/>
      <w:r w:rsidR="00ED3595" w:rsidRPr="00FC7BB4">
        <w:rPr>
          <w:rFonts w:ascii="Times New Roman" w:eastAsia="Cambria" w:hAnsi="Times New Roman" w:cs="Times New Roman"/>
          <w:i/>
          <w:sz w:val="24"/>
        </w:rPr>
        <w:t xml:space="preserve"> </w:t>
      </w:r>
      <w:r w:rsidRPr="00FC7BB4">
        <w:rPr>
          <w:rFonts w:ascii="Times New Roman" w:eastAsia="Cambria" w:hAnsi="Times New Roman" w:cs="Times New Roman"/>
          <w:i/>
          <w:sz w:val="24"/>
        </w:rPr>
        <w:t>&gt; k</w:t>
      </w:r>
      <w:r w:rsidRPr="00FC7BB4">
        <w:rPr>
          <w:rFonts w:ascii="Times New Roman" w:eastAsia="Cambria" w:hAnsi="Times New Roman" w:cs="Times New Roman"/>
          <w:sz w:val="24"/>
          <w:vertAlign w:val="subscript"/>
        </w:rPr>
        <w:t>1</w:t>
      </w:r>
      <w:r w:rsidRPr="00FC7BB4">
        <w:rPr>
          <w:rFonts w:ascii="Times New Roman" w:eastAsia="Cambria" w:hAnsi="Times New Roman" w:cs="Times New Roman"/>
          <w:sz w:val="24"/>
        </w:rPr>
        <w:t>)</w:t>
      </w:r>
      <w:r w:rsidRPr="00FC7BB4">
        <w:rPr>
          <w:rFonts w:ascii="Times New Roman" w:hAnsi="Times New Roman" w:cs="Times New Roman"/>
          <w:sz w:val="24"/>
        </w:rPr>
        <w:t xml:space="preserve">, </w:t>
      </w:r>
      <w:proofErr w:type="spellStart"/>
      <w:proofErr w:type="gramStart"/>
      <w:r w:rsidRPr="00FC7BB4">
        <w:rPr>
          <w:rFonts w:ascii="Times New Roman" w:hAnsi="Times New Roman" w:cs="Times New Roman"/>
          <w:sz w:val="24"/>
        </w:rPr>
        <w:t>Pr</w:t>
      </w:r>
      <w:proofErr w:type="spellEnd"/>
      <w:r w:rsidRPr="00FC7BB4">
        <w:rPr>
          <w:rFonts w:ascii="Times New Roman" w:hAnsi="Times New Roman" w:cs="Times New Roman"/>
          <w:sz w:val="24"/>
        </w:rPr>
        <w:t>(</w:t>
      </w:r>
      <w:proofErr w:type="gramEnd"/>
      <w:r w:rsidRPr="00FC7BB4">
        <w:rPr>
          <w:rFonts w:ascii="Times New Roman" w:eastAsia="Cambria" w:hAnsi="Times New Roman" w:cs="Times New Roman"/>
          <w:i/>
          <w:sz w:val="24"/>
        </w:rPr>
        <w:t>k</w:t>
      </w:r>
      <w:r w:rsidRPr="00FC7BB4">
        <w:rPr>
          <w:rFonts w:ascii="Times New Roman" w:eastAsia="Cambria" w:hAnsi="Times New Roman" w:cs="Times New Roman"/>
          <w:sz w:val="24"/>
          <w:vertAlign w:val="subscript"/>
        </w:rPr>
        <w:t xml:space="preserve">1 </w:t>
      </w:r>
      <w:r w:rsidRPr="00FC7BB4">
        <w:rPr>
          <w:rFonts w:ascii="Times New Roman" w:eastAsia="Cambria" w:hAnsi="Times New Roman" w:cs="Times New Roman"/>
          <w:i/>
          <w:sz w:val="24"/>
        </w:rPr>
        <w:t xml:space="preserve">&gt; </w:t>
      </w:r>
      <w:proofErr w:type="spellStart"/>
      <w:proofErr w:type="gramStart"/>
      <w:r w:rsidR="00B040BE" w:rsidRPr="00FC7BB4">
        <w:rPr>
          <w:rFonts w:ascii="Times New Roman" w:eastAsia="Cambria" w:hAnsi="Times New Roman" w:cs="Times New Roman"/>
          <w:i/>
          <w:sz w:val="24"/>
        </w:rPr>
        <w:t>V</w:t>
      </w:r>
      <w:r w:rsidR="00ED3595" w:rsidRPr="00FC7BB4">
        <w:rPr>
          <w:rFonts w:ascii="Times New Roman" w:eastAsia="Cambria" w:hAnsi="Times New Roman" w:cs="Times New Roman"/>
          <w:i/>
          <w:sz w:val="24"/>
          <w:vertAlign w:val="subscript"/>
        </w:rPr>
        <w:t>j,t</w:t>
      </w:r>
      <w:proofErr w:type="spellEnd"/>
      <w:proofErr w:type="gramEnd"/>
      <w:r w:rsidRPr="00FC7BB4">
        <w:rPr>
          <w:rFonts w:ascii="Times New Roman" w:eastAsia="Cambria" w:hAnsi="Times New Roman" w:cs="Times New Roman"/>
          <w:i/>
          <w:sz w:val="24"/>
          <w:vertAlign w:val="subscript"/>
        </w:rPr>
        <w:t xml:space="preserve"> </w:t>
      </w:r>
      <w:r w:rsidRPr="00FC7BB4">
        <w:rPr>
          <w:rFonts w:ascii="Times New Roman" w:eastAsia="Cambria" w:hAnsi="Times New Roman" w:cs="Times New Roman"/>
          <w:i/>
          <w:sz w:val="24"/>
        </w:rPr>
        <w:t>&gt; k</w:t>
      </w:r>
      <w:r w:rsidRPr="00FC7BB4">
        <w:rPr>
          <w:rFonts w:ascii="Times New Roman" w:eastAsia="Cambria" w:hAnsi="Times New Roman" w:cs="Times New Roman"/>
          <w:sz w:val="24"/>
          <w:vertAlign w:val="subscript"/>
        </w:rPr>
        <w:t>2</w:t>
      </w:r>
      <w:r w:rsidRPr="00FC7BB4">
        <w:rPr>
          <w:rFonts w:ascii="Times New Roman" w:eastAsia="Cambria" w:hAnsi="Times New Roman" w:cs="Times New Roman"/>
          <w:sz w:val="24"/>
        </w:rPr>
        <w:t xml:space="preserve">) </w:t>
      </w:r>
      <w:r w:rsidRPr="00FC7BB4">
        <w:rPr>
          <w:rFonts w:ascii="Times New Roman" w:hAnsi="Times New Roman" w:cs="Times New Roman"/>
          <w:sz w:val="24"/>
        </w:rPr>
        <w:t xml:space="preserve">and </w:t>
      </w:r>
      <w:proofErr w:type="spellStart"/>
      <w:proofErr w:type="gramStart"/>
      <w:r w:rsidRPr="00FC7BB4">
        <w:rPr>
          <w:rFonts w:ascii="Times New Roman" w:hAnsi="Times New Roman" w:cs="Times New Roman"/>
          <w:sz w:val="24"/>
        </w:rPr>
        <w:t>Pr</w:t>
      </w:r>
      <w:proofErr w:type="spellEnd"/>
      <w:r w:rsidRPr="00FC7BB4">
        <w:rPr>
          <w:rFonts w:ascii="Times New Roman" w:hAnsi="Times New Roman" w:cs="Times New Roman"/>
          <w:sz w:val="24"/>
        </w:rPr>
        <w:t>(</w:t>
      </w:r>
      <w:proofErr w:type="spellStart"/>
      <w:r w:rsidR="00B040BE" w:rsidRPr="00FC7BB4">
        <w:rPr>
          <w:rFonts w:ascii="Times New Roman" w:eastAsia="Cambria" w:hAnsi="Times New Roman" w:cs="Times New Roman"/>
          <w:i/>
          <w:sz w:val="24"/>
        </w:rPr>
        <w:t>V</w:t>
      </w:r>
      <w:r w:rsidR="00ED3595" w:rsidRPr="00FC7BB4">
        <w:rPr>
          <w:rFonts w:ascii="Times New Roman" w:eastAsia="Cambria" w:hAnsi="Times New Roman" w:cs="Times New Roman"/>
          <w:i/>
          <w:sz w:val="24"/>
          <w:vertAlign w:val="subscript"/>
        </w:rPr>
        <w:t>j,t</w:t>
      </w:r>
      <w:proofErr w:type="spellEnd"/>
      <w:proofErr w:type="gramEnd"/>
      <w:r w:rsidR="00ED3595" w:rsidRPr="00FC7BB4">
        <w:rPr>
          <w:rFonts w:ascii="Times New Roman" w:eastAsia="Cambria" w:hAnsi="Times New Roman" w:cs="Times New Roman"/>
          <w:i/>
          <w:sz w:val="24"/>
        </w:rPr>
        <w:t xml:space="preserve"> </w:t>
      </w:r>
      <w:r w:rsidRPr="00FC7BB4">
        <w:rPr>
          <w:rFonts w:ascii="Times New Roman" w:eastAsia="Cambria" w:hAnsi="Times New Roman" w:cs="Times New Roman"/>
          <w:i/>
          <w:sz w:val="24"/>
        </w:rPr>
        <w:t>&lt; k</w:t>
      </w:r>
      <w:r w:rsidRPr="00FC7BB4">
        <w:rPr>
          <w:rFonts w:ascii="Times New Roman" w:eastAsia="Cambria" w:hAnsi="Times New Roman" w:cs="Times New Roman"/>
          <w:sz w:val="24"/>
          <w:vertAlign w:val="subscript"/>
        </w:rPr>
        <w:t>2</w:t>
      </w:r>
      <w:r w:rsidRPr="00FC7BB4">
        <w:rPr>
          <w:rFonts w:ascii="Times New Roman" w:eastAsia="Cambria" w:hAnsi="Times New Roman" w:cs="Times New Roman"/>
          <w:sz w:val="24"/>
        </w:rPr>
        <w:t xml:space="preserve">) </w:t>
      </w:r>
      <w:r w:rsidRPr="00FC7BB4">
        <w:rPr>
          <w:rFonts w:ascii="Times New Roman" w:hAnsi="Times New Roman" w:cs="Times New Roman"/>
          <w:sz w:val="24"/>
        </w:rPr>
        <w:t>respectively.</w:t>
      </w:r>
    </w:p>
    <w:p w14:paraId="636549AD" w14:textId="77777777" w:rsidR="00F3101B" w:rsidRPr="00FC7BB4" w:rsidRDefault="00307155" w:rsidP="00F3101B">
      <w:pPr>
        <w:spacing w:after="0" w:line="360" w:lineRule="auto"/>
        <w:ind w:right="27"/>
        <w:rPr>
          <w:rFonts w:ascii="Times New Roman" w:hAnsi="Times New Roman" w:cs="Times New Roman"/>
          <w:sz w:val="24"/>
        </w:rPr>
      </w:pPr>
      <w:bookmarkStart w:id="60" w:name="_Hlk213168009"/>
      <w:r w:rsidRPr="00FC7BB4">
        <w:rPr>
          <w:rFonts w:ascii="Times New Roman" w:hAnsi="Times New Roman" w:cs="Times New Roman"/>
          <w:sz w:val="24"/>
        </w:rPr>
        <w:t>The specification of the ordered probit model is motivated by state-dependent pricing models</w:t>
      </w:r>
      <w:r w:rsidR="00CC7151" w:rsidRPr="00FC7BB4">
        <w:rPr>
          <w:rFonts w:ascii="Times New Roman" w:hAnsi="Times New Roman" w:cs="Times New Roman"/>
          <w:sz w:val="24"/>
        </w:rPr>
        <w:t>, in particular the model of Ball and Mankiw (1994a)</w:t>
      </w:r>
      <w:r w:rsidR="00F70E42" w:rsidRPr="00FC7BB4">
        <w:rPr>
          <w:rFonts w:ascii="Times New Roman" w:hAnsi="Times New Roman" w:cs="Times New Roman"/>
          <w:sz w:val="24"/>
        </w:rPr>
        <w:t>.</w:t>
      </w:r>
      <w:r w:rsidR="0064120A" w:rsidRPr="00FC7BB4">
        <w:rPr>
          <w:rFonts w:ascii="Times New Roman" w:hAnsi="Times New Roman" w:cs="Times New Roman"/>
          <w:sz w:val="24"/>
        </w:rPr>
        <w:t xml:space="preserve"> </w:t>
      </w:r>
      <w:r w:rsidR="00110ADC" w:rsidRPr="00FC7BB4">
        <w:rPr>
          <w:rFonts w:ascii="Times New Roman" w:hAnsi="Times New Roman" w:cs="Times New Roman"/>
          <w:sz w:val="24"/>
        </w:rPr>
        <w:t>In</w:t>
      </w:r>
      <w:r w:rsidR="00F70E42" w:rsidRPr="00FC7BB4">
        <w:rPr>
          <w:rFonts w:ascii="Times New Roman" w:hAnsi="Times New Roman" w:cs="Times New Roman"/>
          <w:sz w:val="24"/>
        </w:rPr>
        <w:t xml:space="preserve"> </w:t>
      </w:r>
      <w:r w:rsidR="00722C77" w:rsidRPr="00FC7BB4">
        <w:rPr>
          <w:rFonts w:ascii="Times New Roman" w:hAnsi="Times New Roman" w:cs="Times New Roman"/>
          <w:sz w:val="24"/>
        </w:rPr>
        <w:t xml:space="preserve">the </w:t>
      </w:r>
      <w:r w:rsidR="00F70E42" w:rsidRPr="00FC7BB4">
        <w:rPr>
          <w:rFonts w:ascii="Times New Roman" w:hAnsi="Times New Roman" w:cs="Times New Roman"/>
          <w:sz w:val="24"/>
        </w:rPr>
        <w:t xml:space="preserve">Ball and Mankiw </w:t>
      </w:r>
      <w:r w:rsidR="00B040BE" w:rsidRPr="00FC7BB4">
        <w:rPr>
          <w:rFonts w:ascii="Times New Roman" w:hAnsi="Times New Roman" w:cs="Times New Roman"/>
          <w:sz w:val="24"/>
        </w:rPr>
        <w:t>model</w:t>
      </w:r>
      <w:r w:rsidR="00110ADC" w:rsidRPr="00FC7BB4">
        <w:rPr>
          <w:rFonts w:ascii="Times New Roman" w:hAnsi="Times New Roman" w:cs="Times New Roman"/>
          <w:sz w:val="24"/>
        </w:rPr>
        <w:t>,</w:t>
      </w:r>
      <w:r w:rsidR="00722C77" w:rsidRPr="00FC7BB4">
        <w:rPr>
          <w:rFonts w:ascii="Times New Roman" w:hAnsi="Times New Roman" w:cs="Times New Roman"/>
          <w:sz w:val="24"/>
        </w:rPr>
        <w:t xml:space="preserve"> </w:t>
      </w:r>
      <w:r w:rsidR="00FB644D" w:rsidRPr="00FC7BB4">
        <w:rPr>
          <w:rFonts w:ascii="Cambria Math" w:hAnsi="Cambria Math" w:cs="Cambria Math"/>
          <w:sz w:val="24"/>
        </w:rPr>
        <w:t>𝜃</w:t>
      </w:r>
      <w:r w:rsidR="00782AAD" w:rsidRPr="00FC7BB4">
        <w:rPr>
          <w:rFonts w:ascii="Times New Roman" w:hAnsi="Times New Roman" w:cs="Times New Roman"/>
          <w:sz w:val="24"/>
        </w:rPr>
        <w:t xml:space="preserve"> </w:t>
      </w:r>
      <w:r w:rsidR="00110ADC" w:rsidRPr="00FC7BB4">
        <w:rPr>
          <w:rFonts w:ascii="Times New Roman" w:hAnsi="Times New Roman" w:cs="Times New Roman"/>
          <w:sz w:val="24"/>
        </w:rPr>
        <w:t>is defined</w:t>
      </w:r>
      <w:r w:rsidR="004422A4" w:rsidRPr="00FC7BB4">
        <w:rPr>
          <w:rFonts w:ascii="Times New Roman" w:hAnsi="Times New Roman" w:cs="Times New Roman"/>
          <w:sz w:val="24"/>
        </w:rPr>
        <w:t xml:space="preserve"> as</w:t>
      </w:r>
      <w:r w:rsidR="00782AAD" w:rsidRPr="00FC7BB4">
        <w:rPr>
          <w:rFonts w:ascii="Times New Roman" w:hAnsi="Times New Roman" w:cs="Times New Roman"/>
          <w:sz w:val="24"/>
        </w:rPr>
        <w:t xml:space="preserve"> </w:t>
      </w:r>
      <w:r w:rsidR="00635B2A" w:rsidRPr="00FC7BB4">
        <w:rPr>
          <w:rFonts w:ascii="Times New Roman" w:hAnsi="Times New Roman" w:cs="Times New Roman"/>
          <w:sz w:val="24"/>
        </w:rPr>
        <w:t>the desired relative price</w:t>
      </w:r>
      <w:r w:rsidR="0094612C" w:rsidRPr="00FC7BB4">
        <w:rPr>
          <w:rFonts w:ascii="Times New Roman" w:hAnsi="Times New Roman" w:cs="Times New Roman"/>
          <w:sz w:val="24"/>
        </w:rPr>
        <w:t xml:space="preserve"> and </w:t>
      </w:r>
      <w:r w:rsidR="00D30F7A" w:rsidRPr="00FC7BB4">
        <w:rPr>
          <w:rFonts w:ascii="Times New Roman" w:hAnsi="Times New Roman" w:cs="Times New Roman"/>
          <w:i/>
          <w:iCs/>
          <w:sz w:val="24"/>
        </w:rPr>
        <w:t>q*</w:t>
      </w:r>
      <w:r w:rsidR="005B4C2E" w:rsidRPr="00FC7BB4">
        <w:rPr>
          <w:rFonts w:ascii="Times New Roman" w:hAnsi="Times New Roman" w:cs="Times New Roman"/>
          <w:i/>
          <w:iCs/>
          <w:sz w:val="24"/>
        </w:rPr>
        <w:t>=</w:t>
      </w:r>
      <w:r w:rsidR="005B4C2E" w:rsidRPr="00FC7BB4">
        <w:rPr>
          <w:rFonts w:ascii="Times New Roman" w:hAnsi="Times New Roman" w:cs="Times New Roman"/>
          <w:sz w:val="24"/>
        </w:rPr>
        <w:t xml:space="preserve"> </w:t>
      </w:r>
      <w:r w:rsidR="005B4C2E" w:rsidRPr="00FC7BB4">
        <w:rPr>
          <w:rFonts w:ascii="Times New Roman" w:hAnsi="Times New Roman" w:cs="Times New Roman"/>
          <w:i/>
          <w:iCs/>
          <w:sz w:val="24"/>
        </w:rPr>
        <w:t>p</w:t>
      </w:r>
      <w:r w:rsidR="005B4C2E" w:rsidRPr="00FC7BB4">
        <w:rPr>
          <w:rFonts w:ascii="Times New Roman" w:hAnsi="Times New Roman" w:cs="Times New Roman"/>
          <w:sz w:val="24"/>
        </w:rPr>
        <w:t>+</w:t>
      </w:r>
      <w:r w:rsidR="00FB644D" w:rsidRPr="00FC7BB4">
        <w:rPr>
          <w:rFonts w:ascii="Cambria Math" w:hAnsi="Cambria Math" w:cs="Cambria Math"/>
          <w:sz w:val="24"/>
        </w:rPr>
        <w:t>𝜃</w:t>
      </w:r>
      <w:r w:rsidR="005B4C2E" w:rsidRPr="00FC7BB4">
        <w:rPr>
          <w:rFonts w:ascii="Times New Roman" w:hAnsi="Times New Roman" w:cs="Times New Roman"/>
          <w:sz w:val="24"/>
        </w:rPr>
        <w:t xml:space="preserve"> </w:t>
      </w:r>
      <w:r w:rsidR="00D30F7A" w:rsidRPr="00FC7BB4">
        <w:rPr>
          <w:rFonts w:ascii="Times New Roman" w:hAnsi="Times New Roman" w:cs="Times New Roman"/>
          <w:sz w:val="24"/>
        </w:rPr>
        <w:t xml:space="preserve">as the </w:t>
      </w:r>
      <w:r w:rsidR="005B4C2E" w:rsidRPr="00FC7BB4">
        <w:rPr>
          <w:rFonts w:ascii="Times New Roman" w:hAnsi="Times New Roman" w:cs="Times New Roman"/>
          <w:sz w:val="24"/>
        </w:rPr>
        <w:t xml:space="preserve">desired nominal price, where </w:t>
      </w:r>
      <w:r w:rsidR="005B4C2E" w:rsidRPr="00FC7BB4">
        <w:rPr>
          <w:rFonts w:ascii="Times New Roman" w:hAnsi="Times New Roman" w:cs="Times New Roman"/>
          <w:i/>
          <w:iCs/>
          <w:sz w:val="24"/>
        </w:rPr>
        <w:t>p</w:t>
      </w:r>
      <w:r w:rsidR="005B4C2E" w:rsidRPr="00FC7BB4">
        <w:rPr>
          <w:rFonts w:ascii="Times New Roman" w:hAnsi="Times New Roman" w:cs="Times New Roman"/>
          <w:sz w:val="24"/>
        </w:rPr>
        <w:t xml:space="preserve"> is the </w:t>
      </w:r>
      <w:r w:rsidR="00026367" w:rsidRPr="00FC7BB4">
        <w:rPr>
          <w:rFonts w:ascii="Times New Roman" w:hAnsi="Times New Roman" w:cs="Times New Roman"/>
          <w:sz w:val="24"/>
        </w:rPr>
        <w:t xml:space="preserve">overall </w:t>
      </w:r>
      <w:r w:rsidR="005B4C2E" w:rsidRPr="00FC7BB4">
        <w:rPr>
          <w:rFonts w:ascii="Times New Roman" w:hAnsi="Times New Roman" w:cs="Times New Roman"/>
          <w:sz w:val="24"/>
        </w:rPr>
        <w:t xml:space="preserve">price </w:t>
      </w:r>
      <w:r w:rsidR="00925F3B" w:rsidRPr="00FC7BB4">
        <w:rPr>
          <w:rFonts w:ascii="Times New Roman" w:hAnsi="Times New Roman" w:cs="Times New Roman"/>
          <w:sz w:val="24"/>
        </w:rPr>
        <w:t xml:space="preserve">level. </w:t>
      </w:r>
      <w:r w:rsidR="008607BA" w:rsidRPr="00FC7BB4">
        <w:rPr>
          <w:rFonts w:ascii="Times New Roman" w:hAnsi="Times New Roman" w:cs="Times New Roman"/>
          <w:sz w:val="24"/>
        </w:rPr>
        <w:t>T</w:t>
      </w:r>
      <w:r w:rsidR="00024530" w:rsidRPr="00FC7BB4">
        <w:rPr>
          <w:rFonts w:ascii="Times New Roman" w:hAnsi="Times New Roman" w:cs="Times New Roman"/>
          <w:sz w:val="24"/>
        </w:rPr>
        <w:t>he</w:t>
      </w:r>
      <w:r w:rsidR="00B040BE" w:rsidRPr="00FC7BB4">
        <w:rPr>
          <w:rFonts w:ascii="Times New Roman" w:hAnsi="Times New Roman" w:cs="Times New Roman"/>
          <w:sz w:val="24"/>
        </w:rPr>
        <w:t xml:space="preserve">ir </w:t>
      </w:r>
      <w:r w:rsidR="00024530" w:rsidRPr="00FC7BB4">
        <w:rPr>
          <w:rFonts w:ascii="Times New Roman" w:hAnsi="Times New Roman" w:cs="Times New Roman"/>
          <w:sz w:val="24"/>
        </w:rPr>
        <w:t>model</w:t>
      </w:r>
      <w:r w:rsidR="008607BA" w:rsidRPr="00FC7BB4">
        <w:rPr>
          <w:rFonts w:ascii="Times New Roman" w:hAnsi="Times New Roman" w:cs="Times New Roman"/>
          <w:sz w:val="24"/>
        </w:rPr>
        <w:t xml:space="preserve"> </w:t>
      </w:r>
      <w:r w:rsidR="00F70E42" w:rsidRPr="00FC7BB4">
        <w:rPr>
          <w:rFonts w:ascii="Times New Roman" w:hAnsi="Times New Roman" w:cs="Times New Roman"/>
          <w:sz w:val="24"/>
        </w:rPr>
        <w:t>predicts that a firm will not change price</w:t>
      </w:r>
      <w:r w:rsidR="00E326D7" w:rsidRPr="00FC7BB4">
        <w:rPr>
          <w:rFonts w:ascii="Times New Roman" w:hAnsi="Times New Roman" w:cs="Times New Roman"/>
          <w:sz w:val="24"/>
        </w:rPr>
        <w:t>s</w:t>
      </w:r>
      <w:r w:rsidR="00F70E42" w:rsidRPr="00FC7BB4">
        <w:rPr>
          <w:rFonts w:ascii="Times New Roman" w:hAnsi="Times New Roman" w:cs="Times New Roman"/>
          <w:sz w:val="24"/>
        </w:rPr>
        <w:t xml:space="preserve"> if</w:t>
      </w:r>
      <w:r w:rsidR="001D3506" w:rsidRPr="00FC7BB4">
        <w:rPr>
          <w:rFonts w:ascii="Times New Roman" w:hAnsi="Times New Roman" w:cs="Times New Roman"/>
          <w:sz w:val="24"/>
        </w:rPr>
        <w:t>:</w:t>
      </w:r>
    </w:p>
    <w:p w14:paraId="4A9E318F" w14:textId="6DAD22B7" w:rsidR="005E2B34" w:rsidRPr="00FC7BB4" w:rsidRDefault="00B040BE" w:rsidP="00F3101B">
      <w:pPr>
        <w:spacing w:after="0" w:line="360" w:lineRule="auto"/>
        <w:ind w:left="3600" w:right="27" w:firstLine="720"/>
        <w:rPr>
          <w:rFonts w:ascii="Times New Roman" w:hAnsi="Times New Roman" w:cs="Times New Roman"/>
          <w:sz w:val="24"/>
        </w:rPr>
      </w:pPr>
      <w:bookmarkStart w:id="61" w:name="_Hlk213168016"/>
      <w:bookmarkEnd w:id="60"/>
      <m:oMath>
        <m:r>
          <w:rPr>
            <w:rFonts w:ascii="Cambria Math" w:hAnsi="Cambria Math" w:cs="Times New Roman"/>
            <w:sz w:val="24"/>
          </w:rPr>
          <m:t>AC&gt;</m:t>
        </m:r>
        <m:sSup>
          <m:sSupPr>
            <m:ctrlPr>
              <w:rPr>
                <w:rFonts w:ascii="Cambria Math" w:hAnsi="Cambria Math" w:cs="Times New Roman"/>
                <w:i/>
                <w:sz w:val="24"/>
              </w:rPr>
            </m:ctrlPr>
          </m:sSupPr>
          <m:e>
            <m:d>
              <m:dPr>
                <m:ctrlPr>
                  <w:rPr>
                    <w:rFonts w:ascii="Cambria Math" w:hAnsi="Cambria Math" w:cs="Times New Roman"/>
                    <w:i/>
                    <w:sz w:val="24"/>
                  </w:rPr>
                </m:ctrlPr>
              </m:dPr>
              <m:e>
                <m:r>
                  <w:rPr>
                    <w:rFonts w:ascii="Cambria Math" w:hAnsi="Cambria Math" w:cs="Times New Roman"/>
                    <w:sz w:val="24"/>
                  </w:rPr>
                  <m:t xml:space="preserve">θ+ </m:t>
                </m:r>
                <m:f>
                  <m:fPr>
                    <m:ctrlPr>
                      <w:rPr>
                        <w:rFonts w:ascii="Cambria Math" w:hAnsi="Cambria Math" w:cs="Times New Roman"/>
                        <w:i/>
                        <w:sz w:val="24"/>
                      </w:rPr>
                    </m:ctrlPr>
                  </m:fPr>
                  <m:num>
                    <m:r>
                      <w:rPr>
                        <w:rFonts w:ascii="Cambria Math" w:hAnsi="Cambria Math" w:cs="Times New Roman"/>
                        <w:sz w:val="24"/>
                      </w:rPr>
                      <m:t>π</m:t>
                    </m:r>
                  </m:num>
                  <m:den>
                    <m:r>
                      <w:rPr>
                        <w:rFonts w:ascii="Cambria Math" w:hAnsi="Cambria Math" w:cs="Times New Roman"/>
                        <w:sz w:val="24"/>
                      </w:rPr>
                      <m:t>2</m:t>
                    </m:r>
                  </m:den>
                </m:f>
              </m:e>
            </m:d>
          </m:e>
          <m:sup>
            <m:r>
              <w:rPr>
                <w:rFonts w:ascii="Cambria Math" w:hAnsi="Cambria Math" w:cs="Times New Roman"/>
                <w:sz w:val="24"/>
              </w:rPr>
              <m:t>2</m:t>
            </m:r>
          </m:sup>
        </m:sSup>
      </m:oMath>
      <w:r w:rsidR="00FC3255" w:rsidRPr="00FC7BB4">
        <w:rPr>
          <w:rFonts w:ascii="Times New Roman" w:hAnsi="Times New Roman" w:cs="Times New Roman"/>
          <w:sz w:val="24"/>
        </w:rPr>
        <w:tab/>
      </w:r>
      <w:r w:rsidR="00FC3255" w:rsidRPr="00FC7BB4">
        <w:rPr>
          <w:rFonts w:ascii="Times New Roman" w:hAnsi="Times New Roman" w:cs="Times New Roman"/>
          <w:sz w:val="24"/>
        </w:rPr>
        <w:tab/>
      </w:r>
      <w:r w:rsidR="00FC3255" w:rsidRPr="00FC7BB4">
        <w:rPr>
          <w:rFonts w:ascii="Times New Roman" w:hAnsi="Times New Roman" w:cs="Times New Roman"/>
          <w:sz w:val="24"/>
        </w:rPr>
        <w:tab/>
      </w:r>
      <w:r w:rsidR="00F3101B" w:rsidRPr="00FC7BB4">
        <w:rPr>
          <w:rFonts w:ascii="Times New Roman" w:hAnsi="Times New Roman" w:cs="Times New Roman"/>
          <w:sz w:val="24"/>
        </w:rPr>
        <w:t xml:space="preserve">             </w:t>
      </w:r>
      <w:r w:rsidR="00FC3255" w:rsidRPr="00FC7BB4">
        <w:rPr>
          <w:rFonts w:ascii="Times New Roman" w:hAnsi="Times New Roman" w:cs="Times New Roman"/>
          <w:sz w:val="24"/>
        </w:rPr>
        <w:tab/>
      </w:r>
      <w:r w:rsidR="00300158" w:rsidRPr="00FC7BB4">
        <w:rPr>
          <w:rFonts w:ascii="Times New Roman" w:hAnsi="Times New Roman" w:cs="Times New Roman"/>
          <w:sz w:val="24"/>
        </w:rPr>
        <w:t xml:space="preserve">  </w:t>
      </w:r>
      <w:r w:rsidR="00FC3255" w:rsidRPr="00FC7BB4">
        <w:rPr>
          <w:rFonts w:ascii="Times New Roman" w:hAnsi="Times New Roman" w:cs="Times New Roman"/>
          <w:sz w:val="24"/>
        </w:rPr>
        <w:t>(</w:t>
      </w:r>
      <w:r w:rsidR="0033019F" w:rsidRPr="00FC7BB4">
        <w:rPr>
          <w:rFonts w:ascii="Times New Roman" w:hAnsi="Times New Roman" w:cs="Times New Roman"/>
          <w:sz w:val="24"/>
        </w:rPr>
        <w:t>3</w:t>
      </w:r>
      <w:r w:rsidR="00F3101B" w:rsidRPr="00FC7BB4">
        <w:rPr>
          <w:rFonts w:ascii="Times New Roman" w:hAnsi="Times New Roman" w:cs="Times New Roman"/>
          <w:sz w:val="24"/>
        </w:rPr>
        <w:t>)</w:t>
      </w:r>
    </w:p>
    <w:p w14:paraId="76EEA2D4" w14:textId="6C4790C1" w:rsidR="009A362F" w:rsidRPr="00FC7BB4" w:rsidRDefault="00B040BE" w:rsidP="00F3101B">
      <w:pPr>
        <w:spacing w:line="331" w:lineRule="auto"/>
        <w:ind w:right="27" w:firstLine="0"/>
        <w:rPr>
          <w:rFonts w:ascii="Times New Roman" w:hAnsi="Times New Roman" w:cs="Times New Roman"/>
          <w:sz w:val="24"/>
        </w:rPr>
      </w:pPr>
      <w:bookmarkStart w:id="62" w:name="_Hlk213168035"/>
      <w:bookmarkEnd w:id="61"/>
      <w:r w:rsidRPr="00FC7BB4">
        <w:rPr>
          <w:rFonts w:ascii="Times New Roman" w:hAnsi="Times New Roman" w:cs="Times New Roman"/>
          <w:sz w:val="24"/>
        </w:rPr>
        <w:t>where</w:t>
      </w:r>
      <w:r w:rsidR="00505FF2" w:rsidRPr="00FC7BB4">
        <w:rPr>
          <w:rFonts w:ascii="Times New Roman" w:hAnsi="Times New Roman" w:cs="Times New Roman"/>
          <w:sz w:val="24"/>
        </w:rPr>
        <w:t xml:space="preserve"> </w:t>
      </w:r>
      <w:r w:rsidRPr="00FC7BB4">
        <w:rPr>
          <w:rFonts w:ascii="Times New Roman" w:hAnsi="Times New Roman" w:cs="Times New Roman"/>
          <w:i/>
          <w:iCs/>
          <w:sz w:val="24"/>
        </w:rPr>
        <w:t>AC</w:t>
      </w:r>
      <w:r w:rsidR="00505FF2" w:rsidRPr="00FC7BB4">
        <w:rPr>
          <w:rFonts w:ascii="Times New Roman" w:hAnsi="Times New Roman" w:cs="Times New Roman"/>
          <w:sz w:val="24"/>
        </w:rPr>
        <w:t xml:space="preserve"> = costs of price adjustment</w:t>
      </w:r>
      <w:r w:rsidR="00360E5F" w:rsidRPr="00FC7BB4">
        <w:rPr>
          <w:rFonts w:ascii="Times New Roman" w:hAnsi="Times New Roman" w:cs="Times New Roman"/>
          <w:sz w:val="24"/>
        </w:rPr>
        <w:t xml:space="preserve"> and</w:t>
      </w:r>
      <w:r w:rsidR="00505FF2" w:rsidRPr="00FC7BB4">
        <w:rPr>
          <w:rFonts w:ascii="Times New Roman" w:hAnsi="Times New Roman" w:cs="Times New Roman"/>
          <w:sz w:val="24"/>
        </w:rPr>
        <w:t xml:space="preserve"> </w:t>
      </w:r>
      <w:r w:rsidR="00505FF2" w:rsidRPr="00FC7BB4">
        <w:rPr>
          <w:rFonts w:ascii="Times New Roman" w:hAnsi="Times New Roman" w:cs="Times New Roman"/>
          <w:i/>
          <w:iCs/>
          <w:sz w:val="24"/>
        </w:rPr>
        <w:t>π</w:t>
      </w:r>
      <w:r w:rsidR="00505FF2" w:rsidRPr="00FC7BB4">
        <w:rPr>
          <w:rFonts w:ascii="Times New Roman" w:hAnsi="Times New Roman" w:cs="Times New Roman"/>
          <w:sz w:val="24"/>
        </w:rPr>
        <w:t xml:space="preserve"> is inflation.</w:t>
      </w:r>
      <w:r w:rsidR="00B86546" w:rsidRPr="00FC7BB4">
        <w:rPr>
          <w:rStyle w:val="FootnoteReference"/>
          <w:rFonts w:ascii="Times New Roman" w:hAnsi="Times New Roman" w:cs="Times New Roman"/>
          <w:sz w:val="24"/>
        </w:rPr>
        <w:footnoteReference w:id="20"/>
      </w:r>
      <w:r w:rsidR="00505FF2" w:rsidRPr="00FC7BB4">
        <w:rPr>
          <w:rFonts w:ascii="Times New Roman" w:hAnsi="Times New Roman" w:cs="Times New Roman"/>
          <w:sz w:val="24"/>
        </w:rPr>
        <w:t xml:space="preserve"> </w:t>
      </w:r>
      <w:r w:rsidR="005E52CB" w:rsidRPr="00FC7BB4">
        <w:rPr>
          <w:rFonts w:ascii="Times New Roman" w:hAnsi="Times New Roman" w:cs="Times New Roman"/>
          <w:sz w:val="24"/>
        </w:rPr>
        <w:t>Equation (</w:t>
      </w:r>
      <w:r w:rsidR="00277239" w:rsidRPr="00FC7BB4">
        <w:rPr>
          <w:rFonts w:ascii="Times New Roman" w:hAnsi="Times New Roman" w:cs="Times New Roman"/>
          <w:sz w:val="24"/>
        </w:rPr>
        <w:t>3</w:t>
      </w:r>
      <w:r w:rsidR="005E52CB" w:rsidRPr="00FC7BB4">
        <w:rPr>
          <w:rFonts w:ascii="Times New Roman" w:hAnsi="Times New Roman" w:cs="Times New Roman"/>
          <w:sz w:val="24"/>
        </w:rPr>
        <w:t>) suggests f</w:t>
      </w:r>
      <w:r w:rsidR="001A0B4D" w:rsidRPr="00FC7BB4">
        <w:rPr>
          <w:rFonts w:ascii="Times New Roman" w:hAnsi="Times New Roman" w:cs="Times New Roman"/>
          <w:sz w:val="24"/>
        </w:rPr>
        <w:t>or a given cost of price adjustment (</w:t>
      </w:r>
      <w:proofErr w:type="gramStart"/>
      <w:r w:rsidR="000264C4" w:rsidRPr="00FC7BB4">
        <w:rPr>
          <w:rFonts w:ascii="Times New Roman" w:hAnsi="Times New Roman" w:cs="Times New Roman"/>
          <w:i/>
          <w:iCs/>
          <w:sz w:val="24"/>
        </w:rPr>
        <w:t xml:space="preserve">AC </w:t>
      </w:r>
      <w:r w:rsidR="001A0B4D" w:rsidRPr="00FC7BB4">
        <w:rPr>
          <w:rFonts w:ascii="Times New Roman" w:hAnsi="Times New Roman" w:cs="Times New Roman"/>
          <w:sz w:val="24"/>
        </w:rPr>
        <w:t>)</w:t>
      </w:r>
      <w:proofErr w:type="gramEnd"/>
      <w:r w:rsidR="001A0B4D" w:rsidRPr="00FC7BB4">
        <w:rPr>
          <w:rFonts w:ascii="Times New Roman" w:hAnsi="Times New Roman" w:cs="Times New Roman"/>
          <w:sz w:val="24"/>
        </w:rPr>
        <w:t>, as inflation rises</w:t>
      </w:r>
      <w:r w:rsidR="000264C4" w:rsidRPr="00FC7BB4">
        <w:rPr>
          <w:rFonts w:ascii="Times New Roman" w:hAnsi="Times New Roman" w:cs="Times New Roman"/>
          <w:sz w:val="24"/>
        </w:rPr>
        <w:t xml:space="preserve"> </w:t>
      </w:r>
      <w:r w:rsidR="001A0B4D" w:rsidRPr="00FC7BB4">
        <w:rPr>
          <w:rFonts w:ascii="Times New Roman" w:hAnsi="Times New Roman" w:cs="Times New Roman"/>
          <w:sz w:val="24"/>
        </w:rPr>
        <w:t>the probability of price adjustment</w:t>
      </w:r>
      <w:r w:rsidR="00C72993" w:rsidRPr="00FC7BB4">
        <w:rPr>
          <w:rFonts w:ascii="Times New Roman" w:hAnsi="Times New Roman" w:cs="Times New Roman"/>
          <w:sz w:val="24"/>
        </w:rPr>
        <w:t xml:space="preserve"> </w:t>
      </w:r>
      <w:r w:rsidR="001A0B4D" w:rsidRPr="00FC7BB4">
        <w:rPr>
          <w:rFonts w:ascii="Times New Roman" w:hAnsi="Times New Roman" w:cs="Times New Roman"/>
          <w:sz w:val="24"/>
        </w:rPr>
        <w:t xml:space="preserve">will depend on the </w:t>
      </w:r>
      <w:r w:rsidR="004C2F8E" w:rsidRPr="00FC7BB4">
        <w:rPr>
          <w:rFonts w:ascii="Times New Roman" w:hAnsi="Times New Roman" w:cs="Times New Roman"/>
          <w:sz w:val="24"/>
        </w:rPr>
        <w:t>sign</w:t>
      </w:r>
      <w:r w:rsidR="001A0B4D" w:rsidRPr="00FC7BB4">
        <w:rPr>
          <w:rFonts w:ascii="Times New Roman" w:hAnsi="Times New Roman" w:cs="Times New Roman"/>
          <w:sz w:val="24"/>
        </w:rPr>
        <w:t xml:space="preserve"> of the shock to</w:t>
      </w:r>
      <w:r w:rsidR="007D038B" w:rsidRPr="00FC7BB4">
        <w:rPr>
          <w:rFonts w:ascii="Times New Roman" w:hAnsi="Times New Roman" w:cs="Times New Roman"/>
          <w:sz w:val="24"/>
        </w:rPr>
        <w:t xml:space="preserve"> the</w:t>
      </w:r>
      <w:r w:rsidR="001A0B4D" w:rsidRPr="00FC7BB4">
        <w:rPr>
          <w:rFonts w:ascii="Times New Roman" w:hAnsi="Times New Roman" w:cs="Times New Roman"/>
          <w:sz w:val="24"/>
        </w:rPr>
        <w:t xml:space="preserve"> </w:t>
      </w:r>
      <w:r w:rsidR="007D038B" w:rsidRPr="00FC7BB4">
        <w:rPr>
          <w:rFonts w:ascii="Times New Roman" w:hAnsi="Times New Roman" w:cs="Times New Roman"/>
          <w:sz w:val="24"/>
        </w:rPr>
        <w:t>desired relative</w:t>
      </w:r>
      <w:r w:rsidR="001A0B4D" w:rsidRPr="00FC7BB4">
        <w:rPr>
          <w:rFonts w:ascii="Times New Roman" w:hAnsi="Times New Roman" w:cs="Times New Roman"/>
          <w:sz w:val="24"/>
        </w:rPr>
        <w:t xml:space="preserve"> price. For </w:t>
      </w:r>
      <w:r w:rsidR="00AE4280" w:rsidRPr="00FC7BB4">
        <w:rPr>
          <w:rFonts w:ascii="Times New Roman" w:hAnsi="Times New Roman" w:cs="Times New Roman"/>
          <w:sz w:val="24"/>
        </w:rPr>
        <w:t xml:space="preserve">a given </w:t>
      </w:r>
      <w:r w:rsidR="001A0B4D" w:rsidRPr="00FC7BB4">
        <w:rPr>
          <w:rFonts w:ascii="Times New Roman" w:hAnsi="Times New Roman" w:cs="Times New Roman"/>
          <w:sz w:val="24"/>
        </w:rPr>
        <w:t>shock that increase</w:t>
      </w:r>
      <w:r w:rsidR="00AE4280" w:rsidRPr="00FC7BB4">
        <w:rPr>
          <w:rFonts w:ascii="Times New Roman" w:hAnsi="Times New Roman" w:cs="Times New Roman"/>
          <w:sz w:val="24"/>
        </w:rPr>
        <w:t>s</w:t>
      </w:r>
      <w:r w:rsidR="001A0B4D" w:rsidRPr="00FC7BB4">
        <w:rPr>
          <w:rFonts w:ascii="Times New Roman" w:hAnsi="Times New Roman" w:cs="Times New Roman"/>
          <w:sz w:val="24"/>
        </w:rPr>
        <w:t xml:space="preserve"> </w:t>
      </w:r>
      <w:r w:rsidR="001A0B4D" w:rsidRPr="00FC7BB4">
        <w:rPr>
          <w:rFonts w:ascii="Cambria Math" w:hAnsi="Cambria Math" w:cs="Cambria Math"/>
          <w:sz w:val="24"/>
        </w:rPr>
        <w:t>𝜃</w:t>
      </w:r>
      <w:r w:rsidR="001A0B4D" w:rsidRPr="00FC7BB4">
        <w:rPr>
          <w:rFonts w:ascii="Times New Roman" w:hAnsi="Times New Roman" w:cs="Times New Roman"/>
          <w:sz w:val="24"/>
        </w:rPr>
        <w:t>, the probability of a price</w:t>
      </w:r>
      <w:r w:rsidR="002A724A" w:rsidRPr="00FC7BB4">
        <w:rPr>
          <w:rFonts w:ascii="Times New Roman" w:hAnsi="Times New Roman" w:cs="Times New Roman"/>
          <w:sz w:val="24"/>
        </w:rPr>
        <w:t xml:space="preserve"> </w:t>
      </w:r>
      <w:r w:rsidR="005D1287" w:rsidRPr="00FC7BB4">
        <w:rPr>
          <w:rFonts w:ascii="Times New Roman" w:hAnsi="Times New Roman" w:cs="Times New Roman"/>
          <w:sz w:val="24"/>
        </w:rPr>
        <w:t>increase will be positively correlated with inflation</w:t>
      </w:r>
      <w:r w:rsidR="00E853E8" w:rsidRPr="00FC7BB4">
        <w:rPr>
          <w:rFonts w:ascii="Times New Roman" w:hAnsi="Times New Roman" w:cs="Times New Roman"/>
          <w:sz w:val="24"/>
        </w:rPr>
        <w:t xml:space="preserve"> </w:t>
      </w:r>
      <w:r w:rsidR="009A362F" w:rsidRPr="00FC7BB4">
        <w:rPr>
          <w:rFonts w:ascii="Times New Roman" w:hAnsi="Times New Roman" w:cs="Times New Roman"/>
          <w:sz w:val="24"/>
        </w:rPr>
        <w:t>because</w:t>
      </w:r>
      <w:r w:rsidR="00E853E8" w:rsidRPr="00FC7BB4">
        <w:rPr>
          <w:rFonts w:ascii="Times New Roman" w:hAnsi="Times New Roman" w:cs="Times New Roman"/>
          <w:sz w:val="24"/>
        </w:rPr>
        <w:t xml:space="preserve"> </w:t>
      </w:r>
      <w:r w:rsidR="00B62F75" w:rsidRPr="00FC7BB4">
        <w:rPr>
          <w:rFonts w:ascii="Times New Roman" w:hAnsi="Times New Roman" w:cs="Times New Roman"/>
          <w:sz w:val="24"/>
        </w:rPr>
        <w:t>at higher inflation</w:t>
      </w:r>
      <w:r w:rsidR="00F159C3" w:rsidRPr="00FC7BB4">
        <w:rPr>
          <w:rFonts w:ascii="Times New Roman" w:hAnsi="Times New Roman" w:cs="Times New Roman"/>
          <w:sz w:val="24"/>
        </w:rPr>
        <w:t xml:space="preserve"> the term</w:t>
      </w:r>
      <w:r w:rsidR="009A362F" w:rsidRPr="00FC7BB4">
        <w:rPr>
          <w:rFonts w:ascii="Times New Roman" w:hAnsi="Times New Roman" w:cs="Times New Roman"/>
          <w:sz w:val="24"/>
        </w:rPr>
        <w:t xml:space="preserve"> (</w:t>
      </w:r>
      <m:oMath>
        <m:r>
          <w:rPr>
            <w:rFonts w:ascii="Cambria Math" w:hAnsi="Cambria Math" w:cs="Times New Roman"/>
            <w:sz w:val="24"/>
          </w:rPr>
          <m:t xml:space="preserve">θ+ </m:t>
        </m:r>
        <m:f>
          <m:fPr>
            <m:ctrlPr>
              <w:rPr>
                <w:rFonts w:ascii="Cambria Math" w:hAnsi="Cambria Math" w:cs="Times New Roman"/>
                <w:i/>
                <w:sz w:val="24"/>
              </w:rPr>
            </m:ctrlPr>
          </m:fPr>
          <m:num>
            <m:r>
              <w:rPr>
                <w:rFonts w:ascii="Cambria Math" w:hAnsi="Cambria Math" w:cs="Times New Roman"/>
                <w:sz w:val="24"/>
              </w:rPr>
              <m:t>π</m:t>
            </m:r>
          </m:num>
          <m:den>
            <m:r>
              <w:rPr>
                <w:rFonts w:ascii="Cambria Math" w:hAnsi="Cambria Math" w:cs="Times New Roman"/>
                <w:sz w:val="24"/>
              </w:rPr>
              <m:t>2</m:t>
            </m:r>
          </m:den>
        </m:f>
        <m:r>
          <w:rPr>
            <w:rFonts w:ascii="Cambria Math" w:hAnsi="Cambria Math" w:cs="Times New Roman"/>
            <w:sz w:val="24"/>
          </w:rPr>
          <m:t>)</m:t>
        </m:r>
      </m:oMath>
      <w:r w:rsidR="00B62F75" w:rsidRPr="00FC7BB4">
        <w:rPr>
          <w:rFonts w:ascii="Times New Roman" w:hAnsi="Times New Roman" w:cs="Times New Roman"/>
          <w:sz w:val="24"/>
        </w:rPr>
        <w:t xml:space="preserve"> is more likely to exceed </w:t>
      </w:r>
      <w:r w:rsidR="009A362F" w:rsidRPr="00FC7BB4">
        <w:rPr>
          <w:rFonts w:ascii="Times New Roman" w:hAnsi="Times New Roman" w:cs="Times New Roman"/>
          <w:i/>
          <w:iCs/>
          <w:sz w:val="24"/>
        </w:rPr>
        <w:t>AC</w:t>
      </w:r>
      <w:r w:rsidR="00B62F75" w:rsidRPr="00FC7BB4">
        <w:rPr>
          <w:rFonts w:ascii="Times New Roman" w:hAnsi="Times New Roman" w:cs="Times New Roman"/>
          <w:sz w:val="24"/>
        </w:rPr>
        <w:t xml:space="preserve">. </w:t>
      </w:r>
      <w:r w:rsidR="00AE4280" w:rsidRPr="00FC7BB4">
        <w:rPr>
          <w:rFonts w:ascii="Times New Roman" w:hAnsi="Times New Roman" w:cs="Times New Roman"/>
          <w:sz w:val="24"/>
        </w:rPr>
        <w:t xml:space="preserve">For a given shock that decreases </w:t>
      </w:r>
      <w:r w:rsidR="001A0B4D" w:rsidRPr="00FC7BB4">
        <w:rPr>
          <w:rFonts w:ascii="Cambria Math" w:hAnsi="Cambria Math" w:cs="Cambria Math"/>
          <w:sz w:val="24"/>
        </w:rPr>
        <w:t>𝜃</w:t>
      </w:r>
      <w:r w:rsidR="001A0B4D" w:rsidRPr="00FC7BB4">
        <w:rPr>
          <w:rFonts w:ascii="Times New Roman" w:hAnsi="Times New Roman" w:cs="Times New Roman"/>
          <w:sz w:val="24"/>
        </w:rPr>
        <w:t xml:space="preserve">, the probability of a price reduction </w:t>
      </w:r>
      <w:r w:rsidR="000F745C" w:rsidRPr="00FC7BB4">
        <w:rPr>
          <w:rFonts w:ascii="Times New Roman" w:hAnsi="Times New Roman" w:cs="Times New Roman"/>
          <w:sz w:val="24"/>
        </w:rPr>
        <w:t xml:space="preserve">is negatively correlated with </w:t>
      </w:r>
      <w:r w:rsidR="001A0B4D" w:rsidRPr="00FC7BB4">
        <w:rPr>
          <w:rFonts w:ascii="Times New Roman" w:hAnsi="Times New Roman" w:cs="Times New Roman"/>
          <w:sz w:val="24"/>
        </w:rPr>
        <w:lastRenderedPageBreak/>
        <w:t>inflation</w:t>
      </w:r>
      <w:r w:rsidR="003033F6" w:rsidRPr="00FC7BB4">
        <w:rPr>
          <w:rFonts w:ascii="Times New Roman" w:hAnsi="Times New Roman" w:cs="Times New Roman"/>
          <w:sz w:val="24"/>
        </w:rPr>
        <w:t xml:space="preserve">. This is because </w:t>
      </w:r>
      <w:r w:rsidR="00B62F75" w:rsidRPr="00FC7BB4">
        <w:rPr>
          <w:rFonts w:ascii="Times New Roman" w:hAnsi="Times New Roman" w:cs="Times New Roman"/>
          <w:sz w:val="24"/>
        </w:rPr>
        <w:t xml:space="preserve">the fall in </w:t>
      </w:r>
      <w:r w:rsidR="00B62F75" w:rsidRPr="00FC7BB4">
        <w:rPr>
          <w:rFonts w:ascii="Cambria Math" w:hAnsi="Cambria Math" w:cs="Cambria Math"/>
          <w:sz w:val="24"/>
        </w:rPr>
        <w:t>𝜃</w:t>
      </w:r>
      <w:r w:rsidR="00B62F75" w:rsidRPr="00FC7BB4">
        <w:rPr>
          <w:rFonts w:ascii="Times New Roman" w:hAnsi="Times New Roman" w:cs="Times New Roman"/>
          <w:sz w:val="24"/>
        </w:rPr>
        <w:t xml:space="preserve"> </w:t>
      </w:r>
      <w:r w:rsidR="0037523E" w:rsidRPr="00FC7BB4">
        <w:rPr>
          <w:rFonts w:ascii="Times New Roman" w:hAnsi="Times New Roman" w:cs="Times New Roman"/>
          <w:sz w:val="24"/>
        </w:rPr>
        <w:t xml:space="preserve">is offset by higher inflation </w:t>
      </w:r>
      <w:r w:rsidR="00723BF6" w:rsidRPr="00FC7BB4">
        <w:rPr>
          <w:rFonts w:ascii="Times New Roman" w:hAnsi="Times New Roman" w:cs="Times New Roman"/>
          <w:sz w:val="24"/>
        </w:rPr>
        <w:t>in the term</w:t>
      </w:r>
      <w:r w:rsidR="0037523E" w:rsidRPr="00FC7BB4">
        <w:rPr>
          <w:rFonts w:ascii="Times New Roman" w:hAnsi="Times New Roman" w:cs="Times New Roman"/>
          <w:sz w:val="24"/>
        </w:rPr>
        <w:t xml:space="preserve"> </w:t>
      </w:r>
      <m:oMath>
        <m:r>
          <w:rPr>
            <w:rFonts w:ascii="Cambria Math" w:hAnsi="Cambria Math" w:cs="Times New Roman"/>
            <w:sz w:val="24"/>
          </w:rPr>
          <m:t>(θ</m:t>
        </m:r>
        <m:r>
          <m:rPr>
            <m:sty m:val="p"/>
          </m:rPr>
          <w:rPr>
            <w:rFonts w:ascii="Cambria Math" w:hAnsi="Cambria Math" w:cs="Times New Roman"/>
            <w:sz w:val="24"/>
          </w:rPr>
          <m:t xml:space="preserve">+ </m:t>
        </m:r>
        <m:f>
          <m:fPr>
            <m:ctrlPr>
              <w:rPr>
                <w:rFonts w:ascii="Cambria Math" w:hAnsi="Cambria Math" w:cs="Times New Roman"/>
                <w:sz w:val="24"/>
              </w:rPr>
            </m:ctrlPr>
          </m:fPr>
          <m:num>
            <m:r>
              <w:rPr>
                <w:rFonts w:ascii="Cambria Math" w:hAnsi="Cambria Math" w:cs="Times New Roman"/>
                <w:sz w:val="24"/>
              </w:rPr>
              <m:t>π</m:t>
            </m:r>
          </m:num>
          <m:den>
            <m:r>
              <m:rPr>
                <m:sty m:val="p"/>
              </m:rPr>
              <w:rPr>
                <w:rFonts w:ascii="Cambria Math" w:hAnsi="Cambria Math" w:cs="Times New Roman"/>
                <w:sz w:val="24"/>
              </w:rPr>
              <m:t>2</m:t>
            </m:r>
          </m:den>
        </m:f>
        <m:r>
          <w:rPr>
            <w:rFonts w:ascii="Cambria Math" w:hAnsi="Cambria Math" w:cs="Times New Roman"/>
            <w:sz w:val="24"/>
          </w:rPr>
          <m:t>)</m:t>
        </m:r>
      </m:oMath>
      <w:r w:rsidR="00723BF6" w:rsidRPr="00FC7BB4">
        <w:rPr>
          <w:rFonts w:ascii="Times New Roman" w:hAnsi="Times New Roman" w:cs="Times New Roman"/>
          <w:sz w:val="24"/>
        </w:rPr>
        <w:t>, which means the ter</w:t>
      </w:r>
      <w:r w:rsidR="00BF37CA" w:rsidRPr="00FC7BB4">
        <w:rPr>
          <w:rFonts w:ascii="Times New Roman" w:hAnsi="Times New Roman" w:cs="Times New Roman"/>
          <w:sz w:val="24"/>
        </w:rPr>
        <w:t>m</w:t>
      </w:r>
      <w:r w:rsidR="00723BF6" w:rsidRPr="00FC7BB4">
        <w:rPr>
          <w:rFonts w:ascii="Times New Roman" w:hAnsi="Times New Roman" w:cs="Times New Roman"/>
          <w:sz w:val="24"/>
        </w:rPr>
        <w:t xml:space="preserve"> </w:t>
      </w:r>
      <w:r w:rsidR="0037523E" w:rsidRPr="00FC7BB4">
        <w:rPr>
          <w:rFonts w:ascii="Times New Roman" w:hAnsi="Times New Roman" w:cs="Times New Roman"/>
          <w:sz w:val="24"/>
        </w:rPr>
        <w:t xml:space="preserve">is less likely to exceed </w:t>
      </w:r>
      <w:r w:rsidR="009A362F" w:rsidRPr="00FC7BB4">
        <w:rPr>
          <w:rFonts w:ascii="Times New Roman" w:hAnsi="Times New Roman" w:cs="Times New Roman"/>
          <w:i/>
          <w:iCs/>
          <w:sz w:val="24"/>
        </w:rPr>
        <w:t>AC</w:t>
      </w:r>
      <w:r w:rsidR="0037523E" w:rsidRPr="00FC7BB4">
        <w:rPr>
          <w:rFonts w:ascii="Times New Roman" w:hAnsi="Times New Roman" w:cs="Times New Roman"/>
          <w:sz w:val="24"/>
        </w:rPr>
        <w:t>.</w:t>
      </w:r>
      <w:r w:rsidR="00FB78B0" w:rsidRPr="00FC7BB4">
        <w:rPr>
          <w:rFonts w:ascii="Times New Roman" w:hAnsi="Times New Roman" w:cs="Times New Roman"/>
          <w:sz w:val="24"/>
        </w:rPr>
        <w:t xml:space="preserve"> </w:t>
      </w:r>
      <w:r w:rsidR="00C70885" w:rsidRPr="00FC7BB4">
        <w:rPr>
          <w:rFonts w:ascii="Times New Roman" w:hAnsi="Times New Roman" w:cs="Times New Roman"/>
          <w:sz w:val="24"/>
        </w:rPr>
        <w:t xml:space="preserve"> </w:t>
      </w:r>
      <w:r w:rsidR="00B02619" w:rsidRPr="00FC7BB4">
        <w:rPr>
          <w:rFonts w:ascii="Times New Roman" w:hAnsi="Times New Roman" w:cs="Times New Roman"/>
          <w:sz w:val="24"/>
        </w:rPr>
        <w:t xml:space="preserve">It is </w:t>
      </w:r>
      <w:r w:rsidR="00750570" w:rsidRPr="00FC7BB4">
        <w:rPr>
          <w:rFonts w:ascii="Times New Roman" w:hAnsi="Times New Roman" w:cs="Times New Roman"/>
          <w:sz w:val="24"/>
        </w:rPr>
        <w:t>assum</w:t>
      </w:r>
      <w:r w:rsidR="004D0D9F" w:rsidRPr="00FC7BB4">
        <w:rPr>
          <w:rFonts w:ascii="Times New Roman" w:hAnsi="Times New Roman" w:cs="Times New Roman"/>
          <w:sz w:val="24"/>
        </w:rPr>
        <w:t>e</w:t>
      </w:r>
      <w:r w:rsidR="00B02619" w:rsidRPr="00FC7BB4">
        <w:rPr>
          <w:rFonts w:ascii="Times New Roman" w:hAnsi="Times New Roman" w:cs="Times New Roman"/>
          <w:sz w:val="24"/>
        </w:rPr>
        <w:t>d</w:t>
      </w:r>
      <w:r w:rsidR="0089246E" w:rsidRPr="00FC7BB4">
        <w:rPr>
          <w:rFonts w:ascii="Times New Roman" w:hAnsi="Times New Roman" w:cs="Times New Roman"/>
          <w:sz w:val="24"/>
        </w:rPr>
        <w:t xml:space="preserve"> </w:t>
      </w:r>
      <m:oMath>
        <m:r>
          <w:rPr>
            <w:rFonts w:ascii="Cambria Math" w:hAnsi="Cambria Math" w:cs="Times New Roman"/>
            <w:sz w:val="24"/>
          </w:rPr>
          <m:t>θ</m:t>
        </m:r>
      </m:oMath>
      <w:r w:rsidR="0089246E" w:rsidRPr="00FC7BB4">
        <w:rPr>
          <w:rFonts w:ascii="Times New Roman" w:hAnsi="Times New Roman" w:cs="Times New Roman"/>
          <w:sz w:val="24"/>
        </w:rPr>
        <w:t xml:space="preserve"> </w:t>
      </w:r>
      <w:r w:rsidR="0089246E" w:rsidRPr="00FC7BB4">
        <w:rPr>
          <w:rFonts w:ascii="Times New Roman" w:hAnsi="Times New Roman" w:cs="Times New Roman"/>
          <w:i/>
          <w:iCs/>
          <w:sz w:val="24"/>
        </w:rPr>
        <w:t xml:space="preserve">= </w:t>
      </w:r>
      <w:proofErr w:type="gramStart"/>
      <w:r w:rsidR="0089246E" w:rsidRPr="00FC7BB4">
        <w:rPr>
          <w:rFonts w:ascii="Times New Roman" w:hAnsi="Times New Roman" w:cs="Times New Roman"/>
          <w:i/>
          <w:iCs/>
          <w:sz w:val="24"/>
        </w:rPr>
        <w:t>f(</w:t>
      </w:r>
      <w:proofErr w:type="gramEnd"/>
      <w:r w:rsidR="0089246E" w:rsidRPr="00FC7BB4">
        <w:rPr>
          <w:rFonts w:ascii="Times New Roman" w:hAnsi="Times New Roman" w:cs="Times New Roman"/>
          <w:i/>
          <w:iCs/>
          <w:sz w:val="24"/>
        </w:rPr>
        <w:t>c</w:t>
      </w:r>
      <w:r w:rsidR="00E53314" w:rsidRPr="00FC7BB4">
        <w:rPr>
          <w:rFonts w:ascii="Times New Roman" w:hAnsi="Times New Roman" w:cs="Times New Roman"/>
          <w:i/>
          <w:iCs/>
          <w:sz w:val="24"/>
          <w:vertAlign w:val="superscript"/>
        </w:rPr>
        <w:t>+</w:t>
      </w:r>
      <w:r w:rsidR="0089246E" w:rsidRPr="00FC7BB4">
        <w:rPr>
          <w:rFonts w:ascii="Times New Roman" w:hAnsi="Times New Roman" w:cs="Times New Roman"/>
          <w:i/>
          <w:iCs/>
          <w:sz w:val="24"/>
        </w:rPr>
        <w:t>,</w:t>
      </w:r>
      <w:r w:rsidR="005E54FE" w:rsidRPr="00FC7BB4">
        <w:rPr>
          <w:rFonts w:ascii="Times New Roman" w:hAnsi="Times New Roman" w:cs="Times New Roman"/>
          <w:i/>
          <w:iCs/>
          <w:sz w:val="24"/>
        </w:rPr>
        <w:t xml:space="preserve"> </w:t>
      </w:r>
      <w:r w:rsidR="009C4027" w:rsidRPr="00FC7BB4">
        <w:rPr>
          <w:rFonts w:ascii="Times New Roman" w:hAnsi="Times New Roman" w:cs="Times New Roman"/>
          <w:i/>
          <w:iCs/>
          <w:sz w:val="24"/>
        </w:rPr>
        <w:t>d</w:t>
      </w:r>
      <w:r w:rsidR="00E53314" w:rsidRPr="00FC7BB4">
        <w:rPr>
          <w:rFonts w:ascii="Times New Roman" w:hAnsi="Times New Roman" w:cs="Times New Roman"/>
          <w:i/>
          <w:iCs/>
          <w:sz w:val="24"/>
          <w:vertAlign w:val="superscript"/>
        </w:rPr>
        <w:t>+</w:t>
      </w:r>
      <w:r w:rsidR="0089246E" w:rsidRPr="00FC7BB4">
        <w:rPr>
          <w:rFonts w:ascii="Times New Roman" w:hAnsi="Times New Roman" w:cs="Times New Roman"/>
          <w:i/>
          <w:iCs/>
          <w:sz w:val="24"/>
        </w:rPr>
        <w:t>,</w:t>
      </w:r>
      <w:r w:rsidR="005E54FE" w:rsidRPr="00FC7BB4">
        <w:rPr>
          <w:rFonts w:ascii="Times New Roman" w:hAnsi="Times New Roman" w:cs="Times New Roman"/>
          <w:i/>
          <w:iCs/>
          <w:sz w:val="24"/>
        </w:rPr>
        <w:t xml:space="preserve"> </w:t>
      </w:r>
      <w:r w:rsidR="0089246E" w:rsidRPr="00FC7BB4">
        <w:rPr>
          <w:rFonts w:ascii="Times New Roman" w:hAnsi="Times New Roman" w:cs="Times New Roman"/>
          <w:b/>
          <w:bCs/>
          <w:i/>
          <w:iCs/>
          <w:sz w:val="24"/>
        </w:rPr>
        <w:t>X</w:t>
      </w:r>
      <w:r w:rsidR="0089246E" w:rsidRPr="00FC7BB4">
        <w:rPr>
          <w:rFonts w:ascii="Times New Roman" w:hAnsi="Times New Roman" w:cs="Times New Roman"/>
          <w:i/>
          <w:iCs/>
          <w:sz w:val="24"/>
        </w:rPr>
        <w:t>)</w:t>
      </w:r>
      <w:r w:rsidR="0089246E" w:rsidRPr="00FC7BB4">
        <w:rPr>
          <w:rFonts w:ascii="Times New Roman" w:hAnsi="Times New Roman" w:cs="Times New Roman"/>
          <w:sz w:val="24"/>
        </w:rPr>
        <w:t>,</w:t>
      </w:r>
      <w:r w:rsidR="0089246E" w:rsidRPr="00FC7BB4">
        <w:rPr>
          <w:rFonts w:ascii="Times New Roman" w:hAnsi="Times New Roman" w:cs="Times New Roman"/>
          <w:i/>
          <w:iCs/>
          <w:sz w:val="24"/>
        </w:rPr>
        <w:t xml:space="preserve"> </w:t>
      </w:r>
      <w:r w:rsidR="0089246E" w:rsidRPr="00FC7BB4">
        <w:rPr>
          <w:rFonts w:ascii="Times New Roman" w:hAnsi="Times New Roman" w:cs="Times New Roman"/>
          <w:sz w:val="24"/>
        </w:rPr>
        <w:t>w</w:t>
      </w:r>
      <w:r w:rsidR="00FB78B0" w:rsidRPr="00FC7BB4">
        <w:rPr>
          <w:rFonts w:ascii="Times New Roman" w:hAnsi="Times New Roman" w:cs="Times New Roman"/>
          <w:sz w:val="24"/>
        </w:rPr>
        <w:t xml:space="preserve">here </w:t>
      </w:r>
      <w:r w:rsidR="00FB78B0" w:rsidRPr="00FC7BB4">
        <w:rPr>
          <w:rFonts w:ascii="Times New Roman" w:hAnsi="Times New Roman" w:cs="Times New Roman"/>
          <w:i/>
          <w:iCs/>
          <w:sz w:val="24"/>
        </w:rPr>
        <w:t>c</w:t>
      </w:r>
      <w:r w:rsidR="009A362F" w:rsidRPr="00FC7BB4">
        <w:rPr>
          <w:rFonts w:ascii="Times New Roman" w:hAnsi="Times New Roman" w:cs="Times New Roman"/>
          <w:i/>
          <w:iCs/>
          <w:sz w:val="24"/>
        </w:rPr>
        <w:t xml:space="preserve"> </w:t>
      </w:r>
      <w:r w:rsidR="009A362F" w:rsidRPr="00FC7BB4">
        <w:rPr>
          <w:rFonts w:ascii="Times New Roman" w:hAnsi="Times New Roman" w:cs="Times New Roman"/>
          <w:sz w:val="24"/>
        </w:rPr>
        <w:t xml:space="preserve">denotes </w:t>
      </w:r>
      <w:r w:rsidR="00FB78B0" w:rsidRPr="00FC7BB4">
        <w:rPr>
          <w:rFonts w:ascii="Times New Roman" w:hAnsi="Times New Roman" w:cs="Times New Roman"/>
          <w:sz w:val="24"/>
        </w:rPr>
        <w:t xml:space="preserve">costs of production and supply of goods and services, </w:t>
      </w:r>
      <w:r w:rsidR="006128DC" w:rsidRPr="00FC7BB4">
        <w:rPr>
          <w:rFonts w:ascii="Times New Roman" w:hAnsi="Times New Roman" w:cs="Times New Roman"/>
          <w:i/>
          <w:iCs/>
          <w:sz w:val="24"/>
        </w:rPr>
        <w:t>d</w:t>
      </w:r>
      <w:r w:rsidR="009A362F" w:rsidRPr="00FC7BB4">
        <w:rPr>
          <w:rFonts w:ascii="Times New Roman" w:hAnsi="Times New Roman" w:cs="Times New Roman"/>
          <w:sz w:val="24"/>
        </w:rPr>
        <w:t xml:space="preserve"> denotes </w:t>
      </w:r>
      <w:r w:rsidR="00FB78B0" w:rsidRPr="00FC7BB4">
        <w:rPr>
          <w:rFonts w:ascii="Times New Roman" w:hAnsi="Times New Roman" w:cs="Times New Roman"/>
          <w:sz w:val="24"/>
        </w:rPr>
        <w:t>demand for goods and services</w:t>
      </w:r>
      <w:r w:rsidR="009A362F" w:rsidRPr="00FC7BB4">
        <w:rPr>
          <w:rFonts w:ascii="Times New Roman" w:hAnsi="Times New Roman" w:cs="Times New Roman"/>
          <w:sz w:val="24"/>
        </w:rPr>
        <w:t>,</w:t>
      </w:r>
      <w:r w:rsidR="00A91DA7" w:rsidRPr="00FC7BB4">
        <w:rPr>
          <w:rFonts w:ascii="Times New Roman" w:hAnsi="Times New Roman" w:cs="Times New Roman"/>
          <w:sz w:val="24"/>
        </w:rPr>
        <w:t xml:space="preserve"> and</w:t>
      </w:r>
      <w:r w:rsidR="00FB78B0" w:rsidRPr="00FC7BB4">
        <w:rPr>
          <w:rFonts w:ascii="Times New Roman" w:hAnsi="Times New Roman" w:cs="Times New Roman"/>
          <w:sz w:val="24"/>
        </w:rPr>
        <w:t xml:space="preserve"> </w:t>
      </w:r>
      <w:r w:rsidR="00FB78B0" w:rsidRPr="00FC7BB4">
        <w:rPr>
          <w:rFonts w:ascii="Times New Roman" w:hAnsi="Times New Roman" w:cs="Times New Roman"/>
          <w:b/>
          <w:bCs/>
          <w:i/>
          <w:iCs/>
          <w:sz w:val="24"/>
        </w:rPr>
        <w:t>X</w:t>
      </w:r>
      <w:r w:rsidR="00FB78B0" w:rsidRPr="00FC7BB4">
        <w:rPr>
          <w:rFonts w:ascii="Times New Roman" w:hAnsi="Times New Roman" w:cs="Times New Roman"/>
          <w:sz w:val="24"/>
        </w:rPr>
        <w:t xml:space="preserve"> </w:t>
      </w:r>
      <w:r w:rsidR="00A91DA7" w:rsidRPr="00FC7BB4">
        <w:rPr>
          <w:rFonts w:ascii="Times New Roman" w:hAnsi="Times New Roman" w:cs="Times New Roman"/>
          <w:sz w:val="24"/>
        </w:rPr>
        <w:t>is a vector</w:t>
      </w:r>
      <w:r w:rsidR="00FB78B0" w:rsidRPr="00FC7BB4">
        <w:rPr>
          <w:rFonts w:ascii="Times New Roman" w:hAnsi="Times New Roman" w:cs="Times New Roman"/>
          <w:sz w:val="24"/>
        </w:rPr>
        <w:t xml:space="preserve"> of other factors that could influence </w:t>
      </w:r>
      <w:r w:rsidR="00A91DA7" w:rsidRPr="00FC7BB4">
        <w:rPr>
          <w:rFonts w:ascii="Times New Roman" w:hAnsi="Times New Roman" w:cs="Times New Roman"/>
          <w:sz w:val="24"/>
        </w:rPr>
        <w:t>the desired relative price</w:t>
      </w:r>
      <w:r w:rsidR="00FB78B0" w:rsidRPr="00FC7BB4">
        <w:rPr>
          <w:rFonts w:ascii="Times New Roman" w:hAnsi="Times New Roman" w:cs="Times New Roman"/>
          <w:sz w:val="24"/>
        </w:rPr>
        <w:t>.</w:t>
      </w:r>
      <w:r w:rsidR="00584264" w:rsidRPr="00FC7BB4">
        <w:rPr>
          <w:rFonts w:ascii="Times New Roman" w:hAnsi="Times New Roman" w:cs="Times New Roman"/>
          <w:sz w:val="24"/>
        </w:rPr>
        <w:t xml:space="preserve"> </w:t>
      </w:r>
      <w:r w:rsidR="009B16D0" w:rsidRPr="00FC7BB4">
        <w:rPr>
          <w:rFonts w:ascii="Times New Roman" w:hAnsi="Times New Roman" w:cs="Times New Roman"/>
          <w:sz w:val="24"/>
        </w:rPr>
        <w:t xml:space="preserve">Because costs and demand changes </w:t>
      </w:r>
      <w:r w:rsidR="00B02619" w:rsidRPr="00FC7BB4">
        <w:rPr>
          <w:rFonts w:ascii="Times New Roman" w:hAnsi="Times New Roman" w:cs="Times New Roman"/>
          <w:sz w:val="24"/>
        </w:rPr>
        <w:t xml:space="preserve">are assumed to </w:t>
      </w:r>
      <w:r w:rsidR="009B16D0" w:rsidRPr="00FC7BB4">
        <w:rPr>
          <w:rFonts w:ascii="Times New Roman" w:hAnsi="Times New Roman" w:cs="Times New Roman"/>
          <w:sz w:val="24"/>
        </w:rPr>
        <w:t>alter</w:t>
      </w:r>
      <w:r w:rsidR="0004707C" w:rsidRPr="00FC7BB4">
        <w:rPr>
          <w:rFonts w:ascii="Times New Roman" w:hAnsi="Times New Roman" w:cs="Times New Roman"/>
          <w:sz w:val="24"/>
        </w:rPr>
        <w:t xml:space="preserve"> the desired relative price, </w:t>
      </w:r>
      <w:r w:rsidR="00B02619" w:rsidRPr="00FC7BB4">
        <w:rPr>
          <w:rFonts w:ascii="Times New Roman" w:hAnsi="Times New Roman" w:cs="Times New Roman"/>
          <w:sz w:val="24"/>
        </w:rPr>
        <w:t>they are included</w:t>
      </w:r>
      <w:r w:rsidR="00584264" w:rsidRPr="00FC7BB4">
        <w:rPr>
          <w:rFonts w:ascii="Times New Roman" w:hAnsi="Times New Roman" w:cs="Times New Roman"/>
          <w:sz w:val="24"/>
        </w:rPr>
        <w:t xml:space="preserve"> in the </w:t>
      </w:r>
      <w:r w:rsidR="00863947" w:rsidRPr="00FC7BB4">
        <w:rPr>
          <w:rFonts w:ascii="Times New Roman" w:hAnsi="Times New Roman" w:cs="Times New Roman"/>
          <w:sz w:val="24"/>
        </w:rPr>
        <w:t>p</w:t>
      </w:r>
      <w:r w:rsidR="00584264" w:rsidRPr="00FC7BB4">
        <w:rPr>
          <w:rFonts w:ascii="Times New Roman" w:hAnsi="Times New Roman" w:cs="Times New Roman"/>
          <w:sz w:val="24"/>
        </w:rPr>
        <w:t>robit model</w:t>
      </w:r>
      <w:r w:rsidR="00FE488C" w:rsidRPr="00FC7BB4">
        <w:rPr>
          <w:rFonts w:ascii="Times New Roman" w:hAnsi="Times New Roman" w:cs="Times New Roman"/>
          <w:sz w:val="24"/>
        </w:rPr>
        <w:t xml:space="preserve"> set out in equation (2)</w:t>
      </w:r>
      <w:r w:rsidR="00584264" w:rsidRPr="00FC7BB4">
        <w:rPr>
          <w:rFonts w:ascii="Times New Roman" w:hAnsi="Times New Roman" w:cs="Times New Roman"/>
          <w:sz w:val="24"/>
        </w:rPr>
        <w:t>.</w:t>
      </w:r>
      <w:r w:rsidR="00584264" w:rsidRPr="00FC7BB4">
        <w:rPr>
          <w:rStyle w:val="FootnoteReference"/>
          <w:rFonts w:ascii="Times New Roman" w:hAnsi="Times New Roman" w:cs="Times New Roman"/>
          <w:sz w:val="24"/>
        </w:rPr>
        <w:footnoteReference w:id="21"/>
      </w:r>
      <w:r w:rsidR="00FB78B0" w:rsidRPr="00FC7BB4">
        <w:rPr>
          <w:rFonts w:ascii="Times New Roman" w:hAnsi="Times New Roman" w:cs="Times New Roman"/>
          <w:sz w:val="24"/>
        </w:rPr>
        <w:t xml:space="preserve"> </w:t>
      </w:r>
      <w:r w:rsidR="00BA2ED5" w:rsidRPr="00FC7BB4">
        <w:rPr>
          <w:rFonts w:ascii="Times New Roman" w:hAnsi="Times New Roman" w:cs="Times New Roman"/>
          <w:sz w:val="24"/>
        </w:rPr>
        <w:t xml:space="preserve"> </w:t>
      </w:r>
    </w:p>
    <w:p w14:paraId="5D8070DB" w14:textId="64C80DA6" w:rsidR="00C63FED" w:rsidRPr="00FC7BB4" w:rsidRDefault="00326153" w:rsidP="00F3101B">
      <w:pPr>
        <w:spacing w:line="331" w:lineRule="auto"/>
        <w:ind w:right="27" w:firstLine="284"/>
        <w:rPr>
          <w:rFonts w:ascii="Times New Roman" w:eastAsiaTheme="minorEastAsia" w:hAnsi="Times New Roman" w:cs="Times New Roman"/>
          <w:iCs/>
          <w:sz w:val="24"/>
        </w:rPr>
      </w:pPr>
      <w:r w:rsidRPr="00FC7BB4">
        <w:rPr>
          <w:rFonts w:ascii="Times New Roman" w:hAnsi="Times New Roman" w:cs="Times New Roman"/>
          <w:sz w:val="24"/>
        </w:rPr>
        <w:t>Further</w:t>
      </w:r>
      <w:r w:rsidR="000547F7" w:rsidRPr="00FC7BB4">
        <w:rPr>
          <w:rFonts w:ascii="Times New Roman" w:hAnsi="Times New Roman" w:cs="Times New Roman"/>
          <w:sz w:val="24"/>
        </w:rPr>
        <w:t>, t</w:t>
      </w:r>
      <w:r w:rsidR="008C7039" w:rsidRPr="00FC7BB4">
        <w:rPr>
          <w:rFonts w:ascii="Times New Roman" w:hAnsi="Times New Roman" w:cs="Times New Roman"/>
          <w:sz w:val="24"/>
        </w:rPr>
        <w:t xml:space="preserve">he preceding discussion suggests </w:t>
      </w:r>
      <w:r w:rsidR="00A662D5" w:rsidRPr="00FC7BB4">
        <w:rPr>
          <w:rFonts w:ascii="Times New Roman" w:hAnsi="Times New Roman" w:cs="Times New Roman"/>
          <w:sz w:val="24"/>
        </w:rPr>
        <w:t xml:space="preserve">positive </w:t>
      </w:r>
      <w:r w:rsidR="000547F7" w:rsidRPr="00FC7BB4">
        <w:rPr>
          <w:rFonts w:ascii="Times New Roman" w:hAnsi="Times New Roman" w:cs="Times New Roman"/>
          <w:sz w:val="24"/>
        </w:rPr>
        <w:t xml:space="preserve">relative price shocks </w:t>
      </w:r>
      <w:r w:rsidR="00A662D5" w:rsidRPr="00FC7BB4">
        <w:rPr>
          <w:rFonts w:ascii="Times New Roman" w:hAnsi="Times New Roman" w:cs="Times New Roman"/>
          <w:sz w:val="24"/>
        </w:rPr>
        <w:t xml:space="preserve">are more likely </w:t>
      </w:r>
      <w:r w:rsidR="005762DA" w:rsidRPr="00FC7BB4">
        <w:rPr>
          <w:rFonts w:ascii="Times New Roman" w:hAnsi="Times New Roman" w:cs="Times New Roman"/>
          <w:sz w:val="24"/>
        </w:rPr>
        <w:t xml:space="preserve">to lead to price adjustment than negative relative price shocks. It follows, therefore, </w:t>
      </w:r>
      <w:r w:rsidR="008C7039" w:rsidRPr="00FC7BB4">
        <w:rPr>
          <w:rFonts w:ascii="Times New Roman" w:hAnsi="Times New Roman" w:cs="Times New Roman"/>
          <w:sz w:val="24"/>
        </w:rPr>
        <w:t xml:space="preserve">that costs </w:t>
      </w:r>
      <w:r w:rsidR="004D3E51" w:rsidRPr="00FC7BB4">
        <w:rPr>
          <w:rFonts w:ascii="Times New Roman" w:hAnsi="Times New Roman" w:cs="Times New Roman"/>
          <w:sz w:val="24"/>
        </w:rPr>
        <w:t xml:space="preserve">and </w:t>
      </w:r>
      <w:r w:rsidR="008C7039" w:rsidRPr="00FC7BB4">
        <w:rPr>
          <w:rFonts w:ascii="Times New Roman" w:hAnsi="Times New Roman" w:cs="Times New Roman"/>
          <w:sz w:val="24"/>
        </w:rPr>
        <w:t xml:space="preserve">demand changes </w:t>
      </w:r>
      <w:r w:rsidR="00102734" w:rsidRPr="00FC7BB4">
        <w:rPr>
          <w:rFonts w:ascii="Times New Roman" w:hAnsi="Times New Roman" w:cs="Times New Roman"/>
          <w:sz w:val="24"/>
        </w:rPr>
        <w:t>sh</w:t>
      </w:r>
      <w:r w:rsidR="003505BB" w:rsidRPr="00FC7BB4">
        <w:rPr>
          <w:rFonts w:ascii="Times New Roman" w:hAnsi="Times New Roman" w:cs="Times New Roman"/>
          <w:sz w:val="24"/>
        </w:rPr>
        <w:t xml:space="preserve">ould have asymmetric effects on </w:t>
      </w:r>
      <w:r w:rsidR="003505BB" w:rsidRPr="00FC7BB4">
        <w:rPr>
          <w:rFonts w:ascii="Times New Roman" w:eastAsia="Times New Roman" w:hAnsi="Times New Roman" w:cs="Times New Roman"/>
          <w:color w:val="auto"/>
          <w:kern w:val="0"/>
          <w:sz w:val="24"/>
          <w14:ligatures w14:val="none"/>
        </w:rPr>
        <w:t>pric</w:t>
      </w:r>
      <w:r w:rsidR="00FE488C" w:rsidRPr="00FC7BB4">
        <w:rPr>
          <w:rFonts w:ascii="Times New Roman" w:eastAsia="Times New Roman" w:hAnsi="Times New Roman" w:cs="Times New Roman"/>
          <w:color w:val="auto"/>
          <w:kern w:val="0"/>
          <w:sz w:val="24"/>
          <w14:ligatures w14:val="none"/>
        </w:rPr>
        <w:t>es</w:t>
      </w:r>
      <w:r w:rsidR="004D3E51" w:rsidRPr="00FC7BB4">
        <w:rPr>
          <w:rFonts w:ascii="Times New Roman" w:eastAsia="Times New Roman" w:hAnsi="Times New Roman" w:cs="Times New Roman"/>
          <w:color w:val="auto"/>
          <w:kern w:val="0"/>
          <w:sz w:val="24"/>
          <w14:ligatures w14:val="none"/>
        </w:rPr>
        <w:t xml:space="preserve">: cost </w:t>
      </w:r>
      <w:r w:rsidR="00AE2AB4" w:rsidRPr="00FC7BB4">
        <w:rPr>
          <w:rFonts w:ascii="Times New Roman" w:eastAsia="Times New Roman" w:hAnsi="Times New Roman" w:cs="Times New Roman"/>
          <w:color w:val="auto"/>
          <w:kern w:val="0"/>
          <w:sz w:val="24"/>
          <w14:ligatures w14:val="none"/>
        </w:rPr>
        <w:t xml:space="preserve">and </w:t>
      </w:r>
      <w:r w:rsidR="004D3E51" w:rsidRPr="00FC7BB4">
        <w:rPr>
          <w:rFonts w:ascii="Times New Roman" w:eastAsia="Times New Roman" w:hAnsi="Times New Roman" w:cs="Times New Roman"/>
          <w:color w:val="auto"/>
          <w:kern w:val="0"/>
          <w:sz w:val="24"/>
          <w14:ligatures w14:val="none"/>
        </w:rPr>
        <w:t xml:space="preserve">demand increases </w:t>
      </w:r>
      <w:r w:rsidR="00AE2AB4" w:rsidRPr="00FC7BB4">
        <w:rPr>
          <w:rFonts w:ascii="Times New Roman" w:eastAsia="Times New Roman" w:hAnsi="Times New Roman" w:cs="Times New Roman"/>
          <w:color w:val="auto"/>
          <w:kern w:val="0"/>
          <w:sz w:val="24"/>
          <w14:ligatures w14:val="none"/>
        </w:rPr>
        <w:t>are more likely to promote price adjustments than cost and demand decreases</w:t>
      </w:r>
      <w:r w:rsidR="005713BF" w:rsidRPr="00FC7BB4">
        <w:rPr>
          <w:rFonts w:ascii="Times New Roman" w:eastAsia="Times New Roman" w:hAnsi="Times New Roman" w:cs="Times New Roman"/>
          <w:color w:val="auto"/>
          <w:kern w:val="0"/>
          <w:sz w:val="24"/>
          <w14:ligatures w14:val="none"/>
        </w:rPr>
        <w:t xml:space="preserve">. </w:t>
      </w:r>
      <w:r w:rsidR="00102734" w:rsidRPr="00FC7BB4">
        <w:rPr>
          <w:rFonts w:ascii="Times New Roman" w:eastAsia="Times New Roman" w:hAnsi="Times New Roman" w:cs="Times New Roman"/>
          <w:color w:val="auto"/>
          <w:kern w:val="0"/>
          <w:sz w:val="24"/>
          <w14:ligatures w14:val="none"/>
        </w:rPr>
        <w:t>Hence, i</w:t>
      </w:r>
      <w:r w:rsidR="005713BF" w:rsidRPr="00FC7BB4">
        <w:rPr>
          <w:rFonts w:ascii="Times New Roman" w:eastAsia="Times New Roman" w:hAnsi="Times New Roman" w:cs="Times New Roman"/>
          <w:color w:val="auto"/>
          <w:kern w:val="0"/>
          <w:sz w:val="24"/>
          <w14:ligatures w14:val="none"/>
        </w:rPr>
        <w:t xml:space="preserve">n equation (2) the response of prices to cost and demand increases is modelled distinctly from </w:t>
      </w:r>
      <w:r w:rsidR="00C06A36" w:rsidRPr="00FC7BB4">
        <w:rPr>
          <w:rFonts w:ascii="Times New Roman" w:eastAsia="Times New Roman" w:hAnsi="Times New Roman" w:cs="Times New Roman"/>
          <w:color w:val="auto"/>
          <w:kern w:val="0"/>
          <w:sz w:val="24"/>
          <w14:ligatures w14:val="none"/>
        </w:rPr>
        <w:t xml:space="preserve">the response to cost and demand </w:t>
      </w:r>
      <w:r w:rsidR="005713BF" w:rsidRPr="00FC7BB4">
        <w:rPr>
          <w:rFonts w:ascii="Times New Roman" w:eastAsia="Times New Roman" w:hAnsi="Times New Roman" w:cs="Times New Roman"/>
          <w:color w:val="auto"/>
          <w:kern w:val="0"/>
          <w:sz w:val="24"/>
          <w14:ligatures w14:val="none"/>
        </w:rPr>
        <w:t>decreases</w:t>
      </w:r>
      <w:r w:rsidR="00AE2AB4" w:rsidRPr="00FC7BB4">
        <w:rPr>
          <w:rFonts w:ascii="Times New Roman" w:eastAsia="Times New Roman" w:hAnsi="Times New Roman" w:cs="Times New Roman"/>
          <w:color w:val="auto"/>
          <w:kern w:val="0"/>
          <w:sz w:val="24"/>
          <w14:ligatures w14:val="none"/>
        </w:rPr>
        <w:t>.</w:t>
      </w:r>
      <w:r w:rsidR="00863947" w:rsidRPr="00FC7BB4">
        <w:rPr>
          <w:rStyle w:val="FootnoteReference"/>
          <w:rFonts w:ascii="Times New Roman" w:eastAsia="Times New Roman" w:hAnsi="Times New Roman" w:cs="Times New Roman"/>
          <w:color w:val="auto"/>
          <w:kern w:val="0"/>
          <w:sz w:val="24"/>
          <w14:ligatures w14:val="none"/>
        </w:rPr>
        <w:footnoteReference w:id="22"/>
      </w:r>
      <w:r w:rsidR="00863947" w:rsidRPr="00FC7BB4">
        <w:rPr>
          <w:rFonts w:ascii="Times New Roman" w:eastAsia="Times New Roman" w:hAnsi="Times New Roman" w:cs="Times New Roman"/>
          <w:color w:val="auto"/>
          <w:kern w:val="0"/>
          <w:sz w:val="24"/>
          <w14:ligatures w14:val="none"/>
        </w:rPr>
        <w:t xml:space="preserve"> </w:t>
      </w:r>
      <w:r w:rsidR="000F6F2B" w:rsidRPr="00FC7BB4">
        <w:rPr>
          <w:rFonts w:ascii="Times New Roman" w:eastAsia="Times New Roman" w:hAnsi="Times New Roman" w:cs="Times New Roman"/>
          <w:color w:val="auto"/>
          <w:kern w:val="0"/>
          <w:sz w:val="24"/>
          <w14:ligatures w14:val="none"/>
        </w:rPr>
        <w:t>The above</w:t>
      </w:r>
      <w:r w:rsidR="00D960E4" w:rsidRPr="00FC7BB4">
        <w:rPr>
          <w:rFonts w:ascii="Times New Roman" w:eastAsia="Times New Roman" w:hAnsi="Times New Roman" w:cs="Times New Roman"/>
          <w:color w:val="auto"/>
          <w:kern w:val="0"/>
          <w:sz w:val="24"/>
          <w14:ligatures w14:val="none"/>
        </w:rPr>
        <w:t xml:space="preserve"> discussion</w:t>
      </w:r>
      <w:r w:rsidR="000F6F2B" w:rsidRPr="00FC7BB4">
        <w:rPr>
          <w:rFonts w:ascii="Times New Roman" w:eastAsia="Times New Roman" w:hAnsi="Times New Roman" w:cs="Times New Roman"/>
          <w:color w:val="auto"/>
          <w:kern w:val="0"/>
          <w:sz w:val="24"/>
          <w14:ligatures w14:val="none"/>
        </w:rPr>
        <w:t xml:space="preserve"> also</w:t>
      </w:r>
      <w:r w:rsidR="00D960E4" w:rsidRPr="00FC7BB4">
        <w:rPr>
          <w:rFonts w:ascii="Times New Roman" w:eastAsia="Times New Roman" w:hAnsi="Times New Roman" w:cs="Times New Roman"/>
          <w:color w:val="auto"/>
          <w:kern w:val="0"/>
          <w:sz w:val="24"/>
          <w14:ligatures w14:val="none"/>
        </w:rPr>
        <w:t xml:space="preserve"> suggests that </w:t>
      </w:r>
      <w:r w:rsidR="00C06A36" w:rsidRPr="00FC7BB4">
        <w:rPr>
          <w:rFonts w:ascii="Times New Roman" w:eastAsia="Times New Roman" w:hAnsi="Times New Roman" w:cs="Times New Roman"/>
          <w:color w:val="auto"/>
          <w:kern w:val="0"/>
          <w:sz w:val="24"/>
          <w14:ligatures w14:val="none"/>
        </w:rPr>
        <w:t>pr</w:t>
      </w:r>
      <w:r w:rsidR="00041A11" w:rsidRPr="00FC7BB4">
        <w:rPr>
          <w:rFonts w:ascii="Times New Roman" w:eastAsia="Times New Roman" w:hAnsi="Times New Roman" w:cs="Times New Roman"/>
          <w:color w:val="auto"/>
          <w:kern w:val="0"/>
          <w:sz w:val="24"/>
          <w14:ligatures w14:val="none"/>
        </w:rPr>
        <w:t>i</w:t>
      </w:r>
      <w:r w:rsidR="00C06A36" w:rsidRPr="00FC7BB4">
        <w:rPr>
          <w:rFonts w:ascii="Times New Roman" w:eastAsia="Times New Roman" w:hAnsi="Times New Roman" w:cs="Times New Roman"/>
          <w:color w:val="auto"/>
          <w:kern w:val="0"/>
          <w:sz w:val="24"/>
          <w14:ligatures w14:val="none"/>
        </w:rPr>
        <w:t xml:space="preserve">ce adjustment is </w:t>
      </w:r>
      <w:r w:rsidR="0027496D" w:rsidRPr="00FC7BB4">
        <w:rPr>
          <w:rFonts w:ascii="Times New Roman" w:eastAsia="Times New Roman" w:hAnsi="Times New Roman" w:cs="Times New Roman"/>
          <w:color w:val="auto"/>
          <w:kern w:val="0"/>
          <w:sz w:val="24"/>
          <w14:ligatures w14:val="none"/>
        </w:rPr>
        <w:t>likely to depend on the level of inflation</w:t>
      </w:r>
      <w:r w:rsidR="000F6F2B" w:rsidRPr="00FC7BB4">
        <w:rPr>
          <w:rFonts w:ascii="Times New Roman" w:eastAsia="Times New Roman" w:hAnsi="Times New Roman" w:cs="Times New Roman"/>
          <w:color w:val="auto"/>
          <w:kern w:val="0"/>
          <w:sz w:val="24"/>
          <w14:ligatures w14:val="none"/>
        </w:rPr>
        <w:t>,</w:t>
      </w:r>
      <w:r w:rsidR="00C06A36" w:rsidRPr="00FC7BB4">
        <w:rPr>
          <w:rFonts w:ascii="Times New Roman" w:eastAsia="Times New Roman" w:hAnsi="Times New Roman" w:cs="Times New Roman"/>
          <w:color w:val="auto"/>
          <w:kern w:val="0"/>
          <w:sz w:val="24"/>
          <w14:ligatures w14:val="none"/>
        </w:rPr>
        <w:t xml:space="preserve"> </w:t>
      </w:r>
      <w:r w:rsidR="005B47FD" w:rsidRPr="00FC7BB4">
        <w:rPr>
          <w:rFonts w:ascii="Times New Roman" w:eastAsia="Times New Roman" w:hAnsi="Times New Roman" w:cs="Times New Roman"/>
          <w:color w:val="auto"/>
          <w:kern w:val="0"/>
          <w:sz w:val="24"/>
          <w14:ligatures w14:val="none"/>
        </w:rPr>
        <w:t>therefore</w:t>
      </w:r>
      <w:r w:rsidR="00C06A36" w:rsidRPr="00FC7BB4">
        <w:rPr>
          <w:rFonts w:ascii="Times New Roman" w:eastAsia="Times New Roman" w:hAnsi="Times New Roman" w:cs="Times New Roman"/>
          <w:color w:val="auto"/>
          <w:kern w:val="0"/>
          <w:sz w:val="24"/>
          <w14:ligatures w14:val="none"/>
        </w:rPr>
        <w:t xml:space="preserve"> in equation (2) </w:t>
      </w:r>
      <w:r w:rsidR="0033019F" w:rsidRPr="00FC7BB4">
        <w:rPr>
          <w:rFonts w:ascii="Times New Roman" w:eastAsia="Times New Roman" w:hAnsi="Times New Roman" w:cs="Times New Roman"/>
          <w:color w:val="auto"/>
          <w:kern w:val="0"/>
          <w:sz w:val="24"/>
          <w14:ligatures w14:val="none"/>
        </w:rPr>
        <w:t>the response</w:t>
      </w:r>
      <w:r w:rsidR="00FB58D6" w:rsidRPr="00FC7BB4">
        <w:rPr>
          <w:rFonts w:ascii="Times New Roman" w:eastAsia="Times New Roman" w:hAnsi="Times New Roman" w:cs="Times New Roman"/>
          <w:color w:val="auto"/>
          <w:kern w:val="0"/>
          <w:sz w:val="24"/>
          <w14:ligatures w14:val="none"/>
        </w:rPr>
        <w:t xml:space="preserve"> of price pressures to cost and demand </w:t>
      </w:r>
      <w:r w:rsidR="005B47FD" w:rsidRPr="00FC7BB4">
        <w:rPr>
          <w:rFonts w:ascii="Times New Roman" w:eastAsia="Times New Roman" w:hAnsi="Times New Roman" w:cs="Times New Roman"/>
          <w:color w:val="auto"/>
          <w:kern w:val="0"/>
          <w:sz w:val="24"/>
          <w14:ligatures w14:val="none"/>
        </w:rPr>
        <w:t>increases and decreases</w:t>
      </w:r>
      <w:r w:rsidR="0033019F" w:rsidRPr="00FC7BB4">
        <w:rPr>
          <w:rFonts w:ascii="Times New Roman" w:eastAsia="Times New Roman" w:hAnsi="Times New Roman" w:cs="Times New Roman"/>
          <w:color w:val="auto"/>
          <w:kern w:val="0"/>
          <w:sz w:val="24"/>
          <w14:ligatures w14:val="none"/>
        </w:rPr>
        <w:t xml:space="preserve"> </w:t>
      </w:r>
      <w:r w:rsidR="00FB58D6" w:rsidRPr="00FC7BB4">
        <w:rPr>
          <w:rFonts w:ascii="Times New Roman" w:eastAsia="Times New Roman" w:hAnsi="Times New Roman" w:cs="Times New Roman"/>
          <w:color w:val="auto"/>
          <w:kern w:val="0"/>
          <w:sz w:val="24"/>
          <w14:ligatures w14:val="none"/>
        </w:rPr>
        <w:t>is</w:t>
      </w:r>
      <w:r w:rsidR="0033019F" w:rsidRPr="00FC7BB4">
        <w:rPr>
          <w:rFonts w:ascii="Times New Roman" w:eastAsia="Times New Roman" w:hAnsi="Times New Roman" w:cs="Times New Roman"/>
          <w:color w:val="auto"/>
          <w:kern w:val="0"/>
          <w:sz w:val="24"/>
          <w14:ligatures w14:val="none"/>
        </w:rPr>
        <w:t xml:space="preserve"> conditioned on inflation.</w:t>
      </w:r>
      <w:r w:rsidR="007E3645" w:rsidRPr="00FC7BB4">
        <w:rPr>
          <w:rStyle w:val="FootnoteReference"/>
          <w:rFonts w:ascii="Times New Roman" w:eastAsia="Times New Roman" w:hAnsi="Times New Roman" w:cs="Times New Roman"/>
          <w:color w:val="auto"/>
          <w:kern w:val="0"/>
          <w:sz w:val="24"/>
          <w14:ligatures w14:val="none"/>
        </w:rPr>
        <w:footnoteReference w:id="23"/>
      </w:r>
      <w:r w:rsidR="00FC0720" w:rsidRPr="00FC7BB4">
        <w:rPr>
          <w:rFonts w:ascii="Times New Roman" w:eastAsia="Times New Roman" w:hAnsi="Times New Roman" w:cs="Times New Roman"/>
          <w:color w:val="auto"/>
          <w:kern w:val="0"/>
          <w:sz w:val="24"/>
          <w14:ligatures w14:val="none"/>
        </w:rPr>
        <w:t xml:space="preserve"> </w:t>
      </w:r>
    </w:p>
    <w:p w14:paraId="6F36112C" w14:textId="1736624E" w:rsidR="00307155" w:rsidRPr="00FC7BB4" w:rsidRDefault="000F6F2B" w:rsidP="00F3101B">
      <w:pPr>
        <w:spacing w:line="331" w:lineRule="auto"/>
        <w:ind w:right="27" w:firstLine="284"/>
        <w:rPr>
          <w:rFonts w:ascii="Times New Roman" w:hAnsi="Times New Roman" w:cs="Times New Roman"/>
          <w:sz w:val="24"/>
        </w:rPr>
      </w:pPr>
      <w:r w:rsidRPr="00FC7BB4">
        <w:rPr>
          <w:rFonts w:ascii="Times New Roman" w:hAnsi="Times New Roman" w:cs="Times New Roman"/>
          <w:sz w:val="24"/>
        </w:rPr>
        <w:t xml:space="preserve">For a given inflation rate and a given value of </w:t>
      </w:r>
      <w:r w:rsidRPr="00FC7BB4">
        <w:rPr>
          <w:rFonts w:ascii="Cambria Math" w:hAnsi="Cambria Math" w:cs="Cambria Math"/>
          <w:sz w:val="24"/>
        </w:rPr>
        <w:t>𝜃</w:t>
      </w:r>
      <w:r w:rsidRPr="00FC7BB4">
        <w:rPr>
          <w:rFonts w:ascii="Times New Roman" w:hAnsi="Times New Roman" w:cs="Times New Roman"/>
          <w:i/>
          <w:iCs/>
          <w:sz w:val="24"/>
        </w:rPr>
        <w:t>,</w:t>
      </w:r>
      <w:r w:rsidRPr="00FC7BB4">
        <w:rPr>
          <w:rFonts w:ascii="Times New Roman" w:hAnsi="Times New Roman" w:cs="Times New Roman"/>
          <w:sz w:val="24"/>
        </w:rPr>
        <w:t xml:space="preserve"> e</w:t>
      </w:r>
      <w:r w:rsidR="00F11E7A" w:rsidRPr="00FC7BB4">
        <w:rPr>
          <w:rFonts w:ascii="Times New Roman" w:hAnsi="Times New Roman" w:cs="Times New Roman"/>
          <w:sz w:val="24"/>
        </w:rPr>
        <w:t>quation (3) s</w:t>
      </w:r>
      <w:r w:rsidR="006C6E7B" w:rsidRPr="00FC7BB4">
        <w:rPr>
          <w:rFonts w:ascii="Times New Roman" w:hAnsi="Times New Roman" w:cs="Times New Roman"/>
          <w:sz w:val="24"/>
        </w:rPr>
        <w:t>uggests as the</w:t>
      </w:r>
      <w:r w:rsidR="00954B40" w:rsidRPr="00FC7BB4">
        <w:rPr>
          <w:rFonts w:ascii="Times New Roman" w:hAnsi="Times New Roman" w:cs="Times New Roman"/>
          <w:sz w:val="24"/>
        </w:rPr>
        <w:t xml:space="preserve"> costs of price adjustment</w:t>
      </w:r>
      <w:r w:rsidR="00C052DD" w:rsidRPr="00FC7BB4">
        <w:rPr>
          <w:rFonts w:ascii="Times New Roman" w:hAnsi="Times New Roman" w:cs="Times New Roman"/>
          <w:i/>
          <w:iCs/>
          <w:sz w:val="24"/>
        </w:rPr>
        <w:t xml:space="preserve"> </w:t>
      </w:r>
      <w:r w:rsidR="00C052DD" w:rsidRPr="00FC7BB4">
        <w:rPr>
          <w:rFonts w:ascii="Times New Roman" w:hAnsi="Times New Roman" w:cs="Times New Roman"/>
          <w:sz w:val="24"/>
        </w:rPr>
        <w:t>(</w:t>
      </w:r>
      <w:r w:rsidR="00863947" w:rsidRPr="00FC7BB4">
        <w:rPr>
          <w:rFonts w:ascii="Times New Roman" w:hAnsi="Times New Roman" w:cs="Times New Roman"/>
          <w:i/>
          <w:iCs/>
          <w:sz w:val="24"/>
        </w:rPr>
        <w:t>AC</w:t>
      </w:r>
      <w:r w:rsidR="00C052DD" w:rsidRPr="00FC7BB4">
        <w:rPr>
          <w:rFonts w:ascii="Times New Roman" w:hAnsi="Times New Roman" w:cs="Times New Roman"/>
          <w:sz w:val="24"/>
        </w:rPr>
        <w:t>)</w:t>
      </w:r>
      <w:r w:rsidR="00954B40" w:rsidRPr="00FC7BB4">
        <w:rPr>
          <w:rFonts w:ascii="Times New Roman" w:hAnsi="Times New Roman" w:cs="Times New Roman"/>
          <w:sz w:val="24"/>
        </w:rPr>
        <w:t xml:space="preserve"> decline, the probability of a price adjustment </w:t>
      </w:r>
      <w:r w:rsidR="00B322E0" w:rsidRPr="00FC7BB4">
        <w:rPr>
          <w:rFonts w:ascii="Times New Roman" w:hAnsi="Times New Roman" w:cs="Times New Roman"/>
          <w:sz w:val="24"/>
        </w:rPr>
        <w:t>increases</w:t>
      </w:r>
      <w:r w:rsidR="00954B40" w:rsidRPr="00FC7BB4">
        <w:rPr>
          <w:rFonts w:ascii="Times New Roman" w:hAnsi="Times New Roman" w:cs="Times New Roman"/>
          <w:sz w:val="24"/>
        </w:rPr>
        <w:t xml:space="preserve">. </w:t>
      </w:r>
      <w:r w:rsidR="006A7E12" w:rsidRPr="00FC7BB4">
        <w:rPr>
          <w:rFonts w:ascii="Times New Roman" w:hAnsi="Times New Roman" w:cs="Times New Roman"/>
          <w:sz w:val="24"/>
        </w:rPr>
        <w:t xml:space="preserve">This motivates the </w:t>
      </w:r>
      <w:r w:rsidR="00307155" w:rsidRPr="00FC7BB4">
        <w:rPr>
          <w:rFonts w:ascii="Times New Roman" w:hAnsi="Times New Roman" w:cs="Times New Roman"/>
          <w:sz w:val="24"/>
        </w:rPr>
        <w:t xml:space="preserve">decision to introduce a time-dependent dummy variable from 2011Q2, </w:t>
      </w:r>
      <w:r w:rsidR="008308E1" w:rsidRPr="00FC7BB4">
        <w:rPr>
          <w:rFonts w:ascii="Times New Roman" w:hAnsi="Times New Roman" w:cs="Times New Roman"/>
          <w:sz w:val="24"/>
        </w:rPr>
        <w:t xml:space="preserve">to see if declining </w:t>
      </w:r>
      <w:r w:rsidR="00B322E0" w:rsidRPr="00FC7BB4">
        <w:rPr>
          <w:rFonts w:ascii="Times New Roman" w:hAnsi="Times New Roman" w:cs="Times New Roman"/>
          <w:sz w:val="24"/>
        </w:rPr>
        <w:t>price adjustment</w:t>
      </w:r>
      <w:r w:rsidR="008308E1" w:rsidRPr="00FC7BB4">
        <w:rPr>
          <w:rFonts w:ascii="Times New Roman" w:hAnsi="Times New Roman" w:cs="Times New Roman"/>
          <w:sz w:val="24"/>
        </w:rPr>
        <w:t xml:space="preserve"> costs (and other factors discussed in Sections 6 and 7) have changed </w:t>
      </w:r>
      <w:r w:rsidR="009408CC" w:rsidRPr="00FC7BB4">
        <w:rPr>
          <w:rFonts w:ascii="Times New Roman" w:hAnsi="Times New Roman" w:cs="Times New Roman"/>
          <w:sz w:val="24"/>
        </w:rPr>
        <w:t xml:space="preserve">the responsiveness of prices to demand and cost shocks. </w:t>
      </w:r>
      <w:r w:rsidR="006A7E12" w:rsidRPr="00FC7BB4">
        <w:rPr>
          <w:rFonts w:ascii="Times New Roman" w:hAnsi="Times New Roman" w:cs="Times New Roman"/>
          <w:sz w:val="24"/>
        </w:rPr>
        <w:t>The decision to introduce a time-dependent dummy variable from 2011Q2</w:t>
      </w:r>
      <w:r w:rsidR="00863947" w:rsidRPr="00FC7BB4">
        <w:rPr>
          <w:rFonts w:ascii="Times New Roman" w:hAnsi="Times New Roman" w:cs="Times New Roman"/>
          <w:sz w:val="24"/>
        </w:rPr>
        <w:t>,</w:t>
      </w:r>
      <w:r w:rsidR="006A7E12" w:rsidRPr="00FC7BB4">
        <w:rPr>
          <w:rFonts w:ascii="Times New Roman" w:hAnsi="Times New Roman" w:cs="Times New Roman"/>
          <w:sz w:val="24"/>
        </w:rPr>
        <w:t xml:space="preserve"> </w:t>
      </w:r>
      <w:r w:rsidR="00307155" w:rsidRPr="00FC7BB4">
        <w:rPr>
          <w:rFonts w:ascii="Times New Roman" w:hAnsi="Times New Roman" w:cs="Times New Roman"/>
          <w:sz w:val="24"/>
        </w:rPr>
        <w:t>and well before the start of the COVID inflation period, is motivated by interest in understanding how firm pricing behaviour changes across different rates of inflation. If the dummy variable commenced around 2020 there would be too few periods with low inflation.</w:t>
      </w:r>
      <w:r w:rsidR="00596A2B" w:rsidRPr="00FC7BB4">
        <w:rPr>
          <w:rFonts w:ascii="Times New Roman" w:hAnsi="Times New Roman" w:cs="Times New Roman"/>
          <w:sz w:val="24"/>
        </w:rPr>
        <w:t xml:space="preserve"> </w:t>
      </w:r>
      <w:r w:rsidR="00307155" w:rsidRPr="00FC7BB4">
        <w:rPr>
          <w:rFonts w:ascii="Times New Roman" w:hAnsi="Times New Roman" w:cs="Times New Roman"/>
          <w:sz w:val="24"/>
        </w:rPr>
        <w:t xml:space="preserve">It could also be argued that the time-dependent dummy be introduced in </w:t>
      </w:r>
      <w:r w:rsidR="00A47577" w:rsidRPr="00FC7BB4">
        <w:rPr>
          <w:rFonts w:ascii="Times New Roman" w:hAnsi="Times New Roman" w:cs="Times New Roman"/>
          <w:sz w:val="24"/>
        </w:rPr>
        <w:t xml:space="preserve">the </w:t>
      </w:r>
      <w:r w:rsidR="00307155" w:rsidRPr="00FC7BB4">
        <w:rPr>
          <w:rFonts w:ascii="Times New Roman" w:hAnsi="Times New Roman" w:cs="Times New Roman"/>
          <w:sz w:val="24"/>
        </w:rPr>
        <w:t xml:space="preserve">1990s when there seemed from analysis in Section 4, to be some evidence of the commencement of an increase in the sensitivity of firm price change behaviour to inflation. The reason for choosing the later start date is to ensure changes in the price-demand-cost dynamics captured with the </w:t>
      </w:r>
      <w:r w:rsidR="00307155" w:rsidRPr="00FC7BB4">
        <w:rPr>
          <w:rFonts w:ascii="Times New Roman" w:hAnsi="Times New Roman" w:cs="Times New Roman"/>
          <w:i/>
          <w:sz w:val="24"/>
        </w:rPr>
        <w:t xml:space="preserve">Recent </w:t>
      </w:r>
      <w:r w:rsidR="00307155" w:rsidRPr="00FC7BB4">
        <w:rPr>
          <w:rFonts w:ascii="Times New Roman" w:hAnsi="Times New Roman" w:cs="Times New Roman"/>
          <w:sz w:val="24"/>
        </w:rPr>
        <w:t>dummy variable are as contemporaneous as possible and provide insights pertinent for current monetary policy decision-making.</w:t>
      </w:r>
      <w:r w:rsidR="00307155" w:rsidRPr="00FC7BB4">
        <w:rPr>
          <w:rStyle w:val="FootnoteReference"/>
          <w:rFonts w:ascii="Times New Roman" w:hAnsi="Times New Roman" w:cs="Times New Roman"/>
          <w:sz w:val="24"/>
        </w:rPr>
        <w:footnoteReference w:id="24"/>
      </w:r>
      <w:r w:rsidR="00307155" w:rsidRPr="00FC7BB4">
        <w:rPr>
          <w:rFonts w:ascii="Times New Roman" w:hAnsi="Times New Roman" w:cs="Times New Roman"/>
          <w:sz w:val="24"/>
        </w:rPr>
        <w:t xml:space="preserve">  </w:t>
      </w:r>
    </w:p>
    <w:p w14:paraId="16164A6F" w14:textId="1C661065" w:rsidR="00307155" w:rsidRPr="00FC7BB4" w:rsidRDefault="00307155" w:rsidP="00F3101B">
      <w:pPr>
        <w:spacing w:after="0" w:line="360" w:lineRule="auto"/>
        <w:ind w:left="-17" w:right="27"/>
        <w:rPr>
          <w:rFonts w:ascii="Times New Roman" w:hAnsi="Times New Roman" w:cs="Times New Roman"/>
          <w:sz w:val="24"/>
        </w:rPr>
      </w:pPr>
      <w:bookmarkStart w:id="63" w:name="_Hlk213339348"/>
      <w:bookmarkEnd w:id="62"/>
      <w:r w:rsidRPr="00FC7BB4">
        <w:rPr>
          <w:rFonts w:ascii="Times New Roman" w:hAnsi="Times New Roman" w:cs="Times New Roman"/>
          <w:sz w:val="24"/>
        </w:rPr>
        <w:lastRenderedPageBreak/>
        <w:t xml:space="preserve">The </w:t>
      </w:r>
      <w:r w:rsidR="00CE5646" w:rsidRPr="00FC7BB4">
        <w:rPr>
          <w:rFonts w:ascii="Times New Roman" w:hAnsi="Times New Roman" w:cs="Times New Roman"/>
          <w:sz w:val="24"/>
        </w:rPr>
        <w:t>p</w:t>
      </w:r>
      <w:r w:rsidR="00B905E0" w:rsidRPr="00FC7BB4">
        <w:rPr>
          <w:rFonts w:ascii="Times New Roman" w:hAnsi="Times New Roman" w:cs="Times New Roman"/>
          <w:sz w:val="24"/>
        </w:rPr>
        <w:t xml:space="preserve">robit </w:t>
      </w:r>
      <w:r w:rsidRPr="00FC7BB4">
        <w:rPr>
          <w:rFonts w:ascii="Times New Roman" w:hAnsi="Times New Roman" w:cs="Times New Roman"/>
          <w:sz w:val="24"/>
        </w:rPr>
        <w:t>model is estimated via maximum likelihood methods using individual firm data from 1963Q3 to 2024Q3, a period of 61 years.</w:t>
      </w:r>
      <w:r w:rsidR="00300158" w:rsidRPr="00FC7BB4">
        <w:rPr>
          <w:rFonts w:ascii="Times New Roman" w:hAnsi="Times New Roman" w:cs="Times New Roman"/>
          <w:sz w:val="24"/>
        </w:rPr>
        <w:t xml:space="preserve"> </w:t>
      </w:r>
      <w:bookmarkStart w:id="64" w:name="_Hlk213168804"/>
      <w:r w:rsidR="00300158" w:rsidRPr="00FC7BB4">
        <w:rPr>
          <w:rFonts w:ascii="Times New Roman" w:hAnsi="Times New Roman" w:cs="Times New Roman"/>
          <w:sz w:val="24"/>
        </w:rPr>
        <w:t>T</w:t>
      </w:r>
      <w:r w:rsidRPr="00FC7BB4">
        <w:rPr>
          <w:rFonts w:ascii="Times New Roman" w:hAnsi="Times New Roman" w:cs="Times New Roman"/>
          <w:sz w:val="24"/>
        </w:rPr>
        <w:t>esting revealed that the null hypothesis of homoskedasticity is rejected using the Likelihood Ratio test for the model estimated on the full dataset, as well as the models estimated on the sector-specific and size-specific datasets (see the Likelihood Ratio chi-square in Table</w:t>
      </w:r>
      <w:r w:rsidR="00300158" w:rsidRPr="00FC7BB4">
        <w:rPr>
          <w:rFonts w:ascii="Times New Roman" w:hAnsi="Times New Roman" w:cs="Times New Roman"/>
          <w:sz w:val="24"/>
        </w:rPr>
        <w:t>s</w:t>
      </w:r>
      <w:r w:rsidRPr="00FC7BB4">
        <w:rPr>
          <w:rFonts w:ascii="Times New Roman" w:hAnsi="Times New Roman" w:cs="Times New Roman"/>
          <w:sz w:val="24"/>
        </w:rPr>
        <w:t xml:space="preserve"> A2</w:t>
      </w:r>
      <w:r w:rsidR="00300158" w:rsidRPr="00FC7BB4">
        <w:rPr>
          <w:rFonts w:ascii="Times New Roman" w:hAnsi="Times New Roman" w:cs="Times New Roman"/>
          <w:sz w:val="24"/>
        </w:rPr>
        <w:t xml:space="preserve"> and A3</w:t>
      </w:r>
      <w:r w:rsidRPr="00FC7BB4">
        <w:rPr>
          <w:rFonts w:ascii="Times New Roman" w:hAnsi="Times New Roman" w:cs="Times New Roman"/>
          <w:sz w:val="24"/>
        </w:rPr>
        <w:t>).</w:t>
      </w:r>
      <w:r w:rsidRPr="00FC7BB4">
        <w:rPr>
          <w:rStyle w:val="FootnoteReference"/>
          <w:rFonts w:ascii="Times New Roman" w:hAnsi="Times New Roman" w:cs="Times New Roman"/>
          <w:sz w:val="24"/>
        </w:rPr>
        <w:footnoteReference w:id="25"/>
      </w:r>
      <w:r w:rsidRPr="00FC7BB4">
        <w:rPr>
          <w:rFonts w:ascii="Times New Roman" w:hAnsi="Times New Roman" w:cs="Times New Roman"/>
          <w:sz w:val="24"/>
        </w:rPr>
        <w:t xml:space="preserve"> Therefore, the results presented in this paper are estimated using a version of the ordered probit model that allows for the variance to be a function of specified explanatory variables. In the model estimated on the full dataset in Section 5.2 the variance is modelled as a function of firm sector, firm size and the inflation rate. In the models estimated and reported in Sections 6 and 7 for each sector, the variance is modelled as a function of firm size and inflation. In the models estimated for firms in different employee size groups, the variance is modelled as a function of firm sector and inflation.</w:t>
      </w:r>
      <w:r w:rsidRPr="00FC7BB4">
        <w:rPr>
          <w:rStyle w:val="FootnoteReference"/>
          <w:rFonts w:ascii="Times New Roman" w:hAnsi="Times New Roman" w:cs="Times New Roman"/>
          <w:sz w:val="24"/>
        </w:rPr>
        <w:footnoteReference w:id="26"/>
      </w:r>
      <w:r w:rsidRPr="00FC7BB4">
        <w:rPr>
          <w:rFonts w:ascii="Times New Roman" w:hAnsi="Times New Roman" w:cs="Times New Roman"/>
          <w:sz w:val="24"/>
        </w:rPr>
        <w:t xml:space="preserve">   </w:t>
      </w:r>
      <w:bookmarkEnd w:id="64"/>
    </w:p>
    <w:bookmarkEnd w:id="63"/>
    <w:p w14:paraId="70323CAB" w14:textId="77777777" w:rsidR="00307155" w:rsidRPr="00717BD6" w:rsidRDefault="00307155" w:rsidP="005D65C5">
      <w:pPr>
        <w:pStyle w:val="Heading2"/>
        <w:spacing w:before="120" w:after="120" w:line="331" w:lineRule="auto"/>
        <w:ind w:left="-6" w:right="28" w:hanging="11"/>
        <w:rPr>
          <w:rFonts w:ascii="Times New Roman" w:hAnsi="Times New Roman" w:cs="Times New Roman"/>
          <w:b/>
          <w:bCs/>
          <w:i/>
          <w:iCs/>
          <w:color w:val="auto"/>
          <w:sz w:val="24"/>
        </w:rPr>
      </w:pPr>
      <w:r w:rsidRPr="00717BD6">
        <w:rPr>
          <w:rFonts w:ascii="Times New Roman" w:hAnsi="Times New Roman" w:cs="Times New Roman"/>
          <w:b/>
          <w:bCs/>
          <w:i/>
          <w:iCs/>
          <w:color w:val="auto"/>
          <w:sz w:val="24"/>
        </w:rPr>
        <w:t>5.2. Ordered probit model estimation results</w:t>
      </w:r>
    </w:p>
    <w:p w14:paraId="524E5CBD" w14:textId="30B1FA12" w:rsidR="00307155" w:rsidRPr="00FC7BB4" w:rsidRDefault="00307155" w:rsidP="00F3101B">
      <w:pPr>
        <w:spacing w:after="120" w:line="331" w:lineRule="auto"/>
        <w:ind w:right="27" w:firstLine="0"/>
        <w:rPr>
          <w:rFonts w:ascii="Times New Roman" w:hAnsi="Times New Roman" w:cs="Times New Roman"/>
          <w:sz w:val="24"/>
        </w:rPr>
      </w:pPr>
      <w:bookmarkStart w:id="65" w:name="_Hlk213169022"/>
      <w:r w:rsidRPr="00FC7BB4">
        <w:rPr>
          <w:rFonts w:ascii="Times New Roman" w:hAnsi="Times New Roman" w:cs="Times New Roman"/>
          <w:sz w:val="24"/>
        </w:rPr>
        <w:t>Estimates of the coefficients of equ</w:t>
      </w:r>
      <w:r w:rsidRPr="00FC7BB4">
        <w:rPr>
          <w:rFonts w:ascii="Times New Roman" w:hAnsi="Times New Roman" w:cs="Times New Roman"/>
          <w:color w:val="auto"/>
          <w:sz w:val="24"/>
        </w:rPr>
        <w:t>ation (</w:t>
      </w:r>
      <w:r w:rsidR="00BA5510" w:rsidRPr="00FC7BB4">
        <w:rPr>
          <w:rFonts w:ascii="Times New Roman" w:hAnsi="Times New Roman" w:cs="Times New Roman"/>
          <w:color w:val="auto"/>
          <w:sz w:val="24"/>
        </w:rPr>
        <w:t>2</w:t>
      </w:r>
      <w:r w:rsidRPr="00FC7BB4">
        <w:rPr>
          <w:rFonts w:ascii="Times New Roman" w:hAnsi="Times New Roman" w:cs="Times New Roman"/>
          <w:color w:val="auto"/>
          <w:sz w:val="24"/>
        </w:rPr>
        <w:t xml:space="preserve">) for </w:t>
      </w:r>
      <w:r w:rsidRPr="00FC7BB4">
        <w:rPr>
          <w:rFonts w:ascii="Times New Roman" w:hAnsi="Times New Roman" w:cs="Times New Roman"/>
          <w:sz w:val="24"/>
        </w:rPr>
        <w:t xml:space="preserve">all firms in the sample are provided in Appendix Table A2. </w:t>
      </w:r>
      <w:bookmarkStart w:id="66" w:name="_Hlk213169034"/>
      <w:bookmarkEnd w:id="65"/>
      <w:r w:rsidR="00243843" w:rsidRPr="00FC7BB4">
        <w:rPr>
          <w:rFonts w:ascii="Times New Roman" w:hAnsi="Times New Roman" w:cs="Times New Roman"/>
          <w:sz w:val="24"/>
        </w:rPr>
        <w:t>As noted earlier, t</w:t>
      </w:r>
      <w:r w:rsidRPr="00FC7BB4">
        <w:rPr>
          <w:rFonts w:ascii="Times New Roman" w:hAnsi="Times New Roman" w:cs="Times New Roman"/>
          <w:sz w:val="24"/>
        </w:rPr>
        <w:t>he effects of the variables in equation (</w:t>
      </w:r>
      <w:r w:rsidR="00BA5510" w:rsidRPr="00FC7BB4">
        <w:rPr>
          <w:rFonts w:ascii="Times New Roman" w:hAnsi="Times New Roman" w:cs="Times New Roman"/>
          <w:sz w:val="24"/>
        </w:rPr>
        <w:t>2</w:t>
      </w:r>
      <w:r w:rsidRPr="00FC7BB4">
        <w:rPr>
          <w:rFonts w:ascii="Times New Roman" w:hAnsi="Times New Roman" w:cs="Times New Roman"/>
          <w:sz w:val="24"/>
        </w:rPr>
        <w:t xml:space="preserve">) on the probability of price responses are also influenced by the positioning of the thresholds, </w:t>
      </w:r>
      <w:bookmarkEnd w:id="66"/>
      <w:r w:rsidRPr="00FC7BB4">
        <w:rPr>
          <w:rFonts w:ascii="Times New Roman" w:eastAsia="Cambria" w:hAnsi="Times New Roman" w:cs="Times New Roman"/>
          <w:i/>
          <w:sz w:val="24"/>
        </w:rPr>
        <w:t>k</w:t>
      </w:r>
      <w:r w:rsidRPr="00FC7BB4">
        <w:rPr>
          <w:rFonts w:ascii="Times New Roman" w:eastAsia="Cambria" w:hAnsi="Times New Roman" w:cs="Times New Roman"/>
          <w:sz w:val="24"/>
          <w:vertAlign w:val="subscript"/>
        </w:rPr>
        <w:t xml:space="preserve">1 </w:t>
      </w:r>
      <w:r w:rsidRPr="00FC7BB4">
        <w:rPr>
          <w:rFonts w:ascii="Times New Roman" w:hAnsi="Times New Roman" w:cs="Times New Roman"/>
          <w:sz w:val="24"/>
        </w:rPr>
        <w:t xml:space="preserve">and </w:t>
      </w:r>
      <w:r w:rsidRPr="00FC7BB4">
        <w:rPr>
          <w:rFonts w:ascii="Times New Roman" w:eastAsia="Cambria" w:hAnsi="Times New Roman" w:cs="Times New Roman"/>
          <w:i/>
          <w:sz w:val="24"/>
        </w:rPr>
        <w:t>k</w:t>
      </w:r>
      <w:r w:rsidRPr="00FC7BB4">
        <w:rPr>
          <w:rFonts w:ascii="Times New Roman" w:eastAsia="Cambria" w:hAnsi="Times New Roman" w:cs="Times New Roman"/>
          <w:sz w:val="24"/>
          <w:vertAlign w:val="subscript"/>
        </w:rPr>
        <w:t>2</w:t>
      </w:r>
      <w:r w:rsidRPr="00FC7BB4">
        <w:rPr>
          <w:rFonts w:ascii="Times New Roman" w:hAnsi="Times New Roman" w:cs="Times New Roman"/>
          <w:sz w:val="24"/>
        </w:rPr>
        <w:t>.</w:t>
      </w:r>
      <w:r w:rsidRPr="00FC7BB4">
        <w:rPr>
          <w:rStyle w:val="FootnoteReference"/>
          <w:rFonts w:ascii="Times New Roman" w:hAnsi="Times New Roman" w:cs="Times New Roman"/>
          <w:sz w:val="24"/>
        </w:rPr>
        <w:footnoteReference w:id="27"/>
      </w:r>
      <w:r w:rsidRPr="00FC7BB4">
        <w:rPr>
          <w:rFonts w:ascii="Times New Roman" w:hAnsi="Times New Roman" w:cs="Times New Roman"/>
          <w:sz w:val="24"/>
        </w:rPr>
        <w:t xml:space="preserve"> The best way, therefore, to understand the effects of cost and demand conditions (and their interaction with inflation) on the direction of price change is using the conditional probabilities.</w:t>
      </w:r>
      <w:r w:rsidR="009546DA" w:rsidRPr="00FC7BB4">
        <w:rPr>
          <w:rFonts w:ascii="Times New Roman" w:hAnsi="Times New Roman" w:cs="Times New Roman"/>
          <w:sz w:val="24"/>
        </w:rPr>
        <w:t xml:space="preserve"> </w:t>
      </w:r>
      <w:r w:rsidRPr="00FC7BB4">
        <w:rPr>
          <w:rFonts w:ascii="Times New Roman" w:hAnsi="Times New Roman" w:cs="Times New Roman"/>
          <w:color w:val="auto"/>
          <w:sz w:val="24"/>
        </w:rPr>
        <w:t>Table 2 presents the conditional probabilities calculated using the ordered probit model specified by equation (</w:t>
      </w:r>
      <w:r w:rsidR="00300158" w:rsidRPr="00FC7BB4">
        <w:rPr>
          <w:rFonts w:ascii="Times New Roman" w:hAnsi="Times New Roman" w:cs="Times New Roman"/>
          <w:color w:val="auto"/>
          <w:sz w:val="24"/>
        </w:rPr>
        <w:t>2</w:t>
      </w:r>
      <w:r w:rsidRPr="00FC7BB4">
        <w:rPr>
          <w:rFonts w:ascii="Times New Roman" w:hAnsi="Times New Roman" w:cs="Times New Roman"/>
          <w:color w:val="auto"/>
          <w:sz w:val="24"/>
        </w:rPr>
        <w:t>) and estimated on a dataset containing all firms.</w:t>
      </w:r>
      <w:r w:rsidRPr="00FC7BB4">
        <w:rPr>
          <w:rFonts w:ascii="Times New Roman" w:hAnsi="Times New Roman" w:cs="Times New Roman"/>
          <w:sz w:val="24"/>
        </w:rPr>
        <w:t xml:space="preserve"> </w:t>
      </w:r>
    </w:p>
    <w:p w14:paraId="5FD9435E" w14:textId="77777777" w:rsidR="00717BD6" w:rsidRPr="00FC7BB4" w:rsidRDefault="00717BD6" w:rsidP="00717BD6">
      <w:pPr>
        <w:spacing w:after="0" w:line="331" w:lineRule="auto"/>
        <w:ind w:right="27"/>
        <w:rPr>
          <w:rFonts w:ascii="Times New Roman" w:eastAsia="Times New Roman" w:hAnsi="Times New Roman" w:cs="Times New Roman"/>
          <w:kern w:val="0"/>
          <w:sz w:val="24"/>
          <w14:ligatures w14:val="none"/>
        </w:rPr>
      </w:pPr>
      <w:r w:rsidRPr="00FC7BB4">
        <w:rPr>
          <w:rFonts w:ascii="Times New Roman" w:hAnsi="Times New Roman" w:cs="Times New Roman"/>
          <w:sz w:val="24"/>
        </w:rPr>
        <w:t xml:space="preserve">Table 2 reveals a clear pattern whereby the conditional probability of a price increase rises as inflation rises, both before and after 2011Q2. </w:t>
      </w:r>
      <w:bookmarkStart w:id="67" w:name="_Hlk209538624"/>
      <w:r w:rsidRPr="00FC7BB4">
        <w:rPr>
          <w:rFonts w:ascii="Times New Roman" w:hAnsi="Times New Roman" w:cs="Times New Roman"/>
          <w:sz w:val="24"/>
        </w:rPr>
        <w:t>For example, the estimated conditional probabilities of a price increase when costs and demand increase for the decades before 2011Q2 (</w:t>
      </w:r>
      <w:proofErr w:type="gramStart"/>
      <w:r w:rsidRPr="00FC7BB4">
        <w:rPr>
          <w:rFonts w:ascii="Times New Roman" w:eastAsia="Times New Roman" w:hAnsi="Times New Roman" w:cs="Times New Roman"/>
          <w:kern w:val="0"/>
          <w:sz w:val="24"/>
          <w14:ligatures w14:val="none"/>
        </w:rPr>
        <w:t>Prob[</w:t>
      </w:r>
      <w:proofErr w:type="spellStart"/>
      <w:proofErr w:type="gramEnd"/>
      <w:r w:rsidRPr="00FC7BB4">
        <w:rPr>
          <w:rFonts w:ascii="Times New Roman" w:eastAsia="Times New Roman" w:hAnsi="Times New Roman" w:cs="Times New Roman"/>
          <w:kern w:val="0"/>
          <w:sz w:val="24"/>
          <w14:ligatures w14:val="none"/>
        </w:rPr>
        <w:t>Pup|Cup</w:t>
      </w:r>
      <w:proofErr w:type="spellEnd"/>
      <w:r w:rsidRPr="00FC7BB4">
        <w:rPr>
          <w:rFonts w:ascii="Times New Roman" w:eastAsia="Times New Roman" w:hAnsi="Times New Roman" w:cs="Times New Roman"/>
          <w:kern w:val="0"/>
          <w:sz w:val="24"/>
          <w14:ligatures w14:val="none"/>
        </w:rPr>
        <w:t xml:space="preserve">, Dup, R=0]) rise successively from 0.47 to 0.55 to 0.61 at successively higher inflation rates. </w:t>
      </w:r>
      <w:bookmarkEnd w:id="67"/>
      <w:r w:rsidRPr="00FC7BB4">
        <w:rPr>
          <w:rFonts w:ascii="Times New Roman" w:eastAsia="Times New Roman" w:hAnsi="Times New Roman" w:cs="Times New Roman"/>
          <w:kern w:val="0"/>
          <w:sz w:val="24"/>
          <w14:ligatures w14:val="none"/>
        </w:rPr>
        <w:t xml:space="preserve">This pattern is evident in Table 2 for all estimated conditional probabilities of a price increase. The results are consistent with the predictions of the menu-cost-based state-dependent pricing models discussed in Sections 2 and 5.1. </w:t>
      </w:r>
    </w:p>
    <w:p w14:paraId="64ED08AE" w14:textId="77777777" w:rsidR="00BA5510" w:rsidRPr="00FC7BB4" w:rsidRDefault="00BA5510" w:rsidP="00F3101B">
      <w:pPr>
        <w:spacing w:after="120" w:line="331" w:lineRule="auto"/>
        <w:ind w:right="27" w:firstLine="0"/>
        <w:rPr>
          <w:rFonts w:ascii="Times New Roman" w:hAnsi="Times New Roman" w:cs="Times New Roman"/>
          <w:sz w:val="24"/>
        </w:rPr>
      </w:pPr>
    </w:p>
    <w:p w14:paraId="5ECCDBB9" w14:textId="77777777" w:rsidR="00F3101B" w:rsidRPr="00FC7BB4" w:rsidRDefault="00F3101B" w:rsidP="00F3101B">
      <w:pPr>
        <w:spacing w:after="120" w:line="331" w:lineRule="auto"/>
        <w:ind w:right="27" w:firstLine="0"/>
        <w:rPr>
          <w:rFonts w:ascii="Times New Roman" w:hAnsi="Times New Roman" w:cs="Times New Roman"/>
          <w:sz w:val="24"/>
        </w:rPr>
      </w:pPr>
    </w:p>
    <w:p w14:paraId="13669288" w14:textId="77777777" w:rsidR="00F3101B" w:rsidRDefault="00F3101B" w:rsidP="00F3101B">
      <w:pPr>
        <w:spacing w:after="120" w:line="331" w:lineRule="auto"/>
        <w:ind w:right="27" w:firstLine="0"/>
        <w:rPr>
          <w:rFonts w:ascii="Times New Roman" w:hAnsi="Times New Roman" w:cs="Times New Roman"/>
          <w:sz w:val="24"/>
        </w:rPr>
      </w:pPr>
    </w:p>
    <w:p w14:paraId="770A9853" w14:textId="77777777" w:rsidR="009C11DA" w:rsidRPr="00FC7BB4" w:rsidRDefault="009C11DA" w:rsidP="00F3101B">
      <w:pPr>
        <w:spacing w:after="0" w:line="259" w:lineRule="auto"/>
        <w:ind w:right="27" w:firstLine="709"/>
        <w:jc w:val="center"/>
        <w:rPr>
          <w:rFonts w:ascii="Times New Roman" w:hAnsi="Times New Roman" w:cs="Times New Roman"/>
          <w:b/>
          <w:bCs/>
          <w:color w:val="auto"/>
          <w:sz w:val="24"/>
        </w:rPr>
      </w:pPr>
      <w:bookmarkStart w:id="68" w:name="_Hlk200025849"/>
    </w:p>
    <w:p w14:paraId="234898CD" w14:textId="425FFA1A" w:rsidR="00307155" w:rsidRPr="00FC7BB4" w:rsidRDefault="00307155" w:rsidP="00F3101B">
      <w:pPr>
        <w:spacing w:after="0" w:line="259" w:lineRule="auto"/>
        <w:ind w:right="27" w:firstLine="709"/>
        <w:jc w:val="center"/>
        <w:rPr>
          <w:rFonts w:ascii="Times New Roman" w:hAnsi="Times New Roman" w:cs="Times New Roman"/>
          <w:b/>
          <w:bCs/>
          <w:color w:val="auto"/>
          <w:sz w:val="24"/>
        </w:rPr>
      </w:pPr>
      <w:r w:rsidRPr="00FC7BB4">
        <w:rPr>
          <w:rFonts w:ascii="Times New Roman" w:hAnsi="Times New Roman" w:cs="Times New Roman"/>
          <w:b/>
          <w:bCs/>
          <w:color w:val="auto"/>
          <w:sz w:val="24"/>
        </w:rPr>
        <w:t>Table 2: Conditional probabilities of price changes for all firms: Pre- and Post-2011Q2</w:t>
      </w:r>
    </w:p>
    <w:tbl>
      <w:tblPr>
        <w:tblW w:w="9234" w:type="dxa"/>
        <w:jc w:val="center"/>
        <w:tblLook w:val="04A0" w:firstRow="1" w:lastRow="0" w:firstColumn="1" w:lastColumn="0" w:noHBand="0" w:noVBand="1"/>
      </w:tblPr>
      <w:tblGrid>
        <w:gridCol w:w="2977"/>
        <w:gridCol w:w="851"/>
        <w:gridCol w:w="992"/>
        <w:gridCol w:w="1134"/>
        <w:gridCol w:w="142"/>
        <w:gridCol w:w="992"/>
        <w:gridCol w:w="1134"/>
        <w:gridCol w:w="1012"/>
      </w:tblGrid>
      <w:tr w:rsidR="00307155" w:rsidRPr="00FC7BB4" w14:paraId="489E9451" w14:textId="77777777" w:rsidTr="00291B27">
        <w:trPr>
          <w:trHeight w:val="286"/>
          <w:jc w:val="center"/>
        </w:trPr>
        <w:tc>
          <w:tcPr>
            <w:tcW w:w="2977" w:type="dxa"/>
            <w:tcBorders>
              <w:top w:val="nil"/>
              <w:left w:val="nil"/>
              <w:bottom w:val="single" w:sz="4" w:space="0" w:color="auto"/>
              <w:right w:val="nil"/>
            </w:tcBorders>
            <w:noWrap/>
            <w:vAlign w:val="bottom"/>
            <w:hideMark/>
          </w:tcPr>
          <w:p w14:paraId="331AB7A8"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24"/>
                <w14:ligatures w14:val="none"/>
              </w:rPr>
            </w:pPr>
          </w:p>
        </w:tc>
        <w:tc>
          <w:tcPr>
            <w:tcW w:w="851" w:type="dxa"/>
            <w:tcBorders>
              <w:top w:val="nil"/>
              <w:left w:val="nil"/>
              <w:bottom w:val="single" w:sz="4" w:space="0" w:color="auto"/>
              <w:right w:val="nil"/>
            </w:tcBorders>
            <w:noWrap/>
            <w:vAlign w:val="bottom"/>
            <w:hideMark/>
          </w:tcPr>
          <w:p w14:paraId="230470F0"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992" w:type="dxa"/>
            <w:tcBorders>
              <w:top w:val="nil"/>
              <w:left w:val="nil"/>
              <w:bottom w:val="single" w:sz="4" w:space="0" w:color="auto"/>
              <w:right w:val="nil"/>
            </w:tcBorders>
            <w:noWrap/>
            <w:vAlign w:val="bottom"/>
            <w:hideMark/>
          </w:tcPr>
          <w:p w14:paraId="7C6D76E8"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134" w:type="dxa"/>
            <w:tcBorders>
              <w:top w:val="nil"/>
              <w:left w:val="nil"/>
              <w:bottom w:val="single" w:sz="4" w:space="0" w:color="auto"/>
              <w:right w:val="nil"/>
            </w:tcBorders>
            <w:noWrap/>
            <w:vAlign w:val="bottom"/>
            <w:hideMark/>
          </w:tcPr>
          <w:p w14:paraId="0E77ACAD"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134" w:type="dxa"/>
            <w:gridSpan w:val="2"/>
            <w:tcBorders>
              <w:top w:val="nil"/>
              <w:left w:val="nil"/>
              <w:bottom w:val="single" w:sz="4" w:space="0" w:color="auto"/>
              <w:right w:val="nil"/>
            </w:tcBorders>
            <w:noWrap/>
            <w:vAlign w:val="bottom"/>
            <w:hideMark/>
          </w:tcPr>
          <w:p w14:paraId="20282F35"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134" w:type="dxa"/>
            <w:tcBorders>
              <w:top w:val="nil"/>
              <w:left w:val="nil"/>
              <w:bottom w:val="single" w:sz="4" w:space="0" w:color="auto"/>
              <w:right w:val="nil"/>
            </w:tcBorders>
            <w:noWrap/>
            <w:vAlign w:val="bottom"/>
            <w:hideMark/>
          </w:tcPr>
          <w:p w14:paraId="40A7CD3C"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012" w:type="dxa"/>
            <w:tcBorders>
              <w:top w:val="nil"/>
              <w:left w:val="nil"/>
              <w:bottom w:val="single" w:sz="4" w:space="0" w:color="auto"/>
              <w:right w:val="nil"/>
            </w:tcBorders>
            <w:noWrap/>
            <w:vAlign w:val="bottom"/>
            <w:hideMark/>
          </w:tcPr>
          <w:p w14:paraId="00794D7E"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r>
      <w:tr w:rsidR="00307155" w:rsidRPr="00FC7BB4" w14:paraId="5913C0C6" w14:textId="77777777" w:rsidTr="00291B27">
        <w:trPr>
          <w:trHeight w:val="286"/>
          <w:jc w:val="center"/>
        </w:trPr>
        <w:tc>
          <w:tcPr>
            <w:tcW w:w="2977" w:type="dxa"/>
            <w:tcBorders>
              <w:top w:val="single" w:sz="4" w:space="0" w:color="auto"/>
              <w:left w:val="nil"/>
              <w:bottom w:val="nil"/>
              <w:right w:val="nil"/>
            </w:tcBorders>
            <w:noWrap/>
            <w:vAlign w:val="bottom"/>
            <w:hideMark/>
          </w:tcPr>
          <w:p w14:paraId="06ACD474"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Type of conditional probability:</w:t>
            </w:r>
          </w:p>
        </w:tc>
        <w:tc>
          <w:tcPr>
            <w:tcW w:w="1843" w:type="dxa"/>
            <w:gridSpan w:val="2"/>
            <w:tcBorders>
              <w:top w:val="single" w:sz="4" w:space="0" w:color="auto"/>
              <w:left w:val="nil"/>
              <w:bottom w:val="nil"/>
              <w:right w:val="nil"/>
            </w:tcBorders>
            <w:noWrap/>
            <w:vAlign w:val="bottom"/>
            <w:hideMark/>
          </w:tcPr>
          <w:p w14:paraId="2F5F09BC"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Probabilities:</w:t>
            </w:r>
          </w:p>
        </w:tc>
        <w:tc>
          <w:tcPr>
            <w:tcW w:w="1134" w:type="dxa"/>
            <w:tcBorders>
              <w:top w:val="single" w:sz="4" w:space="0" w:color="auto"/>
              <w:left w:val="nil"/>
              <w:bottom w:val="nil"/>
              <w:right w:val="nil"/>
            </w:tcBorders>
            <w:noWrap/>
            <w:vAlign w:val="bottom"/>
            <w:hideMark/>
          </w:tcPr>
          <w:p w14:paraId="6C052F7C"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 </w:t>
            </w:r>
          </w:p>
        </w:tc>
        <w:tc>
          <w:tcPr>
            <w:tcW w:w="3280" w:type="dxa"/>
            <w:gridSpan w:val="4"/>
            <w:tcBorders>
              <w:top w:val="single" w:sz="4" w:space="0" w:color="auto"/>
              <w:left w:val="nil"/>
              <w:bottom w:val="nil"/>
              <w:right w:val="nil"/>
            </w:tcBorders>
            <w:noWrap/>
            <w:vAlign w:val="bottom"/>
            <w:hideMark/>
          </w:tcPr>
          <w:p w14:paraId="1DFB9F1C"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Change in probabilities (R=</w:t>
            </w:r>
            <w:proofErr w:type="gramStart"/>
            <w:r w:rsidRPr="00FC7BB4">
              <w:rPr>
                <w:rFonts w:ascii="Times New Roman" w:eastAsia="Times New Roman" w:hAnsi="Times New Roman" w:cs="Times New Roman"/>
                <w:color w:val="auto"/>
                <w:kern w:val="0"/>
                <w:szCs w:val="20"/>
                <w14:ligatures w14:val="none"/>
              </w:rPr>
              <w:t>1)-(</w:t>
            </w:r>
            <w:proofErr w:type="gramEnd"/>
            <w:r w:rsidRPr="00FC7BB4">
              <w:rPr>
                <w:rFonts w:ascii="Times New Roman" w:eastAsia="Times New Roman" w:hAnsi="Times New Roman" w:cs="Times New Roman"/>
                <w:color w:val="auto"/>
                <w:kern w:val="0"/>
                <w:szCs w:val="20"/>
                <w14:ligatures w14:val="none"/>
              </w:rPr>
              <w:t>R=0):</w:t>
            </w:r>
          </w:p>
        </w:tc>
      </w:tr>
      <w:tr w:rsidR="00307155" w:rsidRPr="00FC7BB4" w14:paraId="6A42EFB9" w14:textId="77777777" w:rsidTr="00291B27">
        <w:trPr>
          <w:trHeight w:val="286"/>
          <w:jc w:val="center"/>
        </w:trPr>
        <w:tc>
          <w:tcPr>
            <w:tcW w:w="2977" w:type="dxa"/>
            <w:tcBorders>
              <w:top w:val="nil"/>
              <w:left w:val="nil"/>
              <w:bottom w:val="single" w:sz="4" w:space="0" w:color="auto"/>
              <w:right w:val="nil"/>
            </w:tcBorders>
            <w:noWrap/>
            <w:vAlign w:val="bottom"/>
            <w:hideMark/>
          </w:tcPr>
          <w:p w14:paraId="65D75055"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 xml:space="preserve">                                                </w:t>
            </w:r>
          </w:p>
        </w:tc>
        <w:tc>
          <w:tcPr>
            <w:tcW w:w="851" w:type="dxa"/>
            <w:tcBorders>
              <w:top w:val="nil"/>
              <w:left w:val="nil"/>
              <w:bottom w:val="single" w:sz="4" w:space="0" w:color="auto"/>
              <w:right w:val="nil"/>
            </w:tcBorders>
            <w:noWrap/>
            <w:vAlign w:val="bottom"/>
            <w:hideMark/>
          </w:tcPr>
          <w:p w14:paraId="1031B602"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w:t>
            </w:r>
          </w:p>
        </w:tc>
        <w:tc>
          <w:tcPr>
            <w:tcW w:w="992" w:type="dxa"/>
            <w:tcBorders>
              <w:top w:val="nil"/>
              <w:left w:val="nil"/>
              <w:bottom w:val="single" w:sz="4" w:space="0" w:color="auto"/>
              <w:right w:val="nil"/>
            </w:tcBorders>
            <w:noWrap/>
            <w:vAlign w:val="bottom"/>
            <w:hideMark/>
          </w:tcPr>
          <w:p w14:paraId="5E201822"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5%</w:t>
            </w:r>
          </w:p>
        </w:tc>
        <w:tc>
          <w:tcPr>
            <w:tcW w:w="1276" w:type="dxa"/>
            <w:gridSpan w:val="2"/>
            <w:tcBorders>
              <w:top w:val="nil"/>
              <w:left w:val="nil"/>
              <w:bottom w:val="single" w:sz="4" w:space="0" w:color="auto"/>
              <w:right w:val="nil"/>
            </w:tcBorders>
            <w:noWrap/>
            <w:vAlign w:val="bottom"/>
            <w:hideMark/>
          </w:tcPr>
          <w:p w14:paraId="104AAD0B"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7%</w:t>
            </w:r>
          </w:p>
        </w:tc>
        <w:tc>
          <w:tcPr>
            <w:tcW w:w="992" w:type="dxa"/>
            <w:tcBorders>
              <w:top w:val="nil"/>
              <w:left w:val="nil"/>
              <w:bottom w:val="single" w:sz="4" w:space="0" w:color="auto"/>
              <w:right w:val="nil"/>
            </w:tcBorders>
            <w:noWrap/>
            <w:vAlign w:val="bottom"/>
            <w:hideMark/>
          </w:tcPr>
          <w:p w14:paraId="1BDD2690"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 xml:space="preserve">  2%</w:t>
            </w:r>
          </w:p>
        </w:tc>
        <w:tc>
          <w:tcPr>
            <w:tcW w:w="1134" w:type="dxa"/>
            <w:tcBorders>
              <w:top w:val="nil"/>
              <w:left w:val="nil"/>
              <w:bottom w:val="single" w:sz="4" w:space="0" w:color="auto"/>
              <w:right w:val="nil"/>
            </w:tcBorders>
            <w:noWrap/>
            <w:vAlign w:val="bottom"/>
            <w:hideMark/>
          </w:tcPr>
          <w:p w14:paraId="0E1D1232"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 xml:space="preserve">   5%</w:t>
            </w:r>
          </w:p>
        </w:tc>
        <w:tc>
          <w:tcPr>
            <w:tcW w:w="1012" w:type="dxa"/>
            <w:tcBorders>
              <w:top w:val="nil"/>
              <w:left w:val="nil"/>
              <w:bottom w:val="single" w:sz="4" w:space="0" w:color="auto"/>
              <w:right w:val="nil"/>
            </w:tcBorders>
            <w:noWrap/>
            <w:vAlign w:val="bottom"/>
            <w:hideMark/>
          </w:tcPr>
          <w:p w14:paraId="0C4FBE44"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 xml:space="preserve"> 7%</w:t>
            </w:r>
          </w:p>
        </w:tc>
      </w:tr>
      <w:tr w:rsidR="00307155" w:rsidRPr="00FC7BB4" w14:paraId="5068ED81" w14:textId="77777777" w:rsidTr="00291B27">
        <w:trPr>
          <w:trHeight w:val="286"/>
          <w:jc w:val="center"/>
        </w:trPr>
        <w:tc>
          <w:tcPr>
            <w:tcW w:w="9234" w:type="dxa"/>
            <w:gridSpan w:val="8"/>
            <w:tcBorders>
              <w:top w:val="single" w:sz="4" w:space="0" w:color="auto"/>
              <w:left w:val="nil"/>
              <w:bottom w:val="nil"/>
              <w:right w:val="nil"/>
            </w:tcBorders>
            <w:vAlign w:val="center"/>
          </w:tcPr>
          <w:p w14:paraId="24F36ED1" w14:textId="77777777" w:rsidR="00307155" w:rsidRPr="00FC7BB4" w:rsidRDefault="00307155" w:rsidP="00F3101B">
            <w:pPr>
              <w:spacing w:after="0" w:line="240" w:lineRule="auto"/>
              <w:ind w:right="27" w:firstLine="0"/>
              <w:rPr>
                <w:rFonts w:ascii="Times New Roman" w:eastAsia="Times New Roman" w:hAnsi="Times New Roman" w:cs="Times New Roman"/>
                <w:i/>
                <w:iCs/>
                <w:kern w:val="0"/>
                <w:szCs w:val="20"/>
                <w14:ligatures w14:val="none"/>
              </w:rPr>
            </w:pPr>
          </w:p>
          <w:p w14:paraId="29EEFCE7" w14:textId="77777777" w:rsidR="00307155" w:rsidRPr="00FC7BB4" w:rsidRDefault="00307155" w:rsidP="00F3101B">
            <w:pPr>
              <w:spacing w:after="0" w:line="240" w:lineRule="auto"/>
              <w:ind w:right="27" w:firstLine="0"/>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i/>
                <w:iCs/>
                <w:kern w:val="0"/>
                <w:szCs w:val="20"/>
                <w14:ligatures w14:val="none"/>
              </w:rPr>
              <w:t>Probability firms increase prices:</w:t>
            </w:r>
          </w:p>
        </w:tc>
      </w:tr>
      <w:tr w:rsidR="00307155" w:rsidRPr="00FC7BB4" w14:paraId="23ED377B" w14:textId="77777777" w:rsidTr="00291B27">
        <w:trPr>
          <w:trHeight w:val="286"/>
          <w:jc w:val="center"/>
        </w:trPr>
        <w:tc>
          <w:tcPr>
            <w:tcW w:w="2977" w:type="dxa"/>
            <w:tcBorders>
              <w:top w:val="nil"/>
              <w:left w:val="nil"/>
              <w:bottom w:val="nil"/>
              <w:right w:val="nil"/>
            </w:tcBorders>
            <w:vAlign w:val="center"/>
            <w:hideMark/>
          </w:tcPr>
          <w:p w14:paraId="646C418E"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bookmarkStart w:id="69" w:name="_Hlk209537864"/>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Pup|Cup</w:t>
            </w:r>
            <w:proofErr w:type="spellEnd"/>
            <w:r w:rsidRPr="00FC7BB4">
              <w:rPr>
                <w:rFonts w:ascii="Times New Roman" w:eastAsia="Times New Roman" w:hAnsi="Times New Roman" w:cs="Times New Roman"/>
                <w:kern w:val="0"/>
                <w:szCs w:val="20"/>
                <w14:ligatures w14:val="none"/>
              </w:rPr>
              <w:t>, Dup, R=0]</w:t>
            </w:r>
            <w:bookmarkEnd w:id="69"/>
          </w:p>
        </w:tc>
        <w:tc>
          <w:tcPr>
            <w:tcW w:w="851" w:type="dxa"/>
            <w:tcBorders>
              <w:top w:val="nil"/>
              <w:left w:val="nil"/>
              <w:bottom w:val="nil"/>
              <w:right w:val="nil"/>
            </w:tcBorders>
            <w:vAlign w:val="center"/>
            <w:hideMark/>
          </w:tcPr>
          <w:p w14:paraId="281BE0AB"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0.47</w:t>
            </w:r>
          </w:p>
        </w:tc>
        <w:tc>
          <w:tcPr>
            <w:tcW w:w="992" w:type="dxa"/>
            <w:tcBorders>
              <w:top w:val="nil"/>
              <w:left w:val="nil"/>
              <w:bottom w:val="nil"/>
              <w:right w:val="nil"/>
            </w:tcBorders>
            <w:vAlign w:val="center"/>
            <w:hideMark/>
          </w:tcPr>
          <w:p w14:paraId="5086D22B"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0.55</w:t>
            </w:r>
          </w:p>
        </w:tc>
        <w:tc>
          <w:tcPr>
            <w:tcW w:w="1134" w:type="dxa"/>
            <w:tcBorders>
              <w:top w:val="nil"/>
              <w:left w:val="nil"/>
              <w:bottom w:val="nil"/>
              <w:right w:val="nil"/>
            </w:tcBorders>
            <w:vAlign w:val="center"/>
            <w:hideMark/>
          </w:tcPr>
          <w:p w14:paraId="5F39917D"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0.61</w:t>
            </w:r>
          </w:p>
        </w:tc>
        <w:tc>
          <w:tcPr>
            <w:tcW w:w="1134" w:type="dxa"/>
            <w:gridSpan w:val="2"/>
            <w:tcBorders>
              <w:top w:val="nil"/>
              <w:left w:val="nil"/>
              <w:bottom w:val="nil"/>
              <w:right w:val="nil"/>
            </w:tcBorders>
            <w:vAlign w:val="center"/>
            <w:hideMark/>
          </w:tcPr>
          <w:p w14:paraId="3E8F4865"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34" w:type="dxa"/>
            <w:tcBorders>
              <w:top w:val="nil"/>
              <w:left w:val="nil"/>
              <w:bottom w:val="nil"/>
              <w:right w:val="nil"/>
            </w:tcBorders>
            <w:vAlign w:val="center"/>
            <w:hideMark/>
          </w:tcPr>
          <w:p w14:paraId="19D91852" w14:textId="77777777" w:rsidR="00307155" w:rsidRPr="00FC7BB4" w:rsidRDefault="00307155" w:rsidP="00F3101B">
            <w:pPr>
              <w:spacing w:after="0" w:line="240" w:lineRule="auto"/>
              <w:ind w:right="27" w:firstLine="0"/>
              <w:rPr>
                <w:rFonts w:ascii="Times New Roman" w:eastAsia="Times New Roman" w:hAnsi="Times New Roman" w:cs="Times New Roman"/>
                <w:color w:val="auto"/>
                <w:kern w:val="0"/>
                <w:szCs w:val="20"/>
                <w14:ligatures w14:val="none"/>
              </w:rPr>
            </w:pPr>
          </w:p>
        </w:tc>
        <w:tc>
          <w:tcPr>
            <w:tcW w:w="1012" w:type="dxa"/>
            <w:tcBorders>
              <w:top w:val="nil"/>
              <w:left w:val="nil"/>
              <w:bottom w:val="nil"/>
              <w:right w:val="nil"/>
            </w:tcBorders>
            <w:vAlign w:val="center"/>
            <w:hideMark/>
          </w:tcPr>
          <w:p w14:paraId="3886BC29" w14:textId="77777777" w:rsidR="00307155" w:rsidRPr="00FC7BB4" w:rsidRDefault="00307155" w:rsidP="00F3101B">
            <w:pPr>
              <w:spacing w:after="0" w:line="240" w:lineRule="auto"/>
              <w:ind w:right="27" w:firstLine="0"/>
              <w:rPr>
                <w:rFonts w:ascii="Times New Roman" w:eastAsia="Times New Roman" w:hAnsi="Times New Roman" w:cs="Times New Roman"/>
                <w:color w:val="auto"/>
                <w:kern w:val="0"/>
                <w:szCs w:val="20"/>
                <w14:ligatures w14:val="none"/>
              </w:rPr>
            </w:pPr>
          </w:p>
        </w:tc>
      </w:tr>
      <w:tr w:rsidR="00307155" w:rsidRPr="00FC7BB4" w14:paraId="0E0F89FD" w14:textId="77777777" w:rsidTr="00291B27">
        <w:trPr>
          <w:trHeight w:val="286"/>
          <w:jc w:val="center"/>
        </w:trPr>
        <w:tc>
          <w:tcPr>
            <w:tcW w:w="2977" w:type="dxa"/>
            <w:tcBorders>
              <w:top w:val="nil"/>
              <w:left w:val="nil"/>
              <w:bottom w:val="nil"/>
              <w:right w:val="nil"/>
            </w:tcBorders>
            <w:vAlign w:val="center"/>
            <w:hideMark/>
          </w:tcPr>
          <w:p w14:paraId="5E762134"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Pup|Cup</w:t>
            </w:r>
            <w:proofErr w:type="spellEnd"/>
            <w:r w:rsidRPr="00FC7BB4">
              <w:rPr>
                <w:rFonts w:ascii="Times New Roman" w:eastAsia="Times New Roman" w:hAnsi="Times New Roman" w:cs="Times New Roman"/>
                <w:kern w:val="0"/>
                <w:szCs w:val="20"/>
                <w14:ligatures w14:val="none"/>
              </w:rPr>
              <w:t>, Dup, R=1]</w:t>
            </w:r>
          </w:p>
        </w:tc>
        <w:tc>
          <w:tcPr>
            <w:tcW w:w="851" w:type="dxa"/>
            <w:tcBorders>
              <w:top w:val="nil"/>
              <w:left w:val="nil"/>
              <w:bottom w:val="nil"/>
              <w:right w:val="nil"/>
            </w:tcBorders>
            <w:vAlign w:val="center"/>
            <w:hideMark/>
          </w:tcPr>
          <w:p w14:paraId="74E4B894"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0.48</w:t>
            </w:r>
          </w:p>
        </w:tc>
        <w:tc>
          <w:tcPr>
            <w:tcW w:w="992" w:type="dxa"/>
            <w:tcBorders>
              <w:top w:val="nil"/>
              <w:left w:val="nil"/>
              <w:bottom w:val="nil"/>
              <w:right w:val="nil"/>
            </w:tcBorders>
            <w:vAlign w:val="center"/>
            <w:hideMark/>
          </w:tcPr>
          <w:p w14:paraId="058A0D2A"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0.73</w:t>
            </w:r>
          </w:p>
        </w:tc>
        <w:tc>
          <w:tcPr>
            <w:tcW w:w="1134" w:type="dxa"/>
            <w:tcBorders>
              <w:top w:val="nil"/>
              <w:left w:val="nil"/>
              <w:bottom w:val="nil"/>
              <w:right w:val="nil"/>
            </w:tcBorders>
            <w:vAlign w:val="center"/>
            <w:hideMark/>
          </w:tcPr>
          <w:p w14:paraId="1C27C06E"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0.85</w:t>
            </w:r>
          </w:p>
        </w:tc>
        <w:tc>
          <w:tcPr>
            <w:tcW w:w="1134" w:type="dxa"/>
            <w:gridSpan w:val="2"/>
            <w:tcBorders>
              <w:top w:val="nil"/>
              <w:left w:val="nil"/>
              <w:bottom w:val="nil"/>
              <w:right w:val="nil"/>
            </w:tcBorders>
            <w:noWrap/>
            <w:vAlign w:val="bottom"/>
            <w:hideMark/>
          </w:tcPr>
          <w:p w14:paraId="3C0DE9F8"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0.01**</w:t>
            </w:r>
          </w:p>
        </w:tc>
        <w:tc>
          <w:tcPr>
            <w:tcW w:w="1134" w:type="dxa"/>
            <w:tcBorders>
              <w:top w:val="nil"/>
              <w:left w:val="nil"/>
              <w:bottom w:val="nil"/>
              <w:right w:val="nil"/>
            </w:tcBorders>
            <w:noWrap/>
            <w:vAlign w:val="bottom"/>
            <w:hideMark/>
          </w:tcPr>
          <w:p w14:paraId="7CD596CC"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0.17***</w:t>
            </w:r>
          </w:p>
        </w:tc>
        <w:tc>
          <w:tcPr>
            <w:tcW w:w="1012" w:type="dxa"/>
            <w:tcBorders>
              <w:top w:val="nil"/>
              <w:left w:val="nil"/>
              <w:bottom w:val="nil"/>
              <w:right w:val="nil"/>
            </w:tcBorders>
            <w:noWrap/>
            <w:vAlign w:val="bottom"/>
            <w:hideMark/>
          </w:tcPr>
          <w:p w14:paraId="290709CB"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0.24***</w:t>
            </w:r>
          </w:p>
        </w:tc>
      </w:tr>
      <w:tr w:rsidR="00307155" w:rsidRPr="00FC7BB4" w14:paraId="77FE4E60" w14:textId="77777777" w:rsidTr="00291B27">
        <w:trPr>
          <w:trHeight w:val="286"/>
          <w:jc w:val="center"/>
        </w:trPr>
        <w:tc>
          <w:tcPr>
            <w:tcW w:w="2977" w:type="dxa"/>
            <w:tcBorders>
              <w:top w:val="nil"/>
              <w:left w:val="nil"/>
              <w:bottom w:val="nil"/>
              <w:right w:val="nil"/>
            </w:tcBorders>
            <w:vAlign w:val="center"/>
            <w:hideMark/>
          </w:tcPr>
          <w:p w14:paraId="052D6F34"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Pup|Cup</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Dnc</w:t>
            </w:r>
            <w:proofErr w:type="spellEnd"/>
            <w:r w:rsidRPr="00FC7BB4">
              <w:rPr>
                <w:rFonts w:ascii="Times New Roman" w:eastAsia="Times New Roman" w:hAnsi="Times New Roman" w:cs="Times New Roman"/>
                <w:kern w:val="0"/>
                <w:szCs w:val="20"/>
                <w14:ligatures w14:val="none"/>
              </w:rPr>
              <w:t>, R=0]</w:t>
            </w:r>
          </w:p>
        </w:tc>
        <w:tc>
          <w:tcPr>
            <w:tcW w:w="851" w:type="dxa"/>
            <w:tcBorders>
              <w:top w:val="nil"/>
              <w:left w:val="nil"/>
              <w:bottom w:val="nil"/>
              <w:right w:val="nil"/>
            </w:tcBorders>
            <w:vAlign w:val="center"/>
            <w:hideMark/>
          </w:tcPr>
          <w:p w14:paraId="3B0FCB86"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0.44</w:t>
            </w:r>
          </w:p>
        </w:tc>
        <w:tc>
          <w:tcPr>
            <w:tcW w:w="992" w:type="dxa"/>
            <w:tcBorders>
              <w:top w:val="nil"/>
              <w:left w:val="nil"/>
              <w:bottom w:val="nil"/>
              <w:right w:val="nil"/>
            </w:tcBorders>
            <w:vAlign w:val="center"/>
            <w:hideMark/>
          </w:tcPr>
          <w:p w14:paraId="67FF9EE8"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0.52</w:t>
            </w:r>
          </w:p>
        </w:tc>
        <w:tc>
          <w:tcPr>
            <w:tcW w:w="1134" w:type="dxa"/>
            <w:tcBorders>
              <w:top w:val="nil"/>
              <w:left w:val="nil"/>
              <w:bottom w:val="nil"/>
              <w:right w:val="nil"/>
            </w:tcBorders>
            <w:vAlign w:val="center"/>
            <w:hideMark/>
          </w:tcPr>
          <w:p w14:paraId="54801235"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0.57</w:t>
            </w:r>
          </w:p>
        </w:tc>
        <w:tc>
          <w:tcPr>
            <w:tcW w:w="1134" w:type="dxa"/>
            <w:gridSpan w:val="2"/>
            <w:tcBorders>
              <w:top w:val="nil"/>
              <w:left w:val="nil"/>
              <w:bottom w:val="nil"/>
              <w:right w:val="nil"/>
            </w:tcBorders>
            <w:noWrap/>
            <w:vAlign w:val="bottom"/>
            <w:hideMark/>
          </w:tcPr>
          <w:p w14:paraId="5047529F" w14:textId="77777777" w:rsidR="00307155" w:rsidRPr="00FC7BB4" w:rsidRDefault="00307155" w:rsidP="00F3101B">
            <w:pPr>
              <w:spacing w:after="0" w:line="240" w:lineRule="auto"/>
              <w:ind w:right="27" w:firstLine="0"/>
              <w:rPr>
                <w:rFonts w:ascii="Times New Roman" w:eastAsia="Times New Roman" w:hAnsi="Times New Roman" w:cs="Times New Roman"/>
                <w:i/>
                <w:iCs/>
                <w:kern w:val="0"/>
                <w:szCs w:val="20"/>
                <w14:ligatures w14:val="none"/>
              </w:rPr>
            </w:pPr>
          </w:p>
        </w:tc>
        <w:tc>
          <w:tcPr>
            <w:tcW w:w="1134" w:type="dxa"/>
            <w:tcBorders>
              <w:top w:val="nil"/>
              <w:left w:val="nil"/>
              <w:bottom w:val="nil"/>
              <w:right w:val="nil"/>
            </w:tcBorders>
            <w:noWrap/>
            <w:vAlign w:val="bottom"/>
            <w:hideMark/>
          </w:tcPr>
          <w:p w14:paraId="5B396FA8"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Cs w:val="20"/>
                <w14:ligatures w14:val="none"/>
              </w:rPr>
            </w:pPr>
          </w:p>
        </w:tc>
        <w:tc>
          <w:tcPr>
            <w:tcW w:w="1012" w:type="dxa"/>
            <w:tcBorders>
              <w:top w:val="nil"/>
              <w:left w:val="nil"/>
              <w:bottom w:val="nil"/>
              <w:right w:val="nil"/>
            </w:tcBorders>
            <w:noWrap/>
            <w:vAlign w:val="bottom"/>
            <w:hideMark/>
          </w:tcPr>
          <w:p w14:paraId="457D6E53"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Cs w:val="20"/>
                <w14:ligatures w14:val="none"/>
              </w:rPr>
            </w:pPr>
          </w:p>
        </w:tc>
      </w:tr>
      <w:tr w:rsidR="00307155" w:rsidRPr="00FC7BB4" w14:paraId="7712100B" w14:textId="77777777" w:rsidTr="00291B27">
        <w:trPr>
          <w:trHeight w:val="286"/>
          <w:jc w:val="center"/>
        </w:trPr>
        <w:tc>
          <w:tcPr>
            <w:tcW w:w="2977" w:type="dxa"/>
            <w:tcBorders>
              <w:top w:val="nil"/>
              <w:left w:val="nil"/>
              <w:bottom w:val="nil"/>
              <w:right w:val="nil"/>
            </w:tcBorders>
            <w:vAlign w:val="center"/>
            <w:hideMark/>
          </w:tcPr>
          <w:p w14:paraId="7211AC1D"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Pup|Cup</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Dnc</w:t>
            </w:r>
            <w:proofErr w:type="spellEnd"/>
            <w:r w:rsidRPr="00FC7BB4">
              <w:rPr>
                <w:rFonts w:ascii="Times New Roman" w:eastAsia="Times New Roman" w:hAnsi="Times New Roman" w:cs="Times New Roman"/>
                <w:kern w:val="0"/>
                <w:szCs w:val="20"/>
                <w14:ligatures w14:val="none"/>
              </w:rPr>
              <w:t>, R=1]</w:t>
            </w:r>
          </w:p>
        </w:tc>
        <w:tc>
          <w:tcPr>
            <w:tcW w:w="851" w:type="dxa"/>
            <w:tcBorders>
              <w:top w:val="nil"/>
              <w:left w:val="nil"/>
              <w:bottom w:val="nil"/>
              <w:right w:val="nil"/>
            </w:tcBorders>
            <w:vAlign w:val="center"/>
            <w:hideMark/>
          </w:tcPr>
          <w:p w14:paraId="2B04BC76"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0.41</w:t>
            </w:r>
          </w:p>
        </w:tc>
        <w:tc>
          <w:tcPr>
            <w:tcW w:w="992" w:type="dxa"/>
            <w:tcBorders>
              <w:top w:val="nil"/>
              <w:left w:val="nil"/>
              <w:bottom w:val="nil"/>
              <w:right w:val="nil"/>
            </w:tcBorders>
            <w:vAlign w:val="center"/>
            <w:hideMark/>
          </w:tcPr>
          <w:p w14:paraId="6FBED24E"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0.58</w:t>
            </w:r>
          </w:p>
        </w:tc>
        <w:tc>
          <w:tcPr>
            <w:tcW w:w="1134" w:type="dxa"/>
            <w:tcBorders>
              <w:top w:val="nil"/>
              <w:left w:val="nil"/>
              <w:bottom w:val="nil"/>
              <w:right w:val="nil"/>
            </w:tcBorders>
            <w:vAlign w:val="center"/>
            <w:hideMark/>
          </w:tcPr>
          <w:p w14:paraId="0696F991"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0.69</w:t>
            </w:r>
          </w:p>
        </w:tc>
        <w:tc>
          <w:tcPr>
            <w:tcW w:w="1134" w:type="dxa"/>
            <w:gridSpan w:val="2"/>
            <w:tcBorders>
              <w:top w:val="nil"/>
              <w:left w:val="nil"/>
              <w:bottom w:val="nil"/>
              <w:right w:val="nil"/>
            </w:tcBorders>
            <w:noWrap/>
            <w:vAlign w:val="bottom"/>
            <w:hideMark/>
          </w:tcPr>
          <w:p w14:paraId="68F0F3A2"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- 0.04***</w:t>
            </w:r>
          </w:p>
        </w:tc>
        <w:tc>
          <w:tcPr>
            <w:tcW w:w="1134" w:type="dxa"/>
            <w:tcBorders>
              <w:top w:val="nil"/>
              <w:left w:val="nil"/>
              <w:bottom w:val="nil"/>
              <w:right w:val="nil"/>
            </w:tcBorders>
            <w:noWrap/>
            <w:vAlign w:val="bottom"/>
            <w:hideMark/>
          </w:tcPr>
          <w:p w14:paraId="7EBF8462"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0.06***</w:t>
            </w:r>
          </w:p>
        </w:tc>
        <w:tc>
          <w:tcPr>
            <w:tcW w:w="1012" w:type="dxa"/>
            <w:tcBorders>
              <w:top w:val="nil"/>
              <w:left w:val="nil"/>
              <w:bottom w:val="nil"/>
              <w:right w:val="nil"/>
            </w:tcBorders>
            <w:noWrap/>
            <w:vAlign w:val="bottom"/>
            <w:hideMark/>
          </w:tcPr>
          <w:p w14:paraId="1446B172"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0.12***</w:t>
            </w:r>
          </w:p>
        </w:tc>
      </w:tr>
      <w:tr w:rsidR="00307155" w:rsidRPr="00FC7BB4" w14:paraId="5ED8E495" w14:textId="77777777" w:rsidTr="00291B27">
        <w:trPr>
          <w:trHeight w:val="286"/>
          <w:jc w:val="center"/>
        </w:trPr>
        <w:tc>
          <w:tcPr>
            <w:tcW w:w="2977" w:type="dxa"/>
            <w:tcBorders>
              <w:top w:val="nil"/>
              <w:left w:val="nil"/>
              <w:bottom w:val="nil"/>
              <w:right w:val="nil"/>
            </w:tcBorders>
            <w:vAlign w:val="center"/>
            <w:hideMark/>
          </w:tcPr>
          <w:p w14:paraId="0AFE6797"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Pup|Cup</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Ddn</w:t>
            </w:r>
            <w:proofErr w:type="spellEnd"/>
            <w:r w:rsidRPr="00FC7BB4">
              <w:rPr>
                <w:rFonts w:ascii="Times New Roman" w:eastAsia="Times New Roman" w:hAnsi="Times New Roman" w:cs="Times New Roman"/>
                <w:kern w:val="0"/>
                <w:szCs w:val="20"/>
                <w14:ligatures w14:val="none"/>
              </w:rPr>
              <w:t>, R=0]</w:t>
            </w:r>
          </w:p>
        </w:tc>
        <w:tc>
          <w:tcPr>
            <w:tcW w:w="851" w:type="dxa"/>
            <w:tcBorders>
              <w:top w:val="nil"/>
              <w:left w:val="nil"/>
              <w:bottom w:val="nil"/>
              <w:right w:val="nil"/>
            </w:tcBorders>
            <w:vAlign w:val="center"/>
            <w:hideMark/>
          </w:tcPr>
          <w:p w14:paraId="5CD8CD6B"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0.30</w:t>
            </w:r>
          </w:p>
        </w:tc>
        <w:tc>
          <w:tcPr>
            <w:tcW w:w="992" w:type="dxa"/>
            <w:tcBorders>
              <w:top w:val="nil"/>
              <w:left w:val="nil"/>
              <w:bottom w:val="nil"/>
              <w:right w:val="nil"/>
            </w:tcBorders>
            <w:vAlign w:val="center"/>
            <w:hideMark/>
          </w:tcPr>
          <w:p w14:paraId="044D593E"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0.39</w:t>
            </w:r>
          </w:p>
        </w:tc>
        <w:tc>
          <w:tcPr>
            <w:tcW w:w="1134" w:type="dxa"/>
            <w:tcBorders>
              <w:top w:val="nil"/>
              <w:left w:val="nil"/>
              <w:bottom w:val="nil"/>
              <w:right w:val="nil"/>
            </w:tcBorders>
            <w:vAlign w:val="center"/>
            <w:hideMark/>
          </w:tcPr>
          <w:p w14:paraId="26654B0F"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0.44</w:t>
            </w:r>
          </w:p>
        </w:tc>
        <w:tc>
          <w:tcPr>
            <w:tcW w:w="1134" w:type="dxa"/>
            <w:gridSpan w:val="2"/>
            <w:tcBorders>
              <w:top w:val="nil"/>
              <w:left w:val="nil"/>
              <w:bottom w:val="nil"/>
              <w:right w:val="nil"/>
            </w:tcBorders>
            <w:noWrap/>
            <w:vAlign w:val="bottom"/>
            <w:hideMark/>
          </w:tcPr>
          <w:p w14:paraId="16FD4662" w14:textId="77777777" w:rsidR="00307155" w:rsidRPr="00FC7BB4" w:rsidRDefault="00307155" w:rsidP="00F3101B">
            <w:pPr>
              <w:spacing w:after="0" w:line="240" w:lineRule="auto"/>
              <w:ind w:right="27" w:firstLine="0"/>
              <w:rPr>
                <w:rFonts w:ascii="Times New Roman" w:eastAsia="Times New Roman" w:hAnsi="Times New Roman" w:cs="Times New Roman"/>
                <w:i/>
                <w:iCs/>
                <w:kern w:val="0"/>
                <w:szCs w:val="20"/>
                <w14:ligatures w14:val="none"/>
              </w:rPr>
            </w:pPr>
          </w:p>
        </w:tc>
        <w:tc>
          <w:tcPr>
            <w:tcW w:w="1134" w:type="dxa"/>
            <w:tcBorders>
              <w:top w:val="nil"/>
              <w:left w:val="nil"/>
              <w:bottom w:val="nil"/>
              <w:right w:val="nil"/>
            </w:tcBorders>
            <w:noWrap/>
            <w:vAlign w:val="bottom"/>
            <w:hideMark/>
          </w:tcPr>
          <w:p w14:paraId="0D81DF78"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Cs w:val="20"/>
                <w14:ligatures w14:val="none"/>
              </w:rPr>
            </w:pPr>
          </w:p>
        </w:tc>
        <w:tc>
          <w:tcPr>
            <w:tcW w:w="1012" w:type="dxa"/>
            <w:tcBorders>
              <w:top w:val="nil"/>
              <w:left w:val="nil"/>
              <w:bottom w:val="nil"/>
              <w:right w:val="nil"/>
            </w:tcBorders>
            <w:noWrap/>
            <w:vAlign w:val="bottom"/>
            <w:hideMark/>
          </w:tcPr>
          <w:p w14:paraId="4A66A51B"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Cs w:val="20"/>
                <w14:ligatures w14:val="none"/>
              </w:rPr>
            </w:pPr>
          </w:p>
        </w:tc>
      </w:tr>
      <w:tr w:rsidR="00307155" w:rsidRPr="00FC7BB4" w14:paraId="76BAC937" w14:textId="77777777" w:rsidTr="00291B27">
        <w:trPr>
          <w:trHeight w:val="286"/>
          <w:jc w:val="center"/>
        </w:trPr>
        <w:tc>
          <w:tcPr>
            <w:tcW w:w="2977" w:type="dxa"/>
            <w:tcBorders>
              <w:top w:val="nil"/>
              <w:left w:val="nil"/>
              <w:bottom w:val="nil"/>
              <w:right w:val="nil"/>
            </w:tcBorders>
            <w:vAlign w:val="center"/>
            <w:hideMark/>
          </w:tcPr>
          <w:p w14:paraId="41C617EC"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Pup|Cup</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Ddn</w:t>
            </w:r>
            <w:proofErr w:type="spellEnd"/>
            <w:r w:rsidRPr="00FC7BB4">
              <w:rPr>
                <w:rFonts w:ascii="Times New Roman" w:eastAsia="Times New Roman" w:hAnsi="Times New Roman" w:cs="Times New Roman"/>
                <w:kern w:val="0"/>
                <w:szCs w:val="20"/>
                <w14:ligatures w14:val="none"/>
              </w:rPr>
              <w:t>, R=1]</w:t>
            </w:r>
          </w:p>
        </w:tc>
        <w:tc>
          <w:tcPr>
            <w:tcW w:w="851" w:type="dxa"/>
            <w:tcBorders>
              <w:top w:val="nil"/>
              <w:left w:val="nil"/>
              <w:bottom w:val="nil"/>
              <w:right w:val="nil"/>
            </w:tcBorders>
            <w:vAlign w:val="center"/>
            <w:hideMark/>
          </w:tcPr>
          <w:p w14:paraId="679092DF"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0.36</w:t>
            </w:r>
          </w:p>
        </w:tc>
        <w:tc>
          <w:tcPr>
            <w:tcW w:w="992" w:type="dxa"/>
            <w:tcBorders>
              <w:top w:val="nil"/>
              <w:left w:val="nil"/>
              <w:bottom w:val="nil"/>
              <w:right w:val="nil"/>
            </w:tcBorders>
            <w:vAlign w:val="center"/>
            <w:hideMark/>
          </w:tcPr>
          <w:p w14:paraId="305F628F"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0.60</w:t>
            </w:r>
          </w:p>
        </w:tc>
        <w:tc>
          <w:tcPr>
            <w:tcW w:w="1134" w:type="dxa"/>
            <w:tcBorders>
              <w:top w:val="nil"/>
              <w:left w:val="nil"/>
              <w:bottom w:val="nil"/>
              <w:right w:val="nil"/>
            </w:tcBorders>
            <w:vAlign w:val="center"/>
            <w:hideMark/>
          </w:tcPr>
          <w:p w14:paraId="5654D0DA"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0.75</w:t>
            </w:r>
          </w:p>
        </w:tc>
        <w:tc>
          <w:tcPr>
            <w:tcW w:w="1134" w:type="dxa"/>
            <w:gridSpan w:val="2"/>
            <w:tcBorders>
              <w:top w:val="nil"/>
              <w:left w:val="nil"/>
              <w:bottom w:val="nil"/>
              <w:right w:val="nil"/>
            </w:tcBorders>
            <w:noWrap/>
            <w:vAlign w:val="bottom"/>
            <w:hideMark/>
          </w:tcPr>
          <w:p w14:paraId="0EDD3149"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0.05***</w:t>
            </w:r>
          </w:p>
        </w:tc>
        <w:tc>
          <w:tcPr>
            <w:tcW w:w="1134" w:type="dxa"/>
            <w:tcBorders>
              <w:top w:val="nil"/>
              <w:left w:val="nil"/>
              <w:bottom w:val="nil"/>
              <w:right w:val="nil"/>
            </w:tcBorders>
            <w:noWrap/>
            <w:vAlign w:val="bottom"/>
            <w:hideMark/>
          </w:tcPr>
          <w:p w14:paraId="56B87B2F"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0.22***</w:t>
            </w:r>
          </w:p>
        </w:tc>
        <w:tc>
          <w:tcPr>
            <w:tcW w:w="1012" w:type="dxa"/>
            <w:tcBorders>
              <w:top w:val="nil"/>
              <w:left w:val="nil"/>
              <w:bottom w:val="nil"/>
              <w:right w:val="nil"/>
            </w:tcBorders>
            <w:noWrap/>
            <w:vAlign w:val="bottom"/>
            <w:hideMark/>
          </w:tcPr>
          <w:p w14:paraId="7E5AA6B7"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0.31***</w:t>
            </w:r>
          </w:p>
        </w:tc>
      </w:tr>
      <w:tr w:rsidR="00307155" w:rsidRPr="00FC7BB4" w14:paraId="3CBBF01E" w14:textId="77777777" w:rsidTr="00291B27">
        <w:trPr>
          <w:trHeight w:val="286"/>
          <w:jc w:val="center"/>
        </w:trPr>
        <w:tc>
          <w:tcPr>
            <w:tcW w:w="8222" w:type="dxa"/>
            <w:gridSpan w:val="7"/>
            <w:tcBorders>
              <w:top w:val="nil"/>
              <w:left w:val="nil"/>
              <w:bottom w:val="nil"/>
              <w:right w:val="nil"/>
            </w:tcBorders>
            <w:vAlign w:val="center"/>
            <w:hideMark/>
          </w:tcPr>
          <w:p w14:paraId="76C6443B"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p w14:paraId="2F347203"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Cs w:val="20"/>
                <w14:ligatures w14:val="none"/>
              </w:rPr>
            </w:pPr>
            <w:r w:rsidRPr="00FC7BB4">
              <w:rPr>
                <w:rFonts w:ascii="Times New Roman" w:eastAsia="Times New Roman" w:hAnsi="Times New Roman" w:cs="Times New Roman"/>
                <w:i/>
                <w:iCs/>
                <w:kern w:val="0"/>
                <w:szCs w:val="20"/>
                <w14:ligatures w14:val="none"/>
              </w:rPr>
              <w:t>Probability firms decrease prices:</w:t>
            </w:r>
          </w:p>
        </w:tc>
        <w:tc>
          <w:tcPr>
            <w:tcW w:w="1012" w:type="dxa"/>
            <w:tcBorders>
              <w:top w:val="nil"/>
              <w:left w:val="nil"/>
              <w:bottom w:val="nil"/>
              <w:right w:val="nil"/>
            </w:tcBorders>
            <w:noWrap/>
            <w:vAlign w:val="bottom"/>
            <w:hideMark/>
          </w:tcPr>
          <w:p w14:paraId="0A06AA32"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Cs w:val="20"/>
                <w14:ligatures w14:val="none"/>
              </w:rPr>
            </w:pPr>
          </w:p>
        </w:tc>
      </w:tr>
      <w:tr w:rsidR="00307155" w:rsidRPr="00FC7BB4" w14:paraId="4CC72E24" w14:textId="77777777" w:rsidTr="00291B27">
        <w:trPr>
          <w:trHeight w:val="286"/>
          <w:jc w:val="center"/>
        </w:trPr>
        <w:tc>
          <w:tcPr>
            <w:tcW w:w="2977" w:type="dxa"/>
            <w:tcBorders>
              <w:top w:val="nil"/>
              <w:left w:val="nil"/>
              <w:bottom w:val="nil"/>
              <w:right w:val="nil"/>
            </w:tcBorders>
            <w:vAlign w:val="center"/>
            <w:hideMark/>
          </w:tcPr>
          <w:p w14:paraId="10F79255"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Pdn|Cdn</w:t>
            </w:r>
            <w:proofErr w:type="spellEnd"/>
            <w:r w:rsidRPr="00FC7BB4">
              <w:rPr>
                <w:rFonts w:ascii="Times New Roman" w:eastAsia="Times New Roman" w:hAnsi="Times New Roman" w:cs="Times New Roman"/>
                <w:kern w:val="0"/>
                <w:szCs w:val="20"/>
                <w14:ligatures w14:val="none"/>
              </w:rPr>
              <w:t>, Dup, R=0]</w:t>
            </w:r>
          </w:p>
        </w:tc>
        <w:tc>
          <w:tcPr>
            <w:tcW w:w="851" w:type="dxa"/>
            <w:tcBorders>
              <w:top w:val="nil"/>
              <w:left w:val="nil"/>
              <w:bottom w:val="nil"/>
              <w:right w:val="nil"/>
            </w:tcBorders>
            <w:vAlign w:val="center"/>
            <w:hideMark/>
          </w:tcPr>
          <w:p w14:paraId="04B57BC8"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0.29</w:t>
            </w:r>
          </w:p>
        </w:tc>
        <w:tc>
          <w:tcPr>
            <w:tcW w:w="992" w:type="dxa"/>
            <w:tcBorders>
              <w:top w:val="nil"/>
              <w:left w:val="nil"/>
              <w:bottom w:val="nil"/>
              <w:right w:val="nil"/>
            </w:tcBorders>
            <w:vAlign w:val="center"/>
            <w:hideMark/>
          </w:tcPr>
          <w:p w14:paraId="415A6446"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0.25</w:t>
            </w:r>
          </w:p>
        </w:tc>
        <w:tc>
          <w:tcPr>
            <w:tcW w:w="1134" w:type="dxa"/>
            <w:tcBorders>
              <w:top w:val="nil"/>
              <w:left w:val="nil"/>
              <w:bottom w:val="nil"/>
              <w:right w:val="nil"/>
            </w:tcBorders>
            <w:vAlign w:val="center"/>
            <w:hideMark/>
          </w:tcPr>
          <w:p w14:paraId="43C5A93F"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0.23</w:t>
            </w:r>
          </w:p>
        </w:tc>
        <w:tc>
          <w:tcPr>
            <w:tcW w:w="1134" w:type="dxa"/>
            <w:gridSpan w:val="2"/>
            <w:tcBorders>
              <w:top w:val="nil"/>
              <w:left w:val="nil"/>
              <w:bottom w:val="nil"/>
              <w:right w:val="nil"/>
            </w:tcBorders>
            <w:noWrap/>
            <w:vAlign w:val="bottom"/>
            <w:hideMark/>
          </w:tcPr>
          <w:p w14:paraId="10FAAB3C" w14:textId="77777777" w:rsidR="00307155" w:rsidRPr="00FC7BB4" w:rsidRDefault="00307155" w:rsidP="00F3101B">
            <w:pPr>
              <w:spacing w:after="0" w:line="240" w:lineRule="auto"/>
              <w:ind w:right="27" w:firstLine="0"/>
              <w:rPr>
                <w:rFonts w:ascii="Times New Roman" w:eastAsia="Times New Roman" w:hAnsi="Times New Roman" w:cs="Times New Roman"/>
                <w:i/>
                <w:iCs/>
                <w:kern w:val="0"/>
                <w:szCs w:val="20"/>
                <w14:ligatures w14:val="none"/>
              </w:rPr>
            </w:pPr>
          </w:p>
        </w:tc>
        <w:tc>
          <w:tcPr>
            <w:tcW w:w="1134" w:type="dxa"/>
            <w:tcBorders>
              <w:top w:val="nil"/>
              <w:left w:val="nil"/>
              <w:bottom w:val="nil"/>
              <w:right w:val="nil"/>
            </w:tcBorders>
            <w:noWrap/>
            <w:vAlign w:val="bottom"/>
            <w:hideMark/>
          </w:tcPr>
          <w:p w14:paraId="7B87CC00"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Cs w:val="20"/>
                <w14:ligatures w14:val="none"/>
              </w:rPr>
            </w:pPr>
          </w:p>
        </w:tc>
        <w:tc>
          <w:tcPr>
            <w:tcW w:w="1012" w:type="dxa"/>
            <w:tcBorders>
              <w:top w:val="nil"/>
              <w:left w:val="nil"/>
              <w:bottom w:val="nil"/>
              <w:right w:val="nil"/>
            </w:tcBorders>
            <w:noWrap/>
            <w:vAlign w:val="bottom"/>
            <w:hideMark/>
          </w:tcPr>
          <w:p w14:paraId="23AA067A"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Cs w:val="20"/>
                <w14:ligatures w14:val="none"/>
              </w:rPr>
            </w:pPr>
          </w:p>
        </w:tc>
      </w:tr>
      <w:tr w:rsidR="00307155" w:rsidRPr="00FC7BB4" w14:paraId="03883E00" w14:textId="77777777" w:rsidTr="00291B27">
        <w:trPr>
          <w:trHeight w:val="286"/>
          <w:jc w:val="center"/>
        </w:trPr>
        <w:tc>
          <w:tcPr>
            <w:tcW w:w="2977" w:type="dxa"/>
            <w:tcBorders>
              <w:top w:val="nil"/>
              <w:left w:val="nil"/>
              <w:bottom w:val="nil"/>
              <w:right w:val="nil"/>
            </w:tcBorders>
            <w:vAlign w:val="center"/>
            <w:hideMark/>
          </w:tcPr>
          <w:p w14:paraId="10420149"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Pdn|Cdn</w:t>
            </w:r>
            <w:proofErr w:type="spellEnd"/>
            <w:r w:rsidRPr="00FC7BB4">
              <w:rPr>
                <w:rFonts w:ascii="Times New Roman" w:eastAsia="Times New Roman" w:hAnsi="Times New Roman" w:cs="Times New Roman"/>
                <w:kern w:val="0"/>
                <w:szCs w:val="20"/>
                <w14:ligatures w14:val="none"/>
              </w:rPr>
              <w:t>, Dup, R=1]</w:t>
            </w:r>
          </w:p>
        </w:tc>
        <w:tc>
          <w:tcPr>
            <w:tcW w:w="851" w:type="dxa"/>
            <w:tcBorders>
              <w:top w:val="nil"/>
              <w:left w:val="nil"/>
              <w:bottom w:val="nil"/>
              <w:right w:val="nil"/>
            </w:tcBorders>
            <w:vAlign w:val="center"/>
            <w:hideMark/>
          </w:tcPr>
          <w:p w14:paraId="4F37F7B4"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0.22</w:t>
            </w:r>
          </w:p>
        </w:tc>
        <w:tc>
          <w:tcPr>
            <w:tcW w:w="992" w:type="dxa"/>
            <w:tcBorders>
              <w:top w:val="nil"/>
              <w:left w:val="nil"/>
              <w:bottom w:val="nil"/>
              <w:right w:val="nil"/>
            </w:tcBorders>
            <w:vAlign w:val="center"/>
            <w:hideMark/>
          </w:tcPr>
          <w:p w14:paraId="31269859"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0.09</w:t>
            </w:r>
          </w:p>
        </w:tc>
        <w:tc>
          <w:tcPr>
            <w:tcW w:w="1134" w:type="dxa"/>
            <w:tcBorders>
              <w:top w:val="nil"/>
              <w:left w:val="nil"/>
              <w:bottom w:val="nil"/>
              <w:right w:val="nil"/>
            </w:tcBorders>
            <w:vAlign w:val="center"/>
            <w:hideMark/>
          </w:tcPr>
          <w:p w14:paraId="30AF4DA6"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0.05</w:t>
            </w:r>
          </w:p>
        </w:tc>
        <w:tc>
          <w:tcPr>
            <w:tcW w:w="1134" w:type="dxa"/>
            <w:gridSpan w:val="2"/>
            <w:tcBorders>
              <w:top w:val="nil"/>
              <w:left w:val="nil"/>
              <w:bottom w:val="nil"/>
              <w:right w:val="nil"/>
            </w:tcBorders>
            <w:noWrap/>
            <w:vAlign w:val="bottom"/>
            <w:hideMark/>
          </w:tcPr>
          <w:p w14:paraId="50429F70"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-0.07***</w:t>
            </w:r>
          </w:p>
        </w:tc>
        <w:tc>
          <w:tcPr>
            <w:tcW w:w="1134" w:type="dxa"/>
            <w:tcBorders>
              <w:top w:val="nil"/>
              <w:left w:val="nil"/>
              <w:bottom w:val="nil"/>
              <w:right w:val="nil"/>
            </w:tcBorders>
            <w:noWrap/>
            <w:vAlign w:val="bottom"/>
            <w:hideMark/>
          </w:tcPr>
          <w:p w14:paraId="26EB6621"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-0.16***</w:t>
            </w:r>
          </w:p>
        </w:tc>
        <w:tc>
          <w:tcPr>
            <w:tcW w:w="1012" w:type="dxa"/>
            <w:tcBorders>
              <w:top w:val="nil"/>
              <w:left w:val="nil"/>
              <w:bottom w:val="nil"/>
              <w:right w:val="nil"/>
            </w:tcBorders>
            <w:noWrap/>
            <w:vAlign w:val="bottom"/>
            <w:hideMark/>
          </w:tcPr>
          <w:p w14:paraId="2FB9BCAE"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-0.18***</w:t>
            </w:r>
          </w:p>
        </w:tc>
      </w:tr>
      <w:tr w:rsidR="00307155" w:rsidRPr="00FC7BB4" w14:paraId="54938AFE" w14:textId="77777777" w:rsidTr="00291B27">
        <w:trPr>
          <w:trHeight w:val="286"/>
          <w:jc w:val="center"/>
        </w:trPr>
        <w:tc>
          <w:tcPr>
            <w:tcW w:w="2977" w:type="dxa"/>
            <w:tcBorders>
              <w:top w:val="nil"/>
              <w:left w:val="nil"/>
              <w:bottom w:val="nil"/>
              <w:right w:val="nil"/>
            </w:tcBorders>
            <w:vAlign w:val="center"/>
            <w:hideMark/>
          </w:tcPr>
          <w:p w14:paraId="1CBF30DD"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Pdn|Cdn</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Dnc</w:t>
            </w:r>
            <w:proofErr w:type="spellEnd"/>
            <w:r w:rsidRPr="00FC7BB4">
              <w:rPr>
                <w:rFonts w:ascii="Times New Roman" w:eastAsia="Times New Roman" w:hAnsi="Times New Roman" w:cs="Times New Roman"/>
                <w:kern w:val="0"/>
                <w:szCs w:val="20"/>
                <w14:ligatures w14:val="none"/>
              </w:rPr>
              <w:t>, R=0]</w:t>
            </w:r>
          </w:p>
        </w:tc>
        <w:tc>
          <w:tcPr>
            <w:tcW w:w="851" w:type="dxa"/>
            <w:tcBorders>
              <w:top w:val="nil"/>
              <w:left w:val="nil"/>
              <w:bottom w:val="nil"/>
              <w:right w:val="nil"/>
            </w:tcBorders>
            <w:vAlign w:val="center"/>
            <w:hideMark/>
          </w:tcPr>
          <w:p w14:paraId="6DC23DDD"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0.32</w:t>
            </w:r>
          </w:p>
        </w:tc>
        <w:tc>
          <w:tcPr>
            <w:tcW w:w="992" w:type="dxa"/>
            <w:tcBorders>
              <w:top w:val="nil"/>
              <w:left w:val="nil"/>
              <w:bottom w:val="nil"/>
              <w:right w:val="nil"/>
            </w:tcBorders>
            <w:vAlign w:val="center"/>
            <w:hideMark/>
          </w:tcPr>
          <w:p w14:paraId="4FCC2E3C"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0.28</w:t>
            </w:r>
          </w:p>
        </w:tc>
        <w:tc>
          <w:tcPr>
            <w:tcW w:w="1134" w:type="dxa"/>
            <w:tcBorders>
              <w:top w:val="nil"/>
              <w:left w:val="nil"/>
              <w:bottom w:val="nil"/>
              <w:right w:val="nil"/>
            </w:tcBorders>
            <w:vAlign w:val="center"/>
            <w:hideMark/>
          </w:tcPr>
          <w:p w14:paraId="6716A3D0"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0.26</w:t>
            </w:r>
          </w:p>
        </w:tc>
        <w:tc>
          <w:tcPr>
            <w:tcW w:w="1134" w:type="dxa"/>
            <w:gridSpan w:val="2"/>
            <w:tcBorders>
              <w:top w:val="nil"/>
              <w:left w:val="nil"/>
              <w:bottom w:val="nil"/>
              <w:right w:val="nil"/>
            </w:tcBorders>
            <w:noWrap/>
            <w:vAlign w:val="bottom"/>
            <w:hideMark/>
          </w:tcPr>
          <w:p w14:paraId="6A97519B" w14:textId="77777777" w:rsidR="00307155" w:rsidRPr="00FC7BB4" w:rsidRDefault="00307155" w:rsidP="00F3101B">
            <w:pPr>
              <w:spacing w:after="0" w:line="240" w:lineRule="auto"/>
              <w:ind w:right="27" w:firstLine="0"/>
              <w:rPr>
                <w:rFonts w:ascii="Times New Roman" w:eastAsia="Times New Roman" w:hAnsi="Times New Roman" w:cs="Times New Roman"/>
                <w:i/>
                <w:iCs/>
                <w:kern w:val="0"/>
                <w:szCs w:val="20"/>
                <w14:ligatures w14:val="none"/>
              </w:rPr>
            </w:pPr>
          </w:p>
        </w:tc>
        <w:tc>
          <w:tcPr>
            <w:tcW w:w="1134" w:type="dxa"/>
            <w:tcBorders>
              <w:top w:val="nil"/>
              <w:left w:val="nil"/>
              <w:bottom w:val="nil"/>
              <w:right w:val="nil"/>
            </w:tcBorders>
            <w:noWrap/>
            <w:vAlign w:val="bottom"/>
            <w:hideMark/>
          </w:tcPr>
          <w:p w14:paraId="4A22887E"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Cs w:val="20"/>
                <w14:ligatures w14:val="none"/>
              </w:rPr>
            </w:pPr>
          </w:p>
        </w:tc>
        <w:tc>
          <w:tcPr>
            <w:tcW w:w="1012" w:type="dxa"/>
            <w:tcBorders>
              <w:top w:val="nil"/>
              <w:left w:val="nil"/>
              <w:bottom w:val="nil"/>
              <w:right w:val="nil"/>
            </w:tcBorders>
            <w:noWrap/>
            <w:vAlign w:val="bottom"/>
            <w:hideMark/>
          </w:tcPr>
          <w:p w14:paraId="29DB13CE"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Cs w:val="20"/>
                <w14:ligatures w14:val="none"/>
              </w:rPr>
            </w:pPr>
          </w:p>
        </w:tc>
      </w:tr>
      <w:tr w:rsidR="00307155" w:rsidRPr="00FC7BB4" w14:paraId="512F0210" w14:textId="77777777" w:rsidTr="00291B27">
        <w:trPr>
          <w:trHeight w:val="286"/>
          <w:jc w:val="center"/>
        </w:trPr>
        <w:tc>
          <w:tcPr>
            <w:tcW w:w="2977" w:type="dxa"/>
            <w:tcBorders>
              <w:top w:val="nil"/>
              <w:left w:val="nil"/>
              <w:bottom w:val="nil"/>
              <w:right w:val="nil"/>
            </w:tcBorders>
            <w:vAlign w:val="center"/>
            <w:hideMark/>
          </w:tcPr>
          <w:p w14:paraId="3B482537"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Pdn|Cdn</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Dnc</w:t>
            </w:r>
            <w:proofErr w:type="spellEnd"/>
            <w:r w:rsidRPr="00FC7BB4">
              <w:rPr>
                <w:rFonts w:ascii="Times New Roman" w:eastAsia="Times New Roman" w:hAnsi="Times New Roman" w:cs="Times New Roman"/>
                <w:kern w:val="0"/>
                <w:szCs w:val="20"/>
                <w14:ligatures w14:val="none"/>
              </w:rPr>
              <w:t>, R=1]</w:t>
            </w:r>
          </w:p>
        </w:tc>
        <w:tc>
          <w:tcPr>
            <w:tcW w:w="851" w:type="dxa"/>
            <w:tcBorders>
              <w:top w:val="nil"/>
              <w:left w:val="nil"/>
              <w:bottom w:val="nil"/>
              <w:right w:val="nil"/>
            </w:tcBorders>
            <w:vAlign w:val="center"/>
            <w:hideMark/>
          </w:tcPr>
          <w:p w14:paraId="59C87AE2"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0.28</w:t>
            </w:r>
          </w:p>
        </w:tc>
        <w:tc>
          <w:tcPr>
            <w:tcW w:w="992" w:type="dxa"/>
            <w:tcBorders>
              <w:top w:val="nil"/>
              <w:left w:val="nil"/>
              <w:bottom w:val="nil"/>
              <w:right w:val="nil"/>
            </w:tcBorders>
            <w:vAlign w:val="center"/>
            <w:hideMark/>
          </w:tcPr>
          <w:p w14:paraId="7B1F0A03"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0.18</w:t>
            </w:r>
          </w:p>
        </w:tc>
        <w:tc>
          <w:tcPr>
            <w:tcW w:w="1134" w:type="dxa"/>
            <w:tcBorders>
              <w:top w:val="nil"/>
              <w:left w:val="nil"/>
              <w:bottom w:val="nil"/>
              <w:right w:val="nil"/>
            </w:tcBorders>
            <w:vAlign w:val="center"/>
            <w:hideMark/>
          </w:tcPr>
          <w:p w14:paraId="70D01417"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0.13</w:t>
            </w:r>
          </w:p>
        </w:tc>
        <w:tc>
          <w:tcPr>
            <w:tcW w:w="1134" w:type="dxa"/>
            <w:gridSpan w:val="2"/>
            <w:tcBorders>
              <w:top w:val="nil"/>
              <w:left w:val="nil"/>
              <w:bottom w:val="nil"/>
              <w:right w:val="nil"/>
            </w:tcBorders>
            <w:noWrap/>
            <w:vAlign w:val="bottom"/>
            <w:hideMark/>
          </w:tcPr>
          <w:p w14:paraId="799FB20F"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-0.03***</w:t>
            </w:r>
          </w:p>
        </w:tc>
        <w:tc>
          <w:tcPr>
            <w:tcW w:w="1134" w:type="dxa"/>
            <w:tcBorders>
              <w:top w:val="nil"/>
              <w:left w:val="nil"/>
              <w:bottom w:val="nil"/>
              <w:right w:val="nil"/>
            </w:tcBorders>
            <w:noWrap/>
            <w:vAlign w:val="bottom"/>
            <w:hideMark/>
          </w:tcPr>
          <w:p w14:paraId="7E7EE574"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-0.10***</w:t>
            </w:r>
          </w:p>
        </w:tc>
        <w:tc>
          <w:tcPr>
            <w:tcW w:w="1012" w:type="dxa"/>
            <w:tcBorders>
              <w:top w:val="nil"/>
              <w:left w:val="nil"/>
              <w:bottom w:val="nil"/>
              <w:right w:val="nil"/>
            </w:tcBorders>
            <w:noWrap/>
            <w:vAlign w:val="bottom"/>
            <w:hideMark/>
          </w:tcPr>
          <w:p w14:paraId="653584A8"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-0.13***</w:t>
            </w:r>
          </w:p>
        </w:tc>
      </w:tr>
      <w:tr w:rsidR="00307155" w:rsidRPr="00FC7BB4" w14:paraId="582CB331" w14:textId="77777777" w:rsidTr="00291B27">
        <w:trPr>
          <w:trHeight w:val="286"/>
          <w:jc w:val="center"/>
        </w:trPr>
        <w:tc>
          <w:tcPr>
            <w:tcW w:w="2977" w:type="dxa"/>
            <w:tcBorders>
              <w:top w:val="nil"/>
              <w:left w:val="nil"/>
              <w:right w:val="nil"/>
            </w:tcBorders>
            <w:vAlign w:val="center"/>
            <w:hideMark/>
          </w:tcPr>
          <w:p w14:paraId="136F0245"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Pdn|Cdn</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Ddn</w:t>
            </w:r>
            <w:proofErr w:type="spellEnd"/>
            <w:r w:rsidRPr="00FC7BB4">
              <w:rPr>
                <w:rFonts w:ascii="Times New Roman" w:eastAsia="Times New Roman" w:hAnsi="Times New Roman" w:cs="Times New Roman"/>
                <w:kern w:val="0"/>
                <w:szCs w:val="20"/>
                <w14:ligatures w14:val="none"/>
              </w:rPr>
              <w:t>, R=0]</w:t>
            </w:r>
          </w:p>
        </w:tc>
        <w:tc>
          <w:tcPr>
            <w:tcW w:w="851" w:type="dxa"/>
            <w:tcBorders>
              <w:top w:val="nil"/>
              <w:left w:val="nil"/>
              <w:right w:val="nil"/>
            </w:tcBorders>
            <w:vAlign w:val="center"/>
            <w:hideMark/>
          </w:tcPr>
          <w:p w14:paraId="24B6DE78"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0.46</w:t>
            </w:r>
          </w:p>
        </w:tc>
        <w:tc>
          <w:tcPr>
            <w:tcW w:w="992" w:type="dxa"/>
            <w:tcBorders>
              <w:top w:val="nil"/>
              <w:left w:val="nil"/>
              <w:right w:val="nil"/>
            </w:tcBorders>
            <w:vAlign w:val="center"/>
            <w:hideMark/>
          </w:tcPr>
          <w:p w14:paraId="16816D6D"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0.41</w:t>
            </w:r>
          </w:p>
        </w:tc>
        <w:tc>
          <w:tcPr>
            <w:tcW w:w="1134" w:type="dxa"/>
            <w:tcBorders>
              <w:top w:val="nil"/>
              <w:left w:val="nil"/>
              <w:right w:val="nil"/>
            </w:tcBorders>
            <w:vAlign w:val="center"/>
            <w:hideMark/>
          </w:tcPr>
          <w:p w14:paraId="7E4F9B2D"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0.37</w:t>
            </w:r>
          </w:p>
        </w:tc>
        <w:tc>
          <w:tcPr>
            <w:tcW w:w="1134" w:type="dxa"/>
            <w:gridSpan w:val="2"/>
            <w:tcBorders>
              <w:top w:val="nil"/>
              <w:left w:val="nil"/>
              <w:right w:val="nil"/>
            </w:tcBorders>
            <w:noWrap/>
            <w:vAlign w:val="bottom"/>
            <w:hideMark/>
          </w:tcPr>
          <w:p w14:paraId="4F011079" w14:textId="77777777" w:rsidR="00307155" w:rsidRPr="00FC7BB4" w:rsidRDefault="00307155" w:rsidP="00F3101B">
            <w:pPr>
              <w:spacing w:after="0" w:line="240" w:lineRule="auto"/>
              <w:ind w:right="27" w:firstLine="0"/>
              <w:rPr>
                <w:rFonts w:ascii="Times New Roman" w:eastAsia="Times New Roman" w:hAnsi="Times New Roman" w:cs="Times New Roman"/>
                <w:i/>
                <w:iCs/>
                <w:kern w:val="0"/>
                <w:szCs w:val="20"/>
                <w14:ligatures w14:val="none"/>
              </w:rPr>
            </w:pPr>
          </w:p>
        </w:tc>
        <w:tc>
          <w:tcPr>
            <w:tcW w:w="1134" w:type="dxa"/>
            <w:tcBorders>
              <w:top w:val="nil"/>
              <w:left w:val="nil"/>
              <w:right w:val="nil"/>
            </w:tcBorders>
            <w:noWrap/>
            <w:vAlign w:val="bottom"/>
            <w:hideMark/>
          </w:tcPr>
          <w:p w14:paraId="76E1C6FF"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Cs w:val="20"/>
                <w14:ligatures w14:val="none"/>
              </w:rPr>
            </w:pPr>
          </w:p>
        </w:tc>
        <w:tc>
          <w:tcPr>
            <w:tcW w:w="1012" w:type="dxa"/>
            <w:tcBorders>
              <w:top w:val="nil"/>
              <w:left w:val="nil"/>
              <w:right w:val="nil"/>
            </w:tcBorders>
            <w:noWrap/>
            <w:vAlign w:val="bottom"/>
            <w:hideMark/>
          </w:tcPr>
          <w:p w14:paraId="4E9C2B0F"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Cs w:val="20"/>
                <w14:ligatures w14:val="none"/>
              </w:rPr>
            </w:pPr>
          </w:p>
        </w:tc>
      </w:tr>
      <w:tr w:rsidR="00307155" w:rsidRPr="00FC7BB4" w14:paraId="1E48CACF" w14:textId="77777777" w:rsidTr="00291B27">
        <w:trPr>
          <w:trHeight w:val="286"/>
          <w:jc w:val="center"/>
        </w:trPr>
        <w:tc>
          <w:tcPr>
            <w:tcW w:w="2977" w:type="dxa"/>
            <w:tcBorders>
              <w:top w:val="nil"/>
              <w:left w:val="nil"/>
              <w:right w:val="nil"/>
            </w:tcBorders>
            <w:vAlign w:val="center"/>
            <w:hideMark/>
          </w:tcPr>
          <w:p w14:paraId="45E34959"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Pdn|Cdn</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Ddn</w:t>
            </w:r>
            <w:proofErr w:type="spellEnd"/>
            <w:r w:rsidRPr="00FC7BB4">
              <w:rPr>
                <w:rFonts w:ascii="Times New Roman" w:eastAsia="Times New Roman" w:hAnsi="Times New Roman" w:cs="Times New Roman"/>
                <w:kern w:val="0"/>
                <w:szCs w:val="20"/>
                <w14:ligatures w14:val="none"/>
              </w:rPr>
              <w:t>, R=1]</w:t>
            </w:r>
          </w:p>
        </w:tc>
        <w:tc>
          <w:tcPr>
            <w:tcW w:w="851" w:type="dxa"/>
            <w:tcBorders>
              <w:top w:val="nil"/>
              <w:left w:val="nil"/>
              <w:right w:val="nil"/>
            </w:tcBorders>
            <w:vAlign w:val="center"/>
            <w:hideMark/>
          </w:tcPr>
          <w:p w14:paraId="3B81C069"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0.32</w:t>
            </w:r>
          </w:p>
        </w:tc>
        <w:tc>
          <w:tcPr>
            <w:tcW w:w="992" w:type="dxa"/>
            <w:tcBorders>
              <w:top w:val="nil"/>
              <w:left w:val="nil"/>
              <w:right w:val="nil"/>
            </w:tcBorders>
            <w:vAlign w:val="center"/>
            <w:hideMark/>
          </w:tcPr>
          <w:p w14:paraId="7BBF5741"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0.16</w:t>
            </w:r>
          </w:p>
        </w:tc>
        <w:tc>
          <w:tcPr>
            <w:tcW w:w="1134" w:type="dxa"/>
            <w:tcBorders>
              <w:top w:val="nil"/>
              <w:left w:val="nil"/>
              <w:right w:val="nil"/>
            </w:tcBorders>
            <w:vAlign w:val="center"/>
            <w:hideMark/>
          </w:tcPr>
          <w:p w14:paraId="76835404"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0.09</w:t>
            </w:r>
          </w:p>
        </w:tc>
        <w:tc>
          <w:tcPr>
            <w:tcW w:w="1134" w:type="dxa"/>
            <w:gridSpan w:val="2"/>
            <w:tcBorders>
              <w:top w:val="nil"/>
              <w:left w:val="nil"/>
              <w:right w:val="nil"/>
            </w:tcBorders>
            <w:noWrap/>
            <w:vAlign w:val="bottom"/>
            <w:hideMark/>
          </w:tcPr>
          <w:p w14:paraId="273B23F4"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-0.13***</w:t>
            </w:r>
          </w:p>
        </w:tc>
        <w:tc>
          <w:tcPr>
            <w:tcW w:w="1134" w:type="dxa"/>
            <w:tcBorders>
              <w:top w:val="nil"/>
              <w:left w:val="nil"/>
              <w:right w:val="nil"/>
            </w:tcBorders>
            <w:noWrap/>
            <w:vAlign w:val="bottom"/>
            <w:hideMark/>
          </w:tcPr>
          <w:p w14:paraId="22DEFCEB"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-0.24***</w:t>
            </w:r>
          </w:p>
        </w:tc>
        <w:tc>
          <w:tcPr>
            <w:tcW w:w="1012" w:type="dxa"/>
            <w:tcBorders>
              <w:top w:val="nil"/>
              <w:left w:val="nil"/>
              <w:right w:val="nil"/>
            </w:tcBorders>
            <w:noWrap/>
            <w:vAlign w:val="bottom"/>
            <w:hideMark/>
          </w:tcPr>
          <w:p w14:paraId="5F997C77"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-0.28***</w:t>
            </w:r>
          </w:p>
        </w:tc>
      </w:tr>
      <w:tr w:rsidR="00307155" w:rsidRPr="00FC7BB4" w14:paraId="0E626C7F" w14:textId="77777777" w:rsidTr="00291B27">
        <w:trPr>
          <w:trHeight w:val="286"/>
          <w:jc w:val="center"/>
        </w:trPr>
        <w:tc>
          <w:tcPr>
            <w:tcW w:w="2977" w:type="dxa"/>
            <w:tcBorders>
              <w:left w:val="nil"/>
              <w:bottom w:val="single" w:sz="4" w:space="0" w:color="auto"/>
              <w:right w:val="nil"/>
            </w:tcBorders>
            <w:vAlign w:val="center"/>
          </w:tcPr>
          <w:p w14:paraId="6999180D"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851" w:type="dxa"/>
            <w:tcBorders>
              <w:left w:val="nil"/>
              <w:bottom w:val="single" w:sz="4" w:space="0" w:color="auto"/>
              <w:right w:val="nil"/>
            </w:tcBorders>
            <w:vAlign w:val="center"/>
          </w:tcPr>
          <w:p w14:paraId="313C950C"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992" w:type="dxa"/>
            <w:tcBorders>
              <w:left w:val="nil"/>
              <w:bottom w:val="single" w:sz="4" w:space="0" w:color="auto"/>
              <w:right w:val="nil"/>
            </w:tcBorders>
            <w:vAlign w:val="center"/>
          </w:tcPr>
          <w:p w14:paraId="7C2EBD88"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34" w:type="dxa"/>
            <w:tcBorders>
              <w:left w:val="nil"/>
              <w:bottom w:val="single" w:sz="4" w:space="0" w:color="auto"/>
              <w:right w:val="nil"/>
            </w:tcBorders>
            <w:vAlign w:val="center"/>
          </w:tcPr>
          <w:p w14:paraId="2829F1E2"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34" w:type="dxa"/>
            <w:gridSpan w:val="2"/>
            <w:tcBorders>
              <w:left w:val="nil"/>
              <w:bottom w:val="single" w:sz="4" w:space="0" w:color="auto"/>
              <w:right w:val="nil"/>
            </w:tcBorders>
            <w:noWrap/>
            <w:vAlign w:val="bottom"/>
          </w:tcPr>
          <w:p w14:paraId="6C313F18"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c>
          <w:tcPr>
            <w:tcW w:w="1134" w:type="dxa"/>
            <w:tcBorders>
              <w:left w:val="nil"/>
              <w:bottom w:val="single" w:sz="4" w:space="0" w:color="auto"/>
              <w:right w:val="nil"/>
            </w:tcBorders>
            <w:noWrap/>
            <w:vAlign w:val="bottom"/>
          </w:tcPr>
          <w:p w14:paraId="384E6D50"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c>
          <w:tcPr>
            <w:tcW w:w="1012" w:type="dxa"/>
            <w:tcBorders>
              <w:left w:val="nil"/>
              <w:bottom w:val="single" w:sz="4" w:space="0" w:color="auto"/>
              <w:right w:val="nil"/>
            </w:tcBorders>
            <w:noWrap/>
            <w:vAlign w:val="bottom"/>
          </w:tcPr>
          <w:p w14:paraId="33C457A0"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r>
      <w:tr w:rsidR="00307155" w:rsidRPr="00FC7BB4" w14:paraId="333F616B" w14:textId="77777777" w:rsidTr="00291B27">
        <w:trPr>
          <w:trHeight w:val="286"/>
          <w:jc w:val="center"/>
        </w:trPr>
        <w:tc>
          <w:tcPr>
            <w:tcW w:w="9234" w:type="dxa"/>
            <w:gridSpan w:val="8"/>
            <w:tcBorders>
              <w:top w:val="single" w:sz="4" w:space="0" w:color="auto"/>
              <w:left w:val="nil"/>
              <w:right w:val="nil"/>
            </w:tcBorders>
            <w:vAlign w:val="center"/>
          </w:tcPr>
          <w:p w14:paraId="70E8EFAB" w14:textId="2FA30EAC" w:rsidR="00307155" w:rsidRPr="00FC7BB4" w:rsidRDefault="00307155" w:rsidP="00AC3594">
            <w:pPr>
              <w:pStyle w:val="FootnoteText"/>
              <w:ind w:left="-113" w:right="-113" w:firstLine="0"/>
              <w:rPr>
                <w:rFonts w:ascii="Times New Roman" w:eastAsia="Times New Roman" w:hAnsi="Times New Roman" w:cs="Times New Roman"/>
                <w:kern w:val="0"/>
                <w:sz w:val="18"/>
                <w:szCs w:val="18"/>
                <w14:ligatures w14:val="none"/>
              </w:rPr>
            </w:pPr>
            <w:bookmarkStart w:id="70" w:name="_Hlk202210848"/>
            <w:r w:rsidRPr="00FC7BB4">
              <w:rPr>
                <w:rFonts w:ascii="Times New Roman" w:hAnsi="Times New Roman" w:cs="Times New Roman"/>
                <w:sz w:val="18"/>
                <w:szCs w:val="18"/>
              </w:rPr>
              <w:t xml:space="preserve">Notes: These conditional probabilities are derived from the coefficient estimates shown in Table A2 and are evaluated at the specific inflation rates of 2%, 5% and 7%. P=prices, C=costs, D=demand, up=increase, </w:t>
            </w:r>
            <w:proofErr w:type="spellStart"/>
            <w:r w:rsidRPr="00FC7BB4">
              <w:rPr>
                <w:rFonts w:ascii="Times New Roman" w:hAnsi="Times New Roman" w:cs="Times New Roman"/>
                <w:sz w:val="18"/>
                <w:szCs w:val="18"/>
              </w:rPr>
              <w:t>nc</w:t>
            </w:r>
            <w:proofErr w:type="spellEnd"/>
            <w:r w:rsidRPr="00FC7BB4">
              <w:rPr>
                <w:rFonts w:ascii="Times New Roman" w:hAnsi="Times New Roman" w:cs="Times New Roman"/>
                <w:sz w:val="18"/>
                <w:szCs w:val="18"/>
              </w:rPr>
              <w:t xml:space="preserve">=no change, </w:t>
            </w:r>
            <w:proofErr w:type="spellStart"/>
            <w:r w:rsidRPr="00FC7BB4">
              <w:rPr>
                <w:rFonts w:ascii="Times New Roman" w:hAnsi="Times New Roman" w:cs="Times New Roman"/>
                <w:sz w:val="18"/>
                <w:szCs w:val="18"/>
              </w:rPr>
              <w:t>dn</w:t>
            </w:r>
            <w:proofErr w:type="spellEnd"/>
            <w:r w:rsidRPr="00FC7BB4">
              <w:rPr>
                <w:rFonts w:ascii="Times New Roman" w:hAnsi="Times New Roman" w:cs="Times New Roman"/>
                <w:sz w:val="18"/>
                <w:szCs w:val="18"/>
              </w:rPr>
              <w:t xml:space="preserve">=down; hence for example Pup=Prices up, and so on. </w:t>
            </w:r>
            <w:r w:rsidRPr="00FC7BB4">
              <w:rPr>
                <w:rFonts w:ascii="Times New Roman" w:eastAsia="Cambria" w:hAnsi="Times New Roman" w:cs="Times New Roman"/>
                <w:sz w:val="18"/>
                <w:szCs w:val="18"/>
              </w:rPr>
              <w:t xml:space="preserve">R=Recent and is the time contingent dummy variable which </w:t>
            </w:r>
            <w:r w:rsidRPr="00FC7BB4">
              <w:rPr>
                <w:rFonts w:ascii="Times New Roman" w:hAnsi="Times New Roman" w:cs="Times New Roman"/>
                <w:sz w:val="18"/>
                <w:szCs w:val="18"/>
              </w:rPr>
              <w:t>tak</w:t>
            </w:r>
            <w:r w:rsidRPr="00FC7BB4">
              <w:rPr>
                <w:rFonts w:ascii="Times New Roman" w:hAnsi="Times New Roman" w:cs="Times New Roman"/>
                <w:sz w:val="18"/>
                <w:szCs w:val="18"/>
                <w:shd w:val="clear" w:color="auto" w:fill="FFFFFF" w:themeFill="background1"/>
              </w:rPr>
              <w:t xml:space="preserve">es a value =1 from 2011Q2 and zero otherwise. </w:t>
            </w:r>
            <w:bookmarkStart w:id="71" w:name="_Hlk201091133"/>
            <w:r w:rsidRPr="00FC7BB4">
              <w:rPr>
                <w:rFonts w:ascii="Times New Roman" w:eastAsia="Times New Roman" w:hAnsi="Times New Roman" w:cs="Times New Roman"/>
                <w:color w:val="auto"/>
                <w:kern w:val="0"/>
                <w:sz w:val="18"/>
                <w:szCs w:val="18"/>
                <w14:ligatures w14:val="none"/>
              </w:rPr>
              <w:t>Change (R=</w:t>
            </w:r>
            <w:proofErr w:type="gramStart"/>
            <w:r w:rsidRPr="00FC7BB4">
              <w:rPr>
                <w:rFonts w:ascii="Times New Roman" w:eastAsia="Times New Roman" w:hAnsi="Times New Roman" w:cs="Times New Roman"/>
                <w:color w:val="auto"/>
                <w:kern w:val="0"/>
                <w:sz w:val="18"/>
                <w:szCs w:val="18"/>
                <w14:ligatures w14:val="none"/>
              </w:rPr>
              <w:t>1)-(</w:t>
            </w:r>
            <w:proofErr w:type="gramEnd"/>
            <w:r w:rsidRPr="00FC7BB4">
              <w:rPr>
                <w:rFonts w:ascii="Times New Roman" w:eastAsia="Times New Roman" w:hAnsi="Times New Roman" w:cs="Times New Roman"/>
                <w:color w:val="auto"/>
                <w:kern w:val="0"/>
                <w:sz w:val="18"/>
                <w:szCs w:val="18"/>
                <w14:ligatures w14:val="none"/>
              </w:rPr>
              <w:t>R=0) is the absolute change in the estimated conditional probability of a price change (under the equivalent cost and demand conditions) between Pre- and Post-2011Q2. Statistical significance is evaluated using the Delta method by applying the “margins” command in Stata and is denoted by asterisks: *** denotes p &lt;0.01; ** p &lt;0.05; * p &lt;0.10.</w:t>
            </w:r>
            <w:bookmarkEnd w:id="71"/>
            <w:r w:rsidRPr="00FC7BB4">
              <w:rPr>
                <w:rFonts w:ascii="Times New Roman" w:eastAsia="Times New Roman" w:hAnsi="Times New Roman" w:cs="Times New Roman"/>
                <w:color w:val="auto"/>
                <w:kern w:val="0"/>
                <w:sz w:val="18"/>
                <w:szCs w:val="18"/>
                <w14:ligatures w14:val="none"/>
              </w:rPr>
              <w:t xml:space="preserve"> Small differences between the recorded “Change (R=</w:t>
            </w:r>
            <w:proofErr w:type="gramStart"/>
            <w:r w:rsidRPr="00FC7BB4">
              <w:rPr>
                <w:rFonts w:ascii="Times New Roman" w:eastAsia="Times New Roman" w:hAnsi="Times New Roman" w:cs="Times New Roman"/>
                <w:color w:val="auto"/>
                <w:kern w:val="0"/>
                <w:sz w:val="18"/>
                <w:szCs w:val="18"/>
                <w14:ligatures w14:val="none"/>
              </w:rPr>
              <w:t>1)-(</w:t>
            </w:r>
            <w:proofErr w:type="gramEnd"/>
            <w:r w:rsidRPr="00FC7BB4">
              <w:rPr>
                <w:rFonts w:ascii="Times New Roman" w:eastAsia="Times New Roman" w:hAnsi="Times New Roman" w:cs="Times New Roman"/>
                <w:color w:val="auto"/>
                <w:kern w:val="0"/>
                <w:sz w:val="18"/>
                <w:szCs w:val="18"/>
                <w14:ligatures w14:val="none"/>
              </w:rPr>
              <w:t>R=0)” and the respective recorded values of the reported conditional probabilities are due to rounding to the nearest digit at the second decimal point.</w:t>
            </w:r>
            <w:bookmarkEnd w:id="70"/>
          </w:p>
        </w:tc>
      </w:tr>
      <w:bookmarkEnd w:id="68"/>
    </w:tbl>
    <w:p w14:paraId="218907BC" w14:textId="77777777" w:rsidR="00307155" w:rsidRPr="00FC7BB4" w:rsidRDefault="00307155" w:rsidP="00F3101B">
      <w:pPr>
        <w:spacing w:after="0" w:line="331" w:lineRule="auto"/>
        <w:ind w:right="27" w:firstLine="284"/>
        <w:rPr>
          <w:rFonts w:ascii="Times New Roman" w:hAnsi="Times New Roman" w:cs="Times New Roman"/>
          <w:sz w:val="24"/>
        </w:rPr>
      </w:pPr>
    </w:p>
    <w:p w14:paraId="45AD73C3" w14:textId="2FDA2C11" w:rsidR="00307155" w:rsidRPr="00FC7BB4" w:rsidRDefault="00717BD6" w:rsidP="00F3101B">
      <w:pPr>
        <w:spacing w:after="0" w:line="331" w:lineRule="auto"/>
        <w:ind w:right="27"/>
        <w:rPr>
          <w:rFonts w:ascii="Times New Roman" w:hAnsi="Times New Roman" w:cs="Times New Roman"/>
          <w:sz w:val="24"/>
        </w:rPr>
      </w:pPr>
      <w:bookmarkStart w:id="72" w:name="_Hlk213169402"/>
      <w:r>
        <w:rPr>
          <w:rFonts w:ascii="Times New Roman" w:hAnsi="Times New Roman" w:cs="Times New Roman"/>
          <w:sz w:val="24"/>
        </w:rPr>
        <w:t xml:space="preserve"> </w:t>
      </w:r>
      <w:r w:rsidR="00307155" w:rsidRPr="00FC7BB4">
        <w:rPr>
          <w:rFonts w:ascii="Times New Roman" w:hAnsi="Times New Roman" w:cs="Times New Roman"/>
          <w:sz w:val="24"/>
        </w:rPr>
        <w:t xml:space="preserve">Furthermore, Table 2 also reveals a significant increase in the probability of a price </w:t>
      </w:r>
      <w:r w:rsidR="00661F91" w:rsidRPr="00FC7BB4">
        <w:rPr>
          <w:rFonts w:ascii="Times New Roman" w:hAnsi="Times New Roman" w:cs="Times New Roman"/>
          <w:sz w:val="24"/>
        </w:rPr>
        <w:t>increase</w:t>
      </w:r>
      <w:r w:rsidR="00307155" w:rsidRPr="00FC7BB4">
        <w:rPr>
          <w:rFonts w:ascii="Times New Roman" w:hAnsi="Times New Roman" w:cs="Times New Roman"/>
          <w:sz w:val="24"/>
        </w:rPr>
        <w:t xml:space="preserve"> in response to higher costs during the post-2011 years compared to the previous years, as inflation </w:t>
      </w:r>
      <w:r w:rsidR="00661F91" w:rsidRPr="00FC7BB4">
        <w:rPr>
          <w:rFonts w:ascii="Times New Roman" w:hAnsi="Times New Roman" w:cs="Times New Roman"/>
          <w:sz w:val="24"/>
        </w:rPr>
        <w:t>rises</w:t>
      </w:r>
      <w:r w:rsidR="00307155" w:rsidRPr="00FC7BB4">
        <w:rPr>
          <w:rFonts w:ascii="Times New Roman" w:hAnsi="Times New Roman" w:cs="Times New Roman"/>
          <w:sz w:val="24"/>
        </w:rPr>
        <w:t>.</w:t>
      </w:r>
      <w:r w:rsidR="00307155" w:rsidRPr="00FC7BB4">
        <w:rPr>
          <w:rStyle w:val="FootnoteReference"/>
          <w:rFonts w:ascii="Times New Roman" w:hAnsi="Times New Roman" w:cs="Times New Roman"/>
          <w:sz w:val="24"/>
        </w:rPr>
        <w:footnoteReference w:id="28"/>
      </w:r>
      <w:r w:rsidR="00307155" w:rsidRPr="00FC7BB4">
        <w:rPr>
          <w:rFonts w:ascii="Times New Roman" w:hAnsi="Times New Roman" w:cs="Times New Roman"/>
          <w:sz w:val="24"/>
        </w:rPr>
        <w:t xml:space="preserve"> While the conditional probability of firms increasing prices when costs increase (for any demand situation) is broadly similar before and after 2011Q2 when annual inflation is at 2 per cent, </w:t>
      </w:r>
      <w:r w:rsidR="00661F91" w:rsidRPr="00FC7BB4">
        <w:rPr>
          <w:rFonts w:ascii="Times New Roman" w:hAnsi="Times New Roman" w:cs="Times New Roman"/>
          <w:sz w:val="24"/>
        </w:rPr>
        <w:t xml:space="preserve">when annual inflation is higher </w:t>
      </w:r>
      <w:r w:rsidR="00307155" w:rsidRPr="00FC7BB4">
        <w:rPr>
          <w:rFonts w:ascii="Times New Roman" w:hAnsi="Times New Roman" w:cs="Times New Roman"/>
          <w:sz w:val="24"/>
        </w:rPr>
        <w:t>at 5 and 7 per cent the probability of a price increase is much higher after 2011Q2 than in earlier years. The differences between the Pre- and Post-2011Q2 estimates of conditional probabilities are shown in the right-hand side of Table 2 under the respective inflation rates. The increases in estimated conditional probabilities for the higher inflation rates are in general substantial and are statistically significant, providing further evidence of a structural change in pricing behaviour</w:t>
      </w:r>
      <w:r w:rsidR="00661F91" w:rsidRPr="00FC7BB4">
        <w:rPr>
          <w:rFonts w:ascii="Times New Roman" w:hAnsi="Times New Roman" w:cs="Times New Roman"/>
          <w:sz w:val="24"/>
        </w:rPr>
        <w:t>.</w:t>
      </w:r>
    </w:p>
    <w:p w14:paraId="2A3EC945" w14:textId="50FA7358" w:rsidR="00307155" w:rsidRPr="00FC7BB4" w:rsidRDefault="00307155" w:rsidP="00F3101B">
      <w:pPr>
        <w:spacing w:after="0" w:line="331" w:lineRule="auto"/>
        <w:ind w:left="-17" w:right="27"/>
        <w:rPr>
          <w:rFonts w:ascii="Times New Roman" w:hAnsi="Times New Roman" w:cs="Times New Roman"/>
          <w:sz w:val="24"/>
        </w:rPr>
      </w:pPr>
      <w:r w:rsidRPr="00FC7BB4">
        <w:rPr>
          <w:rFonts w:ascii="Times New Roman" w:hAnsi="Times New Roman" w:cs="Times New Roman"/>
          <w:sz w:val="24"/>
        </w:rPr>
        <w:lastRenderedPageBreak/>
        <w:t xml:space="preserve">In the case of conditional probabilities of a price decrease, there is a degree of symmetry with the patterns observed for price increases. </w:t>
      </w:r>
      <w:r w:rsidR="003B60E3" w:rsidRPr="00FC7BB4">
        <w:rPr>
          <w:rFonts w:ascii="Times New Roman" w:hAnsi="Times New Roman" w:cs="Times New Roman"/>
          <w:sz w:val="24"/>
        </w:rPr>
        <w:t>In</w:t>
      </w:r>
      <w:r w:rsidRPr="00FC7BB4">
        <w:rPr>
          <w:rFonts w:ascii="Times New Roman" w:hAnsi="Times New Roman" w:cs="Times New Roman"/>
          <w:sz w:val="24"/>
        </w:rPr>
        <w:t xml:space="preserve"> both periods the conditional probabilities of a price decrease systematically fall as inflation rises. For example, the estimated conditional probabilities of a price decrease when costs and demand decrease for the decades before 2011Q2 (</w:t>
      </w:r>
      <w:proofErr w:type="gramStart"/>
      <w:r w:rsidRPr="00FC7BB4">
        <w:rPr>
          <w:rFonts w:ascii="Times New Roman" w:eastAsia="Times New Roman" w:hAnsi="Times New Roman" w:cs="Times New Roman"/>
          <w:kern w:val="0"/>
          <w:sz w:val="24"/>
          <w14:ligatures w14:val="none"/>
        </w:rPr>
        <w:t>Prob[</w:t>
      </w:r>
      <w:proofErr w:type="spellStart"/>
      <w:proofErr w:type="gramEnd"/>
      <w:r w:rsidRPr="00FC7BB4">
        <w:rPr>
          <w:rFonts w:ascii="Times New Roman" w:eastAsia="Times New Roman" w:hAnsi="Times New Roman" w:cs="Times New Roman"/>
          <w:kern w:val="0"/>
          <w:sz w:val="24"/>
          <w14:ligatures w14:val="none"/>
        </w:rPr>
        <w:t>Pdn|Cdn</w:t>
      </w:r>
      <w:proofErr w:type="spellEnd"/>
      <w:r w:rsidRPr="00FC7BB4">
        <w:rPr>
          <w:rFonts w:ascii="Times New Roman" w:eastAsia="Times New Roman" w:hAnsi="Times New Roman" w:cs="Times New Roman"/>
          <w:kern w:val="0"/>
          <w:sz w:val="24"/>
          <w14:ligatures w14:val="none"/>
        </w:rPr>
        <w:t xml:space="preserve">, </w:t>
      </w:r>
      <w:proofErr w:type="spellStart"/>
      <w:r w:rsidRPr="00FC7BB4">
        <w:rPr>
          <w:rFonts w:ascii="Times New Roman" w:eastAsia="Times New Roman" w:hAnsi="Times New Roman" w:cs="Times New Roman"/>
          <w:kern w:val="0"/>
          <w:sz w:val="24"/>
          <w14:ligatures w14:val="none"/>
        </w:rPr>
        <w:t>Ddn</w:t>
      </w:r>
      <w:proofErr w:type="spellEnd"/>
      <w:r w:rsidRPr="00FC7BB4">
        <w:rPr>
          <w:rFonts w:ascii="Times New Roman" w:eastAsia="Times New Roman" w:hAnsi="Times New Roman" w:cs="Times New Roman"/>
          <w:kern w:val="0"/>
          <w:sz w:val="24"/>
          <w14:ligatures w14:val="none"/>
        </w:rPr>
        <w:t xml:space="preserve">, R=0]) fall successively from 0.46 to 0.41 to 0.37 at successively higher inflation rates. </w:t>
      </w:r>
      <w:r w:rsidR="003B60E3" w:rsidRPr="00FC7BB4">
        <w:rPr>
          <w:rFonts w:ascii="Times New Roman" w:hAnsi="Times New Roman" w:cs="Times New Roman"/>
          <w:sz w:val="24"/>
        </w:rPr>
        <w:t>T</w:t>
      </w:r>
      <w:r w:rsidRPr="00FC7BB4">
        <w:rPr>
          <w:rFonts w:ascii="Times New Roman" w:hAnsi="Times New Roman" w:cs="Times New Roman"/>
          <w:sz w:val="24"/>
        </w:rPr>
        <w:t xml:space="preserve">he same pattern is evident for all the estimates for the </w:t>
      </w:r>
      <w:proofErr w:type="gramStart"/>
      <w:r w:rsidRPr="00FC7BB4">
        <w:rPr>
          <w:rFonts w:ascii="Times New Roman" w:hAnsi="Times New Roman" w:cs="Times New Roman"/>
          <w:sz w:val="24"/>
        </w:rPr>
        <w:t>Post-2011Q2</w:t>
      </w:r>
      <w:proofErr w:type="gramEnd"/>
      <w:r w:rsidRPr="00FC7BB4">
        <w:rPr>
          <w:rFonts w:ascii="Times New Roman" w:hAnsi="Times New Roman" w:cs="Times New Roman"/>
          <w:sz w:val="24"/>
        </w:rPr>
        <w:t xml:space="preserve"> years. These results are also consistent with the menu-cost-based state-dependent pricing models discussed in Section</w:t>
      </w:r>
      <w:r w:rsidR="00CC09DE" w:rsidRPr="00FC7BB4">
        <w:rPr>
          <w:rFonts w:ascii="Times New Roman" w:hAnsi="Times New Roman" w:cs="Times New Roman"/>
          <w:sz w:val="24"/>
        </w:rPr>
        <w:t>s</w:t>
      </w:r>
      <w:r w:rsidRPr="00FC7BB4">
        <w:rPr>
          <w:rFonts w:ascii="Times New Roman" w:hAnsi="Times New Roman" w:cs="Times New Roman"/>
          <w:sz w:val="24"/>
        </w:rPr>
        <w:t xml:space="preserve"> 2</w:t>
      </w:r>
      <w:r w:rsidR="00AE38A3" w:rsidRPr="00FC7BB4">
        <w:rPr>
          <w:rFonts w:ascii="Times New Roman" w:hAnsi="Times New Roman" w:cs="Times New Roman"/>
          <w:sz w:val="24"/>
        </w:rPr>
        <w:t xml:space="preserve"> and 5.1</w:t>
      </w:r>
      <w:r w:rsidRPr="00FC7BB4">
        <w:rPr>
          <w:rFonts w:ascii="Times New Roman" w:hAnsi="Times New Roman" w:cs="Times New Roman"/>
          <w:sz w:val="24"/>
        </w:rPr>
        <w:t xml:space="preserve">. Moreover, the estimated probabilities are lower in the </w:t>
      </w:r>
      <w:r w:rsidRPr="00FC7BB4">
        <w:rPr>
          <w:rFonts w:ascii="Times New Roman" w:hAnsi="Times New Roman" w:cs="Times New Roman"/>
          <w:i/>
          <w:iCs/>
          <w:sz w:val="24"/>
        </w:rPr>
        <w:t>Recent</w:t>
      </w:r>
      <w:r w:rsidRPr="00FC7BB4">
        <w:rPr>
          <w:rFonts w:ascii="Times New Roman" w:hAnsi="Times New Roman" w:cs="Times New Roman"/>
          <w:sz w:val="24"/>
        </w:rPr>
        <w:t xml:space="preserve"> period at all inflation rates and are successively much lower as inflation rises providing further evidence of structural change in pricing behaviour.  </w:t>
      </w:r>
    </w:p>
    <w:p w14:paraId="1C8988BB" w14:textId="77777777" w:rsidR="00E87171" w:rsidRPr="00FC7BB4" w:rsidRDefault="00E87171" w:rsidP="00E87171">
      <w:pPr>
        <w:rPr>
          <w:rFonts w:ascii="Times New Roman" w:eastAsiaTheme="minorHAnsi" w:hAnsi="Times New Roman" w:cs="Times New Roman"/>
          <w:color w:val="auto"/>
          <w:sz w:val="24"/>
        </w:rPr>
      </w:pPr>
      <w:r w:rsidRPr="00FC7BB4">
        <w:rPr>
          <w:rFonts w:ascii="Times New Roman" w:hAnsi="Times New Roman" w:cs="Times New Roman"/>
          <w:sz w:val="24"/>
        </w:rPr>
        <w:t xml:space="preserve">Table 2 reveals two further important results. First, it provides strong evidence of pricing asymmetry by firms: price increases are more likely than price decreases when conditions warrant them. This can be seen by comparing the estimated conditional probabilities for price increases and decreases under opposite cost and demand changes. For example, take the case where annual inflation is 7 per cent. The conditional probability of a price increase when costs and demand increase simultaneously </w:t>
      </w:r>
      <w:bookmarkStart w:id="73" w:name="_Hlk210053468"/>
      <w:r w:rsidRPr="00FC7BB4">
        <w:rPr>
          <w:rFonts w:ascii="Times New Roman" w:hAnsi="Times New Roman" w:cs="Times New Roman"/>
          <w:sz w:val="24"/>
        </w:rPr>
        <w:t>(</w:t>
      </w:r>
      <w:proofErr w:type="gramStart"/>
      <w:r w:rsidRPr="00FC7BB4">
        <w:rPr>
          <w:rFonts w:ascii="Times New Roman" w:hAnsi="Times New Roman" w:cs="Times New Roman"/>
          <w:sz w:val="24"/>
        </w:rPr>
        <w:t>Prob[</w:t>
      </w:r>
      <w:proofErr w:type="spellStart"/>
      <w:proofErr w:type="gramEnd"/>
      <w:r w:rsidRPr="00FC7BB4">
        <w:rPr>
          <w:rFonts w:ascii="Times New Roman" w:hAnsi="Times New Roman" w:cs="Times New Roman"/>
          <w:sz w:val="24"/>
        </w:rPr>
        <w:t>Pup|Cup</w:t>
      </w:r>
      <w:proofErr w:type="spellEnd"/>
      <w:r w:rsidRPr="00FC7BB4">
        <w:rPr>
          <w:rFonts w:ascii="Times New Roman" w:hAnsi="Times New Roman" w:cs="Times New Roman"/>
          <w:sz w:val="24"/>
        </w:rPr>
        <w:t xml:space="preserve">, Dup]) </w:t>
      </w:r>
      <w:bookmarkEnd w:id="73"/>
      <w:r w:rsidRPr="00FC7BB4">
        <w:rPr>
          <w:rFonts w:ascii="Times New Roman" w:hAnsi="Times New Roman" w:cs="Times New Roman"/>
          <w:sz w:val="24"/>
        </w:rPr>
        <w:t xml:space="preserve">is 0.61 for the </w:t>
      </w:r>
      <w:proofErr w:type="gramStart"/>
      <w:r w:rsidRPr="00FC7BB4">
        <w:rPr>
          <w:rFonts w:ascii="Times New Roman" w:hAnsi="Times New Roman" w:cs="Times New Roman"/>
          <w:sz w:val="24"/>
        </w:rPr>
        <w:t>Pre-2011Q2</w:t>
      </w:r>
      <w:proofErr w:type="gramEnd"/>
      <w:r w:rsidRPr="00FC7BB4">
        <w:rPr>
          <w:rFonts w:ascii="Times New Roman" w:hAnsi="Times New Roman" w:cs="Times New Roman"/>
          <w:sz w:val="24"/>
        </w:rPr>
        <w:t xml:space="preserve"> years, while the conditional probability prices will decrease when costs and demand decline simultaneously (</w:t>
      </w:r>
      <w:proofErr w:type="gramStart"/>
      <w:r w:rsidRPr="00FC7BB4">
        <w:rPr>
          <w:rFonts w:ascii="Times New Roman" w:hAnsi="Times New Roman" w:cs="Times New Roman"/>
          <w:sz w:val="24"/>
        </w:rPr>
        <w:t>Prob[</w:t>
      </w:r>
      <w:proofErr w:type="spellStart"/>
      <w:proofErr w:type="gramEnd"/>
      <w:r w:rsidRPr="00FC7BB4">
        <w:rPr>
          <w:rFonts w:ascii="Times New Roman" w:hAnsi="Times New Roman" w:cs="Times New Roman"/>
          <w:sz w:val="24"/>
        </w:rPr>
        <w:t>Pdn|Cdn</w:t>
      </w:r>
      <w:proofErr w:type="spellEnd"/>
      <w:r w:rsidRPr="00FC7BB4">
        <w:rPr>
          <w:rFonts w:ascii="Times New Roman" w:hAnsi="Times New Roman" w:cs="Times New Roman"/>
          <w:sz w:val="24"/>
        </w:rPr>
        <w:t xml:space="preserve">, </w:t>
      </w:r>
      <w:proofErr w:type="spellStart"/>
      <w:r w:rsidRPr="00FC7BB4">
        <w:rPr>
          <w:rFonts w:ascii="Times New Roman" w:hAnsi="Times New Roman" w:cs="Times New Roman"/>
          <w:sz w:val="24"/>
        </w:rPr>
        <w:t>Ddn</w:t>
      </w:r>
      <w:proofErr w:type="spellEnd"/>
      <w:r w:rsidRPr="00FC7BB4">
        <w:rPr>
          <w:rFonts w:ascii="Times New Roman" w:hAnsi="Times New Roman" w:cs="Times New Roman"/>
          <w:sz w:val="24"/>
        </w:rPr>
        <w:t xml:space="preserve">]) during these years is 0.37. This asymmetry is also evident in the </w:t>
      </w:r>
      <w:proofErr w:type="gramStart"/>
      <w:r w:rsidRPr="00FC7BB4">
        <w:rPr>
          <w:rFonts w:ascii="Times New Roman" w:hAnsi="Times New Roman" w:cs="Times New Roman"/>
          <w:sz w:val="24"/>
        </w:rPr>
        <w:t>Post-2011Q2</w:t>
      </w:r>
      <w:proofErr w:type="gramEnd"/>
      <w:r w:rsidRPr="00FC7BB4">
        <w:rPr>
          <w:rFonts w:ascii="Times New Roman" w:hAnsi="Times New Roman" w:cs="Times New Roman"/>
          <w:sz w:val="24"/>
        </w:rPr>
        <w:t xml:space="preserve"> years where the equivalent estimated conditional probabilities are 0.85 and 0.09 respectively. Moreover, the degree of price asymmetry rises as inflation rises, as predicted in some menu cost-based pricing models (e.g., Ball and Mankiw, 1994a). </w:t>
      </w:r>
    </w:p>
    <w:p w14:paraId="634F1D24" w14:textId="77777777" w:rsidR="00E87171" w:rsidRDefault="00E87171" w:rsidP="00E87171">
      <w:pPr>
        <w:spacing w:after="120" w:line="331" w:lineRule="auto"/>
        <w:rPr>
          <w:rFonts w:ascii="Times New Roman" w:hAnsi="Times New Roman" w:cs="Times New Roman"/>
          <w:sz w:val="24"/>
        </w:rPr>
      </w:pPr>
      <w:r w:rsidRPr="00FC7BB4">
        <w:rPr>
          <w:rFonts w:ascii="Times New Roman" w:hAnsi="Times New Roman" w:cs="Times New Roman"/>
          <w:sz w:val="24"/>
        </w:rPr>
        <w:t xml:space="preserve">Table 2 also reveals that the degree of price asymmetry has increased in the </w:t>
      </w:r>
      <w:proofErr w:type="gramStart"/>
      <w:r w:rsidRPr="00FC7BB4">
        <w:rPr>
          <w:rFonts w:ascii="Times New Roman" w:hAnsi="Times New Roman" w:cs="Times New Roman"/>
          <w:sz w:val="24"/>
        </w:rPr>
        <w:t>Post-2011Q2</w:t>
      </w:r>
      <w:proofErr w:type="gramEnd"/>
      <w:r w:rsidRPr="00FC7BB4">
        <w:rPr>
          <w:rFonts w:ascii="Times New Roman" w:hAnsi="Times New Roman" w:cs="Times New Roman"/>
          <w:sz w:val="24"/>
        </w:rPr>
        <w:t xml:space="preserve"> years, providing further evidence of a structural change in firm pricing behaviour. Take for example the case of 7 per cent annual inflation and the same set of conditional probabilities discussed in the previous paragraph. The conditional probability that prices will be increased by firms reporting both cost and demand increases (</w:t>
      </w:r>
      <w:proofErr w:type="gramStart"/>
      <w:r w:rsidRPr="00FC7BB4">
        <w:rPr>
          <w:rFonts w:ascii="Times New Roman" w:hAnsi="Times New Roman" w:cs="Times New Roman"/>
          <w:sz w:val="24"/>
        </w:rPr>
        <w:t>Prob[</w:t>
      </w:r>
      <w:proofErr w:type="spellStart"/>
      <w:proofErr w:type="gramEnd"/>
      <w:r w:rsidRPr="00FC7BB4">
        <w:rPr>
          <w:rFonts w:ascii="Times New Roman" w:hAnsi="Times New Roman" w:cs="Times New Roman"/>
          <w:sz w:val="24"/>
        </w:rPr>
        <w:t>Pup|Cup</w:t>
      </w:r>
      <w:proofErr w:type="spellEnd"/>
      <w:r w:rsidRPr="00FC7BB4">
        <w:rPr>
          <w:rFonts w:ascii="Times New Roman" w:hAnsi="Times New Roman" w:cs="Times New Roman"/>
          <w:sz w:val="24"/>
        </w:rPr>
        <w:t>, Dup]) has increased by 0.24 (0.85-0.61) between the two periods (i.e., Pre- (R=0) and Post-2011Q2 (R=1)). On the other hand, the conditional probability that prices will be reduced when costs and demand decline (</w:t>
      </w:r>
      <w:proofErr w:type="gramStart"/>
      <w:r w:rsidRPr="00FC7BB4">
        <w:rPr>
          <w:rFonts w:ascii="Times New Roman" w:hAnsi="Times New Roman" w:cs="Times New Roman"/>
          <w:sz w:val="24"/>
        </w:rPr>
        <w:t>Prob[</w:t>
      </w:r>
      <w:proofErr w:type="spellStart"/>
      <w:proofErr w:type="gramEnd"/>
      <w:r w:rsidRPr="00FC7BB4">
        <w:rPr>
          <w:rFonts w:ascii="Times New Roman" w:hAnsi="Times New Roman" w:cs="Times New Roman"/>
          <w:sz w:val="24"/>
        </w:rPr>
        <w:t>Pdn|Cdn</w:t>
      </w:r>
      <w:proofErr w:type="spellEnd"/>
      <w:r w:rsidRPr="00FC7BB4">
        <w:rPr>
          <w:rFonts w:ascii="Times New Roman" w:hAnsi="Times New Roman" w:cs="Times New Roman"/>
          <w:sz w:val="24"/>
        </w:rPr>
        <w:t xml:space="preserve">, </w:t>
      </w:r>
      <w:proofErr w:type="spellStart"/>
      <w:r w:rsidRPr="00FC7BB4">
        <w:rPr>
          <w:rFonts w:ascii="Times New Roman" w:hAnsi="Times New Roman" w:cs="Times New Roman"/>
          <w:sz w:val="24"/>
        </w:rPr>
        <w:t>Ddn</w:t>
      </w:r>
      <w:proofErr w:type="spellEnd"/>
      <w:r w:rsidRPr="00FC7BB4">
        <w:rPr>
          <w:rFonts w:ascii="Times New Roman" w:hAnsi="Times New Roman" w:cs="Times New Roman"/>
          <w:sz w:val="24"/>
        </w:rPr>
        <w:t xml:space="preserve">]) between the Pre- (R=0) and Post-2011Q2 (R=1) has fallen by 0.28 (0.09-0.37). These temporal changes in the estimated conditional probabilities allow us to construct a measure of the intertemporal change in price asymmetry by differencing the changes in the relevant price-increase and price-decrease conditional probabilities. For example, when comparing the change in conditional probabilities for simultaneous cost and demand increases and simultaneous costs and demand decreases, at 7 per cent inflation the difference of the changes between Pre- and Post-2011Q2 is 0.52 (0.24 less -0.28); at 5 per cent inflation it is 0.41 (0.17 less -0.24); and at 2 per cent inflation it is 0.14 (0.01 less -0.13). There is a clear pattern of increased price asymmetry as inflation increases in recent years, and this change is more acute as inflation rises. </w:t>
      </w:r>
    </w:p>
    <w:p w14:paraId="604A229D" w14:textId="77777777" w:rsidR="005D65C5" w:rsidRPr="00FC7BB4" w:rsidRDefault="005D65C5" w:rsidP="00E87171">
      <w:pPr>
        <w:spacing w:after="120" w:line="331" w:lineRule="auto"/>
        <w:rPr>
          <w:rFonts w:ascii="Times New Roman" w:hAnsi="Times New Roman" w:cs="Times New Roman"/>
          <w:sz w:val="24"/>
        </w:rPr>
      </w:pPr>
    </w:p>
    <w:bookmarkEnd w:id="72"/>
    <w:p w14:paraId="1860C9F2" w14:textId="49ADED59" w:rsidR="00307155" w:rsidRPr="00FC7BB4" w:rsidRDefault="00307155" w:rsidP="00FC2024">
      <w:pPr>
        <w:spacing w:after="120" w:line="331" w:lineRule="auto"/>
        <w:ind w:right="27" w:firstLine="0"/>
        <w:rPr>
          <w:rFonts w:ascii="Times New Roman" w:hAnsi="Times New Roman" w:cs="Times New Roman"/>
          <w:b/>
          <w:bCs/>
          <w:sz w:val="24"/>
        </w:rPr>
      </w:pPr>
      <w:r w:rsidRPr="00FC7BB4">
        <w:rPr>
          <w:rFonts w:ascii="Times New Roman" w:hAnsi="Times New Roman" w:cs="Times New Roman"/>
          <w:b/>
          <w:bCs/>
          <w:sz w:val="24"/>
        </w:rPr>
        <w:lastRenderedPageBreak/>
        <w:t xml:space="preserve">6.  </w:t>
      </w:r>
      <w:bookmarkStart w:id="74" w:name="_Hlk213169616"/>
      <w:r w:rsidRPr="00FC7BB4">
        <w:rPr>
          <w:rFonts w:ascii="Times New Roman" w:hAnsi="Times New Roman" w:cs="Times New Roman"/>
          <w:b/>
          <w:bCs/>
          <w:sz w:val="24"/>
        </w:rPr>
        <w:t xml:space="preserve">Menu costs, information technology, firm </w:t>
      </w:r>
      <w:r w:rsidR="00107D44" w:rsidRPr="00FC7BB4">
        <w:rPr>
          <w:rFonts w:ascii="Times New Roman" w:hAnsi="Times New Roman" w:cs="Times New Roman"/>
          <w:b/>
          <w:bCs/>
          <w:sz w:val="24"/>
        </w:rPr>
        <w:t>c</w:t>
      </w:r>
      <w:r w:rsidRPr="00FC7BB4">
        <w:rPr>
          <w:rFonts w:ascii="Times New Roman" w:hAnsi="Times New Roman" w:cs="Times New Roman"/>
          <w:b/>
          <w:bCs/>
          <w:sz w:val="24"/>
        </w:rPr>
        <w:t>haracteristics, and pricing behaviour</w:t>
      </w:r>
      <w:bookmarkEnd w:id="74"/>
    </w:p>
    <w:p w14:paraId="4DB34BBD" w14:textId="75E4F314" w:rsidR="00DF0E8B" w:rsidRPr="00FC7BB4" w:rsidRDefault="00602819" w:rsidP="00F3101B">
      <w:pPr>
        <w:spacing w:after="0" w:line="331" w:lineRule="auto"/>
        <w:ind w:right="27" w:firstLine="0"/>
        <w:rPr>
          <w:rFonts w:ascii="Times New Roman" w:hAnsi="Times New Roman" w:cs="Times New Roman"/>
          <w:sz w:val="24"/>
        </w:rPr>
      </w:pPr>
      <w:bookmarkStart w:id="75" w:name="_Hlk210137323"/>
      <w:bookmarkStart w:id="76" w:name="_Hlk213226634"/>
      <w:r w:rsidRPr="00FC7BB4">
        <w:rPr>
          <w:rFonts w:ascii="Times New Roman" w:hAnsi="Times New Roman" w:cs="Times New Roman"/>
          <w:sz w:val="24"/>
        </w:rPr>
        <w:t>Th</w:t>
      </w:r>
      <w:r w:rsidR="00845830" w:rsidRPr="00FC7BB4">
        <w:rPr>
          <w:rFonts w:ascii="Times New Roman" w:hAnsi="Times New Roman" w:cs="Times New Roman"/>
          <w:sz w:val="24"/>
        </w:rPr>
        <w:t xml:space="preserve">is section and the next </w:t>
      </w:r>
      <w:r w:rsidRPr="00FC7BB4">
        <w:rPr>
          <w:rFonts w:ascii="Times New Roman" w:hAnsi="Times New Roman" w:cs="Times New Roman"/>
          <w:sz w:val="24"/>
        </w:rPr>
        <w:t>will discuss and evaluate possible reasons why there has been a structural change in firm pricing behaviour. These structural changes include a rise in the tendency for firms to change prices as inflation increases (shown in Figure 3 and Table 2), a fall in the average magnitude of price adjustments</w:t>
      </w:r>
      <w:r w:rsidR="00473D3D" w:rsidRPr="00FC7BB4">
        <w:rPr>
          <w:rFonts w:ascii="Times New Roman" w:hAnsi="Times New Roman" w:cs="Times New Roman"/>
          <w:sz w:val="24"/>
        </w:rPr>
        <w:t>,</w:t>
      </w:r>
      <w:r w:rsidRPr="00FC7BB4">
        <w:rPr>
          <w:rFonts w:ascii="Times New Roman" w:hAnsi="Times New Roman" w:cs="Times New Roman"/>
          <w:sz w:val="24"/>
        </w:rPr>
        <w:t xml:space="preserve"> </w:t>
      </w:r>
      <w:r w:rsidR="00473D3D" w:rsidRPr="00FC7BB4">
        <w:rPr>
          <w:rFonts w:ascii="Times New Roman" w:hAnsi="Times New Roman" w:cs="Times New Roman"/>
          <w:sz w:val="24"/>
        </w:rPr>
        <w:t>and</w:t>
      </w:r>
      <w:r w:rsidRPr="00FC7BB4">
        <w:rPr>
          <w:rFonts w:ascii="Times New Roman" w:hAnsi="Times New Roman" w:cs="Times New Roman"/>
          <w:sz w:val="24"/>
        </w:rPr>
        <w:t xml:space="preserve"> a rise in the frequency of price changes (</w:t>
      </w:r>
      <w:r w:rsidR="00473D3D" w:rsidRPr="00FC7BB4">
        <w:rPr>
          <w:rFonts w:ascii="Times New Roman" w:hAnsi="Times New Roman" w:cs="Times New Roman"/>
          <w:sz w:val="24"/>
        </w:rPr>
        <w:t xml:space="preserve">both </w:t>
      </w:r>
      <w:r w:rsidRPr="00FC7BB4">
        <w:rPr>
          <w:rFonts w:ascii="Times New Roman" w:hAnsi="Times New Roman" w:cs="Times New Roman"/>
          <w:sz w:val="24"/>
        </w:rPr>
        <w:t xml:space="preserve">shown in Table 1). The other structural change that has been revealed is an increase in price asymmetry whereby firms are more likely to raise prices than decrease price when demand and cost conditions </w:t>
      </w:r>
      <w:r w:rsidR="005E54FE" w:rsidRPr="00FC7BB4">
        <w:rPr>
          <w:rFonts w:ascii="Times New Roman" w:hAnsi="Times New Roman" w:cs="Times New Roman"/>
          <w:sz w:val="24"/>
        </w:rPr>
        <w:t>change desired prices</w:t>
      </w:r>
      <w:r w:rsidRPr="00FC7BB4">
        <w:rPr>
          <w:rFonts w:ascii="Times New Roman" w:hAnsi="Times New Roman" w:cs="Times New Roman"/>
          <w:sz w:val="24"/>
        </w:rPr>
        <w:t>. In other words, prices</w:t>
      </w:r>
      <w:r w:rsidR="00473D3D" w:rsidRPr="00FC7BB4">
        <w:rPr>
          <w:rFonts w:ascii="Times New Roman" w:hAnsi="Times New Roman" w:cs="Times New Roman"/>
          <w:sz w:val="24"/>
        </w:rPr>
        <w:t xml:space="preserve"> have</w:t>
      </w:r>
      <w:r w:rsidRPr="00FC7BB4">
        <w:rPr>
          <w:rFonts w:ascii="Times New Roman" w:hAnsi="Times New Roman" w:cs="Times New Roman"/>
          <w:sz w:val="24"/>
        </w:rPr>
        <w:t xml:space="preserve"> become more “flexible” upwards but more “sticky” downwards</w:t>
      </w:r>
      <w:r w:rsidR="00473D3D" w:rsidRPr="00FC7BB4">
        <w:rPr>
          <w:rFonts w:ascii="Times New Roman" w:hAnsi="Times New Roman" w:cs="Times New Roman"/>
          <w:sz w:val="24"/>
        </w:rPr>
        <w:t>.</w:t>
      </w:r>
      <w:r w:rsidRPr="00FC7BB4">
        <w:rPr>
          <w:rFonts w:ascii="Times New Roman" w:hAnsi="Times New Roman" w:cs="Times New Roman"/>
          <w:sz w:val="24"/>
        </w:rPr>
        <w:t xml:space="preserve"> </w:t>
      </w:r>
      <w:bookmarkEnd w:id="75"/>
    </w:p>
    <w:p w14:paraId="51794869" w14:textId="5991E962" w:rsidR="00307155" w:rsidRPr="00FC7BB4" w:rsidRDefault="00307155" w:rsidP="00F3101B">
      <w:pPr>
        <w:spacing w:after="0" w:line="331" w:lineRule="auto"/>
        <w:ind w:right="27" w:firstLine="284"/>
        <w:rPr>
          <w:rStyle w:val="cf01"/>
          <w:rFonts w:ascii="Times New Roman" w:hAnsi="Times New Roman" w:cs="Times New Roman"/>
          <w:sz w:val="24"/>
          <w:szCs w:val="24"/>
        </w:rPr>
      </w:pPr>
      <w:r w:rsidRPr="00FC7BB4">
        <w:rPr>
          <w:rFonts w:ascii="Times New Roman" w:hAnsi="Times New Roman" w:cs="Times New Roman"/>
          <w:sz w:val="24"/>
        </w:rPr>
        <w:t>The</w:t>
      </w:r>
      <w:r w:rsidR="009C6FC4" w:rsidRPr="00FC7BB4">
        <w:rPr>
          <w:rFonts w:ascii="Times New Roman" w:hAnsi="Times New Roman" w:cs="Times New Roman"/>
          <w:sz w:val="24"/>
        </w:rPr>
        <w:t>se</w:t>
      </w:r>
      <w:r w:rsidRPr="00FC7BB4">
        <w:rPr>
          <w:rFonts w:ascii="Times New Roman" w:hAnsi="Times New Roman" w:cs="Times New Roman"/>
          <w:sz w:val="24"/>
        </w:rPr>
        <w:t xml:space="preserve"> changes in pricing behaviour of New Zealand firms have occurred when the internet has become much more widely available globally. This is transforming business and buyer behaviour. For example, Hillen and Fedoseeva (2021) cite evidence that by 2018 between 30 and 50 per cent of Americans purchased groceries online and online sales tripled between 2013 and</w:t>
      </w:r>
      <w:r w:rsidRPr="00FC7BB4">
        <w:rPr>
          <w:rStyle w:val="cf01"/>
          <w:rFonts w:ascii="Times New Roman" w:hAnsi="Times New Roman" w:cs="Times New Roman"/>
          <w:sz w:val="24"/>
          <w:szCs w:val="24"/>
        </w:rPr>
        <w:t xml:space="preserve"> 2018. They also report a marked increase in the popularity of online shopping during the COVID-19 pandemic. </w:t>
      </w:r>
    </w:p>
    <w:p w14:paraId="34DBCC85" w14:textId="5B26BDF3" w:rsidR="00307155" w:rsidRPr="00FC7BB4" w:rsidRDefault="00307155" w:rsidP="00F3101B">
      <w:pPr>
        <w:spacing w:after="0" w:line="331" w:lineRule="auto"/>
        <w:ind w:left="-17" w:right="27" w:firstLine="301"/>
        <w:rPr>
          <w:rFonts w:ascii="Times New Roman" w:hAnsi="Times New Roman" w:cs="Times New Roman"/>
          <w:sz w:val="24"/>
        </w:rPr>
      </w:pPr>
      <w:r w:rsidRPr="00FC7BB4">
        <w:rPr>
          <w:rStyle w:val="cf01"/>
          <w:rFonts w:ascii="Times New Roman" w:hAnsi="Times New Roman" w:cs="Times New Roman"/>
          <w:sz w:val="24"/>
          <w:szCs w:val="24"/>
        </w:rPr>
        <w:t>The spread of digital capability has also been substantial in New Zealand during the past two decades. In 1994 only 3 per cent of the population had access to the internet. Access had grown to a</w:t>
      </w:r>
      <w:r w:rsidRPr="00FC7BB4">
        <w:rPr>
          <w:rFonts w:ascii="Times New Roman" w:hAnsi="Times New Roman" w:cs="Times New Roman"/>
          <w:sz w:val="24"/>
        </w:rPr>
        <w:t xml:space="preserve">bout 50 percent by 2000 and by 2022, the </w:t>
      </w:r>
      <w:r w:rsidR="0030353F" w:rsidRPr="00FC7BB4">
        <w:rPr>
          <w:rFonts w:ascii="Times New Roman" w:hAnsi="Times New Roman" w:cs="Times New Roman"/>
          <w:sz w:val="24"/>
        </w:rPr>
        <w:t>C</w:t>
      </w:r>
      <w:r w:rsidR="00982E56" w:rsidRPr="00FC7BB4">
        <w:rPr>
          <w:rFonts w:ascii="Times New Roman" w:hAnsi="Times New Roman" w:cs="Times New Roman"/>
          <w:sz w:val="24"/>
        </w:rPr>
        <w:t>OVID</w:t>
      </w:r>
      <w:r w:rsidR="0030353F" w:rsidRPr="00FC7BB4">
        <w:rPr>
          <w:rFonts w:ascii="Times New Roman" w:hAnsi="Times New Roman" w:cs="Times New Roman"/>
          <w:sz w:val="24"/>
        </w:rPr>
        <w:t xml:space="preserve"> </w:t>
      </w:r>
      <w:r w:rsidRPr="00FC7BB4">
        <w:rPr>
          <w:rFonts w:ascii="Times New Roman" w:hAnsi="Times New Roman" w:cs="Times New Roman"/>
          <w:sz w:val="24"/>
        </w:rPr>
        <w:t>inflation era, this proportion was nearly 96 per cent.</w:t>
      </w:r>
      <w:r w:rsidRPr="00FC7BB4">
        <w:rPr>
          <w:rStyle w:val="FootnoteReference"/>
          <w:rFonts w:ascii="Times New Roman" w:hAnsi="Times New Roman" w:cs="Times New Roman"/>
          <w:sz w:val="24"/>
        </w:rPr>
        <w:footnoteReference w:id="29"/>
      </w:r>
      <w:r w:rsidRPr="00FC7BB4">
        <w:rPr>
          <w:rFonts w:ascii="Times New Roman" w:hAnsi="Times New Roman" w:cs="Times New Roman"/>
          <w:color w:val="0000FF"/>
          <w:sz w:val="24"/>
          <w:vertAlign w:val="superscript"/>
        </w:rPr>
        <w:t xml:space="preserve"> </w:t>
      </w:r>
      <w:r w:rsidRPr="00FC7BB4">
        <w:rPr>
          <w:rFonts w:ascii="Times New Roman" w:hAnsi="Times New Roman" w:cs="Times New Roman"/>
          <w:sz w:val="24"/>
        </w:rPr>
        <w:t xml:space="preserve">Adoption of digital </w:t>
      </w:r>
      <w:r w:rsidR="00DF0E8B" w:rsidRPr="00FC7BB4">
        <w:rPr>
          <w:rFonts w:ascii="Times New Roman" w:hAnsi="Times New Roman" w:cs="Times New Roman"/>
          <w:sz w:val="24"/>
        </w:rPr>
        <w:t>technology</w:t>
      </w:r>
      <w:r w:rsidR="007164A5" w:rsidRPr="00FC7BB4">
        <w:rPr>
          <w:rFonts w:ascii="Times New Roman" w:hAnsi="Times New Roman" w:cs="Times New Roman"/>
          <w:sz w:val="24"/>
        </w:rPr>
        <w:t xml:space="preserve"> </w:t>
      </w:r>
      <w:r w:rsidRPr="00FC7BB4">
        <w:rPr>
          <w:rFonts w:ascii="Times New Roman" w:hAnsi="Times New Roman" w:cs="Times New Roman"/>
          <w:sz w:val="24"/>
        </w:rPr>
        <w:t>by firms has been similarly rapid. In 2008 only 51 per cent of small New Zealand firms reported having a web presence, and by 2020 this proportion had risen to 71 per cent.</w:t>
      </w:r>
      <w:r w:rsidRPr="00FC7BB4">
        <w:rPr>
          <w:rStyle w:val="FootnoteReference"/>
          <w:rFonts w:ascii="Times New Roman" w:hAnsi="Times New Roman" w:cs="Times New Roman"/>
          <w:sz w:val="24"/>
        </w:rPr>
        <w:footnoteReference w:id="30"/>
      </w:r>
      <w:r w:rsidRPr="00FC7BB4">
        <w:rPr>
          <w:rFonts w:ascii="Times New Roman" w:hAnsi="Times New Roman" w:cs="Times New Roman"/>
          <w:sz w:val="24"/>
        </w:rPr>
        <w:t xml:space="preserve"> Hence, the digital capability of both firms and customers has increased rapidly in recent decades. As others have suggested, it seems reasonable to conjecture that technological developments </w:t>
      </w:r>
      <w:r w:rsidR="00093654" w:rsidRPr="00FC7BB4">
        <w:rPr>
          <w:rFonts w:ascii="Times New Roman" w:hAnsi="Times New Roman" w:cs="Times New Roman"/>
          <w:sz w:val="24"/>
        </w:rPr>
        <w:t>have lowered costs and</w:t>
      </w:r>
      <w:r w:rsidRPr="00FC7BB4">
        <w:rPr>
          <w:rFonts w:ascii="Times New Roman" w:hAnsi="Times New Roman" w:cs="Times New Roman"/>
          <w:sz w:val="24"/>
        </w:rPr>
        <w:t xml:space="preserve"> enabled prices to be more flexible and more responsive to inflation and other conditions that change </w:t>
      </w:r>
      <w:r w:rsidR="00126CCE" w:rsidRPr="00FC7BB4">
        <w:rPr>
          <w:rFonts w:ascii="Times New Roman" w:hAnsi="Times New Roman" w:cs="Times New Roman"/>
          <w:sz w:val="24"/>
        </w:rPr>
        <w:t>desired</w:t>
      </w:r>
      <w:r w:rsidRPr="00FC7BB4">
        <w:rPr>
          <w:rFonts w:ascii="Times New Roman" w:hAnsi="Times New Roman" w:cs="Times New Roman"/>
          <w:sz w:val="24"/>
        </w:rPr>
        <w:t xml:space="preserve"> prices.</w:t>
      </w:r>
      <w:r w:rsidRPr="00FC7BB4">
        <w:rPr>
          <w:rStyle w:val="FootnoteReference"/>
          <w:rFonts w:ascii="Times New Roman" w:hAnsi="Times New Roman" w:cs="Times New Roman"/>
          <w:sz w:val="24"/>
        </w:rPr>
        <w:footnoteReference w:id="31"/>
      </w:r>
      <w:r w:rsidRPr="00FC7BB4">
        <w:rPr>
          <w:rFonts w:ascii="Times New Roman" w:hAnsi="Times New Roman" w:cs="Times New Roman"/>
          <w:sz w:val="24"/>
        </w:rPr>
        <w:t xml:space="preserve"> </w:t>
      </w:r>
    </w:p>
    <w:p w14:paraId="7A3864E0" w14:textId="78520551" w:rsidR="00B57E4F" w:rsidRPr="00FC7BB4" w:rsidRDefault="00B57E4F" w:rsidP="00F3101B">
      <w:pPr>
        <w:spacing w:after="0" w:line="360" w:lineRule="auto"/>
        <w:ind w:right="27"/>
        <w:rPr>
          <w:rFonts w:ascii="Times New Roman" w:hAnsi="Times New Roman" w:cs="Times New Roman"/>
          <w:sz w:val="24"/>
        </w:rPr>
      </w:pPr>
      <w:r w:rsidRPr="00FC7BB4">
        <w:rPr>
          <w:rFonts w:ascii="Times New Roman" w:hAnsi="Times New Roman" w:cs="Times New Roman"/>
          <w:sz w:val="24"/>
        </w:rPr>
        <w:t>Most obviously technology will lower menu costs. When prices are posted electronically the physical cost of changing prices</w:t>
      </w:r>
      <w:r w:rsidR="005E54FE" w:rsidRPr="00FC7BB4">
        <w:rPr>
          <w:rFonts w:ascii="Times New Roman" w:hAnsi="Times New Roman" w:cs="Times New Roman"/>
          <w:sz w:val="24"/>
        </w:rPr>
        <w:t xml:space="preserve"> is</w:t>
      </w:r>
      <w:r w:rsidRPr="00FC7BB4">
        <w:rPr>
          <w:rFonts w:ascii="Times New Roman" w:hAnsi="Times New Roman" w:cs="Times New Roman"/>
          <w:sz w:val="24"/>
        </w:rPr>
        <w:t xml:space="preserve"> negligible. This means menu costs are effectively eliminated as a constraint on price adjustment. However, Ball and Mankiw (1994b, p.114) “suspect that the most important costs of price adjustment are the time and attention required of management to gather the relevant information and to make and implement (pricing) decisions</w:t>
      </w:r>
      <w:r w:rsidR="00983B6F" w:rsidRPr="00FC7BB4">
        <w:rPr>
          <w:rFonts w:ascii="Times New Roman" w:hAnsi="Times New Roman" w:cs="Times New Roman"/>
          <w:sz w:val="24"/>
        </w:rPr>
        <w:t>”</w:t>
      </w:r>
      <w:r w:rsidR="001F7BC4" w:rsidRPr="00FC7BB4">
        <w:rPr>
          <w:rFonts w:ascii="Times New Roman" w:hAnsi="Times New Roman" w:cs="Times New Roman"/>
          <w:sz w:val="24"/>
        </w:rPr>
        <w:t>.</w:t>
      </w:r>
      <w:r w:rsidR="00632625" w:rsidRPr="00FC7BB4">
        <w:rPr>
          <w:rFonts w:ascii="Times New Roman" w:hAnsi="Times New Roman" w:cs="Times New Roman"/>
          <w:sz w:val="24"/>
        </w:rPr>
        <w:t xml:space="preserve"> </w:t>
      </w:r>
      <w:r w:rsidRPr="00FC7BB4">
        <w:rPr>
          <w:rFonts w:ascii="Times New Roman" w:hAnsi="Times New Roman" w:cs="Times New Roman"/>
          <w:sz w:val="24"/>
        </w:rPr>
        <w:t xml:space="preserve">To frame it in the language of Ball and Mankiw (1994a): firms need information and time to </w:t>
      </w:r>
      <w:r w:rsidR="001F7BC4" w:rsidRPr="00FC7BB4">
        <w:rPr>
          <w:rFonts w:ascii="Times New Roman" w:hAnsi="Times New Roman" w:cs="Times New Roman"/>
          <w:sz w:val="24"/>
        </w:rPr>
        <w:t>assess</w:t>
      </w:r>
      <w:r w:rsidRPr="00FC7BB4">
        <w:rPr>
          <w:rFonts w:ascii="Times New Roman" w:hAnsi="Times New Roman" w:cs="Times New Roman"/>
          <w:sz w:val="24"/>
        </w:rPr>
        <w:t xml:space="preserve"> </w:t>
      </w:r>
      <w:r w:rsidR="00A731DD" w:rsidRPr="00FC7BB4">
        <w:rPr>
          <w:rFonts w:ascii="Times New Roman" w:hAnsi="Times New Roman" w:cs="Times New Roman"/>
          <w:sz w:val="24"/>
        </w:rPr>
        <w:t>the gap between prevailing and desired prices</w:t>
      </w:r>
      <w:r w:rsidRPr="00FC7BB4">
        <w:rPr>
          <w:rFonts w:ascii="Times New Roman" w:hAnsi="Times New Roman" w:cs="Times New Roman"/>
          <w:sz w:val="24"/>
        </w:rPr>
        <w:t xml:space="preserve">, and therefore if a price </w:t>
      </w:r>
      <w:r w:rsidRPr="00FC7BB4">
        <w:rPr>
          <w:rFonts w:ascii="Times New Roman" w:hAnsi="Times New Roman" w:cs="Times New Roman"/>
          <w:sz w:val="24"/>
        </w:rPr>
        <w:lastRenderedPageBreak/>
        <w:t>change is needed.</w:t>
      </w:r>
      <w:r w:rsidR="00D1758C" w:rsidRPr="00FC7BB4">
        <w:rPr>
          <w:rFonts w:ascii="Times New Roman" w:hAnsi="Times New Roman" w:cs="Times New Roman"/>
          <w:sz w:val="24"/>
        </w:rPr>
        <w:t xml:space="preserve"> We </w:t>
      </w:r>
      <w:r w:rsidR="00A2224F" w:rsidRPr="00FC7BB4">
        <w:rPr>
          <w:rFonts w:ascii="Times New Roman" w:hAnsi="Times New Roman" w:cs="Times New Roman"/>
          <w:sz w:val="24"/>
        </w:rPr>
        <w:t>refer to</w:t>
      </w:r>
      <w:r w:rsidR="00D1758C" w:rsidRPr="00FC7BB4">
        <w:rPr>
          <w:rFonts w:ascii="Times New Roman" w:hAnsi="Times New Roman" w:cs="Times New Roman"/>
          <w:sz w:val="24"/>
        </w:rPr>
        <w:t xml:space="preserve"> the</w:t>
      </w:r>
      <w:r w:rsidR="00A402D2" w:rsidRPr="00FC7BB4">
        <w:rPr>
          <w:rFonts w:ascii="Times New Roman" w:hAnsi="Times New Roman" w:cs="Times New Roman"/>
          <w:sz w:val="24"/>
        </w:rPr>
        <w:t xml:space="preserve"> costs associated </w:t>
      </w:r>
      <w:r w:rsidR="006E21DB" w:rsidRPr="00FC7BB4">
        <w:rPr>
          <w:rFonts w:ascii="Times New Roman" w:hAnsi="Times New Roman" w:cs="Times New Roman"/>
          <w:sz w:val="24"/>
        </w:rPr>
        <w:t xml:space="preserve">with </w:t>
      </w:r>
      <w:r w:rsidR="00C3234D" w:rsidRPr="00FC7BB4">
        <w:rPr>
          <w:rFonts w:ascii="Times New Roman" w:hAnsi="Times New Roman" w:cs="Times New Roman"/>
          <w:sz w:val="24"/>
        </w:rPr>
        <w:t>collecting</w:t>
      </w:r>
      <w:r w:rsidR="00A402D2" w:rsidRPr="00FC7BB4">
        <w:rPr>
          <w:rFonts w:ascii="Times New Roman" w:hAnsi="Times New Roman" w:cs="Times New Roman"/>
          <w:sz w:val="24"/>
        </w:rPr>
        <w:t xml:space="preserve"> information </w:t>
      </w:r>
      <w:r w:rsidR="00C40B1E" w:rsidRPr="00FC7BB4">
        <w:rPr>
          <w:rFonts w:ascii="Times New Roman" w:hAnsi="Times New Roman" w:cs="Times New Roman"/>
          <w:sz w:val="24"/>
        </w:rPr>
        <w:t>to assess the gap between prevailing and desired prices</w:t>
      </w:r>
      <w:r w:rsidR="00252199" w:rsidRPr="00FC7BB4">
        <w:rPr>
          <w:rFonts w:ascii="Times New Roman" w:hAnsi="Times New Roman" w:cs="Times New Roman"/>
          <w:sz w:val="24"/>
        </w:rPr>
        <w:t>, and the managerial time</w:t>
      </w:r>
      <w:r w:rsidR="000D063A" w:rsidRPr="00FC7BB4">
        <w:rPr>
          <w:rFonts w:ascii="Times New Roman" w:hAnsi="Times New Roman" w:cs="Times New Roman"/>
          <w:sz w:val="24"/>
        </w:rPr>
        <w:t xml:space="preserve"> to make pricing decisions</w:t>
      </w:r>
      <w:r w:rsidR="00252199" w:rsidRPr="00FC7BB4">
        <w:rPr>
          <w:rFonts w:ascii="Times New Roman" w:hAnsi="Times New Roman" w:cs="Times New Roman"/>
          <w:sz w:val="24"/>
        </w:rPr>
        <w:t xml:space="preserve">, </w:t>
      </w:r>
      <w:r w:rsidR="009658EF" w:rsidRPr="00FC7BB4">
        <w:rPr>
          <w:rFonts w:ascii="Times New Roman" w:hAnsi="Times New Roman" w:cs="Times New Roman"/>
          <w:sz w:val="24"/>
        </w:rPr>
        <w:t xml:space="preserve">as </w:t>
      </w:r>
      <w:r w:rsidR="00252199" w:rsidRPr="00FC7BB4">
        <w:rPr>
          <w:rFonts w:ascii="Times New Roman" w:hAnsi="Times New Roman" w:cs="Times New Roman"/>
          <w:sz w:val="24"/>
        </w:rPr>
        <w:t>price</w:t>
      </w:r>
      <w:r w:rsidR="00D1758C" w:rsidRPr="00FC7BB4">
        <w:rPr>
          <w:rFonts w:ascii="Times New Roman" w:hAnsi="Times New Roman" w:cs="Times New Roman"/>
          <w:sz w:val="24"/>
        </w:rPr>
        <w:t xml:space="preserve"> review costs</w:t>
      </w:r>
      <w:r w:rsidR="0002057A" w:rsidRPr="00FC7BB4">
        <w:rPr>
          <w:rFonts w:ascii="Times New Roman" w:hAnsi="Times New Roman" w:cs="Times New Roman"/>
          <w:sz w:val="24"/>
        </w:rPr>
        <w:t xml:space="preserve"> (see Alvarez </w:t>
      </w:r>
      <w:r w:rsidR="0002057A" w:rsidRPr="00FC7BB4">
        <w:rPr>
          <w:rFonts w:ascii="Times New Roman" w:hAnsi="Times New Roman" w:cs="Times New Roman"/>
          <w:i/>
          <w:iCs/>
          <w:sz w:val="24"/>
        </w:rPr>
        <w:t>et al.</w:t>
      </w:r>
      <w:r w:rsidR="0002057A" w:rsidRPr="00FC7BB4">
        <w:rPr>
          <w:rFonts w:ascii="Times New Roman" w:hAnsi="Times New Roman" w:cs="Times New Roman"/>
          <w:sz w:val="24"/>
        </w:rPr>
        <w:t>, 2011)</w:t>
      </w:r>
      <w:r w:rsidR="00D1758C" w:rsidRPr="00FC7BB4">
        <w:rPr>
          <w:rFonts w:ascii="Times New Roman" w:hAnsi="Times New Roman" w:cs="Times New Roman"/>
          <w:sz w:val="24"/>
        </w:rPr>
        <w:t>.</w:t>
      </w:r>
      <w:r w:rsidR="00252199" w:rsidRPr="00FC7BB4">
        <w:rPr>
          <w:rFonts w:ascii="Times New Roman" w:hAnsi="Times New Roman" w:cs="Times New Roman"/>
          <w:sz w:val="24"/>
        </w:rPr>
        <w:t xml:space="preserve"> </w:t>
      </w:r>
    </w:p>
    <w:p w14:paraId="6F41E520" w14:textId="7DA2DFCB" w:rsidR="00307155" w:rsidRPr="00FC7BB4" w:rsidRDefault="00307155" w:rsidP="00F3101B">
      <w:pPr>
        <w:spacing w:after="0" w:line="360" w:lineRule="auto"/>
        <w:ind w:right="27"/>
        <w:rPr>
          <w:rStyle w:val="cf01"/>
          <w:rFonts w:ascii="Times New Roman" w:hAnsi="Times New Roman" w:cs="Times New Roman"/>
          <w:sz w:val="24"/>
        </w:rPr>
      </w:pPr>
      <w:r w:rsidRPr="00FC7BB4">
        <w:rPr>
          <w:rFonts w:ascii="Times New Roman" w:hAnsi="Times New Roman" w:cs="Times New Roman"/>
          <w:sz w:val="24"/>
        </w:rPr>
        <w:t>A more digitally connected world means that</w:t>
      </w:r>
      <w:r w:rsidR="004D382C" w:rsidRPr="00FC7BB4">
        <w:rPr>
          <w:rFonts w:ascii="Times New Roman" w:hAnsi="Times New Roman" w:cs="Times New Roman"/>
          <w:sz w:val="24"/>
        </w:rPr>
        <w:t xml:space="preserve"> the</w:t>
      </w:r>
      <w:r w:rsidRPr="00FC7BB4">
        <w:rPr>
          <w:rFonts w:ascii="Times New Roman" w:hAnsi="Times New Roman" w:cs="Times New Roman"/>
          <w:sz w:val="24"/>
        </w:rPr>
        <w:t xml:space="preserve"> information </w:t>
      </w:r>
      <w:r w:rsidR="00C057FD" w:rsidRPr="00FC7BB4">
        <w:rPr>
          <w:rFonts w:ascii="Times New Roman" w:hAnsi="Times New Roman" w:cs="Times New Roman"/>
          <w:sz w:val="24"/>
        </w:rPr>
        <w:t xml:space="preserve">needed </w:t>
      </w:r>
      <w:r w:rsidR="00E86F68" w:rsidRPr="00FC7BB4">
        <w:rPr>
          <w:rFonts w:ascii="Times New Roman" w:hAnsi="Times New Roman" w:cs="Times New Roman"/>
          <w:sz w:val="24"/>
        </w:rPr>
        <w:t xml:space="preserve">for </w:t>
      </w:r>
      <w:r w:rsidR="006A1864" w:rsidRPr="00FC7BB4">
        <w:rPr>
          <w:rFonts w:ascii="Times New Roman" w:hAnsi="Times New Roman" w:cs="Times New Roman"/>
          <w:sz w:val="24"/>
        </w:rPr>
        <w:t xml:space="preserve">a </w:t>
      </w:r>
      <w:r w:rsidR="00E86F68" w:rsidRPr="00FC7BB4">
        <w:rPr>
          <w:rFonts w:ascii="Times New Roman" w:hAnsi="Times New Roman" w:cs="Times New Roman"/>
          <w:sz w:val="24"/>
        </w:rPr>
        <w:t xml:space="preserve">price review </w:t>
      </w:r>
      <w:r w:rsidRPr="00FC7BB4">
        <w:rPr>
          <w:rFonts w:ascii="Times New Roman" w:hAnsi="Times New Roman" w:cs="Times New Roman"/>
          <w:sz w:val="24"/>
        </w:rPr>
        <w:t xml:space="preserve">may be more </w:t>
      </w:r>
      <w:r w:rsidR="006A1864" w:rsidRPr="00FC7BB4">
        <w:rPr>
          <w:rFonts w:ascii="Times New Roman" w:hAnsi="Times New Roman" w:cs="Times New Roman"/>
          <w:sz w:val="24"/>
        </w:rPr>
        <w:t>up to date</w:t>
      </w:r>
      <w:r w:rsidR="007A0442" w:rsidRPr="00FC7BB4">
        <w:rPr>
          <w:rFonts w:ascii="Times New Roman" w:hAnsi="Times New Roman" w:cs="Times New Roman"/>
          <w:sz w:val="24"/>
        </w:rPr>
        <w:t>,</w:t>
      </w:r>
      <w:r w:rsidR="006A1864" w:rsidRPr="00FC7BB4">
        <w:rPr>
          <w:rFonts w:ascii="Times New Roman" w:hAnsi="Times New Roman" w:cs="Times New Roman"/>
          <w:sz w:val="24"/>
        </w:rPr>
        <w:t xml:space="preserve"> and</w:t>
      </w:r>
      <w:r w:rsidRPr="00FC7BB4">
        <w:rPr>
          <w:rFonts w:ascii="Times New Roman" w:hAnsi="Times New Roman" w:cs="Times New Roman"/>
          <w:sz w:val="24"/>
        </w:rPr>
        <w:t xml:space="preserve"> </w:t>
      </w:r>
      <w:r w:rsidR="00E86F68" w:rsidRPr="00FC7BB4">
        <w:rPr>
          <w:rFonts w:ascii="Times New Roman" w:hAnsi="Times New Roman" w:cs="Times New Roman"/>
          <w:sz w:val="24"/>
        </w:rPr>
        <w:t xml:space="preserve">more </w:t>
      </w:r>
      <w:r w:rsidRPr="00FC7BB4">
        <w:rPr>
          <w:rFonts w:ascii="Times New Roman" w:hAnsi="Times New Roman" w:cs="Times New Roman"/>
          <w:sz w:val="24"/>
        </w:rPr>
        <w:t>accessible</w:t>
      </w:r>
      <w:r w:rsidR="007A0442" w:rsidRPr="00FC7BB4">
        <w:rPr>
          <w:rFonts w:ascii="Times New Roman" w:hAnsi="Times New Roman" w:cs="Times New Roman"/>
          <w:sz w:val="24"/>
        </w:rPr>
        <w:t xml:space="preserve"> and cheaper to obtain</w:t>
      </w:r>
      <w:r w:rsidR="006A1864" w:rsidRPr="00FC7BB4">
        <w:rPr>
          <w:rFonts w:ascii="Times New Roman" w:hAnsi="Times New Roman" w:cs="Times New Roman"/>
          <w:sz w:val="24"/>
        </w:rPr>
        <w:t>,</w:t>
      </w:r>
      <w:r w:rsidR="00CF6785" w:rsidRPr="00FC7BB4">
        <w:rPr>
          <w:rFonts w:ascii="Times New Roman" w:hAnsi="Times New Roman" w:cs="Times New Roman"/>
          <w:sz w:val="24"/>
        </w:rPr>
        <w:t xml:space="preserve"> thereby lowering price review costs</w:t>
      </w:r>
      <w:r w:rsidR="006E21DB" w:rsidRPr="00FC7BB4">
        <w:rPr>
          <w:rFonts w:ascii="Times New Roman" w:hAnsi="Times New Roman" w:cs="Times New Roman"/>
          <w:sz w:val="24"/>
        </w:rPr>
        <w:t>. The result is</w:t>
      </w:r>
      <w:r w:rsidR="00D3630A" w:rsidRPr="00FC7BB4">
        <w:rPr>
          <w:rFonts w:ascii="Times New Roman" w:hAnsi="Times New Roman" w:cs="Times New Roman"/>
          <w:sz w:val="24"/>
        </w:rPr>
        <w:t xml:space="preserve"> </w:t>
      </w:r>
      <w:r w:rsidR="00D90D58" w:rsidRPr="00FC7BB4">
        <w:rPr>
          <w:rFonts w:ascii="Times New Roman" w:hAnsi="Times New Roman" w:cs="Times New Roman"/>
          <w:sz w:val="24"/>
        </w:rPr>
        <w:t xml:space="preserve">firms are willing to </w:t>
      </w:r>
      <w:r w:rsidR="00314961" w:rsidRPr="00FC7BB4">
        <w:rPr>
          <w:rFonts w:ascii="Times New Roman" w:hAnsi="Times New Roman" w:cs="Times New Roman"/>
          <w:sz w:val="24"/>
        </w:rPr>
        <w:t>undertake price review</w:t>
      </w:r>
      <w:r w:rsidR="006A1864" w:rsidRPr="00FC7BB4">
        <w:rPr>
          <w:rFonts w:ascii="Times New Roman" w:hAnsi="Times New Roman" w:cs="Times New Roman"/>
          <w:sz w:val="24"/>
        </w:rPr>
        <w:t>s</w:t>
      </w:r>
      <w:r w:rsidR="00D90D58" w:rsidRPr="00FC7BB4">
        <w:rPr>
          <w:rFonts w:ascii="Times New Roman" w:hAnsi="Times New Roman" w:cs="Times New Roman"/>
          <w:sz w:val="24"/>
        </w:rPr>
        <w:t xml:space="preserve"> more</w:t>
      </w:r>
      <w:r w:rsidR="001D2BEF" w:rsidRPr="00FC7BB4">
        <w:rPr>
          <w:rFonts w:ascii="Times New Roman" w:hAnsi="Times New Roman" w:cs="Times New Roman"/>
          <w:sz w:val="24"/>
        </w:rPr>
        <w:t xml:space="preserve"> often</w:t>
      </w:r>
      <w:r w:rsidR="006E21DB" w:rsidRPr="00FC7BB4">
        <w:rPr>
          <w:rFonts w:ascii="Times New Roman" w:hAnsi="Times New Roman" w:cs="Times New Roman"/>
          <w:sz w:val="24"/>
        </w:rPr>
        <w:t>,</w:t>
      </w:r>
      <w:r w:rsidR="00D90D58" w:rsidRPr="00FC7BB4">
        <w:rPr>
          <w:rFonts w:ascii="Times New Roman" w:hAnsi="Times New Roman" w:cs="Times New Roman"/>
          <w:sz w:val="24"/>
        </w:rPr>
        <w:t xml:space="preserve"> </w:t>
      </w:r>
      <w:r w:rsidR="00314961" w:rsidRPr="00FC7BB4">
        <w:rPr>
          <w:rFonts w:ascii="Times New Roman" w:hAnsi="Times New Roman" w:cs="Times New Roman"/>
          <w:sz w:val="24"/>
        </w:rPr>
        <w:t xml:space="preserve">resulting in a dynamic of more frequent </w:t>
      </w:r>
      <w:r w:rsidR="001D2BEF" w:rsidRPr="00FC7BB4">
        <w:rPr>
          <w:rFonts w:ascii="Times New Roman" w:hAnsi="Times New Roman" w:cs="Times New Roman"/>
          <w:sz w:val="24"/>
        </w:rPr>
        <w:t xml:space="preserve">but </w:t>
      </w:r>
      <w:r w:rsidR="00314961" w:rsidRPr="00FC7BB4">
        <w:rPr>
          <w:rFonts w:ascii="Times New Roman" w:hAnsi="Times New Roman" w:cs="Times New Roman"/>
          <w:sz w:val="24"/>
        </w:rPr>
        <w:t>smaller price changes</w:t>
      </w:r>
      <w:r w:rsidRPr="00FC7BB4">
        <w:rPr>
          <w:rFonts w:ascii="Times New Roman" w:hAnsi="Times New Roman" w:cs="Times New Roman"/>
          <w:sz w:val="24"/>
        </w:rPr>
        <w:t xml:space="preserve">. </w:t>
      </w:r>
      <w:r w:rsidR="00D27D2B" w:rsidRPr="00FC7BB4">
        <w:rPr>
          <w:rFonts w:ascii="Times New Roman" w:hAnsi="Times New Roman" w:cs="Times New Roman"/>
          <w:sz w:val="24"/>
        </w:rPr>
        <w:t xml:space="preserve">This dynamic is reinforced by </w:t>
      </w:r>
      <w:r w:rsidR="00E55F27" w:rsidRPr="00FC7BB4">
        <w:rPr>
          <w:rFonts w:ascii="Times New Roman" w:hAnsi="Times New Roman" w:cs="Times New Roman"/>
          <w:sz w:val="24"/>
        </w:rPr>
        <w:t>t</w:t>
      </w:r>
      <w:r w:rsidR="00177F77" w:rsidRPr="00FC7BB4">
        <w:rPr>
          <w:rFonts w:ascii="Times New Roman" w:hAnsi="Times New Roman" w:cs="Times New Roman"/>
          <w:sz w:val="24"/>
        </w:rPr>
        <w:t xml:space="preserve">echnology </w:t>
      </w:r>
      <w:r w:rsidR="00E55F27" w:rsidRPr="00FC7BB4">
        <w:rPr>
          <w:rFonts w:ascii="Times New Roman" w:hAnsi="Times New Roman" w:cs="Times New Roman"/>
          <w:sz w:val="24"/>
        </w:rPr>
        <w:t xml:space="preserve">reducing information uncertainty. </w:t>
      </w:r>
      <w:r w:rsidR="00E22DFE" w:rsidRPr="00FC7BB4">
        <w:rPr>
          <w:rFonts w:ascii="Times New Roman" w:hAnsi="Times New Roman" w:cs="Times New Roman"/>
          <w:sz w:val="24"/>
        </w:rPr>
        <w:t xml:space="preserve"> </w:t>
      </w:r>
      <w:r w:rsidRPr="00FC7BB4">
        <w:rPr>
          <w:rFonts w:ascii="Times New Roman" w:hAnsi="Times New Roman" w:cs="Times New Roman"/>
          <w:color w:val="auto"/>
          <w:sz w:val="24"/>
        </w:rPr>
        <w:t xml:space="preserve">Bhaduri and </w:t>
      </w:r>
      <w:proofErr w:type="spellStart"/>
      <w:r w:rsidRPr="00FC7BB4">
        <w:rPr>
          <w:rFonts w:ascii="Times New Roman" w:hAnsi="Times New Roman" w:cs="Times New Roman"/>
          <w:color w:val="auto"/>
          <w:sz w:val="24"/>
        </w:rPr>
        <w:t>Falkinger</w:t>
      </w:r>
      <w:proofErr w:type="spellEnd"/>
      <w:r w:rsidRPr="00FC7BB4">
        <w:rPr>
          <w:rFonts w:ascii="Times New Roman" w:hAnsi="Times New Roman" w:cs="Times New Roman"/>
          <w:color w:val="auto"/>
          <w:sz w:val="24"/>
        </w:rPr>
        <w:t xml:space="preserve"> (1990) note </w:t>
      </w:r>
      <w:r w:rsidRPr="00FC7BB4">
        <w:rPr>
          <w:rFonts w:ascii="Times New Roman" w:hAnsi="Times New Roman" w:cs="Times New Roman"/>
          <w:sz w:val="24"/>
        </w:rPr>
        <w:t>that firms are more likely to adjust prices when costs and demand change</w:t>
      </w:r>
      <w:r w:rsidR="007F76A3" w:rsidRPr="00FC7BB4">
        <w:rPr>
          <w:rFonts w:ascii="Times New Roman" w:hAnsi="Times New Roman" w:cs="Times New Roman"/>
          <w:sz w:val="24"/>
        </w:rPr>
        <w:t xml:space="preserve"> </w:t>
      </w:r>
      <w:r w:rsidRPr="00FC7BB4">
        <w:rPr>
          <w:rFonts w:ascii="Times New Roman" w:hAnsi="Times New Roman" w:cs="Times New Roman"/>
          <w:sz w:val="24"/>
        </w:rPr>
        <w:t xml:space="preserve">when the information on costs and demand is more complete and more certain. </w:t>
      </w:r>
      <w:r w:rsidR="00273DC0" w:rsidRPr="00FC7BB4">
        <w:rPr>
          <w:rFonts w:ascii="Times New Roman" w:hAnsi="Times New Roman" w:cs="Times New Roman"/>
          <w:sz w:val="24"/>
        </w:rPr>
        <w:t xml:space="preserve">Improved quality of cost and demand information reduces the propensity to ‘wait and see’ when considering price adjustment. </w:t>
      </w:r>
      <w:r w:rsidRPr="00FC7BB4">
        <w:rPr>
          <w:rFonts w:ascii="Times New Roman" w:hAnsi="Times New Roman" w:cs="Times New Roman"/>
          <w:sz w:val="24"/>
        </w:rPr>
        <w:t xml:space="preserve">Better and more complete data may be particularly important for firms dependent on complex supply-chains for sources of production materials. For example, manufacturing </w:t>
      </w:r>
      <w:r w:rsidR="007F76A3" w:rsidRPr="00FC7BB4">
        <w:rPr>
          <w:rFonts w:ascii="Times New Roman" w:hAnsi="Times New Roman" w:cs="Times New Roman"/>
          <w:sz w:val="24"/>
        </w:rPr>
        <w:t>and large merchan</w:t>
      </w:r>
      <w:r w:rsidR="00967694" w:rsidRPr="00FC7BB4">
        <w:rPr>
          <w:rFonts w:ascii="Times New Roman" w:hAnsi="Times New Roman" w:cs="Times New Roman"/>
          <w:sz w:val="24"/>
        </w:rPr>
        <w:t xml:space="preserve">t </w:t>
      </w:r>
      <w:r w:rsidRPr="00FC7BB4">
        <w:rPr>
          <w:rFonts w:ascii="Times New Roman" w:hAnsi="Times New Roman" w:cs="Times New Roman"/>
          <w:sz w:val="24"/>
        </w:rPr>
        <w:t>operations often depend on complex supply chains and just-in-time delivery processes, which benefit significantly from advanced tracking, automated data capture, and real-time analytics</w:t>
      </w:r>
      <w:r w:rsidRPr="00FC7BB4">
        <w:rPr>
          <w:rFonts w:ascii="Times New Roman" w:hAnsi="Times New Roman" w:cs="Times New Roman"/>
        </w:rPr>
        <w:t>.</w:t>
      </w:r>
      <w:r w:rsidRPr="00FC7BB4">
        <w:rPr>
          <w:rStyle w:val="cf01"/>
          <w:rFonts w:ascii="Times New Roman" w:hAnsi="Times New Roman" w:cs="Times New Roman"/>
          <w:sz w:val="24"/>
        </w:rPr>
        <w:t xml:space="preserve"> </w:t>
      </w:r>
    </w:p>
    <w:p w14:paraId="7B2F1358" w14:textId="1F96FC37" w:rsidR="00F10E9D" w:rsidRPr="00FC7BB4" w:rsidRDefault="00F10E9D" w:rsidP="00F3101B">
      <w:pPr>
        <w:spacing w:after="0" w:line="331" w:lineRule="auto"/>
        <w:ind w:left="-17" w:right="27"/>
        <w:rPr>
          <w:rFonts w:ascii="Times New Roman" w:hAnsi="Times New Roman" w:cs="Times New Roman"/>
          <w:sz w:val="24"/>
        </w:rPr>
      </w:pPr>
      <w:r w:rsidRPr="00FC7BB4">
        <w:rPr>
          <w:rFonts w:ascii="Times New Roman" w:hAnsi="Times New Roman" w:cs="Times New Roman"/>
          <w:sz w:val="24"/>
        </w:rPr>
        <w:t>Dynamic pricing is an extreme case where firms can adjust prices by small amounts</w:t>
      </w:r>
      <w:r w:rsidR="006A1864" w:rsidRPr="00FC7BB4">
        <w:rPr>
          <w:rFonts w:ascii="Times New Roman" w:hAnsi="Times New Roman" w:cs="Times New Roman"/>
          <w:sz w:val="24"/>
        </w:rPr>
        <w:t>,</w:t>
      </w:r>
      <w:r w:rsidRPr="00FC7BB4">
        <w:rPr>
          <w:rFonts w:ascii="Times New Roman" w:hAnsi="Times New Roman" w:cs="Times New Roman"/>
          <w:sz w:val="24"/>
        </w:rPr>
        <w:t xml:space="preserve"> often according to changing demand conditions owing to better real time information. It also allows firms to adjust prices to reflect the firm’s real time</w:t>
      </w:r>
      <w:r w:rsidR="00A433B6" w:rsidRPr="00FC7BB4">
        <w:rPr>
          <w:rFonts w:ascii="Times New Roman" w:hAnsi="Times New Roman" w:cs="Times New Roman"/>
          <w:sz w:val="24"/>
        </w:rPr>
        <w:t xml:space="preserve"> cost</w:t>
      </w:r>
      <w:r w:rsidR="00767158" w:rsidRPr="00FC7BB4">
        <w:rPr>
          <w:rFonts w:ascii="Times New Roman" w:hAnsi="Times New Roman" w:cs="Times New Roman"/>
          <w:sz w:val="24"/>
        </w:rPr>
        <w:t>s</w:t>
      </w:r>
      <w:r w:rsidR="00A433B6" w:rsidRPr="00FC7BB4">
        <w:rPr>
          <w:rFonts w:ascii="Times New Roman" w:hAnsi="Times New Roman" w:cs="Times New Roman"/>
          <w:sz w:val="24"/>
        </w:rPr>
        <w:t xml:space="preserve"> and</w:t>
      </w:r>
      <w:r w:rsidRPr="00FC7BB4">
        <w:rPr>
          <w:rFonts w:ascii="Times New Roman" w:hAnsi="Times New Roman" w:cs="Times New Roman"/>
          <w:sz w:val="24"/>
        </w:rPr>
        <w:t xml:space="preserve"> inventory levels</w:t>
      </w:r>
      <w:r w:rsidR="00A433B6" w:rsidRPr="00FC7BB4">
        <w:rPr>
          <w:rFonts w:ascii="Times New Roman" w:hAnsi="Times New Roman" w:cs="Times New Roman"/>
          <w:sz w:val="24"/>
        </w:rPr>
        <w:t>,</w:t>
      </w:r>
      <w:r w:rsidRPr="00FC7BB4">
        <w:rPr>
          <w:rFonts w:ascii="Times New Roman" w:hAnsi="Times New Roman" w:cs="Times New Roman"/>
          <w:sz w:val="24"/>
        </w:rPr>
        <w:t xml:space="preserve"> and competitor pricing decisions as well. Dynamic pricing automates pricing decisions by algorithmically collecting data and then algorithmically setting prices: the marginal time and attention required of managers in each price setting decision becomes negligible.</w:t>
      </w:r>
      <w:r w:rsidR="00203A87" w:rsidRPr="00FC7BB4">
        <w:rPr>
          <w:rFonts w:ascii="Times New Roman" w:hAnsi="Times New Roman" w:cs="Times New Roman"/>
          <w:sz w:val="24"/>
        </w:rPr>
        <w:t xml:space="preserve"> </w:t>
      </w:r>
      <w:r w:rsidR="00BE4333" w:rsidRPr="00FC7BB4">
        <w:rPr>
          <w:rFonts w:ascii="Times New Roman" w:hAnsi="Times New Roman" w:cs="Times New Roman"/>
          <w:sz w:val="24"/>
        </w:rPr>
        <w:t>Using a dataset of high-frequency prices from large online retailers selling brands of allergy drugs, Brown and MacKay (2023) observe that dynamic pricing and the use of pricing algorithms are becoming more prevalent.</w:t>
      </w:r>
      <w:r w:rsidRPr="00FC7BB4">
        <w:rPr>
          <w:rFonts w:ascii="Times New Roman" w:hAnsi="Times New Roman" w:cs="Times New Roman"/>
          <w:sz w:val="24"/>
        </w:rPr>
        <w:t xml:space="preserve"> Cavallo (2018) reported that the frequency of price changes in multi-channel retailers has been increasing for 10 years, reducing the average duration of prices (excluding sales and temporary discounts) by around 50 per cent between 2008 to 2017. This was stronger in sectors where online retailers have high market shares, and among goods that can be easily found on Amazon. </w:t>
      </w:r>
    </w:p>
    <w:p w14:paraId="0AE0A6C7" w14:textId="64EF7B95" w:rsidR="00F9785A" w:rsidRPr="00FC7BB4" w:rsidRDefault="00754F39" w:rsidP="00F3101B">
      <w:pPr>
        <w:spacing w:after="0" w:line="331" w:lineRule="auto"/>
        <w:ind w:right="27" w:firstLine="284"/>
        <w:rPr>
          <w:rFonts w:ascii="Times New Roman" w:hAnsi="Times New Roman" w:cs="Times New Roman"/>
          <w:sz w:val="24"/>
        </w:rPr>
      </w:pPr>
      <w:r w:rsidRPr="00FC7BB4">
        <w:rPr>
          <w:rFonts w:ascii="Times New Roman" w:hAnsi="Times New Roman" w:cs="Times New Roman"/>
          <w:sz w:val="24"/>
        </w:rPr>
        <w:t>Even if price responsiveness to competitor pricing behaviour is not automated, online markets change the competitive characteristics of markets increasing price flexibility.</w:t>
      </w:r>
      <w:r w:rsidR="00203A87" w:rsidRPr="00FC7BB4">
        <w:rPr>
          <w:rFonts w:ascii="Times New Roman" w:hAnsi="Times New Roman" w:cs="Times New Roman"/>
          <w:sz w:val="24"/>
        </w:rPr>
        <w:t xml:space="preserve"> </w:t>
      </w:r>
      <w:r w:rsidR="00307155" w:rsidRPr="00FC7BB4">
        <w:rPr>
          <w:rFonts w:ascii="Times New Roman" w:hAnsi="Times New Roman" w:cs="Times New Roman"/>
          <w:sz w:val="24"/>
        </w:rPr>
        <w:t xml:space="preserve">Online markets reduce consumer search costs and enhance the ability of buyers and sellers to </w:t>
      </w:r>
      <w:r w:rsidR="00A53C6F" w:rsidRPr="00FC7BB4">
        <w:rPr>
          <w:rFonts w:ascii="Times New Roman" w:hAnsi="Times New Roman" w:cs="Times New Roman"/>
          <w:sz w:val="24"/>
        </w:rPr>
        <w:t xml:space="preserve">observe </w:t>
      </w:r>
      <w:r w:rsidR="00307155" w:rsidRPr="00FC7BB4">
        <w:rPr>
          <w:rFonts w:ascii="Times New Roman" w:hAnsi="Times New Roman" w:cs="Times New Roman"/>
          <w:sz w:val="24"/>
        </w:rPr>
        <w:t xml:space="preserve">the distribution of prices of specific goods and services. </w:t>
      </w:r>
      <w:proofErr w:type="spellStart"/>
      <w:r w:rsidR="00307155" w:rsidRPr="00FC7BB4">
        <w:rPr>
          <w:rFonts w:ascii="Times New Roman" w:hAnsi="Times New Roman" w:cs="Times New Roman"/>
          <w:sz w:val="24"/>
        </w:rPr>
        <w:t>Gorodnichenko</w:t>
      </w:r>
      <w:proofErr w:type="spellEnd"/>
      <w:r w:rsidR="00307155" w:rsidRPr="00FC7BB4">
        <w:rPr>
          <w:rFonts w:ascii="Times New Roman" w:hAnsi="Times New Roman" w:cs="Times New Roman"/>
          <w:sz w:val="24"/>
        </w:rPr>
        <w:t xml:space="preserve"> and Talavera (2017) and </w:t>
      </w:r>
      <w:proofErr w:type="spellStart"/>
      <w:r w:rsidR="00307155" w:rsidRPr="00FC7BB4">
        <w:rPr>
          <w:rFonts w:ascii="Times New Roman" w:hAnsi="Times New Roman" w:cs="Times New Roman"/>
          <w:sz w:val="24"/>
        </w:rPr>
        <w:t>Gorodnichenko</w:t>
      </w:r>
      <w:proofErr w:type="spellEnd"/>
      <w:r w:rsidR="00307155" w:rsidRPr="00FC7BB4">
        <w:rPr>
          <w:rFonts w:ascii="Times New Roman" w:hAnsi="Times New Roman" w:cs="Times New Roman"/>
          <w:sz w:val="24"/>
        </w:rPr>
        <w:t xml:space="preserve">, </w:t>
      </w:r>
      <w:r w:rsidR="00307155" w:rsidRPr="00FC7BB4">
        <w:rPr>
          <w:rFonts w:ascii="Times New Roman" w:hAnsi="Times New Roman" w:cs="Times New Roman"/>
          <w:i/>
          <w:iCs/>
          <w:sz w:val="24"/>
        </w:rPr>
        <w:t>et</w:t>
      </w:r>
      <w:r w:rsidR="00DA7DA6" w:rsidRPr="00FC7BB4">
        <w:rPr>
          <w:rFonts w:ascii="Times New Roman" w:hAnsi="Times New Roman" w:cs="Times New Roman"/>
          <w:i/>
          <w:iCs/>
          <w:sz w:val="24"/>
        </w:rPr>
        <w:t xml:space="preserve"> </w:t>
      </w:r>
      <w:r w:rsidR="00307155" w:rsidRPr="00FC7BB4">
        <w:rPr>
          <w:rFonts w:ascii="Times New Roman" w:hAnsi="Times New Roman" w:cs="Times New Roman"/>
          <w:i/>
          <w:iCs/>
          <w:sz w:val="24"/>
        </w:rPr>
        <w:t>al</w:t>
      </w:r>
      <w:r w:rsidR="00307155" w:rsidRPr="00FC7BB4">
        <w:rPr>
          <w:rFonts w:ascii="Times New Roman" w:hAnsi="Times New Roman" w:cs="Times New Roman"/>
          <w:sz w:val="24"/>
        </w:rPr>
        <w:t xml:space="preserve">. (2018) reported that price quotes in the USA and Canada found on internet marketing sites are more flexible and exhibit a greater rate of pass-through and faster convergence in response to nominal exchange rate changes relative to prices in regular stores. </w:t>
      </w:r>
    </w:p>
    <w:p w14:paraId="319D364F" w14:textId="02D703C3" w:rsidR="00983C76" w:rsidRPr="00FC7BB4" w:rsidRDefault="00602F88" w:rsidP="00F3101B">
      <w:pPr>
        <w:spacing w:after="0" w:line="360" w:lineRule="auto"/>
        <w:ind w:right="27"/>
        <w:rPr>
          <w:rFonts w:ascii="Times New Roman" w:hAnsi="Times New Roman" w:cs="Times New Roman"/>
          <w:sz w:val="24"/>
        </w:rPr>
      </w:pPr>
      <w:r w:rsidRPr="00FC7BB4">
        <w:rPr>
          <w:rFonts w:ascii="Times New Roman" w:hAnsi="Times New Roman" w:cs="Times New Roman"/>
          <w:sz w:val="24"/>
        </w:rPr>
        <w:t xml:space="preserve">Earlier studies have highlighted considerable heterogeneity in the frequency of price setting across types of products and industrial sectors (see for example: Nakamura and Steinsson, 2008; Gagnon, 2009; Klenow </w:t>
      </w:r>
      <w:r w:rsidRPr="00FC7BB4">
        <w:rPr>
          <w:rFonts w:ascii="Times New Roman" w:hAnsi="Times New Roman" w:cs="Times New Roman"/>
          <w:sz w:val="24"/>
        </w:rPr>
        <w:lastRenderedPageBreak/>
        <w:t>and Malin, 2010). These differences reflect the diversity of pricing arrangements at the firm and product levels, as reflected for example in the stud</w:t>
      </w:r>
      <w:r w:rsidR="00203A87" w:rsidRPr="00FC7BB4">
        <w:rPr>
          <w:rFonts w:ascii="Times New Roman" w:hAnsi="Times New Roman" w:cs="Times New Roman"/>
          <w:sz w:val="24"/>
        </w:rPr>
        <w:t>y</w:t>
      </w:r>
      <w:r w:rsidRPr="00FC7BB4">
        <w:rPr>
          <w:rFonts w:ascii="Times New Roman" w:hAnsi="Times New Roman" w:cs="Times New Roman"/>
          <w:sz w:val="24"/>
        </w:rPr>
        <w:t xml:space="preserve"> by Blinder (1994) and many subsequent studies. </w:t>
      </w:r>
      <w:r w:rsidR="008F5DDC" w:rsidRPr="00FC7BB4">
        <w:rPr>
          <w:rFonts w:ascii="Times New Roman" w:hAnsi="Times New Roman" w:cs="Times New Roman"/>
          <w:sz w:val="24"/>
        </w:rPr>
        <w:t>While advances in information technology are likely to have influenced pricing behavio</w:t>
      </w:r>
      <w:r w:rsidR="00983C76" w:rsidRPr="00FC7BB4">
        <w:rPr>
          <w:rFonts w:ascii="Times New Roman" w:hAnsi="Times New Roman" w:cs="Times New Roman"/>
          <w:sz w:val="24"/>
        </w:rPr>
        <w:t>u</w:t>
      </w:r>
      <w:r w:rsidR="008F5DDC" w:rsidRPr="00FC7BB4">
        <w:rPr>
          <w:rFonts w:ascii="Times New Roman" w:hAnsi="Times New Roman" w:cs="Times New Roman"/>
          <w:sz w:val="24"/>
        </w:rPr>
        <w:t>r across all firms, their impact may differ by sector and firm size, further accentuating th</w:t>
      </w:r>
      <w:r w:rsidR="00435FAE" w:rsidRPr="00FC7BB4">
        <w:rPr>
          <w:rFonts w:ascii="Times New Roman" w:hAnsi="Times New Roman" w:cs="Times New Roman"/>
          <w:sz w:val="24"/>
        </w:rPr>
        <w:t>e</w:t>
      </w:r>
      <w:r w:rsidR="008F5DDC" w:rsidRPr="00FC7BB4">
        <w:rPr>
          <w:rFonts w:ascii="Times New Roman" w:hAnsi="Times New Roman" w:cs="Times New Roman"/>
          <w:sz w:val="24"/>
        </w:rPr>
        <w:t xml:space="preserve"> heterogeneity</w:t>
      </w:r>
      <w:r w:rsidR="00435FAE" w:rsidRPr="00FC7BB4">
        <w:rPr>
          <w:rFonts w:ascii="Times New Roman" w:hAnsi="Times New Roman" w:cs="Times New Roman"/>
          <w:sz w:val="24"/>
        </w:rPr>
        <w:t xml:space="preserve"> in firm price setting behaviour</w:t>
      </w:r>
      <w:r w:rsidR="008F5DDC" w:rsidRPr="00FC7BB4">
        <w:rPr>
          <w:rFonts w:ascii="Times New Roman" w:hAnsi="Times New Roman" w:cs="Times New Roman"/>
          <w:sz w:val="24"/>
        </w:rPr>
        <w:t>.</w:t>
      </w:r>
      <w:r w:rsidR="00203A87" w:rsidRPr="00FC7BB4">
        <w:rPr>
          <w:rFonts w:ascii="Times New Roman" w:hAnsi="Times New Roman" w:cs="Times New Roman"/>
          <w:sz w:val="24"/>
        </w:rPr>
        <w:t xml:space="preserve"> </w:t>
      </w:r>
      <w:r w:rsidR="008F5DDC" w:rsidRPr="00FC7BB4">
        <w:rPr>
          <w:rFonts w:ascii="Times New Roman" w:hAnsi="Times New Roman" w:cs="Times New Roman"/>
          <w:sz w:val="24"/>
        </w:rPr>
        <w:t>To explore this, we draw on the Business Operations Survey conducted by Statistics New Zealand, which provides information on firms’ use of digital technologies and online retailing activities relevant to pricing decisions</w:t>
      </w:r>
      <w:r w:rsidR="00307155" w:rsidRPr="00FC7BB4">
        <w:rPr>
          <w:rFonts w:ascii="Times New Roman" w:hAnsi="Times New Roman" w:cs="Times New Roman"/>
          <w:sz w:val="24"/>
        </w:rPr>
        <w:t>.</w:t>
      </w:r>
      <w:r w:rsidR="00307155" w:rsidRPr="00FC7BB4">
        <w:rPr>
          <w:rStyle w:val="FootnoteReference"/>
          <w:rFonts w:ascii="Times New Roman" w:hAnsi="Times New Roman" w:cs="Times New Roman"/>
          <w:sz w:val="24"/>
        </w:rPr>
        <w:footnoteReference w:id="32"/>
      </w:r>
      <w:r w:rsidR="00307155" w:rsidRPr="00FC7BB4">
        <w:rPr>
          <w:rFonts w:ascii="Times New Roman" w:hAnsi="Times New Roman" w:cs="Times New Roman"/>
          <w:sz w:val="24"/>
        </w:rPr>
        <w:t xml:space="preserve"> </w:t>
      </w:r>
    </w:p>
    <w:p w14:paraId="0AC5335B" w14:textId="429B3AE8" w:rsidR="006401A2" w:rsidRPr="00FC7BB4" w:rsidRDefault="00307155" w:rsidP="00F3101B">
      <w:pPr>
        <w:spacing w:after="0" w:line="360" w:lineRule="auto"/>
        <w:ind w:right="27" w:firstLine="284"/>
        <w:rPr>
          <w:rFonts w:ascii="Times New Roman" w:hAnsi="Times New Roman" w:cs="Times New Roman"/>
          <w:sz w:val="24"/>
        </w:rPr>
      </w:pPr>
      <w:r w:rsidRPr="00FC7BB4">
        <w:rPr>
          <w:rFonts w:ascii="Times New Roman" w:hAnsi="Times New Roman" w:cs="Times New Roman"/>
          <w:sz w:val="24"/>
        </w:rPr>
        <w:t>Table 3</w:t>
      </w:r>
      <w:r w:rsidR="00E66C74" w:rsidRPr="00FC7BB4">
        <w:rPr>
          <w:rFonts w:ascii="Times New Roman" w:hAnsi="Times New Roman" w:cs="Times New Roman"/>
          <w:sz w:val="24"/>
        </w:rPr>
        <w:t xml:space="preserve"> </w:t>
      </w:r>
      <w:r w:rsidR="008D1D73" w:rsidRPr="00FC7BB4">
        <w:rPr>
          <w:rFonts w:ascii="Times New Roman" w:hAnsi="Times New Roman" w:cs="Times New Roman"/>
          <w:sz w:val="24"/>
        </w:rPr>
        <w:t>s</w:t>
      </w:r>
      <w:r w:rsidR="00E66C74" w:rsidRPr="00FC7BB4">
        <w:rPr>
          <w:rFonts w:ascii="Times New Roman" w:hAnsi="Times New Roman" w:cs="Times New Roman"/>
          <w:sz w:val="24"/>
        </w:rPr>
        <w:t xml:space="preserve">hows that most firms, regardless of size or sector, use </w:t>
      </w:r>
      <w:r w:rsidR="00963A80" w:rsidRPr="00FC7BB4">
        <w:rPr>
          <w:rFonts w:ascii="Times New Roman" w:hAnsi="Times New Roman" w:cs="Times New Roman"/>
          <w:sz w:val="24"/>
        </w:rPr>
        <w:t>the internet</w:t>
      </w:r>
      <w:r w:rsidR="00E66C74" w:rsidRPr="00FC7BB4">
        <w:rPr>
          <w:rFonts w:ascii="Times New Roman" w:hAnsi="Times New Roman" w:cs="Times New Roman"/>
          <w:sz w:val="24"/>
        </w:rPr>
        <w:t xml:space="preserve"> for purchasing and placing orders with suppliers.</w:t>
      </w:r>
      <w:r w:rsidR="00203A87" w:rsidRPr="00FC7BB4">
        <w:rPr>
          <w:rFonts w:ascii="Times New Roman" w:hAnsi="Times New Roman" w:cs="Times New Roman"/>
          <w:sz w:val="24"/>
        </w:rPr>
        <w:t xml:space="preserve"> </w:t>
      </w:r>
      <w:r w:rsidR="003D0825" w:rsidRPr="00FC7BB4">
        <w:rPr>
          <w:rFonts w:ascii="Times New Roman" w:hAnsi="Times New Roman" w:cs="Times New Roman"/>
          <w:sz w:val="24"/>
        </w:rPr>
        <w:t>T</w:t>
      </w:r>
      <w:r w:rsidR="00E66C74" w:rsidRPr="00FC7BB4">
        <w:rPr>
          <w:rFonts w:ascii="Times New Roman" w:hAnsi="Times New Roman" w:cs="Times New Roman"/>
          <w:sz w:val="24"/>
        </w:rPr>
        <w:t>here are</w:t>
      </w:r>
      <w:r w:rsidR="00B66EBF" w:rsidRPr="00FC7BB4">
        <w:rPr>
          <w:rFonts w:ascii="Times New Roman" w:hAnsi="Times New Roman" w:cs="Times New Roman"/>
          <w:sz w:val="24"/>
        </w:rPr>
        <w:t xml:space="preserve"> more</w:t>
      </w:r>
      <w:r w:rsidR="00E66C74" w:rsidRPr="00FC7BB4">
        <w:rPr>
          <w:rFonts w:ascii="Times New Roman" w:hAnsi="Times New Roman" w:cs="Times New Roman"/>
          <w:sz w:val="24"/>
        </w:rPr>
        <w:t xml:space="preserve"> pronounced differences in </w:t>
      </w:r>
      <w:r w:rsidR="00963A80" w:rsidRPr="00FC7BB4">
        <w:rPr>
          <w:rFonts w:ascii="Times New Roman" w:hAnsi="Times New Roman" w:cs="Times New Roman"/>
          <w:sz w:val="24"/>
        </w:rPr>
        <w:t>internet use for</w:t>
      </w:r>
      <w:r w:rsidR="00E66C74" w:rsidRPr="00FC7BB4">
        <w:rPr>
          <w:rFonts w:ascii="Times New Roman" w:hAnsi="Times New Roman" w:cs="Times New Roman"/>
          <w:sz w:val="24"/>
        </w:rPr>
        <w:t xml:space="preserve"> supplying goods to customers and for receiving orders or bookings. Merchant and Service firms </w:t>
      </w:r>
      <w:r w:rsidR="00030A6E" w:rsidRPr="00FC7BB4">
        <w:rPr>
          <w:rFonts w:ascii="Times New Roman" w:hAnsi="Times New Roman" w:cs="Times New Roman"/>
          <w:sz w:val="24"/>
        </w:rPr>
        <w:t>sell more online</w:t>
      </w:r>
      <w:r w:rsidR="00E66C74" w:rsidRPr="00FC7BB4">
        <w:rPr>
          <w:rFonts w:ascii="Times New Roman" w:hAnsi="Times New Roman" w:cs="Times New Roman"/>
          <w:sz w:val="24"/>
        </w:rPr>
        <w:t xml:space="preserve"> than Builders or Manufacturers</w:t>
      </w:r>
      <w:r w:rsidR="008079C7" w:rsidRPr="00FC7BB4">
        <w:rPr>
          <w:rFonts w:ascii="Times New Roman" w:hAnsi="Times New Roman" w:cs="Times New Roman"/>
          <w:sz w:val="24"/>
        </w:rPr>
        <w:t xml:space="preserve">. Further, </w:t>
      </w:r>
      <w:r w:rsidR="00643567" w:rsidRPr="00FC7BB4">
        <w:rPr>
          <w:rFonts w:ascii="Times New Roman" w:hAnsi="Times New Roman" w:cs="Times New Roman"/>
          <w:sz w:val="24"/>
        </w:rPr>
        <w:t xml:space="preserve">firms in these sectors are more likely to engage in </w:t>
      </w:r>
      <w:r w:rsidR="003B66F6" w:rsidRPr="00FC7BB4">
        <w:rPr>
          <w:rFonts w:ascii="Times New Roman" w:hAnsi="Times New Roman" w:cs="Times New Roman"/>
          <w:sz w:val="24"/>
        </w:rPr>
        <w:t xml:space="preserve">sophisticated </w:t>
      </w:r>
      <w:r w:rsidR="00EE1A0F" w:rsidRPr="00FC7BB4">
        <w:rPr>
          <w:rFonts w:ascii="Times New Roman" w:hAnsi="Times New Roman" w:cs="Times New Roman"/>
          <w:sz w:val="24"/>
        </w:rPr>
        <w:t>data driven decision making</w:t>
      </w:r>
      <w:r w:rsidR="00895C99" w:rsidRPr="00FC7BB4">
        <w:rPr>
          <w:rFonts w:ascii="Times New Roman" w:hAnsi="Times New Roman" w:cs="Times New Roman"/>
          <w:sz w:val="24"/>
        </w:rPr>
        <w:t xml:space="preserve"> procedures</w:t>
      </w:r>
      <w:r w:rsidR="00CF1656" w:rsidRPr="00FC7BB4">
        <w:rPr>
          <w:rFonts w:ascii="Times New Roman" w:hAnsi="Times New Roman" w:cs="Times New Roman"/>
          <w:sz w:val="24"/>
        </w:rPr>
        <w:t xml:space="preserve"> (see the final column of Table 3)</w:t>
      </w:r>
      <w:r w:rsidR="00E10069" w:rsidRPr="00FC7BB4">
        <w:rPr>
          <w:rFonts w:ascii="Times New Roman" w:hAnsi="Times New Roman" w:cs="Times New Roman"/>
          <w:sz w:val="24"/>
        </w:rPr>
        <w:t xml:space="preserve"> which increase the </w:t>
      </w:r>
      <w:r w:rsidR="00203A87" w:rsidRPr="00FC7BB4">
        <w:rPr>
          <w:rFonts w:ascii="Times New Roman" w:hAnsi="Times New Roman" w:cs="Times New Roman"/>
          <w:sz w:val="24"/>
        </w:rPr>
        <w:t>speed and</w:t>
      </w:r>
      <w:r w:rsidR="00E10069" w:rsidRPr="00FC7BB4">
        <w:rPr>
          <w:rFonts w:ascii="Times New Roman" w:hAnsi="Times New Roman" w:cs="Times New Roman"/>
          <w:sz w:val="24"/>
        </w:rPr>
        <w:t xml:space="preserve"> lower the cost of price review</w:t>
      </w:r>
      <w:r w:rsidR="008906DD" w:rsidRPr="00FC7BB4">
        <w:rPr>
          <w:rFonts w:ascii="Times New Roman" w:hAnsi="Times New Roman" w:cs="Times New Roman"/>
          <w:sz w:val="24"/>
        </w:rPr>
        <w:t>s</w:t>
      </w:r>
      <w:r w:rsidR="00EE1A0F" w:rsidRPr="00FC7BB4">
        <w:rPr>
          <w:rFonts w:ascii="Times New Roman" w:hAnsi="Times New Roman" w:cs="Times New Roman"/>
          <w:sz w:val="24"/>
        </w:rPr>
        <w:t>.</w:t>
      </w:r>
      <w:r w:rsidR="00203A87" w:rsidRPr="00FC7BB4">
        <w:rPr>
          <w:rFonts w:ascii="Times New Roman" w:hAnsi="Times New Roman" w:cs="Times New Roman"/>
          <w:sz w:val="24"/>
        </w:rPr>
        <w:t xml:space="preserve"> </w:t>
      </w:r>
      <w:r w:rsidRPr="00FC7BB4">
        <w:rPr>
          <w:rFonts w:ascii="Times New Roman" w:hAnsi="Times New Roman" w:cs="Times New Roman"/>
          <w:sz w:val="24"/>
        </w:rPr>
        <w:t xml:space="preserve">There is also a tendency for </w:t>
      </w:r>
      <w:r w:rsidR="00F47249" w:rsidRPr="00FC7BB4">
        <w:rPr>
          <w:rFonts w:ascii="Times New Roman" w:hAnsi="Times New Roman" w:cs="Times New Roman"/>
          <w:sz w:val="24"/>
        </w:rPr>
        <w:t xml:space="preserve">an increased online presence and </w:t>
      </w:r>
      <w:r w:rsidRPr="00FC7BB4">
        <w:rPr>
          <w:rFonts w:ascii="Times New Roman" w:hAnsi="Times New Roman" w:cs="Times New Roman"/>
          <w:sz w:val="24"/>
        </w:rPr>
        <w:t xml:space="preserve">the application of these </w:t>
      </w:r>
      <w:r w:rsidR="006401A2" w:rsidRPr="00FC7BB4">
        <w:rPr>
          <w:rFonts w:ascii="Times New Roman" w:hAnsi="Times New Roman" w:cs="Times New Roman"/>
          <w:sz w:val="24"/>
        </w:rPr>
        <w:t xml:space="preserve">sophisticated data driven decision making </w:t>
      </w:r>
      <w:r w:rsidRPr="00FC7BB4">
        <w:rPr>
          <w:rFonts w:ascii="Times New Roman" w:hAnsi="Times New Roman" w:cs="Times New Roman"/>
          <w:sz w:val="24"/>
        </w:rPr>
        <w:t xml:space="preserve">technologies to increase with firm size. </w:t>
      </w:r>
    </w:p>
    <w:p w14:paraId="212469B8" w14:textId="2F516E58" w:rsidR="00717BD6" w:rsidRDefault="0085496D" w:rsidP="000B1407">
      <w:pPr>
        <w:spacing w:after="0" w:line="360" w:lineRule="auto"/>
        <w:ind w:right="27" w:firstLine="284"/>
        <w:rPr>
          <w:rFonts w:ascii="Times New Roman" w:hAnsi="Times New Roman" w:cs="Times New Roman"/>
          <w:sz w:val="24"/>
        </w:rPr>
      </w:pPr>
      <w:r w:rsidRPr="00FC7BB4">
        <w:rPr>
          <w:rFonts w:ascii="Times New Roman" w:hAnsi="Times New Roman" w:cs="Times New Roman"/>
          <w:sz w:val="24"/>
        </w:rPr>
        <w:t>The discussion in this section points to two testable hypothes</w:t>
      </w:r>
      <w:r w:rsidR="00EE1346" w:rsidRPr="00FC7BB4">
        <w:rPr>
          <w:rFonts w:ascii="Times New Roman" w:hAnsi="Times New Roman" w:cs="Times New Roman"/>
          <w:sz w:val="24"/>
        </w:rPr>
        <w:t>e</w:t>
      </w:r>
      <w:r w:rsidRPr="00FC7BB4">
        <w:rPr>
          <w:rFonts w:ascii="Times New Roman" w:hAnsi="Times New Roman" w:cs="Times New Roman"/>
          <w:sz w:val="24"/>
        </w:rPr>
        <w:t xml:space="preserve">s. First, if menu and price review costs of price adjustment have declined, then prices should exhibit greater flexibility in both directions. However, </w:t>
      </w:r>
      <w:r w:rsidR="00885269" w:rsidRPr="00FC7BB4">
        <w:rPr>
          <w:rFonts w:ascii="Times New Roman" w:hAnsi="Times New Roman" w:cs="Times New Roman"/>
          <w:sz w:val="24"/>
        </w:rPr>
        <w:t>the</w:t>
      </w:r>
      <w:r w:rsidRPr="00FC7BB4">
        <w:rPr>
          <w:rFonts w:ascii="Times New Roman" w:hAnsi="Times New Roman" w:cs="Times New Roman"/>
          <w:sz w:val="24"/>
        </w:rPr>
        <w:t xml:space="preserve"> aggregate analysis in Section 5 shows increased upward flexibility, but not downward flexibility.</w:t>
      </w:r>
      <w:r w:rsidR="00EE1346" w:rsidRPr="00FC7BB4">
        <w:rPr>
          <w:rFonts w:ascii="Times New Roman" w:hAnsi="Times New Roman" w:cs="Times New Roman"/>
          <w:sz w:val="24"/>
        </w:rPr>
        <w:t xml:space="preserve"> </w:t>
      </w:r>
      <w:r w:rsidR="003A6B2A" w:rsidRPr="00FC7BB4">
        <w:rPr>
          <w:rFonts w:ascii="Times New Roman" w:hAnsi="Times New Roman" w:cs="Times New Roman"/>
          <w:sz w:val="24"/>
        </w:rPr>
        <w:t xml:space="preserve">The second hypothesis posits that larger firms, and firms in the service and merchant sectors, exhibit greater price flexibility owing to their stronger online presence and more extensive use of </w:t>
      </w:r>
      <w:r w:rsidR="00B44FE7" w:rsidRPr="00FC7BB4">
        <w:rPr>
          <w:rFonts w:ascii="Times New Roman" w:hAnsi="Times New Roman" w:cs="Times New Roman"/>
          <w:sz w:val="24"/>
        </w:rPr>
        <w:t>sophisticated data driven decision making</w:t>
      </w:r>
      <w:r w:rsidR="00895C99" w:rsidRPr="00FC7BB4">
        <w:rPr>
          <w:rFonts w:ascii="Times New Roman" w:hAnsi="Times New Roman" w:cs="Times New Roman"/>
          <w:sz w:val="24"/>
        </w:rPr>
        <w:t xml:space="preserve"> procedures</w:t>
      </w:r>
      <w:r w:rsidR="00340175" w:rsidRPr="00FC7BB4">
        <w:rPr>
          <w:rFonts w:ascii="Times New Roman" w:hAnsi="Times New Roman" w:cs="Times New Roman"/>
          <w:sz w:val="24"/>
        </w:rPr>
        <w:t>.</w:t>
      </w:r>
      <w:r w:rsidR="003A6B2A" w:rsidRPr="00FC7BB4">
        <w:rPr>
          <w:rFonts w:ascii="Times New Roman" w:hAnsi="Times New Roman" w:cs="Times New Roman"/>
          <w:sz w:val="24"/>
        </w:rPr>
        <w:t xml:space="preserve"> </w:t>
      </w:r>
      <w:r w:rsidR="0011779F" w:rsidRPr="00FC7BB4">
        <w:rPr>
          <w:rFonts w:ascii="Times New Roman" w:hAnsi="Times New Roman" w:cs="Times New Roman"/>
          <w:sz w:val="24"/>
        </w:rPr>
        <w:t>To test this, the following subsections examine whether pricing behaviour differs systematically across firms of different sizes and sectors</w:t>
      </w:r>
      <w:r w:rsidR="00E8025F" w:rsidRPr="00FC7BB4">
        <w:rPr>
          <w:rFonts w:ascii="Times New Roman" w:hAnsi="Times New Roman" w:cs="Times New Roman"/>
          <w:sz w:val="24"/>
        </w:rPr>
        <w:t>.</w:t>
      </w:r>
    </w:p>
    <w:p w14:paraId="6202F95D" w14:textId="77777777" w:rsidR="00717BD6" w:rsidRDefault="00717BD6">
      <w:pPr>
        <w:spacing w:after="160" w:line="259" w:lineRule="auto"/>
        <w:ind w:right="0" w:firstLine="0"/>
        <w:jc w:val="left"/>
        <w:rPr>
          <w:rFonts w:ascii="Times New Roman" w:hAnsi="Times New Roman" w:cs="Times New Roman"/>
          <w:sz w:val="24"/>
        </w:rPr>
      </w:pPr>
      <w:r>
        <w:rPr>
          <w:rFonts w:ascii="Times New Roman" w:hAnsi="Times New Roman" w:cs="Times New Roman"/>
          <w:sz w:val="24"/>
        </w:rPr>
        <w:br w:type="page"/>
      </w:r>
    </w:p>
    <w:p w14:paraId="77D130FE" w14:textId="77777777" w:rsidR="00F048AA" w:rsidRPr="00FC7BB4" w:rsidRDefault="00F048AA" w:rsidP="000B1407">
      <w:pPr>
        <w:spacing w:after="0" w:line="360" w:lineRule="auto"/>
        <w:ind w:right="27" w:firstLine="284"/>
        <w:rPr>
          <w:rFonts w:ascii="Times New Roman" w:hAnsi="Times New Roman" w:cs="Times New Roman"/>
          <w:sz w:val="24"/>
        </w:rPr>
      </w:pPr>
    </w:p>
    <w:p w14:paraId="62206CC4" w14:textId="77777777" w:rsidR="002F030E" w:rsidRPr="00FC7BB4" w:rsidRDefault="002F030E" w:rsidP="000B1407">
      <w:pPr>
        <w:spacing w:after="0" w:line="360" w:lineRule="auto"/>
        <w:ind w:right="27" w:firstLine="284"/>
        <w:rPr>
          <w:rFonts w:ascii="Times New Roman" w:hAnsi="Times New Roman" w:cs="Times New Roman"/>
          <w:sz w:val="24"/>
        </w:rPr>
      </w:pPr>
    </w:p>
    <w:bookmarkEnd w:id="76"/>
    <w:p w14:paraId="155D0532" w14:textId="20405A1F" w:rsidR="00307155" w:rsidRPr="00FC7BB4" w:rsidRDefault="00307155" w:rsidP="00F3101B">
      <w:pPr>
        <w:spacing w:after="0" w:line="360" w:lineRule="auto"/>
        <w:ind w:right="27"/>
        <w:jc w:val="center"/>
        <w:rPr>
          <w:rFonts w:ascii="Times New Roman" w:hAnsi="Times New Roman" w:cs="Times New Roman"/>
          <w:sz w:val="24"/>
        </w:rPr>
      </w:pPr>
      <w:r w:rsidRPr="00FC7BB4">
        <w:rPr>
          <w:rFonts w:ascii="Times New Roman" w:hAnsi="Times New Roman" w:cs="Times New Roman"/>
          <w:b/>
          <w:bCs/>
          <w:color w:val="000000" w:themeColor="text1"/>
          <w:sz w:val="24"/>
        </w:rPr>
        <w:t xml:space="preserve">Table 3: </w:t>
      </w:r>
      <w:bookmarkStart w:id="77" w:name="_Hlk213334447"/>
      <w:r w:rsidR="001A2D97" w:rsidRPr="00FC7BB4">
        <w:rPr>
          <w:rFonts w:ascii="Times New Roman" w:hAnsi="Times New Roman" w:cs="Times New Roman"/>
          <w:b/>
          <w:bCs/>
          <w:color w:val="000000" w:themeColor="text1"/>
          <w:sz w:val="24"/>
        </w:rPr>
        <w:t xml:space="preserve">Use of </w:t>
      </w:r>
      <w:r w:rsidR="00671980" w:rsidRPr="00FC7BB4">
        <w:rPr>
          <w:rFonts w:ascii="Times New Roman" w:hAnsi="Times New Roman" w:cs="Times New Roman"/>
          <w:b/>
          <w:bCs/>
          <w:color w:val="000000" w:themeColor="text1"/>
          <w:sz w:val="24"/>
        </w:rPr>
        <w:t>selected</w:t>
      </w:r>
      <w:r w:rsidR="001A2D97" w:rsidRPr="00FC7BB4">
        <w:rPr>
          <w:rFonts w:ascii="Times New Roman" w:hAnsi="Times New Roman" w:cs="Times New Roman"/>
          <w:b/>
          <w:bCs/>
          <w:color w:val="000000" w:themeColor="text1"/>
          <w:sz w:val="24"/>
        </w:rPr>
        <w:t xml:space="preserve"> techno</w:t>
      </w:r>
      <w:r w:rsidR="00E56B56" w:rsidRPr="00FC7BB4">
        <w:rPr>
          <w:rFonts w:ascii="Times New Roman" w:hAnsi="Times New Roman" w:cs="Times New Roman"/>
          <w:b/>
          <w:bCs/>
          <w:color w:val="000000" w:themeColor="text1"/>
          <w:sz w:val="24"/>
        </w:rPr>
        <w:t>l</w:t>
      </w:r>
      <w:r w:rsidR="001A2D97" w:rsidRPr="00FC7BB4">
        <w:rPr>
          <w:rFonts w:ascii="Times New Roman" w:hAnsi="Times New Roman" w:cs="Times New Roman"/>
          <w:b/>
          <w:bCs/>
          <w:color w:val="000000" w:themeColor="text1"/>
          <w:sz w:val="24"/>
        </w:rPr>
        <w:t>og</w:t>
      </w:r>
      <w:r w:rsidR="00671980" w:rsidRPr="00FC7BB4">
        <w:rPr>
          <w:rFonts w:ascii="Times New Roman" w:hAnsi="Times New Roman" w:cs="Times New Roman"/>
          <w:b/>
          <w:bCs/>
          <w:color w:val="000000" w:themeColor="text1"/>
          <w:sz w:val="24"/>
        </w:rPr>
        <w:t>ies</w:t>
      </w:r>
      <w:r w:rsidRPr="00FC7BB4">
        <w:rPr>
          <w:rFonts w:ascii="Times New Roman" w:hAnsi="Times New Roman" w:cs="Times New Roman"/>
          <w:b/>
          <w:bCs/>
          <w:color w:val="000000" w:themeColor="text1"/>
          <w:sz w:val="24"/>
        </w:rPr>
        <w:t xml:space="preserve"> by industrial sector and firm size</w:t>
      </w:r>
      <w:bookmarkEnd w:id="77"/>
    </w:p>
    <w:tbl>
      <w:tblPr>
        <w:tblStyle w:val="TableGrid"/>
        <w:tblW w:w="5000" w:type="pct"/>
        <w:tblInd w:w="0" w:type="dxa"/>
        <w:tblLayout w:type="fixed"/>
        <w:tblCellMar>
          <w:top w:w="32" w:type="dxa"/>
          <w:right w:w="115" w:type="dxa"/>
        </w:tblCellMar>
        <w:tblLook w:val="04A0" w:firstRow="1" w:lastRow="0" w:firstColumn="1" w:lastColumn="0" w:noHBand="0" w:noVBand="1"/>
      </w:tblPr>
      <w:tblGrid>
        <w:gridCol w:w="3246"/>
        <w:gridCol w:w="1575"/>
        <w:gridCol w:w="1842"/>
        <w:gridCol w:w="1702"/>
        <w:gridCol w:w="1891"/>
      </w:tblGrid>
      <w:tr w:rsidR="00B009A7" w:rsidRPr="00FC7BB4" w14:paraId="6A8AE7FF" w14:textId="2A734D9E" w:rsidTr="00541970">
        <w:trPr>
          <w:trHeight w:val="348"/>
        </w:trPr>
        <w:tc>
          <w:tcPr>
            <w:tcW w:w="1582" w:type="pct"/>
            <w:tcBorders>
              <w:top w:val="single" w:sz="6" w:space="0" w:color="000000"/>
              <w:left w:val="nil"/>
              <w:bottom w:val="single" w:sz="4" w:space="0" w:color="000000"/>
              <w:right w:val="nil"/>
            </w:tcBorders>
          </w:tcPr>
          <w:p w14:paraId="2C9D03C4" w14:textId="25A8B9FD" w:rsidR="00B009A7" w:rsidRPr="00FC7BB4" w:rsidRDefault="00B009A7" w:rsidP="00F3101B">
            <w:pPr>
              <w:spacing w:after="0" w:line="240" w:lineRule="auto"/>
              <w:ind w:left="142" w:right="27" w:firstLine="0"/>
              <w:jc w:val="left"/>
              <w:rPr>
                <w:rFonts w:ascii="Times New Roman" w:eastAsia="Times New Roman" w:hAnsi="Times New Roman" w:cs="Times New Roman"/>
                <w:b/>
                <w:bCs/>
                <w:color w:val="auto"/>
                <w:szCs w:val="20"/>
              </w:rPr>
            </w:pPr>
          </w:p>
        </w:tc>
        <w:tc>
          <w:tcPr>
            <w:tcW w:w="2496" w:type="pct"/>
            <w:gridSpan w:val="3"/>
            <w:tcBorders>
              <w:top w:val="single" w:sz="6" w:space="0" w:color="000000"/>
              <w:left w:val="nil"/>
              <w:bottom w:val="single" w:sz="4" w:space="0" w:color="000000"/>
              <w:right w:val="nil"/>
            </w:tcBorders>
          </w:tcPr>
          <w:p w14:paraId="1EA63D50" w14:textId="5FCE1D78" w:rsidR="00B009A7" w:rsidRPr="00FC7BB4" w:rsidRDefault="00B009A7" w:rsidP="00F3101B">
            <w:pPr>
              <w:spacing w:after="0" w:line="240" w:lineRule="auto"/>
              <w:ind w:left="142" w:right="27" w:firstLine="0"/>
              <w:jc w:val="left"/>
              <w:rPr>
                <w:rFonts w:ascii="Times New Roman" w:eastAsia="Times New Roman" w:hAnsi="Times New Roman" w:cs="Times New Roman"/>
                <w:b/>
                <w:bCs/>
                <w:color w:val="auto"/>
                <w:szCs w:val="20"/>
              </w:rPr>
            </w:pPr>
            <w:r w:rsidRPr="00FC7BB4">
              <w:rPr>
                <w:rFonts w:ascii="Times New Roman" w:eastAsia="Times New Roman" w:hAnsi="Times New Roman" w:cs="Times New Roman"/>
                <w:b/>
                <w:bCs/>
                <w:color w:val="auto"/>
                <w:szCs w:val="20"/>
              </w:rPr>
              <w:t>Use of the internet for:</w:t>
            </w:r>
          </w:p>
        </w:tc>
        <w:tc>
          <w:tcPr>
            <w:tcW w:w="922" w:type="pct"/>
            <w:tcBorders>
              <w:top w:val="single" w:sz="6" w:space="0" w:color="000000"/>
              <w:left w:val="nil"/>
              <w:bottom w:val="single" w:sz="4" w:space="0" w:color="000000"/>
              <w:right w:val="nil"/>
            </w:tcBorders>
          </w:tcPr>
          <w:p w14:paraId="24757FCA" w14:textId="1E393643" w:rsidR="00B009A7" w:rsidRPr="00FC7BB4" w:rsidDel="00F02820" w:rsidRDefault="004A3CAF" w:rsidP="00F3101B">
            <w:pPr>
              <w:spacing w:after="0" w:line="240" w:lineRule="auto"/>
              <w:ind w:left="142" w:right="27" w:firstLine="0"/>
              <w:jc w:val="left"/>
              <w:rPr>
                <w:rFonts w:ascii="Times New Roman" w:eastAsia="Times New Roman" w:hAnsi="Times New Roman" w:cs="Times New Roman"/>
                <w:b/>
                <w:bCs/>
                <w:color w:val="auto"/>
                <w:szCs w:val="20"/>
              </w:rPr>
            </w:pPr>
            <w:r w:rsidRPr="00FC7BB4">
              <w:rPr>
                <w:rFonts w:ascii="Times New Roman" w:eastAsia="Times New Roman" w:hAnsi="Times New Roman" w:cs="Times New Roman"/>
                <w:b/>
                <w:bCs/>
                <w:color w:val="auto"/>
                <w:szCs w:val="20"/>
              </w:rPr>
              <w:t>Use of:</w:t>
            </w:r>
          </w:p>
        </w:tc>
      </w:tr>
      <w:tr w:rsidR="00B843C4" w:rsidRPr="00FC7BB4" w14:paraId="7388A89F" w14:textId="53258393" w:rsidTr="00541970">
        <w:trPr>
          <w:trHeight w:val="294"/>
        </w:trPr>
        <w:tc>
          <w:tcPr>
            <w:tcW w:w="1582" w:type="pct"/>
            <w:tcBorders>
              <w:top w:val="single" w:sz="4" w:space="0" w:color="auto"/>
              <w:left w:val="nil"/>
              <w:bottom w:val="single" w:sz="6" w:space="0" w:color="000000"/>
              <w:right w:val="nil"/>
            </w:tcBorders>
          </w:tcPr>
          <w:p w14:paraId="6DF31BD8"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i/>
                <w:iCs/>
                <w:color w:val="auto"/>
                <w:szCs w:val="20"/>
              </w:rPr>
            </w:pPr>
            <w:r w:rsidRPr="00FC7BB4">
              <w:rPr>
                <w:rFonts w:ascii="Times New Roman" w:eastAsia="Times New Roman" w:hAnsi="Times New Roman" w:cs="Times New Roman"/>
                <w:color w:val="auto"/>
                <w:szCs w:val="20"/>
              </w:rPr>
              <w:t xml:space="preserve"> </w:t>
            </w:r>
          </w:p>
        </w:tc>
        <w:tc>
          <w:tcPr>
            <w:tcW w:w="768" w:type="pct"/>
            <w:tcBorders>
              <w:top w:val="single" w:sz="4" w:space="0" w:color="auto"/>
              <w:left w:val="nil"/>
              <w:bottom w:val="single" w:sz="6" w:space="0" w:color="000000"/>
              <w:right w:val="nil"/>
            </w:tcBorders>
          </w:tcPr>
          <w:p w14:paraId="22801120"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Purchasing or placing orders for goods </w:t>
            </w:r>
          </w:p>
          <w:p w14:paraId="261DC295"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i/>
                <w:iCs/>
                <w:color w:val="auto"/>
                <w:szCs w:val="20"/>
              </w:rPr>
            </w:pPr>
            <w:r w:rsidRPr="00FC7BB4">
              <w:rPr>
                <w:rFonts w:ascii="Times New Roman" w:eastAsia="Times New Roman" w:hAnsi="Times New Roman" w:cs="Times New Roman"/>
                <w:color w:val="auto"/>
                <w:szCs w:val="20"/>
              </w:rPr>
              <w:t>&amp; services</w:t>
            </w:r>
          </w:p>
        </w:tc>
        <w:tc>
          <w:tcPr>
            <w:tcW w:w="898" w:type="pct"/>
            <w:tcBorders>
              <w:top w:val="single" w:sz="4" w:space="0" w:color="auto"/>
              <w:left w:val="nil"/>
              <w:bottom w:val="single" w:sz="6" w:space="0" w:color="000000"/>
              <w:right w:val="nil"/>
            </w:tcBorders>
          </w:tcPr>
          <w:p w14:paraId="5EBE8C51"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Supplying goods </w:t>
            </w:r>
          </w:p>
          <w:p w14:paraId="4F19F67C"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i/>
                <w:iCs/>
                <w:color w:val="auto"/>
                <w:szCs w:val="20"/>
              </w:rPr>
            </w:pPr>
            <w:r w:rsidRPr="00FC7BB4">
              <w:rPr>
                <w:rFonts w:ascii="Times New Roman" w:eastAsia="Times New Roman" w:hAnsi="Times New Roman" w:cs="Times New Roman"/>
                <w:color w:val="auto"/>
                <w:szCs w:val="20"/>
              </w:rPr>
              <w:t>&amp; services to customers</w:t>
            </w:r>
          </w:p>
        </w:tc>
        <w:tc>
          <w:tcPr>
            <w:tcW w:w="830" w:type="pct"/>
            <w:tcBorders>
              <w:top w:val="single" w:sz="4" w:space="0" w:color="auto"/>
              <w:left w:val="nil"/>
              <w:bottom w:val="single" w:sz="6" w:space="0" w:color="000000"/>
              <w:right w:val="nil"/>
            </w:tcBorders>
          </w:tcPr>
          <w:p w14:paraId="3211E4F0"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i/>
                <w:iCs/>
                <w:color w:val="auto"/>
                <w:szCs w:val="20"/>
              </w:rPr>
            </w:pPr>
            <w:r w:rsidRPr="00FC7BB4">
              <w:rPr>
                <w:rFonts w:ascii="Times New Roman" w:eastAsia="Times New Roman" w:hAnsi="Times New Roman" w:cs="Times New Roman"/>
                <w:color w:val="auto"/>
                <w:szCs w:val="20"/>
              </w:rPr>
              <w:t>Receiving order reservations or bookings</w:t>
            </w:r>
          </w:p>
        </w:tc>
        <w:tc>
          <w:tcPr>
            <w:tcW w:w="922" w:type="pct"/>
            <w:tcBorders>
              <w:top w:val="single" w:sz="4" w:space="0" w:color="auto"/>
              <w:left w:val="nil"/>
              <w:bottom w:val="single" w:sz="6" w:space="0" w:color="000000"/>
              <w:right w:val="nil"/>
            </w:tcBorders>
          </w:tcPr>
          <w:p w14:paraId="61357F6F" w14:textId="34B0873A" w:rsidR="00B009A7" w:rsidRPr="00FC7BB4" w:rsidRDefault="00B843C4"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Data and analytics or machine learning assisted decision making</w:t>
            </w:r>
          </w:p>
        </w:tc>
      </w:tr>
      <w:tr w:rsidR="00B843C4" w:rsidRPr="00FC7BB4" w14:paraId="37950C67" w14:textId="41E11847" w:rsidTr="00541970">
        <w:trPr>
          <w:trHeight w:val="294"/>
        </w:trPr>
        <w:tc>
          <w:tcPr>
            <w:tcW w:w="1582" w:type="pct"/>
            <w:tcBorders>
              <w:top w:val="single" w:sz="4" w:space="0" w:color="000000"/>
              <w:left w:val="nil"/>
              <w:right w:val="nil"/>
            </w:tcBorders>
          </w:tcPr>
          <w:p w14:paraId="5CB9C901"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Industrial sector: Builders</w:t>
            </w:r>
          </w:p>
        </w:tc>
        <w:tc>
          <w:tcPr>
            <w:tcW w:w="768" w:type="pct"/>
            <w:tcBorders>
              <w:top w:val="single" w:sz="4" w:space="0" w:color="000000"/>
              <w:left w:val="nil"/>
              <w:right w:val="nil"/>
            </w:tcBorders>
          </w:tcPr>
          <w:p w14:paraId="5E612545"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i/>
                <w:iCs/>
                <w:color w:val="auto"/>
                <w:szCs w:val="20"/>
              </w:rPr>
            </w:pPr>
            <w:r w:rsidRPr="00FC7BB4">
              <w:rPr>
                <w:rFonts w:ascii="Times New Roman" w:eastAsia="Times New Roman" w:hAnsi="Times New Roman" w:cs="Times New Roman"/>
                <w:color w:val="auto"/>
                <w:szCs w:val="20"/>
              </w:rPr>
              <w:t xml:space="preserve">  0.82</w:t>
            </w:r>
          </w:p>
        </w:tc>
        <w:tc>
          <w:tcPr>
            <w:tcW w:w="898" w:type="pct"/>
            <w:tcBorders>
              <w:top w:val="single" w:sz="4" w:space="0" w:color="000000"/>
              <w:left w:val="nil"/>
              <w:right w:val="nil"/>
            </w:tcBorders>
          </w:tcPr>
          <w:p w14:paraId="4FDFB636"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i/>
                <w:iCs/>
                <w:color w:val="auto"/>
                <w:szCs w:val="20"/>
              </w:rPr>
            </w:pPr>
            <w:r w:rsidRPr="00FC7BB4">
              <w:rPr>
                <w:rFonts w:ascii="Times New Roman" w:eastAsia="Times New Roman" w:hAnsi="Times New Roman" w:cs="Times New Roman"/>
                <w:color w:val="auto"/>
                <w:szCs w:val="20"/>
              </w:rPr>
              <w:t xml:space="preserve">  0.24</w:t>
            </w:r>
          </w:p>
        </w:tc>
        <w:tc>
          <w:tcPr>
            <w:tcW w:w="830" w:type="pct"/>
            <w:tcBorders>
              <w:top w:val="single" w:sz="4" w:space="0" w:color="000000"/>
              <w:left w:val="nil"/>
              <w:right w:val="nil"/>
            </w:tcBorders>
          </w:tcPr>
          <w:p w14:paraId="545E0FE8"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i/>
                <w:iCs/>
                <w:color w:val="auto"/>
                <w:szCs w:val="20"/>
              </w:rPr>
            </w:pPr>
            <w:r w:rsidRPr="00FC7BB4">
              <w:rPr>
                <w:rFonts w:ascii="Times New Roman" w:eastAsia="Times New Roman" w:hAnsi="Times New Roman" w:cs="Times New Roman"/>
                <w:color w:val="auto"/>
                <w:szCs w:val="20"/>
              </w:rPr>
              <w:t xml:space="preserve">  0.11</w:t>
            </w:r>
          </w:p>
        </w:tc>
        <w:tc>
          <w:tcPr>
            <w:tcW w:w="922" w:type="pct"/>
            <w:tcBorders>
              <w:top w:val="single" w:sz="4" w:space="0" w:color="000000"/>
              <w:left w:val="nil"/>
              <w:right w:val="nil"/>
            </w:tcBorders>
          </w:tcPr>
          <w:p w14:paraId="736D2EBC" w14:textId="2D2371E0" w:rsidR="00B009A7" w:rsidRPr="00FC7BB4" w:rsidRDefault="00E2394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w:t>
            </w:r>
            <w:r w:rsidR="00A45734" w:rsidRPr="00FC7BB4">
              <w:rPr>
                <w:rFonts w:ascii="Times New Roman" w:eastAsia="Times New Roman" w:hAnsi="Times New Roman" w:cs="Times New Roman"/>
                <w:color w:val="auto"/>
                <w:szCs w:val="20"/>
              </w:rPr>
              <w:t>0.07</w:t>
            </w:r>
          </w:p>
        </w:tc>
      </w:tr>
      <w:tr w:rsidR="00B843C4" w:rsidRPr="00FC7BB4" w14:paraId="5863EF61" w14:textId="0654C4DB" w:rsidTr="00541970">
        <w:trPr>
          <w:trHeight w:val="288"/>
        </w:trPr>
        <w:tc>
          <w:tcPr>
            <w:tcW w:w="1582" w:type="pct"/>
            <w:tcBorders>
              <w:left w:val="nil"/>
              <w:bottom w:val="nil"/>
              <w:right w:val="nil"/>
            </w:tcBorders>
          </w:tcPr>
          <w:p w14:paraId="6C098C14"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b/>
                <w:bCs/>
                <w:color w:val="auto"/>
                <w:szCs w:val="20"/>
              </w:rPr>
            </w:pPr>
            <w:r w:rsidRPr="00FC7BB4">
              <w:rPr>
                <w:rFonts w:ascii="Times New Roman" w:eastAsia="Times New Roman" w:hAnsi="Times New Roman" w:cs="Times New Roman"/>
                <w:color w:val="auto"/>
                <w:szCs w:val="20"/>
              </w:rPr>
              <w:t xml:space="preserve">                                      Manufacturers</w:t>
            </w:r>
          </w:p>
        </w:tc>
        <w:tc>
          <w:tcPr>
            <w:tcW w:w="768" w:type="pct"/>
            <w:tcBorders>
              <w:left w:val="nil"/>
              <w:bottom w:val="nil"/>
              <w:right w:val="nil"/>
            </w:tcBorders>
          </w:tcPr>
          <w:p w14:paraId="454FD21A"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0.94</w:t>
            </w:r>
          </w:p>
        </w:tc>
        <w:tc>
          <w:tcPr>
            <w:tcW w:w="898" w:type="pct"/>
            <w:tcBorders>
              <w:left w:val="nil"/>
              <w:bottom w:val="nil"/>
              <w:right w:val="nil"/>
            </w:tcBorders>
          </w:tcPr>
          <w:p w14:paraId="223C0C95"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0.33</w:t>
            </w:r>
          </w:p>
        </w:tc>
        <w:tc>
          <w:tcPr>
            <w:tcW w:w="830" w:type="pct"/>
            <w:tcBorders>
              <w:left w:val="nil"/>
              <w:bottom w:val="nil"/>
              <w:right w:val="nil"/>
            </w:tcBorders>
          </w:tcPr>
          <w:p w14:paraId="74BB8180"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0.26</w:t>
            </w:r>
          </w:p>
        </w:tc>
        <w:tc>
          <w:tcPr>
            <w:tcW w:w="922" w:type="pct"/>
            <w:tcBorders>
              <w:left w:val="nil"/>
              <w:bottom w:val="nil"/>
              <w:right w:val="nil"/>
            </w:tcBorders>
          </w:tcPr>
          <w:p w14:paraId="7D10B3C9" w14:textId="3CC4CF82" w:rsidR="00B009A7" w:rsidRPr="00FC7BB4" w:rsidRDefault="00E2394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0.10</w:t>
            </w:r>
          </w:p>
        </w:tc>
      </w:tr>
      <w:tr w:rsidR="00B843C4" w:rsidRPr="00FC7BB4" w14:paraId="728D0760" w14:textId="5F9CF295" w:rsidTr="00541970">
        <w:trPr>
          <w:trHeight w:val="304"/>
        </w:trPr>
        <w:tc>
          <w:tcPr>
            <w:tcW w:w="1582" w:type="pct"/>
            <w:tcBorders>
              <w:top w:val="nil"/>
              <w:left w:val="nil"/>
              <w:right w:val="nil"/>
            </w:tcBorders>
          </w:tcPr>
          <w:p w14:paraId="0CE33B07"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Merchants </w:t>
            </w:r>
          </w:p>
        </w:tc>
        <w:tc>
          <w:tcPr>
            <w:tcW w:w="768" w:type="pct"/>
            <w:tcBorders>
              <w:top w:val="nil"/>
              <w:left w:val="nil"/>
              <w:right w:val="nil"/>
            </w:tcBorders>
          </w:tcPr>
          <w:p w14:paraId="045C2668"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0.94</w:t>
            </w:r>
          </w:p>
        </w:tc>
        <w:tc>
          <w:tcPr>
            <w:tcW w:w="898" w:type="pct"/>
            <w:tcBorders>
              <w:top w:val="nil"/>
              <w:left w:val="nil"/>
              <w:right w:val="nil"/>
            </w:tcBorders>
          </w:tcPr>
          <w:p w14:paraId="5E3A135C"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0.51</w:t>
            </w:r>
          </w:p>
        </w:tc>
        <w:tc>
          <w:tcPr>
            <w:tcW w:w="830" w:type="pct"/>
            <w:tcBorders>
              <w:top w:val="nil"/>
              <w:left w:val="nil"/>
              <w:right w:val="nil"/>
            </w:tcBorders>
          </w:tcPr>
          <w:p w14:paraId="7505975F"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0.51</w:t>
            </w:r>
          </w:p>
        </w:tc>
        <w:tc>
          <w:tcPr>
            <w:tcW w:w="922" w:type="pct"/>
            <w:tcBorders>
              <w:top w:val="nil"/>
              <w:left w:val="nil"/>
              <w:right w:val="nil"/>
            </w:tcBorders>
          </w:tcPr>
          <w:p w14:paraId="23131A5E" w14:textId="7E21D833" w:rsidR="00B009A7" w:rsidRPr="00FC7BB4" w:rsidRDefault="00E2394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0.1</w:t>
            </w:r>
            <w:r w:rsidR="00A96DB6" w:rsidRPr="00FC7BB4">
              <w:rPr>
                <w:rFonts w:ascii="Times New Roman" w:eastAsia="Times New Roman" w:hAnsi="Times New Roman" w:cs="Times New Roman"/>
                <w:color w:val="auto"/>
                <w:szCs w:val="20"/>
              </w:rPr>
              <w:t>3</w:t>
            </w:r>
          </w:p>
        </w:tc>
      </w:tr>
      <w:tr w:rsidR="00B843C4" w:rsidRPr="00FC7BB4" w14:paraId="7F9F7B63" w14:textId="3B3879EF" w:rsidTr="00541970">
        <w:trPr>
          <w:trHeight w:val="243"/>
        </w:trPr>
        <w:tc>
          <w:tcPr>
            <w:tcW w:w="1582" w:type="pct"/>
            <w:tcBorders>
              <w:top w:val="nil"/>
              <w:left w:val="nil"/>
              <w:bottom w:val="single" w:sz="4" w:space="0" w:color="000000"/>
              <w:right w:val="nil"/>
            </w:tcBorders>
          </w:tcPr>
          <w:p w14:paraId="2760F56C"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Services  </w:t>
            </w:r>
          </w:p>
        </w:tc>
        <w:tc>
          <w:tcPr>
            <w:tcW w:w="768" w:type="pct"/>
            <w:tcBorders>
              <w:top w:val="nil"/>
              <w:left w:val="nil"/>
              <w:bottom w:val="single" w:sz="4" w:space="0" w:color="000000"/>
              <w:right w:val="nil"/>
            </w:tcBorders>
          </w:tcPr>
          <w:p w14:paraId="4DB3FA57"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0.84</w:t>
            </w:r>
          </w:p>
        </w:tc>
        <w:tc>
          <w:tcPr>
            <w:tcW w:w="898" w:type="pct"/>
            <w:tcBorders>
              <w:top w:val="nil"/>
              <w:left w:val="nil"/>
              <w:bottom w:val="single" w:sz="4" w:space="0" w:color="000000"/>
              <w:right w:val="nil"/>
            </w:tcBorders>
          </w:tcPr>
          <w:p w14:paraId="0C97A7BC"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0.49</w:t>
            </w:r>
          </w:p>
        </w:tc>
        <w:tc>
          <w:tcPr>
            <w:tcW w:w="830" w:type="pct"/>
            <w:tcBorders>
              <w:top w:val="nil"/>
              <w:left w:val="nil"/>
              <w:bottom w:val="single" w:sz="4" w:space="0" w:color="000000"/>
              <w:right w:val="nil"/>
            </w:tcBorders>
          </w:tcPr>
          <w:p w14:paraId="310A9FC1"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0.33</w:t>
            </w:r>
          </w:p>
        </w:tc>
        <w:tc>
          <w:tcPr>
            <w:tcW w:w="922" w:type="pct"/>
            <w:tcBorders>
              <w:top w:val="nil"/>
              <w:left w:val="nil"/>
              <w:bottom w:val="single" w:sz="4" w:space="0" w:color="000000"/>
              <w:right w:val="nil"/>
            </w:tcBorders>
          </w:tcPr>
          <w:p w14:paraId="00AA93FB" w14:textId="61CD7BE8" w:rsidR="00B009A7" w:rsidRPr="00FC7BB4" w:rsidRDefault="00E2394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0.1</w:t>
            </w:r>
            <w:r w:rsidR="00A96DB6" w:rsidRPr="00FC7BB4">
              <w:rPr>
                <w:rFonts w:ascii="Times New Roman" w:eastAsia="Times New Roman" w:hAnsi="Times New Roman" w:cs="Times New Roman"/>
                <w:color w:val="auto"/>
                <w:szCs w:val="20"/>
              </w:rPr>
              <w:t>5</w:t>
            </w:r>
          </w:p>
        </w:tc>
      </w:tr>
      <w:tr w:rsidR="00B843C4" w:rsidRPr="00FC7BB4" w14:paraId="0977F11C" w14:textId="34DC55CB" w:rsidTr="00541970">
        <w:trPr>
          <w:trHeight w:val="243"/>
        </w:trPr>
        <w:tc>
          <w:tcPr>
            <w:tcW w:w="1582" w:type="pct"/>
            <w:tcBorders>
              <w:top w:val="single" w:sz="4" w:space="0" w:color="000000"/>
              <w:left w:val="nil"/>
              <w:right w:val="nil"/>
            </w:tcBorders>
          </w:tcPr>
          <w:p w14:paraId="244D81B9" w14:textId="4F9997D0"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Firm size:                6-19</w:t>
            </w:r>
          </w:p>
        </w:tc>
        <w:tc>
          <w:tcPr>
            <w:tcW w:w="768" w:type="pct"/>
            <w:tcBorders>
              <w:top w:val="single" w:sz="4" w:space="0" w:color="000000"/>
              <w:left w:val="nil"/>
              <w:right w:val="nil"/>
            </w:tcBorders>
          </w:tcPr>
          <w:p w14:paraId="4C765A51"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0.83</w:t>
            </w:r>
          </w:p>
        </w:tc>
        <w:tc>
          <w:tcPr>
            <w:tcW w:w="898" w:type="pct"/>
            <w:tcBorders>
              <w:top w:val="single" w:sz="4" w:space="0" w:color="000000"/>
              <w:left w:val="nil"/>
              <w:right w:val="nil"/>
            </w:tcBorders>
          </w:tcPr>
          <w:p w14:paraId="7373B388"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0.38</w:t>
            </w:r>
          </w:p>
        </w:tc>
        <w:tc>
          <w:tcPr>
            <w:tcW w:w="830" w:type="pct"/>
            <w:tcBorders>
              <w:top w:val="single" w:sz="4" w:space="0" w:color="000000"/>
              <w:left w:val="nil"/>
              <w:right w:val="nil"/>
            </w:tcBorders>
          </w:tcPr>
          <w:p w14:paraId="38BB6E01"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0.28</w:t>
            </w:r>
          </w:p>
        </w:tc>
        <w:tc>
          <w:tcPr>
            <w:tcW w:w="922" w:type="pct"/>
            <w:tcBorders>
              <w:top w:val="single" w:sz="4" w:space="0" w:color="000000"/>
              <w:left w:val="nil"/>
              <w:right w:val="nil"/>
            </w:tcBorders>
          </w:tcPr>
          <w:p w14:paraId="03D40D13" w14:textId="34A0806A" w:rsidR="00B009A7" w:rsidRPr="00FC7BB4" w:rsidRDefault="00786806"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w:t>
            </w:r>
            <w:r w:rsidR="00250131" w:rsidRPr="00FC7BB4">
              <w:rPr>
                <w:rFonts w:ascii="Times New Roman" w:eastAsia="Times New Roman" w:hAnsi="Times New Roman" w:cs="Times New Roman"/>
                <w:color w:val="auto"/>
                <w:szCs w:val="20"/>
              </w:rPr>
              <w:t>0.10</w:t>
            </w:r>
            <w:r w:rsidR="00A4365D" w:rsidRPr="00FC7BB4">
              <w:rPr>
                <w:rFonts w:ascii="Times New Roman" w:eastAsia="Times New Roman" w:hAnsi="Times New Roman" w:cs="Times New Roman"/>
                <w:color w:val="auto"/>
                <w:szCs w:val="20"/>
                <w:vertAlign w:val="superscript"/>
              </w:rPr>
              <w:t>a</w:t>
            </w:r>
          </w:p>
        </w:tc>
      </w:tr>
      <w:tr w:rsidR="00B843C4" w:rsidRPr="00FC7BB4" w14:paraId="0A674D83" w14:textId="5A187F99" w:rsidTr="00541970">
        <w:trPr>
          <w:trHeight w:val="243"/>
        </w:trPr>
        <w:tc>
          <w:tcPr>
            <w:tcW w:w="1582" w:type="pct"/>
            <w:tcBorders>
              <w:left w:val="nil"/>
              <w:right w:val="nil"/>
            </w:tcBorders>
          </w:tcPr>
          <w:p w14:paraId="5969835B" w14:textId="14E09B87" w:rsidR="00B009A7" w:rsidRPr="00FC7BB4" w:rsidRDefault="00616E69"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(Employees)</w:t>
            </w:r>
            <w:r w:rsidR="003B400F" w:rsidRPr="00FC7BB4">
              <w:rPr>
                <w:rFonts w:ascii="Times New Roman" w:eastAsia="Times New Roman" w:hAnsi="Times New Roman" w:cs="Times New Roman"/>
                <w:color w:val="auto"/>
                <w:szCs w:val="20"/>
              </w:rPr>
              <w:t xml:space="preserve">: </w:t>
            </w:r>
            <w:r w:rsidR="00B009A7" w:rsidRPr="00FC7BB4">
              <w:rPr>
                <w:rFonts w:ascii="Times New Roman" w:eastAsia="Times New Roman" w:hAnsi="Times New Roman" w:cs="Times New Roman"/>
                <w:color w:val="auto"/>
                <w:szCs w:val="20"/>
              </w:rPr>
              <w:t xml:space="preserve">       </w:t>
            </w:r>
            <w:r w:rsidRPr="00FC7BB4">
              <w:rPr>
                <w:rFonts w:ascii="Times New Roman" w:eastAsia="Times New Roman" w:hAnsi="Times New Roman" w:cs="Times New Roman"/>
                <w:color w:val="auto"/>
                <w:szCs w:val="20"/>
              </w:rPr>
              <w:t xml:space="preserve"> </w:t>
            </w:r>
            <w:r w:rsidR="00B009A7" w:rsidRPr="00FC7BB4">
              <w:rPr>
                <w:rFonts w:ascii="Times New Roman" w:eastAsia="Times New Roman" w:hAnsi="Times New Roman" w:cs="Times New Roman"/>
                <w:color w:val="auto"/>
                <w:szCs w:val="20"/>
              </w:rPr>
              <w:t>20-49</w:t>
            </w:r>
          </w:p>
        </w:tc>
        <w:tc>
          <w:tcPr>
            <w:tcW w:w="768" w:type="pct"/>
            <w:tcBorders>
              <w:left w:val="nil"/>
              <w:right w:val="nil"/>
            </w:tcBorders>
          </w:tcPr>
          <w:p w14:paraId="3FE11F23"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0.92</w:t>
            </w:r>
          </w:p>
        </w:tc>
        <w:tc>
          <w:tcPr>
            <w:tcW w:w="898" w:type="pct"/>
            <w:tcBorders>
              <w:left w:val="nil"/>
              <w:right w:val="nil"/>
            </w:tcBorders>
          </w:tcPr>
          <w:p w14:paraId="3A745CD4"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0.44</w:t>
            </w:r>
          </w:p>
        </w:tc>
        <w:tc>
          <w:tcPr>
            <w:tcW w:w="830" w:type="pct"/>
            <w:tcBorders>
              <w:left w:val="nil"/>
              <w:right w:val="nil"/>
            </w:tcBorders>
          </w:tcPr>
          <w:p w14:paraId="1D1A0610"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0.34</w:t>
            </w:r>
          </w:p>
        </w:tc>
        <w:tc>
          <w:tcPr>
            <w:tcW w:w="922" w:type="pct"/>
            <w:tcBorders>
              <w:left w:val="nil"/>
              <w:right w:val="nil"/>
            </w:tcBorders>
          </w:tcPr>
          <w:p w14:paraId="78E403D2" w14:textId="2FE4616D" w:rsidR="00B009A7" w:rsidRPr="00FC7BB4" w:rsidRDefault="00786806"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w:t>
            </w:r>
            <w:r w:rsidR="00250131" w:rsidRPr="00FC7BB4">
              <w:rPr>
                <w:rFonts w:ascii="Times New Roman" w:eastAsia="Times New Roman" w:hAnsi="Times New Roman" w:cs="Times New Roman"/>
                <w:color w:val="auto"/>
                <w:szCs w:val="20"/>
              </w:rPr>
              <w:t>0.19</w:t>
            </w:r>
            <w:r w:rsidR="00A4365D" w:rsidRPr="00FC7BB4">
              <w:rPr>
                <w:rFonts w:ascii="Times New Roman" w:eastAsia="Times New Roman" w:hAnsi="Times New Roman" w:cs="Times New Roman"/>
                <w:color w:val="auto"/>
                <w:szCs w:val="20"/>
                <w:vertAlign w:val="superscript"/>
              </w:rPr>
              <w:t>b</w:t>
            </w:r>
          </w:p>
        </w:tc>
      </w:tr>
      <w:tr w:rsidR="00B843C4" w:rsidRPr="00FC7BB4" w14:paraId="0EC6FDC0" w14:textId="254860E2" w:rsidTr="00541970">
        <w:trPr>
          <w:trHeight w:val="304"/>
        </w:trPr>
        <w:tc>
          <w:tcPr>
            <w:tcW w:w="1582" w:type="pct"/>
            <w:tcBorders>
              <w:top w:val="nil"/>
              <w:left w:val="nil"/>
              <w:right w:val="nil"/>
            </w:tcBorders>
          </w:tcPr>
          <w:p w14:paraId="381548D2"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50-99</w:t>
            </w:r>
          </w:p>
        </w:tc>
        <w:tc>
          <w:tcPr>
            <w:tcW w:w="768" w:type="pct"/>
            <w:tcBorders>
              <w:top w:val="nil"/>
              <w:left w:val="nil"/>
              <w:right w:val="nil"/>
            </w:tcBorders>
          </w:tcPr>
          <w:p w14:paraId="23977CE7"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0.93</w:t>
            </w:r>
          </w:p>
        </w:tc>
        <w:tc>
          <w:tcPr>
            <w:tcW w:w="898" w:type="pct"/>
            <w:tcBorders>
              <w:top w:val="nil"/>
              <w:left w:val="nil"/>
              <w:right w:val="nil"/>
            </w:tcBorders>
          </w:tcPr>
          <w:p w14:paraId="059F70E1"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0.48</w:t>
            </w:r>
          </w:p>
        </w:tc>
        <w:tc>
          <w:tcPr>
            <w:tcW w:w="830" w:type="pct"/>
            <w:tcBorders>
              <w:top w:val="nil"/>
              <w:left w:val="nil"/>
              <w:right w:val="nil"/>
            </w:tcBorders>
          </w:tcPr>
          <w:p w14:paraId="50BA1BBD"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0.35</w:t>
            </w:r>
          </w:p>
        </w:tc>
        <w:tc>
          <w:tcPr>
            <w:tcW w:w="922" w:type="pct"/>
            <w:tcBorders>
              <w:top w:val="nil"/>
              <w:left w:val="nil"/>
              <w:right w:val="nil"/>
            </w:tcBorders>
          </w:tcPr>
          <w:p w14:paraId="64B98535" w14:textId="2DC07EAC" w:rsidR="00B009A7" w:rsidRPr="00FC7BB4" w:rsidRDefault="00786806"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w:t>
            </w:r>
            <w:r w:rsidR="00250131" w:rsidRPr="00FC7BB4">
              <w:rPr>
                <w:rFonts w:ascii="Times New Roman" w:eastAsia="Times New Roman" w:hAnsi="Times New Roman" w:cs="Times New Roman"/>
                <w:color w:val="auto"/>
                <w:szCs w:val="20"/>
              </w:rPr>
              <w:t>0.21</w:t>
            </w:r>
            <w:r w:rsidR="00A4365D" w:rsidRPr="00FC7BB4">
              <w:rPr>
                <w:rFonts w:ascii="Times New Roman" w:eastAsia="Times New Roman" w:hAnsi="Times New Roman" w:cs="Times New Roman"/>
                <w:color w:val="auto"/>
                <w:szCs w:val="20"/>
                <w:vertAlign w:val="superscript"/>
              </w:rPr>
              <w:t>c</w:t>
            </w:r>
          </w:p>
        </w:tc>
      </w:tr>
      <w:tr w:rsidR="00B843C4" w:rsidRPr="00FC7BB4" w14:paraId="1CB319FF" w14:textId="1B9E289E" w:rsidTr="00541970">
        <w:trPr>
          <w:trHeight w:val="243"/>
        </w:trPr>
        <w:tc>
          <w:tcPr>
            <w:tcW w:w="1582" w:type="pct"/>
            <w:tcBorders>
              <w:left w:val="nil"/>
              <w:bottom w:val="single" w:sz="4" w:space="0" w:color="auto"/>
              <w:right w:val="nil"/>
            </w:tcBorders>
          </w:tcPr>
          <w:p w14:paraId="03016B4C"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100+  </w:t>
            </w:r>
          </w:p>
        </w:tc>
        <w:tc>
          <w:tcPr>
            <w:tcW w:w="768" w:type="pct"/>
            <w:tcBorders>
              <w:left w:val="nil"/>
              <w:bottom w:val="single" w:sz="4" w:space="0" w:color="auto"/>
              <w:right w:val="nil"/>
            </w:tcBorders>
          </w:tcPr>
          <w:p w14:paraId="687DED17"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0.93</w:t>
            </w:r>
          </w:p>
        </w:tc>
        <w:tc>
          <w:tcPr>
            <w:tcW w:w="898" w:type="pct"/>
            <w:tcBorders>
              <w:left w:val="nil"/>
              <w:bottom w:val="single" w:sz="4" w:space="0" w:color="auto"/>
              <w:right w:val="nil"/>
            </w:tcBorders>
          </w:tcPr>
          <w:p w14:paraId="41FD8B30"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0.54</w:t>
            </w:r>
          </w:p>
        </w:tc>
        <w:tc>
          <w:tcPr>
            <w:tcW w:w="830" w:type="pct"/>
            <w:tcBorders>
              <w:left w:val="nil"/>
              <w:bottom w:val="single" w:sz="4" w:space="0" w:color="auto"/>
              <w:right w:val="nil"/>
            </w:tcBorders>
          </w:tcPr>
          <w:p w14:paraId="36D17646" w14:textId="77777777" w:rsidR="00B009A7" w:rsidRPr="00FC7BB4" w:rsidRDefault="00B009A7"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0.38</w:t>
            </w:r>
          </w:p>
        </w:tc>
        <w:tc>
          <w:tcPr>
            <w:tcW w:w="922" w:type="pct"/>
            <w:tcBorders>
              <w:left w:val="nil"/>
              <w:bottom w:val="single" w:sz="4" w:space="0" w:color="auto"/>
              <w:right w:val="nil"/>
            </w:tcBorders>
          </w:tcPr>
          <w:p w14:paraId="1D88FF35" w14:textId="5DBC864D" w:rsidR="00B009A7" w:rsidRPr="00FC7BB4" w:rsidRDefault="00786806" w:rsidP="00F3101B">
            <w:pPr>
              <w:spacing w:after="0" w:line="259" w:lineRule="auto"/>
              <w:ind w:left="142" w:right="27" w:firstLine="0"/>
              <w:jc w:val="left"/>
              <w:rPr>
                <w:rFonts w:ascii="Times New Roman" w:eastAsia="Times New Roman" w:hAnsi="Times New Roman" w:cs="Times New Roman"/>
                <w:color w:val="auto"/>
                <w:szCs w:val="20"/>
              </w:rPr>
            </w:pPr>
            <w:r w:rsidRPr="00FC7BB4">
              <w:rPr>
                <w:rFonts w:ascii="Times New Roman" w:eastAsia="Times New Roman" w:hAnsi="Times New Roman" w:cs="Times New Roman"/>
                <w:color w:val="auto"/>
                <w:szCs w:val="20"/>
              </w:rPr>
              <w:t xml:space="preserve">  </w:t>
            </w:r>
            <w:r w:rsidR="00250131" w:rsidRPr="00FC7BB4">
              <w:rPr>
                <w:rFonts w:ascii="Times New Roman" w:eastAsia="Times New Roman" w:hAnsi="Times New Roman" w:cs="Times New Roman"/>
                <w:color w:val="auto"/>
                <w:szCs w:val="20"/>
              </w:rPr>
              <w:t>0.30</w:t>
            </w:r>
          </w:p>
        </w:tc>
      </w:tr>
    </w:tbl>
    <w:p w14:paraId="1DF918D1" w14:textId="3EE3CB33" w:rsidR="00307155" w:rsidRPr="00FC7BB4" w:rsidRDefault="00307155" w:rsidP="00F3101B">
      <w:pPr>
        <w:pBdr>
          <w:top w:val="single" w:sz="4" w:space="1" w:color="auto"/>
        </w:pBdr>
        <w:spacing w:after="100" w:afterAutospacing="1"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Notes: </w:t>
      </w:r>
      <w:bookmarkStart w:id="78" w:name="_Hlk213335237"/>
      <w:r w:rsidR="00FD26EA" w:rsidRPr="00FC7BB4">
        <w:rPr>
          <w:rFonts w:ascii="Times New Roman" w:hAnsi="Times New Roman" w:cs="Times New Roman"/>
          <w:sz w:val="18"/>
          <w:szCs w:val="18"/>
        </w:rPr>
        <w:t xml:space="preserve">The data columns show proportion of firms. </w:t>
      </w:r>
      <w:r w:rsidR="004F173F" w:rsidRPr="00FC7BB4">
        <w:rPr>
          <w:rFonts w:ascii="Times New Roman" w:hAnsi="Times New Roman" w:cs="Times New Roman"/>
          <w:sz w:val="18"/>
          <w:szCs w:val="18"/>
        </w:rPr>
        <w:t xml:space="preserve">The results in the first three data columns </w:t>
      </w:r>
      <w:r w:rsidR="002F030E" w:rsidRPr="00FC7BB4">
        <w:rPr>
          <w:rFonts w:ascii="Times New Roman" w:hAnsi="Times New Roman" w:cs="Times New Roman"/>
          <w:sz w:val="18"/>
          <w:szCs w:val="18"/>
        </w:rPr>
        <w:t>are d</w:t>
      </w:r>
      <w:r w:rsidRPr="00FC7BB4">
        <w:rPr>
          <w:rFonts w:ascii="Times New Roman" w:hAnsi="Times New Roman" w:cs="Times New Roman"/>
          <w:sz w:val="18"/>
          <w:szCs w:val="18"/>
        </w:rPr>
        <w:t xml:space="preserve">rawn from </w:t>
      </w:r>
      <w:proofErr w:type="spellStart"/>
      <w:r w:rsidRPr="00FC7BB4">
        <w:rPr>
          <w:rFonts w:ascii="Times New Roman" w:hAnsi="Times New Roman" w:cs="Times New Roman"/>
          <w:sz w:val="18"/>
          <w:szCs w:val="18"/>
        </w:rPr>
        <w:t>StatisticsNZ</w:t>
      </w:r>
      <w:proofErr w:type="spellEnd"/>
      <w:r w:rsidRPr="00FC7BB4">
        <w:rPr>
          <w:rFonts w:ascii="Times New Roman" w:hAnsi="Times New Roman" w:cs="Times New Roman"/>
          <w:sz w:val="18"/>
          <w:szCs w:val="18"/>
        </w:rPr>
        <w:t xml:space="preserve"> 2022 Business Operations Survey</w:t>
      </w:r>
      <w:r w:rsidR="00984774" w:rsidRPr="00FC7BB4">
        <w:rPr>
          <w:rFonts w:ascii="Times New Roman" w:hAnsi="Times New Roman" w:cs="Times New Roman"/>
          <w:sz w:val="18"/>
          <w:szCs w:val="18"/>
        </w:rPr>
        <w:t xml:space="preserve"> (BOS)</w:t>
      </w:r>
      <w:r w:rsidRPr="00FC7BB4">
        <w:rPr>
          <w:rFonts w:ascii="Times New Roman" w:hAnsi="Times New Roman" w:cs="Times New Roman"/>
          <w:sz w:val="18"/>
          <w:szCs w:val="18"/>
        </w:rPr>
        <w:t xml:space="preserve">. They are </w:t>
      </w:r>
      <w:proofErr w:type="spellStart"/>
      <w:r w:rsidR="0023013C" w:rsidRPr="00FC7BB4">
        <w:rPr>
          <w:rFonts w:ascii="Times New Roman" w:hAnsi="Times New Roman" w:cs="Times New Roman"/>
          <w:sz w:val="18"/>
          <w:szCs w:val="18"/>
        </w:rPr>
        <w:t>StatisticsNZ</w:t>
      </w:r>
      <w:proofErr w:type="spellEnd"/>
      <w:r w:rsidRPr="00FC7BB4">
        <w:rPr>
          <w:rFonts w:ascii="Times New Roman" w:hAnsi="Times New Roman" w:cs="Times New Roman"/>
          <w:sz w:val="18"/>
          <w:szCs w:val="18"/>
        </w:rPr>
        <w:t xml:space="preserve"> population estimates derived by weighting up responses, where the weights are based on firm population weights. </w:t>
      </w:r>
      <w:proofErr w:type="spellStart"/>
      <w:r w:rsidR="004E547A" w:rsidRPr="00FC7BB4">
        <w:rPr>
          <w:rFonts w:ascii="Times New Roman" w:hAnsi="Times New Roman" w:cs="Times New Roman"/>
          <w:sz w:val="18"/>
          <w:szCs w:val="18"/>
        </w:rPr>
        <w:t>StatisticsNZ</w:t>
      </w:r>
      <w:proofErr w:type="spellEnd"/>
      <w:r w:rsidR="004E547A" w:rsidRPr="00FC7BB4" w:rsidDel="004E547A">
        <w:rPr>
          <w:rFonts w:ascii="Times New Roman" w:hAnsi="Times New Roman" w:cs="Times New Roman"/>
          <w:sz w:val="18"/>
          <w:szCs w:val="18"/>
        </w:rPr>
        <w:t xml:space="preserve"> </w:t>
      </w:r>
      <w:r w:rsidRPr="00FC7BB4">
        <w:rPr>
          <w:rFonts w:ascii="Times New Roman" w:hAnsi="Times New Roman" w:cs="Times New Roman"/>
          <w:sz w:val="18"/>
          <w:szCs w:val="18"/>
        </w:rPr>
        <w:t xml:space="preserve">selected a sample of 9081 businesses from a total BOS population of 48,092 businesses, and a response rate of 76.1 per cent. The “Education &amp; Training, Health Care &amp; Social Assistance, Arts &amp; Recreation Services, and Other Services” industries were excluded from the calculations to align with the Service industries covered by the NZIER’s QSBO survey. </w:t>
      </w:r>
      <w:r w:rsidR="00C972D5" w:rsidRPr="00FC7BB4">
        <w:rPr>
          <w:rFonts w:ascii="Times New Roman" w:hAnsi="Times New Roman" w:cs="Times New Roman"/>
          <w:sz w:val="18"/>
          <w:szCs w:val="18"/>
        </w:rPr>
        <w:t>Results in the final data column are derived from a NZIER/Spark survey in September 2023 with a sample size of 1071 firm respondents</w:t>
      </w:r>
      <w:r w:rsidR="00F13044" w:rsidRPr="00FC7BB4">
        <w:rPr>
          <w:rFonts w:ascii="Times New Roman" w:hAnsi="Times New Roman" w:cs="Times New Roman"/>
          <w:sz w:val="18"/>
          <w:szCs w:val="18"/>
        </w:rPr>
        <w:t xml:space="preserve">; see </w:t>
      </w:r>
      <w:r w:rsidR="004F173F" w:rsidRPr="00FC7BB4">
        <w:rPr>
          <w:rFonts w:ascii="Times New Roman" w:hAnsi="Times New Roman" w:cs="Times New Roman"/>
          <w:sz w:val="18"/>
          <w:szCs w:val="18"/>
        </w:rPr>
        <w:t>Leung and Miller-Moore (2024</w:t>
      </w:r>
      <w:r w:rsidR="00326DE2" w:rsidRPr="00FC7BB4">
        <w:rPr>
          <w:rFonts w:ascii="Times New Roman" w:hAnsi="Times New Roman" w:cs="Times New Roman"/>
          <w:sz w:val="18"/>
          <w:szCs w:val="18"/>
        </w:rPr>
        <w:t>)</w:t>
      </w:r>
      <w:r w:rsidR="00A4365D" w:rsidRPr="00FC7BB4">
        <w:rPr>
          <w:rFonts w:ascii="Times New Roman" w:hAnsi="Times New Roman" w:cs="Times New Roman"/>
          <w:sz w:val="18"/>
          <w:szCs w:val="18"/>
        </w:rPr>
        <w:t>.</w:t>
      </w:r>
      <w:r w:rsidR="006017BF" w:rsidRPr="00FC7BB4">
        <w:rPr>
          <w:rFonts w:ascii="Times New Roman" w:hAnsi="Times New Roman" w:cs="Times New Roman"/>
          <w:sz w:val="18"/>
          <w:szCs w:val="18"/>
        </w:rPr>
        <w:t xml:space="preserve"> </w:t>
      </w:r>
      <w:r w:rsidR="006017BF" w:rsidRPr="00FC7BB4">
        <w:rPr>
          <w:rFonts w:ascii="Times New Roman" w:hAnsi="Times New Roman" w:cs="Times New Roman"/>
          <w:i/>
          <w:iCs/>
          <w:sz w:val="18"/>
          <w:szCs w:val="18"/>
        </w:rPr>
        <w:t>a</w:t>
      </w:r>
      <w:r w:rsidR="00DA05A4" w:rsidRPr="00FC7BB4">
        <w:rPr>
          <w:rFonts w:ascii="Times New Roman" w:hAnsi="Times New Roman" w:cs="Times New Roman"/>
          <w:i/>
          <w:iCs/>
          <w:sz w:val="18"/>
          <w:szCs w:val="18"/>
        </w:rPr>
        <w:t>, b, c</w:t>
      </w:r>
      <w:r w:rsidR="00DA05A4" w:rsidRPr="00FC7BB4">
        <w:rPr>
          <w:rFonts w:ascii="Times New Roman" w:hAnsi="Times New Roman" w:cs="Times New Roman"/>
          <w:sz w:val="18"/>
          <w:szCs w:val="18"/>
        </w:rPr>
        <w:t xml:space="preserve"> </w:t>
      </w:r>
      <w:proofErr w:type="gramStart"/>
      <w:r w:rsidR="0010511B" w:rsidRPr="00FC7BB4">
        <w:rPr>
          <w:rFonts w:ascii="Times New Roman" w:hAnsi="Times New Roman" w:cs="Times New Roman"/>
          <w:sz w:val="18"/>
          <w:szCs w:val="18"/>
        </w:rPr>
        <w:t>indicate</w:t>
      </w:r>
      <w:proofErr w:type="gramEnd"/>
      <w:r w:rsidR="00C87320" w:rsidRPr="00FC7BB4">
        <w:rPr>
          <w:rFonts w:ascii="Times New Roman" w:hAnsi="Times New Roman" w:cs="Times New Roman"/>
          <w:sz w:val="18"/>
          <w:szCs w:val="18"/>
        </w:rPr>
        <w:t xml:space="preserve"> </w:t>
      </w:r>
      <w:r w:rsidR="00DA05A4" w:rsidRPr="00FC7BB4">
        <w:rPr>
          <w:rFonts w:ascii="Times New Roman" w:hAnsi="Times New Roman" w:cs="Times New Roman"/>
          <w:sz w:val="18"/>
          <w:szCs w:val="18"/>
        </w:rPr>
        <w:t>the proportions reported are for firms with 1-20</w:t>
      </w:r>
      <w:r w:rsidR="0010511B" w:rsidRPr="00FC7BB4">
        <w:rPr>
          <w:rFonts w:ascii="Times New Roman" w:hAnsi="Times New Roman" w:cs="Times New Roman"/>
          <w:sz w:val="18"/>
          <w:szCs w:val="18"/>
        </w:rPr>
        <w:t>, 21-50 and 51-100 employees.</w:t>
      </w:r>
      <w:bookmarkEnd w:id="78"/>
    </w:p>
    <w:p w14:paraId="5AA82424" w14:textId="77777777" w:rsidR="00307155" w:rsidRPr="00FC7BB4" w:rsidRDefault="00307155" w:rsidP="00F3101B">
      <w:pPr>
        <w:pStyle w:val="FootnoteText"/>
        <w:spacing w:line="360" w:lineRule="auto"/>
        <w:ind w:right="27" w:firstLine="0"/>
        <w:rPr>
          <w:rFonts w:ascii="Times New Roman" w:hAnsi="Times New Roman" w:cs="Times New Roman"/>
          <w:sz w:val="24"/>
        </w:rPr>
      </w:pPr>
      <w:bookmarkStart w:id="79" w:name="_Hlk213335262"/>
      <w:r w:rsidRPr="00FC7BB4">
        <w:rPr>
          <w:rFonts w:ascii="Times New Roman" w:hAnsi="Times New Roman" w:cs="Times New Roman"/>
          <w:b/>
          <w:bCs/>
          <w:i/>
          <w:iCs/>
          <w:sz w:val="24"/>
          <w:szCs w:val="24"/>
        </w:rPr>
        <w:t>6</w:t>
      </w:r>
      <w:r w:rsidRPr="00FC7BB4">
        <w:rPr>
          <w:rFonts w:ascii="Times New Roman" w:hAnsi="Times New Roman" w:cs="Times New Roman"/>
          <w:b/>
          <w:bCs/>
          <w:i/>
          <w:iCs/>
          <w:sz w:val="24"/>
        </w:rPr>
        <w:t xml:space="preserve">.1. </w:t>
      </w:r>
      <w:r w:rsidRPr="00FC7BB4">
        <w:rPr>
          <w:rFonts w:ascii="Times New Roman" w:hAnsi="Times New Roman" w:cs="Times New Roman"/>
          <w:b/>
          <w:bCs/>
          <w:i/>
          <w:iCs/>
          <w:color w:val="auto"/>
          <w:sz w:val="24"/>
        </w:rPr>
        <w:t>Conditional probabilities of price changes by industrial sector</w:t>
      </w:r>
      <w:r w:rsidRPr="00FC7BB4">
        <w:rPr>
          <w:rFonts w:ascii="Times New Roman" w:hAnsi="Times New Roman" w:cs="Times New Roman"/>
          <w:i/>
          <w:iCs/>
          <w:sz w:val="24"/>
        </w:rPr>
        <w:t xml:space="preserve"> </w:t>
      </w:r>
    </w:p>
    <w:p w14:paraId="7F7F54B6" w14:textId="75F4961E" w:rsidR="00307155" w:rsidRPr="00FC7BB4" w:rsidRDefault="00307155" w:rsidP="00F3101B">
      <w:pPr>
        <w:spacing w:after="0" w:line="331" w:lineRule="auto"/>
        <w:ind w:left="-17" w:right="27" w:firstLine="0"/>
        <w:rPr>
          <w:rFonts w:ascii="Times New Roman" w:hAnsi="Times New Roman" w:cs="Times New Roman"/>
          <w:sz w:val="24"/>
        </w:rPr>
      </w:pPr>
      <w:bookmarkStart w:id="80" w:name="_Hlk213335292"/>
      <w:bookmarkEnd w:id="79"/>
      <w:r w:rsidRPr="00FC7BB4">
        <w:rPr>
          <w:rFonts w:ascii="Times New Roman" w:hAnsi="Times New Roman" w:cs="Times New Roman"/>
          <w:color w:val="auto"/>
          <w:sz w:val="24"/>
        </w:rPr>
        <w:t xml:space="preserve">This </w:t>
      </w:r>
      <w:r w:rsidR="00105FF6" w:rsidRPr="00FC7BB4">
        <w:rPr>
          <w:rFonts w:ascii="Times New Roman" w:hAnsi="Times New Roman" w:cs="Times New Roman"/>
          <w:color w:val="auto"/>
          <w:sz w:val="24"/>
        </w:rPr>
        <w:t xml:space="preserve">section </w:t>
      </w:r>
      <w:r w:rsidRPr="00FC7BB4">
        <w:rPr>
          <w:rFonts w:ascii="Times New Roman" w:hAnsi="Times New Roman" w:cs="Times New Roman"/>
          <w:color w:val="auto"/>
          <w:sz w:val="24"/>
        </w:rPr>
        <w:t xml:space="preserve">evaluates whether there are differences in pricing behaviour among firms by industrial sector. The estimated </w:t>
      </w:r>
      <w:r w:rsidRPr="00FC7BB4">
        <w:rPr>
          <w:rFonts w:ascii="Times New Roman" w:hAnsi="Times New Roman" w:cs="Times New Roman"/>
          <w:sz w:val="24"/>
        </w:rPr>
        <w:t xml:space="preserve">conditional probabilities of price changes by firms in each industry sector are then compared. In each case the estimates are derived for the </w:t>
      </w:r>
      <w:r w:rsidR="00DE6B14" w:rsidRPr="00FC7BB4">
        <w:rPr>
          <w:rFonts w:ascii="Times New Roman" w:hAnsi="Times New Roman" w:cs="Times New Roman"/>
          <w:sz w:val="24"/>
        </w:rPr>
        <w:t>Pre</w:t>
      </w:r>
      <w:r w:rsidRPr="00FC7BB4">
        <w:rPr>
          <w:rFonts w:ascii="Times New Roman" w:hAnsi="Times New Roman" w:cs="Times New Roman"/>
          <w:sz w:val="24"/>
        </w:rPr>
        <w:t xml:space="preserve">- and </w:t>
      </w:r>
      <w:r w:rsidR="00DE6B14" w:rsidRPr="00FC7BB4">
        <w:rPr>
          <w:rFonts w:ascii="Times New Roman" w:hAnsi="Times New Roman" w:cs="Times New Roman"/>
          <w:sz w:val="24"/>
        </w:rPr>
        <w:t>Post</w:t>
      </w:r>
      <w:r w:rsidRPr="00FC7BB4">
        <w:rPr>
          <w:rFonts w:ascii="Times New Roman" w:hAnsi="Times New Roman" w:cs="Times New Roman"/>
          <w:sz w:val="24"/>
        </w:rPr>
        <w:t>-2011Q2 periods based on the same combinations of events as shown in Table 2.</w:t>
      </w:r>
    </w:p>
    <w:p w14:paraId="52E1CFF0" w14:textId="432FF7DB" w:rsidR="00307155" w:rsidRPr="00FC7BB4" w:rsidRDefault="00307155" w:rsidP="00F3101B">
      <w:pPr>
        <w:spacing w:after="0" w:line="331" w:lineRule="auto"/>
        <w:ind w:left="-17" w:right="27" w:firstLine="301"/>
        <w:rPr>
          <w:rFonts w:ascii="Times New Roman" w:hAnsi="Times New Roman" w:cs="Times New Roman"/>
          <w:sz w:val="24"/>
        </w:rPr>
      </w:pPr>
      <w:r w:rsidRPr="00FC7BB4">
        <w:rPr>
          <w:rFonts w:ascii="Times New Roman" w:hAnsi="Times New Roman" w:cs="Times New Roman"/>
          <w:sz w:val="24"/>
        </w:rPr>
        <w:t>Table 4 shows for each industrial sector</w:t>
      </w:r>
      <w:r w:rsidR="00DE6B14" w:rsidRPr="00FC7BB4">
        <w:rPr>
          <w:rFonts w:ascii="Times New Roman" w:hAnsi="Times New Roman" w:cs="Times New Roman"/>
          <w:sz w:val="24"/>
        </w:rPr>
        <w:t xml:space="preserve"> that</w:t>
      </w:r>
      <w:r w:rsidRPr="00FC7BB4">
        <w:rPr>
          <w:rFonts w:ascii="Times New Roman" w:hAnsi="Times New Roman" w:cs="Times New Roman"/>
          <w:sz w:val="24"/>
        </w:rPr>
        <w:t xml:space="preserve"> the probability of a price increasing when costs increase (for all demand conditions) rises as inflation rises, both before and after 2011Q2. There are differences in the estimated probabilities of price change between sectors. The estimated conditional probabilities for Services and Merchants tend to be higher than for Manufacturers and Builders, especially at higher inflation rates and </w:t>
      </w:r>
      <w:proofErr w:type="gramStart"/>
      <w:r w:rsidR="00351D90" w:rsidRPr="00FC7BB4">
        <w:rPr>
          <w:rFonts w:ascii="Times New Roman" w:hAnsi="Times New Roman" w:cs="Times New Roman"/>
          <w:sz w:val="24"/>
        </w:rPr>
        <w:t>P</w:t>
      </w:r>
      <w:r w:rsidRPr="00FC7BB4">
        <w:rPr>
          <w:rFonts w:ascii="Times New Roman" w:hAnsi="Times New Roman" w:cs="Times New Roman"/>
          <w:sz w:val="24"/>
        </w:rPr>
        <w:t>ost-2011Q2</w:t>
      </w:r>
      <w:proofErr w:type="gramEnd"/>
      <w:r w:rsidRPr="00FC7BB4">
        <w:rPr>
          <w:rFonts w:ascii="Times New Roman" w:hAnsi="Times New Roman" w:cs="Times New Roman"/>
          <w:sz w:val="24"/>
        </w:rPr>
        <w:t>.</w:t>
      </w:r>
      <w:r w:rsidRPr="00FC7BB4">
        <w:rPr>
          <w:rStyle w:val="FootnoteReference"/>
          <w:rFonts w:ascii="Times New Roman" w:hAnsi="Times New Roman" w:cs="Times New Roman"/>
          <w:sz w:val="24"/>
        </w:rPr>
        <w:footnoteReference w:id="33"/>
      </w:r>
      <w:r w:rsidRPr="00FC7BB4">
        <w:rPr>
          <w:rFonts w:ascii="Times New Roman" w:hAnsi="Times New Roman" w:cs="Times New Roman"/>
          <w:sz w:val="24"/>
        </w:rPr>
        <w:t xml:space="preserve"> </w:t>
      </w:r>
    </w:p>
    <w:p w14:paraId="3BF313E9" w14:textId="2244693F" w:rsidR="00307155" w:rsidRPr="00FC7BB4" w:rsidRDefault="00307155" w:rsidP="00F3101B">
      <w:pPr>
        <w:spacing w:after="0" w:line="331" w:lineRule="auto"/>
        <w:ind w:left="-17" w:right="27" w:firstLine="301"/>
        <w:rPr>
          <w:rFonts w:ascii="Times New Roman" w:hAnsi="Times New Roman" w:cs="Times New Roman"/>
          <w:sz w:val="24"/>
        </w:rPr>
      </w:pPr>
      <w:r w:rsidRPr="00FC7BB4">
        <w:rPr>
          <w:rFonts w:ascii="Times New Roman" w:hAnsi="Times New Roman" w:cs="Times New Roman"/>
          <w:sz w:val="24"/>
        </w:rPr>
        <w:t xml:space="preserve">The most striking feature of the results in Table 4 however, is the change in the estimates of the probability of prices increasing when costs increase for Services at higher inflation after 2011Q2. In all demand circumstances, the conditional probability of price increases by Service firms </w:t>
      </w:r>
      <w:r w:rsidR="00FF6E92" w:rsidRPr="00FC7BB4">
        <w:rPr>
          <w:rFonts w:ascii="Times New Roman" w:hAnsi="Times New Roman" w:cs="Times New Roman"/>
          <w:sz w:val="24"/>
        </w:rPr>
        <w:t>increases</w:t>
      </w:r>
      <w:r w:rsidRPr="00FC7BB4">
        <w:rPr>
          <w:rFonts w:ascii="Times New Roman" w:hAnsi="Times New Roman" w:cs="Times New Roman"/>
          <w:sz w:val="24"/>
        </w:rPr>
        <w:t xml:space="preserve">, whereas the directions of change are mixed and much smaller in all other sectors. Thus, the predominant reason for </w:t>
      </w:r>
      <w:r w:rsidRPr="00FC7BB4">
        <w:rPr>
          <w:rFonts w:ascii="Times New Roman" w:hAnsi="Times New Roman" w:cs="Times New Roman"/>
          <w:sz w:val="24"/>
        </w:rPr>
        <w:lastRenderedPageBreak/>
        <w:t xml:space="preserve">the increase in conditional probabilities of price increases estimated for all firms </w:t>
      </w:r>
      <w:proofErr w:type="gramStart"/>
      <w:r w:rsidR="00351D90" w:rsidRPr="00FC7BB4">
        <w:rPr>
          <w:rFonts w:ascii="Times New Roman" w:hAnsi="Times New Roman" w:cs="Times New Roman"/>
          <w:sz w:val="24"/>
        </w:rPr>
        <w:t>P</w:t>
      </w:r>
      <w:r w:rsidRPr="00FC7BB4">
        <w:rPr>
          <w:rFonts w:ascii="Times New Roman" w:hAnsi="Times New Roman" w:cs="Times New Roman"/>
          <w:sz w:val="24"/>
        </w:rPr>
        <w:t>ost-2011Q2</w:t>
      </w:r>
      <w:proofErr w:type="gramEnd"/>
      <w:r w:rsidRPr="00FC7BB4">
        <w:rPr>
          <w:rFonts w:ascii="Times New Roman" w:hAnsi="Times New Roman" w:cs="Times New Roman"/>
          <w:sz w:val="24"/>
        </w:rPr>
        <w:t xml:space="preserve"> shown in Table 2, is due to changes in pricing behaviour by firms in the Services sector.  </w:t>
      </w:r>
    </w:p>
    <w:p w14:paraId="774FB6CB" w14:textId="358663D0" w:rsidR="00307155" w:rsidRPr="00FC7BB4" w:rsidRDefault="00307155" w:rsidP="00F3101B">
      <w:pPr>
        <w:spacing w:after="0" w:line="331" w:lineRule="auto"/>
        <w:ind w:left="-17" w:right="27"/>
        <w:rPr>
          <w:rFonts w:ascii="Times New Roman" w:hAnsi="Times New Roman" w:cs="Times New Roman"/>
          <w:sz w:val="24"/>
        </w:rPr>
      </w:pPr>
      <w:r w:rsidRPr="00FC7BB4">
        <w:rPr>
          <w:rFonts w:ascii="Times New Roman" w:hAnsi="Times New Roman" w:cs="Times New Roman"/>
          <w:sz w:val="24"/>
        </w:rPr>
        <w:t xml:space="preserve">For the conditional probability of price decreases, there are differences in behaviour across industrial sectors. For the pre-2011 period, the conditional probabilities of price decreases do not always decline as inflation rises, and in some cases, notably for Builders, these increase in many instances. For Service firms the estimated probabilities tend to decline as inflation rises in the </w:t>
      </w:r>
      <w:proofErr w:type="gramStart"/>
      <w:r w:rsidR="00351D90" w:rsidRPr="00FC7BB4">
        <w:rPr>
          <w:rFonts w:ascii="Times New Roman" w:hAnsi="Times New Roman" w:cs="Times New Roman"/>
          <w:sz w:val="24"/>
        </w:rPr>
        <w:t>P</w:t>
      </w:r>
      <w:r w:rsidRPr="00FC7BB4">
        <w:rPr>
          <w:rFonts w:ascii="Times New Roman" w:hAnsi="Times New Roman" w:cs="Times New Roman"/>
          <w:sz w:val="24"/>
        </w:rPr>
        <w:t>re-2011</w:t>
      </w:r>
      <w:proofErr w:type="gramEnd"/>
      <w:r w:rsidRPr="00FC7BB4">
        <w:rPr>
          <w:rFonts w:ascii="Times New Roman" w:hAnsi="Times New Roman" w:cs="Times New Roman"/>
          <w:sz w:val="24"/>
        </w:rPr>
        <w:t xml:space="preserve"> period.</w:t>
      </w:r>
    </w:p>
    <w:p w14:paraId="081E3386" w14:textId="18898EC3" w:rsidR="007B374F" w:rsidRPr="00FC7BB4" w:rsidRDefault="007B374F" w:rsidP="00F3101B">
      <w:pPr>
        <w:spacing w:after="0" w:line="331" w:lineRule="auto"/>
        <w:ind w:left="-17" w:right="27"/>
        <w:rPr>
          <w:rFonts w:ascii="Times New Roman" w:hAnsi="Times New Roman" w:cs="Times New Roman"/>
          <w:sz w:val="24"/>
        </w:rPr>
      </w:pPr>
      <w:bookmarkStart w:id="81" w:name="_Hlk201685827"/>
      <w:r w:rsidRPr="00FC7BB4">
        <w:rPr>
          <w:rFonts w:ascii="Times New Roman" w:hAnsi="Times New Roman" w:cs="Times New Roman"/>
          <w:sz w:val="24"/>
        </w:rPr>
        <w:t xml:space="preserve">The striking feature of </w:t>
      </w:r>
      <w:r w:rsidR="00BD6192" w:rsidRPr="00FC7BB4">
        <w:rPr>
          <w:rFonts w:ascii="Times New Roman" w:hAnsi="Times New Roman" w:cs="Times New Roman"/>
          <w:sz w:val="24"/>
        </w:rPr>
        <w:t>the</w:t>
      </w:r>
      <w:r w:rsidRPr="00FC7BB4">
        <w:rPr>
          <w:rFonts w:ascii="Times New Roman" w:hAnsi="Times New Roman" w:cs="Times New Roman"/>
          <w:sz w:val="24"/>
        </w:rPr>
        <w:t xml:space="preserve"> results</w:t>
      </w:r>
      <w:r w:rsidR="00BD6192" w:rsidRPr="00FC7BB4">
        <w:rPr>
          <w:rFonts w:ascii="Times New Roman" w:hAnsi="Times New Roman" w:cs="Times New Roman"/>
          <w:sz w:val="24"/>
        </w:rPr>
        <w:t xml:space="preserve"> reported </w:t>
      </w:r>
      <w:r w:rsidR="00C63E6F" w:rsidRPr="00FC7BB4">
        <w:rPr>
          <w:rFonts w:ascii="Times New Roman" w:hAnsi="Times New Roman" w:cs="Times New Roman"/>
          <w:sz w:val="24"/>
        </w:rPr>
        <w:t>examining</w:t>
      </w:r>
      <w:r w:rsidR="00BD6192" w:rsidRPr="00FC7BB4">
        <w:rPr>
          <w:rFonts w:ascii="Times New Roman" w:hAnsi="Times New Roman" w:cs="Times New Roman"/>
          <w:sz w:val="24"/>
        </w:rPr>
        <w:t xml:space="preserve"> the conditional probability of a price decrease</w:t>
      </w:r>
      <w:r w:rsidRPr="00FC7BB4">
        <w:rPr>
          <w:rFonts w:ascii="Times New Roman" w:hAnsi="Times New Roman" w:cs="Times New Roman"/>
          <w:sz w:val="24"/>
        </w:rPr>
        <w:t xml:space="preserve"> is again the change in price setting behaviour after 2011Q2. There is a marked decrease in the estimates of the probability of prices decreases when costs decrease for Services and Merchant firms after 2011Q2. This occurs for all inflation rates and is especially evident as inflation increases</w:t>
      </w:r>
      <w:r w:rsidR="005F7ED4" w:rsidRPr="00FC7BB4">
        <w:rPr>
          <w:rFonts w:ascii="Times New Roman" w:hAnsi="Times New Roman" w:cs="Times New Roman"/>
          <w:sz w:val="24"/>
        </w:rPr>
        <w:t xml:space="preserve">; </w:t>
      </w:r>
      <w:r w:rsidR="00F93703" w:rsidRPr="00FC7BB4">
        <w:rPr>
          <w:rFonts w:ascii="Times New Roman" w:hAnsi="Times New Roman" w:cs="Times New Roman"/>
          <w:sz w:val="24"/>
        </w:rPr>
        <w:t>t</w:t>
      </w:r>
      <w:r w:rsidR="005F7ED4" w:rsidRPr="00FC7BB4">
        <w:rPr>
          <w:rFonts w:ascii="Times New Roman" w:hAnsi="Times New Roman" w:cs="Times New Roman"/>
          <w:sz w:val="24"/>
        </w:rPr>
        <w:t>hese changes are statistically significant.</w:t>
      </w:r>
      <w:r w:rsidRPr="00FC7BB4">
        <w:rPr>
          <w:rFonts w:ascii="Times New Roman" w:hAnsi="Times New Roman" w:cs="Times New Roman"/>
          <w:sz w:val="24"/>
        </w:rPr>
        <w:t xml:space="preserve"> This implies </w:t>
      </w:r>
      <w:r w:rsidR="00351D90" w:rsidRPr="00FC7BB4">
        <w:rPr>
          <w:rFonts w:ascii="Times New Roman" w:hAnsi="Times New Roman" w:cs="Times New Roman"/>
          <w:sz w:val="24"/>
        </w:rPr>
        <w:t xml:space="preserve">that </w:t>
      </w:r>
      <w:r w:rsidRPr="00FC7BB4">
        <w:rPr>
          <w:rFonts w:ascii="Times New Roman" w:hAnsi="Times New Roman" w:cs="Times New Roman"/>
          <w:sz w:val="24"/>
        </w:rPr>
        <w:t xml:space="preserve">the increase in the degree of ‘downward stickiness’ of prices in response to cost decreases in the recent period evident in Table 2 </w:t>
      </w:r>
      <w:r w:rsidR="00264C01" w:rsidRPr="00FC7BB4">
        <w:rPr>
          <w:rFonts w:ascii="Times New Roman" w:hAnsi="Times New Roman" w:cs="Times New Roman"/>
          <w:sz w:val="24"/>
        </w:rPr>
        <w:t xml:space="preserve">in </w:t>
      </w:r>
      <w:r w:rsidRPr="00FC7BB4">
        <w:rPr>
          <w:rFonts w:ascii="Times New Roman" w:hAnsi="Times New Roman" w:cs="Times New Roman"/>
          <w:sz w:val="24"/>
        </w:rPr>
        <w:t xml:space="preserve">the </w:t>
      </w:r>
      <w:r w:rsidR="00264C01" w:rsidRPr="00FC7BB4">
        <w:rPr>
          <w:rFonts w:ascii="Times New Roman" w:hAnsi="Times New Roman" w:cs="Times New Roman"/>
          <w:sz w:val="24"/>
        </w:rPr>
        <w:t xml:space="preserve">analysis </w:t>
      </w:r>
      <w:r w:rsidRPr="00FC7BB4">
        <w:rPr>
          <w:rFonts w:ascii="Times New Roman" w:hAnsi="Times New Roman" w:cs="Times New Roman"/>
          <w:sz w:val="24"/>
        </w:rPr>
        <w:t>of all firms, originates from changes in pricing behaviour of Services and Merchant firms.</w:t>
      </w:r>
      <w:r w:rsidRPr="00FC7BB4">
        <w:rPr>
          <w:rStyle w:val="FootnoteReference"/>
          <w:rFonts w:ascii="Times New Roman" w:hAnsi="Times New Roman" w:cs="Times New Roman"/>
          <w:sz w:val="24"/>
        </w:rPr>
        <w:footnoteReference w:id="34"/>
      </w:r>
      <w:r w:rsidRPr="00FC7BB4">
        <w:rPr>
          <w:rFonts w:ascii="Times New Roman" w:hAnsi="Times New Roman" w:cs="Times New Roman"/>
          <w:sz w:val="24"/>
        </w:rPr>
        <w:t xml:space="preserve"> </w:t>
      </w:r>
      <w:r w:rsidR="00F93703" w:rsidRPr="00FC7BB4">
        <w:rPr>
          <w:rFonts w:ascii="Times New Roman" w:hAnsi="Times New Roman" w:cs="Times New Roman"/>
          <w:sz w:val="24"/>
        </w:rPr>
        <w:t xml:space="preserve"> </w:t>
      </w:r>
      <w:r w:rsidR="00264C01" w:rsidRPr="00FC7BB4">
        <w:rPr>
          <w:rFonts w:ascii="Times New Roman" w:hAnsi="Times New Roman" w:cs="Times New Roman"/>
          <w:sz w:val="24"/>
        </w:rPr>
        <w:t>Further, t</w:t>
      </w:r>
      <w:r w:rsidR="00B417E4" w:rsidRPr="00FC7BB4">
        <w:rPr>
          <w:rFonts w:ascii="Times New Roman" w:hAnsi="Times New Roman" w:cs="Times New Roman"/>
          <w:sz w:val="24"/>
        </w:rPr>
        <w:t xml:space="preserve">he effect of this change in sectoral pricing behaviour on aggregate firm pricing behaviour in New Zealand has been accentuated by the growth of Service firms as a share of all firms in the economy. </w:t>
      </w:r>
      <w:r w:rsidRPr="00FC7BB4">
        <w:rPr>
          <w:rFonts w:ascii="Times New Roman" w:hAnsi="Times New Roman" w:cs="Times New Roman"/>
          <w:sz w:val="24"/>
        </w:rPr>
        <w:t xml:space="preserve">In contrast, Builders are more likely since 2011Q2, to reduce prices when costs fall compared to the earlier period, though most of the estimated changes are not statistically significant. There is no significant change for Manufacturing firms. </w:t>
      </w:r>
      <w:r w:rsidR="00567520" w:rsidRPr="00FC7BB4">
        <w:rPr>
          <w:rFonts w:ascii="Times New Roman" w:hAnsi="Times New Roman" w:cs="Times New Roman"/>
          <w:sz w:val="24"/>
        </w:rPr>
        <w:t>These results stand in stark contrast to the hypothesis set out earlier that increased digital capability should lead to more downward price flexibility and this downward flexibility should be most evident in the two sectors making the most use of online markets: services and merchants.</w:t>
      </w:r>
    </w:p>
    <w:p w14:paraId="48249231" w14:textId="2AFEEA25" w:rsidR="00307155" w:rsidRPr="00FC7BB4" w:rsidRDefault="003C7F96" w:rsidP="00F3101B">
      <w:pPr>
        <w:spacing w:after="0" w:line="331" w:lineRule="auto"/>
        <w:ind w:left="-17" w:right="27"/>
        <w:rPr>
          <w:rFonts w:ascii="Times New Roman" w:hAnsi="Times New Roman" w:cs="Times New Roman"/>
          <w:sz w:val="24"/>
        </w:rPr>
        <w:sectPr w:rsidR="00307155" w:rsidRPr="00FC7BB4" w:rsidSect="00307155">
          <w:headerReference w:type="even" r:id="rId12"/>
          <w:headerReference w:type="default" r:id="rId13"/>
          <w:footerReference w:type="even" r:id="rId14"/>
          <w:footerReference w:type="default" r:id="rId15"/>
          <w:headerReference w:type="first" r:id="rId16"/>
          <w:footerReference w:type="first" r:id="rId17"/>
          <w:pgSz w:w="12240" w:h="15840" w:code="1"/>
          <w:pgMar w:top="851" w:right="992" w:bottom="851" w:left="992" w:header="720" w:footer="851" w:gutter="0"/>
          <w:cols w:space="720"/>
          <w:docGrid w:linePitch="272"/>
        </w:sectPr>
      </w:pPr>
      <w:r w:rsidRPr="00FC7BB4">
        <w:rPr>
          <w:rFonts w:ascii="Times New Roman" w:hAnsi="Times New Roman" w:cs="Times New Roman"/>
          <w:sz w:val="24"/>
        </w:rPr>
        <w:t>Finally, i</w:t>
      </w:r>
      <w:r w:rsidR="00F94C84" w:rsidRPr="00FC7BB4">
        <w:rPr>
          <w:rFonts w:ascii="Times New Roman" w:hAnsi="Times New Roman" w:cs="Times New Roman"/>
          <w:sz w:val="24"/>
        </w:rPr>
        <w:t>n Table 4</w:t>
      </w:r>
      <w:r w:rsidR="00351D90" w:rsidRPr="00FC7BB4">
        <w:rPr>
          <w:rFonts w:ascii="Times New Roman" w:hAnsi="Times New Roman" w:cs="Times New Roman"/>
          <w:sz w:val="24"/>
        </w:rPr>
        <w:t>, comparison of</w:t>
      </w:r>
      <w:r w:rsidR="00F94C84" w:rsidRPr="00FC7BB4">
        <w:rPr>
          <w:rFonts w:ascii="Times New Roman" w:hAnsi="Times New Roman" w:cs="Times New Roman"/>
          <w:sz w:val="24"/>
        </w:rPr>
        <w:t xml:space="preserve"> the conditional probabilities of a price decrease between the non-service sectors and service sectors in the most recent period, </w:t>
      </w:r>
      <w:r w:rsidR="00351D90" w:rsidRPr="00FC7BB4">
        <w:rPr>
          <w:rFonts w:ascii="Times New Roman" w:hAnsi="Times New Roman" w:cs="Times New Roman"/>
          <w:sz w:val="24"/>
        </w:rPr>
        <w:t>shows that</w:t>
      </w:r>
      <w:r w:rsidR="00F94C84" w:rsidRPr="00FC7BB4">
        <w:rPr>
          <w:rFonts w:ascii="Times New Roman" w:hAnsi="Times New Roman" w:cs="Times New Roman"/>
          <w:sz w:val="24"/>
        </w:rPr>
        <w:t xml:space="preserve"> the service sector is less likely to drop prices. One of the potential implications of this di</w:t>
      </w:r>
      <w:r w:rsidRPr="00FC7BB4">
        <w:rPr>
          <w:rFonts w:ascii="Times New Roman" w:hAnsi="Times New Roman" w:cs="Times New Roman"/>
          <w:sz w:val="24"/>
        </w:rPr>
        <w:t>vergence</w:t>
      </w:r>
      <w:r w:rsidR="00F94C84" w:rsidRPr="00FC7BB4">
        <w:rPr>
          <w:rFonts w:ascii="Times New Roman" w:hAnsi="Times New Roman" w:cs="Times New Roman"/>
          <w:sz w:val="24"/>
        </w:rPr>
        <w:t xml:space="preserve"> is that as aggregate demand declines, the rate at which Services price inflation declines may be slower than the rate of decline of Goods price inflation. This pattern has been evident during the post-COVID disinflation in many countries, including in New Zealand (</w:t>
      </w:r>
      <w:proofErr w:type="spellStart"/>
      <w:r w:rsidR="00F94C84" w:rsidRPr="00FC7BB4">
        <w:rPr>
          <w:rFonts w:ascii="Times New Roman" w:hAnsi="Times New Roman" w:cs="Times New Roman"/>
          <w:sz w:val="24"/>
        </w:rPr>
        <w:t>Antwis</w:t>
      </w:r>
      <w:proofErr w:type="spellEnd"/>
      <w:r w:rsidR="00F94C84" w:rsidRPr="00FC7BB4">
        <w:rPr>
          <w:rFonts w:ascii="Times New Roman" w:hAnsi="Times New Roman" w:cs="Times New Roman"/>
          <w:sz w:val="24"/>
        </w:rPr>
        <w:t>, 2024).</w:t>
      </w:r>
      <w:bookmarkEnd w:id="80"/>
    </w:p>
    <w:bookmarkEnd w:id="81"/>
    <w:p w14:paraId="3E0932CC" w14:textId="77777777" w:rsidR="00307155" w:rsidRPr="00FC7BB4" w:rsidRDefault="00307155" w:rsidP="00F3101B">
      <w:pPr>
        <w:spacing w:after="0" w:line="262" w:lineRule="auto"/>
        <w:ind w:right="27" w:firstLine="0"/>
        <w:jc w:val="center"/>
        <w:rPr>
          <w:rFonts w:ascii="Times New Roman" w:hAnsi="Times New Roman" w:cs="Times New Roman"/>
          <w:b/>
          <w:bCs/>
          <w:sz w:val="24"/>
        </w:rPr>
      </w:pPr>
      <w:r w:rsidRPr="00FC7BB4">
        <w:rPr>
          <w:rFonts w:ascii="Times New Roman" w:hAnsi="Times New Roman" w:cs="Times New Roman"/>
          <w:b/>
          <w:bCs/>
          <w:sz w:val="24"/>
        </w:rPr>
        <w:lastRenderedPageBreak/>
        <w:t>Table 4: Conditional probabilities of price changes by industrial sector: Pre- and Post-2011Q2</w:t>
      </w:r>
    </w:p>
    <w:p w14:paraId="01EEA384" w14:textId="77777777" w:rsidR="00307155" w:rsidRPr="00FC7BB4" w:rsidRDefault="00307155" w:rsidP="00F3101B">
      <w:pPr>
        <w:spacing w:after="0" w:line="262" w:lineRule="auto"/>
        <w:ind w:right="27" w:firstLine="0"/>
        <w:jc w:val="center"/>
        <w:rPr>
          <w:rFonts w:ascii="Times New Roman" w:hAnsi="Times New Roman" w:cs="Times New Roman"/>
          <w:b/>
          <w:bCs/>
          <w:sz w:val="24"/>
        </w:rPr>
      </w:pPr>
    </w:p>
    <w:tbl>
      <w:tblPr>
        <w:tblStyle w:val="TableGrid0"/>
        <w:tblW w:w="17022" w:type="dxa"/>
        <w:tblInd w:w="-426" w:type="dxa"/>
        <w:tblLayout w:type="fixed"/>
        <w:tblLook w:val="04A0" w:firstRow="1" w:lastRow="0" w:firstColumn="1" w:lastColumn="0" w:noHBand="0" w:noVBand="1"/>
      </w:tblPr>
      <w:tblGrid>
        <w:gridCol w:w="1184"/>
        <w:gridCol w:w="1077"/>
        <w:gridCol w:w="1077"/>
        <w:gridCol w:w="1077"/>
        <w:gridCol w:w="1077"/>
        <w:gridCol w:w="1077"/>
        <w:gridCol w:w="1077"/>
        <w:gridCol w:w="1077"/>
        <w:gridCol w:w="1077"/>
        <w:gridCol w:w="1077"/>
        <w:gridCol w:w="1036"/>
        <w:gridCol w:w="41"/>
        <w:gridCol w:w="995"/>
        <w:gridCol w:w="82"/>
        <w:gridCol w:w="958"/>
        <w:gridCol w:w="119"/>
        <w:gridCol w:w="2914"/>
      </w:tblGrid>
      <w:tr w:rsidR="00307155" w:rsidRPr="00FC7BB4" w14:paraId="3B64272F" w14:textId="77777777" w:rsidTr="00291B27">
        <w:trPr>
          <w:gridAfter w:val="1"/>
          <w:wAfter w:w="2914" w:type="dxa"/>
          <w:trHeight w:val="231"/>
        </w:trPr>
        <w:tc>
          <w:tcPr>
            <w:tcW w:w="1184" w:type="dxa"/>
            <w:tcBorders>
              <w:left w:val="nil"/>
              <w:bottom w:val="single" w:sz="4" w:space="0" w:color="auto"/>
              <w:right w:val="nil"/>
            </w:tcBorders>
          </w:tcPr>
          <w:p w14:paraId="3B03A58B" w14:textId="77777777" w:rsidR="00307155" w:rsidRPr="00FC7BB4" w:rsidRDefault="00307155" w:rsidP="00F3101B">
            <w:pPr>
              <w:spacing w:line="331" w:lineRule="auto"/>
              <w:ind w:right="27"/>
              <w:rPr>
                <w:rFonts w:ascii="Times New Roman" w:hAnsi="Times New Roman" w:cs="Times New Roman"/>
                <w:sz w:val="16"/>
                <w:szCs w:val="16"/>
              </w:rPr>
            </w:pPr>
          </w:p>
        </w:tc>
        <w:tc>
          <w:tcPr>
            <w:tcW w:w="3231" w:type="dxa"/>
            <w:gridSpan w:val="3"/>
            <w:tcBorders>
              <w:left w:val="nil"/>
              <w:bottom w:val="single" w:sz="4" w:space="0" w:color="auto"/>
              <w:right w:val="single" w:sz="4" w:space="0" w:color="auto"/>
            </w:tcBorders>
          </w:tcPr>
          <w:p w14:paraId="15F28DE2"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Builders</w:t>
            </w:r>
          </w:p>
        </w:tc>
        <w:tc>
          <w:tcPr>
            <w:tcW w:w="3231" w:type="dxa"/>
            <w:gridSpan w:val="3"/>
            <w:tcBorders>
              <w:top w:val="single" w:sz="4" w:space="0" w:color="auto"/>
              <w:left w:val="single" w:sz="4" w:space="0" w:color="auto"/>
              <w:bottom w:val="single" w:sz="4" w:space="0" w:color="auto"/>
              <w:right w:val="single" w:sz="4" w:space="0" w:color="auto"/>
            </w:tcBorders>
          </w:tcPr>
          <w:p w14:paraId="1539CD0E"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Manufacturers</w:t>
            </w:r>
          </w:p>
        </w:tc>
        <w:tc>
          <w:tcPr>
            <w:tcW w:w="3231" w:type="dxa"/>
            <w:gridSpan w:val="3"/>
            <w:tcBorders>
              <w:left w:val="single" w:sz="4" w:space="0" w:color="auto"/>
              <w:bottom w:val="single" w:sz="4" w:space="0" w:color="auto"/>
            </w:tcBorders>
          </w:tcPr>
          <w:p w14:paraId="657C3D2B"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Merchants</w:t>
            </w:r>
          </w:p>
        </w:tc>
        <w:tc>
          <w:tcPr>
            <w:tcW w:w="3231" w:type="dxa"/>
            <w:gridSpan w:val="6"/>
            <w:tcBorders>
              <w:bottom w:val="single" w:sz="4" w:space="0" w:color="auto"/>
              <w:right w:val="nil"/>
            </w:tcBorders>
          </w:tcPr>
          <w:p w14:paraId="6A438577"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Services</w:t>
            </w:r>
          </w:p>
        </w:tc>
      </w:tr>
      <w:tr w:rsidR="00307155" w:rsidRPr="00FC7BB4" w14:paraId="36341464" w14:textId="77777777" w:rsidTr="00291B27">
        <w:trPr>
          <w:gridAfter w:val="2"/>
          <w:wAfter w:w="3033" w:type="dxa"/>
          <w:trHeight w:val="164"/>
        </w:trPr>
        <w:tc>
          <w:tcPr>
            <w:tcW w:w="1184" w:type="dxa"/>
            <w:tcBorders>
              <w:top w:val="single" w:sz="4" w:space="0" w:color="auto"/>
              <w:left w:val="nil"/>
              <w:bottom w:val="single" w:sz="4" w:space="0" w:color="auto"/>
              <w:right w:val="nil"/>
            </w:tcBorders>
          </w:tcPr>
          <w:p w14:paraId="0C4000B5" w14:textId="77777777" w:rsidR="00307155" w:rsidRPr="00FC7BB4" w:rsidRDefault="00307155" w:rsidP="00F3101B">
            <w:pPr>
              <w:spacing w:line="331" w:lineRule="auto"/>
              <w:ind w:right="27"/>
              <w:rPr>
                <w:rFonts w:ascii="Times New Roman" w:hAnsi="Times New Roman" w:cs="Times New Roman"/>
                <w:sz w:val="16"/>
                <w:szCs w:val="16"/>
              </w:rPr>
            </w:pPr>
          </w:p>
        </w:tc>
        <w:tc>
          <w:tcPr>
            <w:tcW w:w="1077" w:type="dxa"/>
            <w:tcBorders>
              <w:top w:val="single" w:sz="4" w:space="0" w:color="auto"/>
              <w:left w:val="nil"/>
              <w:bottom w:val="single" w:sz="4" w:space="0" w:color="auto"/>
              <w:right w:val="nil"/>
            </w:tcBorders>
          </w:tcPr>
          <w:p w14:paraId="0E67CFF0"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2%</w:t>
            </w:r>
          </w:p>
        </w:tc>
        <w:tc>
          <w:tcPr>
            <w:tcW w:w="1077" w:type="dxa"/>
            <w:tcBorders>
              <w:top w:val="single" w:sz="4" w:space="0" w:color="auto"/>
              <w:left w:val="nil"/>
              <w:bottom w:val="single" w:sz="4" w:space="0" w:color="auto"/>
              <w:right w:val="nil"/>
            </w:tcBorders>
          </w:tcPr>
          <w:p w14:paraId="3FA0D5CC"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5%</w:t>
            </w:r>
          </w:p>
        </w:tc>
        <w:tc>
          <w:tcPr>
            <w:tcW w:w="1077" w:type="dxa"/>
            <w:tcBorders>
              <w:top w:val="single" w:sz="4" w:space="0" w:color="auto"/>
              <w:left w:val="nil"/>
              <w:bottom w:val="single" w:sz="4" w:space="0" w:color="auto"/>
              <w:right w:val="nil"/>
            </w:tcBorders>
          </w:tcPr>
          <w:p w14:paraId="1836C203"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7%</w:t>
            </w:r>
          </w:p>
        </w:tc>
        <w:tc>
          <w:tcPr>
            <w:tcW w:w="1077" w:type="dxa"/>
            <w:tcBorders>
              <w:top w:val="single" w:sz="4" w:space="0" w:color="auto"/>
              <w:left w:val="nil"/>
              <w:bottom w:val="single" w:sz="4" w:space="0" w:color="auto"/>
              <w:right w:val="nil"/>
            </w:tcBorders>
          </w:tcPr>
          <w:p w14:paraId="07BDAAD6"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2%</w:t>
            </w:r>
          </w:p>
        </w:tc>
        <w:tc>
          <w:tcPr>
            <w:tcW w:w="1077" w:type="dxa"/>
            <w:tcBorders>
              <w:top w:val="single" w:sz="4" w:space="0" w:color="auto"/>
              <w:left w:val="nil"/>
              <w:bottom w:val="single" w:sz="4" w:space="0" w:color="auto"/>
              <w:right w:val="nil"/>
            </w:tcBorders>
          </w:tcPr>
          <w:p w14:paraId="124F7AA2"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5%</w:t>
            </w:r>
          </w:p>
        </w:tc>
        <w:tc>
          <w:tcPr>
            <w:tcW w:w="1077" w:type="dxa"/>
            <w:tcBorders>
              <w:top w:val="single" w:sz="4" w:space="0" w:color="auto"/>
              <w:left w:val="nil"/>
              <w:bottom w:val="single" w:sz="4" w:space="0" w:color="auto"/>
              <w:right w:val="nil"/>
            </w:tcBorders>
          </w:tcPr>
          <w:p w14:paraId="0E2056BF"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7%</w:t>
            </w:r>
          </w:p>
        </w:tc>
        <w:tc>
          <w:tcPr>
            <w:tcW w:w="1077" w:type="dxa"/>
            <w:tcBorders>
              <w:top w:val="single" w:sz="4" w:space="0" w:color="auto"/>
              <w:left w:val="nil"/>
              <w:bottom w:val="single" w:sz="4" w:space="0" w:color="auto"/>
              <w:right w:val="nil"/>
            </w:tcBorders>
          </w:tcPr>
          <w:p w14:paraId="09AC9237"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2%</w:t>
            </w:r>
          </w:p>
        </w:tc>
        <w:tc>
          <w:tcPr>
            <w:tcW w:w="1077" w:type="dxa"/>
            <w:tcBorders>
              <w:top w:val="single" w:sz="4" w:space="0" w:color="auto"/>
              <w:left w:val="nil"/>
              <w:bottom w:val="single" w:sz="4" w:space="0" w:color="auto"/>
              <w:right w:val="nil"/>
            </w:tcBorders>
          </w:tcPr>
          <w:p w14:paraId="3C71FDA1"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5%</w:t>
            </w:r>
          </w:p>
        </w:tc>
        <w:tc>
          <w:tcPr>
            <w:tcW w:w="1077" w:type="dxa"/>
            <w:tcBorders>
              <w:top w:val="single" w:sz="4" w:space="0" w:color="auto"/>
              <w:left w:val="nil"/>
              <w:bottom w:val="single" w:sz="4" w:space="0" w:color="auto"/>
              <w:right w:val="nil"/>
            </w:tcBorders>
          </w:tcPr>
          <w:p w14:paraId="7C1BE56C"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7%</w:t>
            </w:r>
          </w:p>
        </w:tc>
        <w:tc>
          <w:tcPr>
            <w:tcW w:w="1036" w:type="dxa"/>
            <w:tcBorders>
              <w:top w:val="single" w:sz="4" w:space="0" w:color="auto"/>
              <w:left w:val="nil"/>
              <w:bottom w:val="single" w:sz="4" w:space="0" w:color="auto"/>
              <w:right w:val="nil"/>
            </w:tcBorders>
          </w:tcPr>
          <w:p w14:paraId="553D5B91"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2%</w:t>
            </w:r>
          </w:p>
        </w:tc>
        <w:tc>
          <w:tcPr>
            <w:tcW w:w="1036" w:type="dxa"/>
            <w:gridSpan w:val="2"/>
            <w:tcBorders>
              <w:top w:val="single" w:sz="4" w:space="0" w:color="auto"/>
              <w:left w:val="nil"/>
              <w:bottom w:val="single" w:sz="4" w:space="0" w:color="auto"/>
              <w:right w:val="nil"/>
            </w:tcBorders>
          </w:tcPr>
          <w:p w14:paraId="2DEEA2EB"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5%</w:t>
            </w:r>
          </w:p>
        </w:tc>
        <w:tc>
          <w:tcPr>
            <w:tcW w:w="1040" w:type="dxa"/>
            <w:gridSpan w:val="2"/>
            <w:tcBorders>
              <w:top w:val="single" w:sz="4" w:space="0" w:color="auto"/>
              <w:left w:val="nil"/>
              <w:bottom w:val="single" w:sz="4" w:space="0" w:color="auto"/>
              <w:right w:val="nil"/>
            </w:tcBorders>
          </w:tcPr>
          <w:p w14:paraId="36ECD1A9" w14:textId="77777777" w:rsidR="00307155" w:rsidRPr="00FC7BB4" w:rsidRDefault="00307155" w:rsidP="00F3101B">
            <w:pPr>
              <w:spacing w:line="331" w:lineRule="auto"/>
              <w:ind w:right="27"/>
              <w:jc w:val="center"/>
              <w:rPr>
                <w:rFonts w:ascii="Times New Roman" w:hAnsi="Times New Roman" w:cs="Times New Roman"/>
                <w:sz w:val="18"/>
                <w:szCs w:val="18"/>
              </w:rPr>
            </w:pPr>
            <w:r w:rsidRPr="00FC7BB4">
              <w:rPr>
                <w:rFonts w:ascii="Times New Roman" w:hAnsi="Times New Roman" w:cs="Times New Roman"/>
                <w:sz w:val="18"/>
                <w:szCs w:val="18"/>
              </w:rPr>
              <w:t>7%</w:t>
            </w:r>
          </w:p>
        </w:tc>
      </w:tr>
      <w:tr w:rsidR="00307155" w:rsidRPr="00FC7BB4" w14:paraId="016B2E84" w14:textId="77777777" w:rsidTr="00291B27">
        <w:trPr>
          <w:trHeight w:val="338"/>
        </w:trPr>
        <w:tc>
          <w:tcPr>
            <w:tcW w:w="17022" w:type="dxa"/>
            <w:gridSpan w:val="17"/>
            <w:tcBorders>
              <w:top w:val="nil"/>
              <w:left w:val="nil"/>
              <w:bottom w:val="nil"/>
              <w:right w:val="nil"/>
            </w:tcBorders>
            <w:vAlign w:val="bottom"/>
          </w:tcPr>
          <w:p w14:paraId="06FF0B8F" w14:textId="77777777" w:rsidR="00307155" w:rsidRPr="00FC7BB4" w:rsidRDefault="00307155" w:rsidP="00F3101B">
            <w:pPr>
              <w:spacing w:line="331"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Probability firms increase prices (Pup) when costs increase (Cup) and.…</w:t>
            </w:r>
          </w:p>
        </w:tc>
      </w:tr>
      <w:tr w:rsidR="00307155" w:rsidRPr="00FC7BB4" w14:paraId="064CD05C" w14:textId="77777777" w:rsidTr="00291B27">
        <w:trPr>
          <w:gridAfter w:val="1"/>
          <w:wAfter w:w="2914" w:type="dxa"/>
          <w:trHeight w:val="338"/>
        </w:trPr>
        <w:tc>
          <w:tcPr>
            <w:tcW w:w="1184" w:type="dxa"/>
            <w:tcBorders>
              <w:top w:val="nil"/>
              <w:left w:val="nil"/>
              <w:bottom w:val="nil"/>
              <w:right w:val="single" w:sz="4" w:space="0" w:color="auto"/>
            </w:tcBorders>
            <w:vAlign w:val="bottom"/>
          </w:tcPr>
          <w:p w14:paraId="07E42EF6" w14:textId="77777777" w:rsidR="00307155" w:rsidRPr="00FC7BB4" w:rsidRDefault="00307155" w:rsidP="00F3101B">
            <w:pPr>
              <w:spacing w:line="331"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  </w:t>
            </w:r>
            <w:proofErr w:type="spellStart"/>
            <w:proofErr w:type="gramStart"/>
            <w:r w:rsidRPr="00FC7BB4">
              <w:rPr>
                <w:rFonts w:ascii="Times New Roman" w:hAnsi="Times New Roman" w:cs="Times New Roman"/>
                <w:sz w:val="18"/>
                <w:szCs w:val="18"/>
              </w:rPr>
              <w:t>Dup,R</w:t>
            </w:r>
            <w:proofErr w:type="spellEnd"/>
            <w:proofErr w:type="gramEnd"/>
            <w:r w:rsidRPr="00FC7BB4">
              <w:rPr>
                <w:rFonts w:ascii="Times New Roman" w:hAnsi="Times New Roman" w:cs="Times New Roman"/>
                <w:sz w:val="18"/>
                <w:szCs w:val="18"/>
              </w:rPr>
              <w:t>=0</w:t>
            </w:r>
          </w:p>
        </w:tc>
        <w:tc>
          <w:tcPr>
            <w:tcW w:w="1077" w:type="dxa"/>
            <w:tcBorders>
              <w:top w:val="nil"/>
              <w:left w:val="single" w:sz="4" w:space="0" w:color="auto"/>
              <w:bottom w:val="nil"/>
              <w:right w:val="nil"/>
            </w:tcBorders>
            <w:vAlign w:val="bottom"/>
          </w:tcPr>
          <w:p w14:paraId="57EA3EE7"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0.50</w:t>
            </w:r>
          </w:p>
        </w:tc>
        <w:tc>
          <w:tcPr>
            <w:tcW w:w="1077" w:type="dxa"/>
            <w:tcBorders>
              <w:top w:val="nil"/>
              <w:left w:val="nil"/>
              <w:bottom w:val="nil"/>
              <w:right w:val="nil"/>
            </w:tcBorders>
            <w:vAlign w:val="bottom"/>
          </w:tcPr>
          <w:p w14:paraId="507BF75A"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0.62</w:t>
            </w:r>
          </w:p>
        </w:tc>
        <w:tc>
          <w:tcPr>
            <w:tcW w:w="1077" w:type="dxa"/>
            <w:tcBorders>
              <w:top w:val="nil"/>
              <w:left w:val="nil"/>
              <w:bottom w:val="nil"/>
              <w:right w:val="single" w:sz="4" w:space="0" w:color="auto"/>
            </w:tcBorders>
            <w:vAlign w:val="bottom"/>
          </w:tcPr>
          <w:p w14:paraId="3ECD082B"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0.69</w:t>
            </w:r>
          </w:p>
        </w:tc>
        <w:tc>
          <w:tcPr>
            <w:tcW w:w="1077" w:type="dxa"/>
            <w:tcBorders>
              <w:top w:val="nil"/>
              <w:left w:val="single" w:sz="4" w:space="0" w:color="auto"/>
              <w:bottom w:val="nil"/>
              <w:right w:val="nil"/>
            </w:tcBorders>
            <w:vAlign w:val="bottom"/>
          </w:tcPr>
          <w:p w14:paraId="5ABF369B"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0.38</w:t>
            </w:r>
          </w:p>
        </w:tc>
        <w:tc>
          <w:tcPr>
            <w:tcW w:w="1077" w:type="dxa"/>
            <w:tcBorders>
              <w:top w:val="nil"/>
              <w:left w:val="nil"/>
              <w:bottom w:val="nil"/>
              <w:right w:val="nil"/>
            </w:tcBorders>
            <w:vAlign w:val="bottom"/>
          </w:tcPr>
          <w:p w14:paraId="749EC21B"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0.47</w:t>
            </w:r>
          </w:p>
        </w:tc>
        <w:tc>
          <w:tcPr>
            <w:tcW w:w="1077" w:type="dxa"/>
            <w:tcBorders>
              <w:top w:val="nil"/>
              <w:left w:val="nil"/>
              <w:bottom w:val="nil"/>
              <w:right w:val="single" w:sz="4" w:space="0" w:color="auto"/>
            </w:tcBorders>
            <w:vAlign w:val="bottom"/>
          </w:tcPr>
          <w:p w14:paraId="098971EF"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0.53</w:t>
            </w:r>
          </w:p>
        </w:tc>
        <w:tc>
          <w:tcPr>
            <w:tcW w:w="1077" w:type="dxa"/>
            <w:tcBorders>
              <w:top w:val="nil"/>
              <w:left w:val="single" w:sz="4" w:space="0" w:color="auto"/>
              <w:bottom w:val="nil"/>
              <w:right w:val="nil"/>
            </w:tcBorders>
            <w:vAlign w:val="bottom"/>
          </w:tcPr>
          <w:p w14:paraId="78E4957E"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0.52</w:t>
            </w:r>
          </w:p>
        </w:tc>
        <w:tc>
          <w:tcPr>
            <w:tcW w:w="1077" w:type="dxa"/>
            <w:tcBorders>
              <w:top w:val="nil"/>
              <w:left w:val="nil"/>
              <w:bottom w:val="nil"/>
              <w:right w:val="nil"/>
            </w:tcBorders>
            <w:vAlign w:val="bottom"/>
          </w:tcPr>
          <w:p w14:paraId="74480166"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0.69</w:t>
            </w:r>
          </w:p>
        </w:tc>
        <w:tc>
          <w:tcPr>
            <w:tcW w:w="1077" w:type="dxa"/>
            <w:tcBorders>
              <w:top w:val="nil"/>
              <w:left w:val="nil"/>
              <w:bottom w:val="nil"/>
              <w:right w:val="single" w:sz="4" w:space="0" w:color="auto"/>
            </w:tcBorders>
            <w:vAlign w:val="bottom"/>
          </w:tcPr>
          <w:p w14:paraId="096AA55D"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0.79</w:t>
            </w:r>
          </w:p>
        </w:tc>
        <w:tc>
          <w:tcPr>
            <w:tcW w:w="1077" w:type="dxa"/>
            <w:gridSpan w:val="2"/>
            <w:tcBorders>
              <w:top w:val="nil"/>
              <w:left w:val="single" w:sz="4" w:space="0" w:color="auto"/>
              <w:bottom w:val="nil"/>
              <w:right w:val="nil"/>
            </w:tcBorders>
            <w:vAlign w:val="bottom"/>
          </w:tcPr>
          <w:p w14:paraId="5B568546"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0.54</w:t>
            </w:r>
          </w:p>
        </w:tc>
        <w:tc>
          <w:tcPr>
            <w:tcW w:w="1077" w:type="dxa"/>
            <w:gridSpan w:val="2"/>
            <w:tcBorders>
              <w:top w:val="nil"/>
              <w:left w:val="nil"/>
              <w:bottom w:val="nil"/>
              <w:right w:val="nil"/>
            </w:tcBorders>
            <w:vAlign w:val="bottom"/>
          </w:tcPr>
          <w:p w14:paraId="2143B9E1"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0.58</w:t>
            </w:r>
          </w:p>
        </w:tc>
        <w:tc>
          <w:tcPr>
            <w:tcW w:w="1077" w:type="dxa"/>
            <w:gridSpan w:val="2"/>
            <w:tcBorders>
              <w:top w:val="nil"/>
              <w:left w:val="nil"/>
              <w:bottom w:val="nil"/>
              <w:right w:val="nil"/>
            </w:tcBorders>
            <w:vAlign w:val="bottom"/>
          </w:tcPr>
          <w:p w14:paraId="3E3EB259"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0.60</w:t>
            </w:r>
          </w:p>
        </w:tc>
      </w:tr>
      <w:tr w:rsidR="00307155" w:rsidRPr="00FC7BB4" w14:paraId="2FD30A8F" w14:textId="77777777" w:rsidTr="00291B27">
        <w:trPr>
          <w:gridAfter w:val="1"/>
          <w:wAfter w:w="2914" w:type="dxa"/>
          <w:trHeight w:val="221"/>
        </w:trPr>
        <w:tc>
          <w:tcPr>
            <w:tcW w:w="1184" w:type="dxa"/>
            <w:tcBorders>
              <w:top w:val="nil"/>
              <w:left w:val="nil"/>
              <w:bottom w:val="nil"/>
              <w:right w:val="single" w:sz="4" w:space="0" w:color="auto"/>
            </w:tcBorders>
            <w:vAlign w:val="bottom"/>
          </w:tcPr>
          <w:p w14:paraId="4BE20C99" w14:textId="77777777" w:rsidR="00307155" w:rsidRPr="00FC7BB4" w:rsidRDefault="00307155" w:rsidP="00F3101B">
            <w:pPr>
              <w:spacing w:line="331"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  </w:t>
            </w:r>
            <w:proofErr w:type="spellStart"/>
            <w:proofErr w:type="gramStart"/>
            <w:r w:rsidRPr="00FC7BB4">
              <w:rPr>
                <w:rFonts w:ascii="Times New Roman" w:hAnsi="Times New Roman" w:cs="Times New Roman"/>
                <w:sz w:val="18"/>
                <w:szCs w:val="18"/>
              </w:rPr>
              <w:t>Dup,R</w:t>
            </w:r>
            <w:proofErr w:type="spellEnd"/>
            <w:proofErr w:type="gramEnd"/>
            <w:r w:rsidRPr="00FC7BB4">
              <w:rPr>
                <w:rFonts w:ascii="Times New Roman" w:hAnsi="Times New Roman" w:cs="Times New Roman"/>
                <w:sz w:val="18"/>
                <w:szCs w:val="18"/>
              </w:rPr>
              <w:t>=1</w:t>
            </w:r>
          </w:p>
        </w:tc>
        <w:tc>
          <w:tcPr>
            <w:tcW w:w="1077" w:type="dxa"/>
            <w:tcBorders>
              <w:top w:val="nil"/>
              <w:left w:val="single" w:sz="4" w:space="0" w:color="auto"/>
              <w:bottom w:val="nil"/>
              <w:right w:val="nil"/>
            </w:tcBorders>
            <w:vAlign w:val="bottom"/>
          </w:tcPr>
          <w:p w14:paraId="3A0A25BF"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0.41</w:t>
            </w:r>
          </w:p>
        </w:tc>
        <w:tc>
          <w:tcPr>
            <w:tcW w:w="1077" w:type="dxa"/>
            <w:tcBorders>
              <w:top w:val="nil"/>
              <w:left w:val="nil"/>
              <w:bottom w:val="nil"/>
              <w:right w:val="nil"/>
            </w:tcBorders>
            <w:vAlign w:val="bottom"/>
          </w:tcPr>
          <w:p w14:paraId="3256D3E6"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0.55</w:t>
            </w:r>
          </w:p>
        </w:tc>
        <w:tc>
          <w:tcPr>
            <w:tcW w:w="1077" w:type="dxa"/>
            <w:tcBorders>
              <w:top w:val="nil"/>
              <w:left w:val="nil"/>
              <w:bottom w:val="nil"/>
              <w:right w:val="single" w:sz="4" w:space="0" w:color="auto"/>
            </w:tcBorders>
            <w:vAlign w:val="bottom"/>
          </w:tcPr>
          <w:p w14:paraId="480BEB48"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0.63</w:t>
            </w:r>
          </w:p>
        </w:tc>
        <w:tc>
          <w:tcPr>
            <w:tcW w:w="1077" w:type="dxa"/>
            <w:tcBorders>
              <w:top w:val="nil"/>
              <w:left w:val="single" w:sz="4" w:space="0" w:color="auto"/>
              <w:bottom w:val="nil"/>
              <w:right w:val="nil"/>
            </w:tcBorders>
            <w:vAlign w:val="bottom"/>
          </w:tcPr>
          <w:p w14:paraId="0C4E0300"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0.33</w:t>
            </w:r>
          </w:p>
        </w:tc>
        <w:tc>
          <w:tcPr>
            <w:tcW w:w="1077" w:type="dxa"/>
            <w:tcBorders>
              <w:top w:val="nil"/>
              <w:left w:val="nil"/>
              <w:bottom w:val="nil"/>
              <w:right w:val="nil"/>
            </w:tcBorders>
            <w:vAlign w:val="bottom"/>
          </w:tcPr>
          <w:p w14:paraId="27D5C24F"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0.50</w:t>
            </w:r>
          </w:p>
        </w:tc>
        <w:tc>
          <w:tcPr>
            <w:tcW w:w="1077" w:type="dxa"/>
            <w:tcBorders>
              <w:top w:val="nil"/>
              <w:left w:val="nil"/>
              <w:bottom w:val="nil"/>
              <w:right w:val="single" w:sz="4" w:space="0" w:color="auto"/>
            </w:tcBorders>
            <w:vAlign w:val="bottom"/>
          </w:tcPr>
          <w:p w14:paraId="4E8C2A17"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0.62</w:t>
            </w:r>
          </w:p>
        </w:tc>
        <w:tc>
          <w:tcPr>
            <w:tcW w:w="1077" w:type="dxa"/>
            <w:tcBorders>
              <w:top w:val="nil"/>
              <w:left w:val="single" w:sz="4" w:space="0" w:color="auto"/>
              <w:bottom w:val="nil"/>
              <w:right w:val="nil"/>
            </w:tcBorders>
            <w:vAlign w:val="bottom"/>
          </w:tcPr>
          <w:p w14:paraId="72378294"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0.46</w:t>
            </w:r>
          </w:p>
        </w:tc>
        <w:tc>
          <w:tcPr>
            <w:tcW w:w="1077" w:type="dxa"/>
            <w:tcBorders>
              <w:top w:val="nil"/>
              <w:left w:val="nil"/>
              <w:bottom w:val="nil"/>
              <w:right w:val="nil"/>
            </w:tcBorders>
            <w:vAlign w:val="bottom"/>
          </w:tcPr>
          <w:p w14:paraId="569959E1"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0.66</w:t>
            </w:r>
          </w:p>
        </w:tc>
        <w:tc>
          <w:tcPr>
            <w:tcW w:w="1077" w:type="dxa"/>
            <w:tcBorders>
              <w:top w:val="nil"/>
              <w:left w:val="nil"/>
              <w:bottom w:val="nil"/>
              <w:right w:val="single" w:sz="4" w:space="0" w:color="auto"/>
            </w:tcBorders>
            <w:vAlign w:val="bottom"/>
          </w:tcPr>
          <w:p w14:paraId="5419FF27"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0.77</w:t>
            </w:r>
          </w:p>
        </w:tc>
        <w:tc>
          <w:tcPr>
            <w:tcW w:w="1077" w:type="dxa"/>
            <w:gridSpan w:val="2"/>
            <w:tcBorders>
              <w:top w:val="nil"/>
              <w:left w:val="single" w:sz="4" w:space="0" w:color="auto"/>
              <w:bottom w:val="nil"/>
              <w:right w:val="nil"/>
            </w:tcBorders>
            <w:vAlign w:val="bottom"/>
          </w:tcPr>
          <w:p w14:paraId="045E6306"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0.56</w:t>
            </w:r>
          </w:p>
        </w:tc>
        <w:tc>
          <w:tcPr>
            <w:tcW w:w="1077" w:type="dxa"/>
            <w:gridSpan w:val="2"/>
            <w:tcBorders>
              <w:top w:val="nil"/>
              <w:left w:val="nil"/>
              <w:bottom w:val="nil"/>
              <w:right w:val="nil"/>
            </w:tcBorders>
            <w:vAlign w:val="bottom"/>
          </w:tcPr>
          <w:p w14:paraId="34098737"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0.83</w:t>
            </w:r>
          </w:p>
        </w:tc>
        <w:tc>
          <w:tcPr>
            <w:tcW w:w="1077" w:type="dxa"/>
            <w:gridSpan w:val="2"/>
            <w:tcBorders>
              <w:top w:val="nil"/>
              <w:left w:val="nil"/>
              <w:bottom w:val="nil"/>
              <w:right w:val="nil"/>
            </w:tcBorders>
            <w:vAlign w:val="bottom"/>
          </w:tcPr>
          <w:p w14:paraId="6C951EFF" w14:textId="77777777" w:rsidR="00307155" w:rsidRPr="00FC7BB4" w:rsidRDefault="00307155" w:rsidP="00601C79">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0.93</w:t>
            </w:r>
          </w:p>
        </w:tc>
      </w:tr>
      <w:tr w:rsidR="00307155" w:rsidRPr="00FC7BB4" w14:paraId="634498AD" w14:textId="77777777" w:rsidTr="00291B27">
        <w:trPr>
          <w:gridAfter w:val="1"/>
          <w:wAfter w:w="2914" w:type="dxa"/>
          <w:trHeight w:val="345"/>
        </w:trPr>
        <w:tc>
          <w:tcPr>
            <w:tcW w:w="1184" w:type="dxa"/>
            <w:tcBorders>
              <w:top w:val="nil"/>
              <w:left w:val="nil"/>
              <w:bottom w:val="nil"/>
              <w:right w:val="single" w:sz="4" w:space="0" w:color="auto"/>
            </w:tcBorders>
            <w:vAlign w:val="bottom"/>
          </w:tcPr>
          <w:p w14:paraId="4E48D568"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Change</w:t>
            </w:r>
          </w:p>
        </w:tc>
        <w:tc>
          <w:tcPr>
            <w:tcW w:w="1077" w:type="dxa"/>
            <w:tcBorders>
              <w:top w:val="nil"/>
              <w:left w:val="single" w:sz="4" w:space="0" w:color="auto"/>
              <w:bottom w:val="nil"/>
              <w:right w:val="nil"/>
            </w:tcBorders>
            <w:vAlign w:val="bottom"/>
          </w:tcPr>
          <w:p w14:paraId="5B2FDF3B" w14:textId="1FED1364" w:rsidR="00307155" w:rsidRPr="00FC7BB4" w:rsidRDefault="001C0D25" w:rsidP="00F3101B">
            <w:pPr>
              <w:spacing w:line="331" w:lineRule="auto"/>
              <w:ind w:right="27" w:firstLine="0"/>
              <w:jc w:val="center"/>
              <w:rPr>
                <w:rFonts w:ascii="Times New Roman" w:hAnsi="Times New Roman" w:cs="Times New Roman"/>
                <w:i/>
                <w:iCs/>
                <w:sz w:val="18"/>
                <w:szCs w:val="18"/>
              </w:rPr>
            </w:pPr>
            <w:r w:rsidRPr="00FC7BB4">
              <w:rPr>
                <w:rFonts w:ascii="Times New Roman" w:hAnsi="Times New Roman" w:cs="Times New Roman"/>
                <w:i/>
                <w:iCs/>
                <w:sz w:val="18"/>
                <w:szCs w:val="18"/>
              </w:rPr>
              <w:t>-</w:t>
            </w:r>
            <w:r w:rsidR="00307155" w:rsidRPr="00FC7BB4">
              <w:rPr>
                <w:rFonts w:ascii="Times New Roman" w:hAnsi="Times New Roman" w:cs="Times New Roman"/>
                <w:i/>
                <w:iCs/>
                <w:sz w:val="18"/>
                <w:szCs w:val="18"/>
              </w:rPr>
              <w:t>0.09***</w:t>
            </w:r>
          </w:p>
        </w:tc>
        <w:tc>
          <w:tcPr>
            <w:tcW w:w="1077" w:type="dxa"/>
            <w:tcBorders>
              <w:top w:val="nil"/>
              <w:left w:val="nil"/>
              <w:bottom w:val="nil"/>
              <w:right w:val="nil"/>
            </w:tcBorders>
            <w:vAlign w:val="bottom"/>
          </w:tcPr>
          <w:p w14:paraId="5693BC37" w14:textId="77777777" w:rsidR="00307155" w:rsidRPr="00FC7BB4" w:rsidRDefault="00307155" w:rsidP="00F3101B">
            <w:pPr>
              <w:spacing w:line="331" w:lineRule="auto"/>
              <w:ind w:right="27" w:firstLine="0"/>
              <w:jc w:val="center"/>
              <w:rPr>
                <w:rFonts w:ascii="Times New Roman" w:hAnsi="Times New Roman" w:cs="Times New Roman"/>
                <w:i/>
                <w:iCs/>
                <w:sz w:val="18"/>
                <w:szCs w:val="18"/>
              </w:rPr>
            </w:pPr>
            <w:r w:rsidRPr="00FC7BB4">
              <w:rPr>
                <w:rFonts w:ascii="Times New Roman" w:hAnsi="Times New Roman" w:cs="Times New Roman"/>
                <w:i/>
                <w:iCs/>
                <w:sz w:val="18"/>
                <w:szCs w:val="18"/>
              </w:rPr>
              <w:t>-0.07***</w:t>
            </w:r>
          </w:p>
        </w:tc>
        <w:tc>
          <w:tcPr>
            <w:tcW w:w="1077" w:type="dxa"/>
            <w:tcBorders>
              <w:top w:val="nil"/>
              <w:left w:val="nil"/>
              <w:bottom w:val="nil"/>
              <w:right w:val="single" w:sz="4" w:space="0" w:color="auto"/>
            </w:tcBorders>
            <w:vAlign w:val="bottom"/>
          </w:tcPr>
          <w:p w14:paraId="7CA86564" w14:textId="77777777" w:rsidR="00307155" w:rsidRPr="00FC7BB4" w:rsidRDefault="00307155" w:rsidP="00F3101B">
            <w:pPr>
              <w:spacing w:line="331" w:lineRule="auto"/>
              <w:ind w:right="27" w:firstLine="0"/>
              <w:jc w:val="center"/>
              <w:rPr>
                <w:rFonts w:ascii="Times New Roman" w:hAnsi="Times New Roman" w:cs="Times New Roman"/>
                <w:i/>
                <w:iCs/>
                <w:sz w:val="18"/>
                <w:szCs w:val="18"/>
              </w:rPr>
            </w:pPr>
            <w:r w:rsidRPr="00FC7BB4">
              <w:rPr>
                <w:rFonts w:ascii="Times New Roman" w:hAnsi="Times New Roman" w:cs="Times New Roman"/>
                <w:i/>
                <w:iCs/>
                <w:sz w:val="18"/>
                <w:szCs w:val="18"/>
              </w:rPr>
              <w:t>-0.06</w:t>
            </w:r>
          </w:p>
        </w:tc>
        <w:tc>
          <w:tcPr>
            <w:tcW w:w="1077" w:type="dxa"/>
            <w:tcBorders>
              <w:top w:val="nil"/>
              <w:left w:val="single" w:sz="4" w:space="0" w:color="auto"/>
              <w:bottom w:val="nil"/>
              <w:right w:val="nil"/>
            </w:tcBorders>
            <w:vAlign w:val="bottom"/>
          </w:tcPr>
          <w:p w14:paraId="63469E3E" w14:textId="77777777" w:rsidR="00307155" w:rsidRPr="00FC7BB4" w:rsidRDefault="00307155" w:rsidP="00F3101B">
            <w:pPr>
              <w:spacing w:line="331" w:lineRule="auto"/>
              <w:ind w:right="27" w:firstLine="0"/>
              <w:jc w:val="center"/>
              <w:rPr>
                <w:rFonts w:ascii="Times New Roman" w:hAnsi="Times New Roman" w:cs="Times New Roman"/>
                <w:i/>
                <w:iCs/>
                <w:sz w:val="18"/>
                <w:szCs w:val="18"/>
              </w:rPr>
            </w:pPr>
            <w:r w:rsidRPr="00FC7BB4">
              <w:rPr>
                <w:rFonts w:ascii="Times New Roman" w:hAnsi="Times New Roman" w:cs="Times New Roman"/>
                <w:i/>
                <w:iCs/>
                <w:sz w:val="18"/>
                <w:szCs w:val="18"/>
              </w:rPr>
              <w:t>-0.04***</w:t>
            </w:r>
          </w:p>
        </w:tc>
        <w:tc>
          <w:tcPr>
            <w:tcW w:w="1077" w:type="dxa"/>
            <w:tcBorders>
              <w:top w:val="nil"/>
              <w:left w:val="nil"/>
              <w:bottom w:val="nil"/>
              <w:right w:val="nil"/>
            </w:tcBorders>
            <w:vAlign w:val="bottom"/>
          </w:tcPr>
          <w:p w14:paraId="2731A68A" w14:textId="6021940F" w:rsidR="00307155" w:rsidRPr="00FC7BB4" w:rsidRDefault="006C0851" w:rsidP="006C0851">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 xml:space="preserve">   </w:t>
            </w:r>
            <w:r w:rsidR="00307155" w:rsidRPr="00FC7BB4">
              <w:rPr>
                <w:rFonts w:ascii="Times New Roman" w:hAnsi="Times New Roman" w:cs="Times New Roman"/>
                <w:i/>
                <w:iCs/>
                <w:sz w:val="18"/>
                <w:szCs w:val="18"/>
              </w:rPr>
              <w:t>0.04</w:t>
            </w:r>
          </w:p>
        </w:tc>
        <w:tc>
          <w:tcPr>
            <w:tcW w:w="1077" w:type="dxa"/>
            <w:tcBorders>
              <w:top w:val="nil"/>
              <w:left w:val="nil"/>
              <w:bottom w:val="nil"/>
              <w:right w:val="single" w:sz="4" w:space="0" w:color="auto"/>
            </w:tcBorders>
            <w:vAlign w:val="bottom"/>
          </w:tcPr>
          <w:p w14:paraId="36CEB2D5" w14:textId="77777777" w:rsidR="00307155" w:rsidRPr="00FC7BB4" w:rsidRDefault="00307155" w:rsidP="00F3101B">
            <w:pPr>
              <w:spacing w:line="331" w:lineRule="auto"/>
              <w:ind w:right="27" w:firstLine="0"/>
              <w:jc w:val="center"/>
              <w:rPr>
                <w:rFonts w:ascii="Times New Roman" w:hAnsi="Times New Roman" w:cs="Times New Roman"/>
                <w:i/>
                <w:iCs/>
                <w:sz w:val="18"/>
                <w:szCs w:val="18"/>
              </w:rPr>
            </w:pPr>
            <w:r w:rsidRPr="00FC7BB4">
              <w:rPr>
                <w:rFonts w:ascii="Times New Roman" w:hAnsi="Times New Roman" w:cs="Times New Roman"/>
                <w:i/>
                <w:iCs/>
                <w:sz w:val="18"/>
                <w:szCs w:val="18"/>
              </w:rPr>
              <w:t>0.09***</w:t>
            </w:r>
          </w:p>
        </w:tc>
        <w:tc>
          <w:tcPr>
            <w:tcW w:w="1077" w:type="dxa"/>
            <w:tcBorders>
              <w:top w:val="nil"/>
              <w:left w:val="single" w:sz="4" w:space="0" w:color="auto"/>
              <w:bottom w:val="nil"/>
              <w:right w:val="nil"/>
            </w:tcBorders>
            <w:vAlign w:val="bottom"/>
          </w:tcPr>
          <w:p w14:paraId="32AF5FC9" w14:textId="77777777" w:rsidR="00307155" w:rsidRPr="00FC7BB4" w:rsidRDefault="00307155" w:rsidP="00F3101B">
            <w:pPr>
              <w:spacing w:line="331" w:lineRule="auto"/>
              <w:ind w:right="27" w:firstLine="0"/>
              <w:jc w:val="center"/>
              <w:rPr>
                <w:rFonts w:ascii="Times New Roman" w:hAnsi="Times New Roman" w:cs="Times New Roman"/>
                <w:i/>
                <w:iCs/>
                <w:sz w:val="18"/>
                <w:szCs w:val="18"/>
              </w:rPr>
            </w:pPr>
            <w:r w:rsidRPr="00FC7BB4">
              <w:rPr>
                <w:rFonts w:ascii="Times New Roman" w:hAnsi="Times New Roman" w:cs="Times New Roman"/>
                <w:i/>
                <w:iCs/>
                <w:sz w:val="18"/>
                <w:szCs w:val="18"/>
              </w:rPr>
              <w:t>-0.06***</w:t>
            </w:r>
          </w:p>
        </w:tc>
        <w:tc>
          <w:tcPr>
            <w:tcW w:w="1077" w:type="dxa"/>
            <w:tcBorders>
              <w:top w:val="nil"/>
              <w:left w:val="nil"/>
              <w:bottom w:val="nil"/>
              <w:right w:val="nil"/>
            </w:tcBorders>
            <w:vAlign w:val="bottom"/>
          </w:tcPr>
          <w:p w14:paraId="0CFA63A9" w14:textId="0DD0F948" w:rsidR="00307155" w:rsidRPr="00FC7BB4" w:rsidRDefault="00670E7C" w:rsidP="0008355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 xml:space="preserve"> </w:t>
            </w:r>
            <w:r w:rsidR="00307155" w:rsidRPr="00FC7BB4">
              <w:rPr>
                <w:rFonts w:ascii="Times New Roman" w:hAnsi="Times New Roman" w:cs="Times New Roman"/>
                <w:i/>
                <w:iCs/>
                <w:sz w:val="18"/>
                <w:szCs w:val="18"/>
              </w:rPr>
              <w:t>-0.04</w:t>
            </w:r>
          </w:p>
        </w:tc>
        <w:tc>
          <w:tcPr>
            <w:tcW w:w="1077" w:type="dxa"/>
            <w:tcBorders>
              <w:top w:val="nil"/>
              <w:left w:val="nil"/>
              <w:bottom w:val="nil"/>
              <w:right w:val="single" w:sz="4" w:space="0" w:color="auto"/>
            </w:tcBorders>
            <w:vAlign w:val="bottom"/>
          </w:tcPr>
          <w:p w14:paraId="7CCE025D" w14:textId="77777777" w:rsidR="00307155" w:rsidRPr="00FC7BB4" w:rsidRDefault="00307155" w:rsidP="0008355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-0.02</w:t>
            </w:r>
          </w:p>
        </w:tc>
        <w:tc>
          <w:tcPr>
            <w:tcW w:w="1077" w:type="dxa"/>
            <w:gridSpan w:val="2"/>
            <w:tcBorders>
              <w:top w:val="nil"/>
              <w:left w:val="single" w:sz="4" w:space="0" w:color="auto"/>
              <w:bottom w:val="nil"/>
              <w:right w:val="nil"/>
            </w:tcBorders>
            <w:vAlign w:val="bottom"/>
          </w:tcPr>
          <w:p w14:paraId="063D9DEE" w14:textId="0CF4386C" w:rsidR="00307155" w:rsidRPr="00FC7BB4" w:rsidRDefault="006C0851" w:rsidP="006C0851">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 xml:space="preserve">  </w:t>
            </w:r>
            <w:r w:rsidR="00307155" w:rsidRPr="00FC7BB4">
              <w:rPr>
                <w:rFonts w:ascii="Times New Roman" w:hAnsi="Times New Roman" w:cs="Times New Roman"/>
                <w:i/>
                <w:iCs/>
                <w:sz w:val="18"/>
                <w:szCs w:val="18"/>
              </w:rPr>
              <w:t>0.02*</w:t>
            </w:r>
          </w:p>
        </w:tc>
        <w:tc>
          <w:tcPr>
            <w:tcW w:w="1077" w:type="dxa"/>
            <w:gridSpan w:val="2"/>
            <w:tcBorders>
              <w:top w:val="nil"/>
              <w:left w:val="nil"/>
              <w:bottom w:val="nil"/>
              <w:right w:val="nil"/>
            </w:tcBorders>
            <w:vAlign w:val="bottom"/>
          </w:tcPr>
          <w:p w14:paraId="04E0558F" w14:textId="77777777" w:rsidR="00307155" w:rsidRPr="00FC7BB4" w:rsidRDefault="00307155" w:rsidP="00F3101B">
            <w:pPr>
              <w:spacing w:line="331" w:lineRule="auto"/>
              <w:ind w:right="27" w:firstLine="0"/>
              <w:jc w:val="center"/>
              <w:rPr>
                <w:rFonts w:ascii="Times New Roman" w:hAnsi="Times New Roman" w:cs="Times New Roman"/>
                <w:i/>
                <w:iCs/>
                <w:sz w:val="18"/>
                <w:szCs w:val="18"/>
              </w:rPr>
            </w:pPr>
            <w:r w:rsidRPr="00FC7BB4">
              <w:rPr>
                <w:rFonts w:ascii="Times New Roman" w:hAnsi="Times New Roman" w:cs="Times New Roman"/>
                <w:i/>
                <w:iCs/>
                <w:sz w:val="18"/>
                <w:szCs w:val="18"/>
              </w:rPr>
              <w:t>0.25***</w:t>
            </w:r>
          </w:p>
        </w:tc>
        <w:tc>
          <w:tcPr>
            <w:tcW w:w="1077" w:type="dxa"/>
            <w:gridSpan w:val="2"/>
            <w:tcBorders>
              <w:top w:val="nil"/>
              <w:left w:val="nil"/>
              <w:bottom w:val="nil"/>
              <w:right w:val="nil"/>
            </w:tcBorders>
            <w:vAlign w:val="bottom"/>
          </w:tcPr>
          <w:p w14:paraId="2D3EF4DD" w14:textId="77777777" w:rsidR="00307155" w:rsidRPr="00FC7BB4" w:rsidRDefault="00307155" w:rsidP="006C0851">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0.33***</w:t>
            </w:r>
          </w:p>
        </w:tc>
      </w:tr>
      <w:tr w:rsidR="00307155" w:rsidRPr="00FC7BB4" w14:paraId="4C82B448" w14:textId="77777777" w:rsidTr="00291B27">
        <w:trPr>
          <w:gridAfter w:val="1"/>
          <w:wAfter w:w="2914" w:type="dxa"/>
          <w:trHeight w:val="338"/>
        </w:trPr>
        <w:tc>
          <w:tcPr>
            <w:tcW w:w="1184" w:type="dxa"/>
            <w:tcBorders>
              <w:top w:val="nil"/>
              <w:left w:val="nil"/>
              <w:bottom w:val="nil"/>
              <w:right w:val="single" w:sz="4" w:space="0" w:color="auto"/>
            </w:tcBorders>
            <w:vAlign w:val="bottom"/>
          </w:tcPr>
          <w:p w14:paraId="59A20F3F" w14:textId="77777777" w:rsidR="00307155" w:rsidRPr="00FC7BB4" w:rsidRDefault="00307155" w:rsidP="00F3101B">
            <w:pPr>
              <w:spacing w:line="331"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  </w:t>
            </w:r>
            <w:proofErr w:type="spellStart"/>
            <w:proofErr w:type="gramStart"/>
            <w:r w:rsidRPr="00FC7BB4">
              <w:rPr>
                <w:rFonts w:ascii="Times New Roman" w:hAnsi="Times New Roman" w:cs="Times New Roman"/>
                <w:sz w:val="18"/>
                <w:szCs w:val="18"/>
              </w:rPr>
              <w:t>Dnc,R</w:t>
            </w:r>
            <w:proofErr w:type="spellEnd"/>
            <w:proofErr w:type="gramEnd"/>
            <w:r w:rsidRPr="00FC7BB4">
              <w:rPr>
                <w:rFonts w:ascii="Times New Roman" w:hAnsi="Times New Roman" w:cs="Times New Roman"/>
                <w:sz w:val="18"/>
                <w:szCs w:val="18"/>
              </w:rPr>
              <w:t>=0</w:t>
            </w:r>
          </w:p>
        </w:tc>
        <w:tc>
          <w:tcPr>
            <w:tcW w:w="1077" w:type="dxa"/>
            <w:tcBorders>
              <w:top w:val="nil"/>
              <w:left w:val="single" w:sz="4" w:space="0" w:color="auto"/>
              <w:bottom w:val="nil"/>
              <w:right w:val="nil"/>
            </w:tcBorders>
            <w:vAlign w:val="bottom"/>
          </w:tcPr>
          <w:p w14:paraId="392FBB07"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0.40</w:t>
            </w:r>
          </w:p>
        </w:tc>
        <w:tc>
          <w:tcPr>
            <w:tcW w:w="1077" w:type="dxa"/>
            <w:tcBorders>
              <w:top w:val="nil"/>
              <w:left w:val="nil"/>
              <w:bottom w:val="nil"/>
              <w:right w:val="nil"/>
            </w:tcBorders>
            <w:vAlign w:val="bottom"/>
          </w:tcPr>
          <w:p w14:paraId="7726DEE5"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0.51</w:t>
            </w:r>
          </w:p>
        </w:tc>
        <w:tc>
          <w:tcPr>
            <w:tcW w:w="1077" w:type="dxa"/>
            <w:tcBorders>
              <w:top w:val="nil"/>
              <w:left w:val="nil"/>
              <w:bottom w:val="nil"/>
              <w:right w:val="single" w:sz="4" w:space="0" w:color="auto"/>
            </w:tcBorders>
            <w:vAlign w:val="bottom"/>
          </w:tcPr>
          <w:p w14:paraId="2941F1DA"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0.58</w:t>
            </w:r>
          </w:p>
        </w:tc>
        <w:tc>
          <w:tcPr>
            <w:tcW w:w="1077" w:type="dxa"/>
            <w:tcBorders>
              <w:top w:val="nil"/>
              <w:left w:val="single" w:sz="4" w:space="0" w:color="auto"/>
              <w:bottom w:val="nil"/>
              <w:right w:val="nil"/>
            </w:tcBorders>
            <w:vAlign w:val="bottom"/>
          </w:tcPr>
          <w:p w14:paraId="61E7F902"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0.34</w:t>
            </w:r>
          </w:p>
        </w:tc>
        <w:tc>
          <w:tcPr>
            <w:tcW w:w="1077" w:type="dxa"/>
            <w:tcBorders>
              <w:top w:val="nil"/>
              <w:left w:val="nil"/>
              <w:bottom w:val="nil"/>
              <w:right w:val="nil"/>
            </w:tcBorders>
            <w:vAlign w:val="bottom"/>
          </w:tcPr>
          <w:p w14:paraId="1B48A024"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0.41</w:t>
            </w:r>
          </w:p>
        </w:tc>
        <w:tc>
          <w:tcPr>
            <w:tcW w:w="1077" w:type="dxa"/>
            <w:tcBorders>
              <w:top w:val="nil"/>
              <w:left w:val="nil"/>
              <w:bottom w:val="nil"/>
              <w:right w:val="single" w:sz="4" w:space="0" w:color="auto"/>
            </w:tcBorders>
            <w:vAlign w:val="bottom"/>
          </w:tcPr>
          <w:p w14:paraId="4C343375"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0.46</w:t>
            </w:r>
          </w:p>
        </w:tc>
        <w:tc>
          <w:tcPr>
            <w:tcW w:w="1077" w:type="dxa"/>
            <w:tcBorders>
              <w:top w:val="nil"/>
              <w:left w:val="single" w:sz="4" w:space="0" w:color="auto"/>
              <w:bottom w:val="nil"/>
              <w:right w:val="nil"/>
            </w:tcBorders>
            <w:vAlign w:val="bottom"/>
          </w:tcPr>
          <w:p w14:paraId="09A6FA0E"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0.44</w:t>
            </w:r>
          </w:p>
        </w:tc>
        <w:tc>
          <w:tcPr>
            <w:tcW w:w="1077" w:type="dxa"/>
            <w:tcBorders>
              <w:top w:val="nil"/>
              <w:left w:val="nil"/>
              <w:bottom w:val="nil"/>
              <w:right w:val="nil"/>
            </w:tcBorders>
            <w:vAlign w:val="bottom"/>
          </w:tcPr>
          <w:p w14:paraId="65D3A9CD"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0.61</w:t>
            </w:r>
          </w:p>
        </w:tc>
        <w:tc>
          <w:tcPr>
            <w:tcW w:w="1077" w:type="dxa"/>
            <w:tcBorders>
              <w:top w:val="nil"/>
              <w:left w:val="nil"/>
              <w:bottom w:val="nil"/>
              <w:right w:val="single" w:sz="4" w:space="0" w:color="auto"/>
            </w:tcBorders>
            <w:vAlign w:val="bottom"/>
          </w:tcPr>
          <w:p w14:paraId="0425F897"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0.71</w:t>
            </w:r>
          </w:p>
        </w:tc>
        <w:tc>
          <w:tcPr>
            <w:tcW w:w="1077" w:type="dxa"/>
            <w:gridSpan w:val="2"/>
            <w:tcBorders>
              <w:top w:val="nil"/>
              <w:left w:val="single" w:sz="4" w:space="0" w:color="auto"/>
              <w:bottom w:val="nil"/>
              <w:right w:val="nil"/>
            </w:tcBorders>
            <w:vAlign w:val="bottom"/>
          </w:tcPr>
          <w:p w14:paraId="3FBE6789"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0.55</w:t>
            </w:r>
          </w:p>
        </w:tc>
        <w:tc>
          <w:tcPr>
            <w:tcW w:w="1077" w:type="dxa"/>
            <w:gridSpan w:val="2"/>
            <w:tcBorders>
              <w:top w:val="nil"/>
              <w:left w:val="nil"/>
              <w:bottom w:val="nil"/>
              <w:right w:val="nil"/>
            </w:tcBorders>
            <w:vAlign w:val="bottom"/>
          </w:tcPr>
          <w:p w14:paraId="0696D2D5"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0.57</w:t>
            </w:r>
          </w:p>
        </w:tc>
        <w:tc>
          <w:tcPr>
            <w:tcW w:w="1077" w:type="dxa"/>
            <w:gridSpan w:val="2"/>
            <w:tcBorders>
              <w:top w:val="nil"/>
              <w:left w:val="nil"/>
              <w:bottom w:val="nil"/>
              <w:right w:val="nil"/>
            </w:tcBorders>
            <w:vAlign w:val="bottom"/>
          </w:tcPr>
          <w:p w14:paraId="6322E39C"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0.58</w:t>
            </w:r>
          </w:p>
        </w:tc>
      </w:tr>
      <w:tr w:rsidR="00307155" w:rsidRPr="00FC7BB4" w14:paraId="495E97EE" w14:textId="77777777" w:rsidTr="00291B27">
        <w:trPr>
          <w:gridAfter w:val="1"/>
          <w:wAfter w:w="2914" w:type="dxa"/>
          <w:trHeight w:val="50"/>
        </w:trPr>
        <w:tc>
          <w:tcPr>
            <w:tcW w:w="1184" w:type="dxa"/>
            <w:tcBorders>
              <w:top w:val="nil"/>
              <w:left w:val="nil"/>
              <w:bottom w:val="nil"/>
              <w:right w:val="single" w:sz="4" w:space="0" w:color="auto"/>
            </w:tcBorders>
            <w:vAlign w:val="bottom"/>
          </w:tcPr>
          <w:p w14:paraId="4D4B1B7A" w14:textId="77777777" w:rsidR="00307155" w:rsidRPr="00FC7BB4" w:rsidRDefault="00307155" w:rsidP="00F3101B">
            <w:pPr>
              <w:spacing w:line="331"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  </w:t>
            </w:r>
            <w:proofErr w:type="spellStart"/>
            <w:proofErr w:type="gramStart"/>
            <w:r w:rsidRPr="00FC7BB4">
              <w:rPr>
                <w:rFonts w:ascii="Times New Roman" w:hAnsi="Times New Roman" w:cs="Times New Roman"/>
                <w:sz w:val="18"/>
                <w:szCs w:val="18"/>
              </w:rPr>
              <w:t>Dnc,R</w:t>
            </w:r>
            <w:proofErr w:type="spellEnd"/>
            <w:proofErr w:type="gramEnd"/>
            <w:r w:rsidRPr="00FC7BB4">
              <w:rPr>
                <w:rFonts w:ascii="Times New Roman" w:hAnsi="Times New Roman" w:cs="Times New Roman"/>
                <w:sz w:val="18"/>
                <w:szCs w:val="18"/>
              </w:rPr>
              <w:t>=1</w:t>
            </w:r>
          </w:p>
        </w:tc>
        <w:tc>
          <w:tcPr>
            <w:tcW w:w="1077" w:type="dxa"/>
            <w:tcBorders>
              <w:top w:val="nil"/>
              <w:left w:val="single" w:sz="4" w:space="0" w:color="auto"/>
              <w:bottom w:val="nil"/>
              <w:right w:val="nil"/>
            </w:tcBorders>
            <w:vAlign w:val="bottom"/>
          </w:tcPr>
          <w:p w14:paraId="5569F1AF"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0.28</w:t>
            </w:r>
          </w:p>
        </w:tc>
        <w:tc>
          <w:tcPr>
            <w:tcW w:w="1077" w:type="dxa"/>
            <w:tcBorders>
              <w:top w:val="nil"/>
              <w:left w:val="nil"/>
              <w:bottom w:val="nil"/>
              <w:right w:val="nil"/>
            </w:tcBorders>
            <w:vAlign w:val="bottom"/>
          </w:tcPr>
          <w:p w14:paraId="5C69A2A9"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0.43</w:t>
            </w:r>
          </w:p>
        </w:tc>
        <w:tc>
          <w:tcPr>
            <w:tcW w:w="1077" w:type="dxa"/>
            <w:tcBorders>
              <w:top w:val="nil"/>
              <w:left w:val="nil"/>
              <w:bottom w:val="nil"/>
              <w:right w:val="single" w:sz="4" w:space="0" w:color="auto"/>
            </w:tcBorders>
            <w:vAlign w:val="bottom"/>
          </w:tcPr>
          <w:p w14:paraId="5B92104C"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0.54</w:t>
            </w:r>
          </w:p>
        </w:tc>
        <w:tc>
          <w:tcPr>
            <w:tcW w:w="1077" w:type="dxa"/>
            <w:tcBorders>
              <w:top w:val="nil"/>
              <w:left w:val="single" w:sz="4" w:space="0" w:color="auto"/>
              <w:bottom w:val="nil"/>
              <w:right w:val="nil"/>
            </w:tcBorders>
            <w:vAlign w:val="bottom"/>
          </w:tcPr>
          <w:p w14:paraId="0D882AD3"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0.27</w:t>
            </w:r>
          </w:p>
        </w:tc>
        <w:tc>
          <w:tcPr>
            <w:tcW w:w="1077" w:type="dxa"/>
            <w:tcBorders>
              <w:top w:val="nil"/>
              <w:left w:val="nil"/>
              <w:bottom w:val="nil"/>
              <w:right w:val="nil"/>
            </w:tcBorders>
            <w:vAlign w:val="bottom"/>
          </w:tcPr>
          <w:p w14:paraId="3BDF93C1"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0.41</w:t>
            </w:r>
          </w:p>
        </w:tc>
        <w:tc>
          <w:tcPr>
            <w:tcW w:w="1077" w:type="dxa"/>
            <w:tcBorders>
              <w:top w:val="nil"/>
              <w:left w:val="nil"/>
              <w:bottom w:val="nil"/>
              <w:right w:val="single" w:sz="4" w:space="0" w:color="auto"/>
            </w:tcBorders>
            <w:vAlign w:val="bottom"/>
          </w:tcPr>
          <w:p w14:paraId="0B34284F"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0.51</w:t>
            </w:r>
          </w:p>
        </w:tc>
        <w:tc>
          <w:tcPr>
            <w:tcW w:w="1077" w:type="dxa"/>
            <w:tcBorders>
              <w:top w:val="nil"/>
              <w:left w:val="single" w:sz="4" w:space="0" w:color="auto"/>
              <w:bottom w:val="nil"/>
              <w:right w:val="nil"/>
            </w:tcBorders>
            <w:vAlign w:val="bottom"/>
          </w:tcPr>
          <w:p w14:paraId="6AFB2654"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0.35</w:t>
            </w:r>
          </w:p>
        </w:tc>
        <w:tc>
          <w:tcPr>
            <w:tcW w:w="1077" w:type="dxa"/>
            <w:tcBorders>
              <w:top w:val="nil"/>
              <w:left w:val="nil"/>
              <w:bottom w:val="nil"/>
              <w:right w:val="nil"/>
            </w:tcBorders>
            <w:vAlign w:val="bottom"/>
          </w:tcPr>
          <w:p w14:paraId="3FFA573B"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0.49</w:t>
            </w:r>
          </w:p>
        </w:tc>
        <w:tc>
          <w:tcPr>
            <w:tcW w:w="1077" w:type="dxa"/>
            <w:tcBorders>
              <w:top w:val="nil"/>
              <w:left w:val="nil"/>
              <w:bottom w:val="nil"/>
              <w:right w:val="single" w:sz="4" w:space="0" w:color="auto"/>
            </w:tcBorders>
            <w:vAlign w:val="bottom"/>
          </w:tcPr>
          <w:p w14:paraId="01F14FE0"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0.59</w:t>
            </w:r>
          </w:p>
        </w:tc>
        <w:tc>
          <w:tcPr>
            <w:tcW w:w="1077" w:type="dxa"/>
            <w:gridSpan w:val="2"/>
            <w:tcBorders>
              <w:top w:val="nil"/>
              <w:left w:val="single" w:sz="4" w:space="0" w:color="auto"/>
              <w:bottom w:val="nil"/>
              <w:right w:val="nil"/>
            </w:tcBorders>
            <w:vAlign w:val="bottom"/>
          </w:tcPr>
          <w:p w14:paraId="2191E4E5"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0.52</w:t>
            </w:r>
          </w:p>
        </w:tc>
        <w:tc>
          <w:tcPr>
            <w:tcW w:w="1077" w:type="dxa"/>
            <w:gridSpan w:val="2"/>
            <w:tcBorders>
              <w:top w:val="nil"/>
              <w:left w:val="nil"/>
              <w:bottom w:val="nil"/>
              <w:right w:val="nil"/>
            </w:tcBorders>
            <w:vAlign w:val="bottom"/>
          </w:tcPr>
          <w:p w14:paraId="7506F896"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0.71</w:t>
            </w:r>
          </w:p>
        </w:tc>
        <w:tc>
          <w:tcPr>
            <w:tcW w:w="1077" w:type="dxa"/>
            <w:gridSpan w:val="2"/>
            <w:tcBorders>
              <w:top w:val="nil"/>
              <w:left w:val="nil"/>
              <w:bottom w:val="nil"/>
              <w:right w:val="nil"/>
            </w:tcBorders>
            <w:vAlign w:val="bottom"/>
          </w:tcPr>
          <w:p w14:paraId="277B89B4"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0.82</w:t>
            </w:r>
          </w:p>
        </w:tc>
      </w:tr>
      <w:tr w:rsidR="00307155" w:rsidRPr="00FC7BB4" w14:paraId="3482292A" w14:textId="77777777" w:rsidTr="00291B27">
        <w:trPr>
          <w:gridAfter w:val="1"/>
          <w:wAfter w:w="2914" w:type="dxa"/>
          <w:trHeight w:val="338"/>
        </w:trPr>
        <w:tc>
          <w:tcPr>
            <w:tcW w:w="1184" w:type="dxa"/>
            <w:tcBorders>
              <w:top w:val="nil"/>
              <w:left w:val="nil"/>
              <w:bottom w:val="nil"/>
              <w:right w:val="single" w:sz="4" w:space="0" w:color="auto"/>
            </w:tcBorders>
            <w:vAlign w:val="bottom"/>
          </w:tcPr>
          <w:p w14:paraId="4CF7619F"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Change</w:t>
            </w:r>
          </w:p>
        </w:tc>
        <w:tc>
          <w:tcPr>
            <w:tcW w:w="1077" w:type="dxa"/>
            <w:tcBorders>
              <w:top w:val="nil"/>
              <w:left w:val="single" w:sz="4" w:space="0" w:color="auto"/>
              <w:bottom w:val="nil"/>
              <w:right w:val="nil"/>
            </w:tcBorders>
            <w:vAlign w:val="bottom"/>
          </w:tcPr>
          <w:p w14:paraId="4968FAA3" w14:textId="77777777" w:rsidR="00307155" w:rsidRPr="00FC7BB4" w:rsidRDefault="00307155" w:rsidP="00F3101B">
            <w:pPr>
              <w:spacing w:line="331" w:lineRule="auto"/>
              <w:ind w:right="27" w:firstLine="0"/>
              <w:jc w:val="left"/>
              <w:rPr>
                <w:rFonts w:ascii="Times New Roman" w:hAnsi="Times New Roman" w:cs="Times New Roman"/>
                <w:i/>
                <w:iCs/>
                <w:sz w:val="18"/>
                <w:szCs w:val="18"/>
              </w:rPr>
            </w:pPr>
            <w:r w:rsidRPr="00FC7BB4">
              <w:rPr>
                <w:rFonts w:ascii="Times New Roman" w:hAnsi="Times New Roman" w:cs="Times New Roman"/>
                <w:i/>
                <w:iCs/>
                <w:sz w:val="18"/>
                <w:szCs w:val="18"/>
              </w:rPr>
              <w:t>-0.12***</w:t>
            </w:r>
          </w:p>
        </w:tc>
        <w:tc>
          <w:tcPr>
            <w:tcW w:w="1077" w:type="dxa"/>
            <w:tcBorders>
              <w:top w:val="nil"/>
              <w:left w:val="nil"/>
              <w:bottom w:val="nil"/>
              <w:right w:val="nil"/>
            </w:tcBorders>
            <w:vAlign w:val="bottom"/>
          </w:tcPr>
          <w:p w14:paraId="5B640BF1" w14:textId="77777777" w:rsidR="00307155" w:rsidRPr="00FC7BB4" w:rsidRDefault="00307155" w:rsidP="00F3101B">
            <w:pPr>
              <w:spacing w:line="331" w:lineRule="auto"/>
              <w:ind w:right="27" w:firstLine="0"/>
              <w:jc w:val="left"/>
              <w:rPr>
                <w:rFonts w:ascii="Times New Roman" w:hAnsi="Times New Roman" w:cs="Times New Roman"/>
                <w:i/>
                <w:iCs/>
                <w:sz w:val="18"/>
                <w:szCs w:val="18"/>
              </w:rPr>
            </w:pPr>
            <w:r w:rsidRPr="00FC7BB4">
              <w:rPr>
                <w:rFonts w:ascii="Times New Roman" w:hAnsi="Times New Roman" w:cs="Times New Roman"/>
                <w:i/>
                <w:iCs/>
                <w:sz w:val="18"/>
                <w:szCs w:val="18"/>
              </w:rPr>
              <w:t>-0.08***</w:t>
            </w:r>
          </w:p>
        </w:tc>
        <w:tc>
          <w:tcPr>
            <w:tcW w:w="1077" w:type="dxa"/>
            <w:tcBorders>
              <w:top w:val="nil"/>
              <w:left w:val="nil"/>
              <w:bottom w:val="nil"/>
              <w:right w:val="single" w:sz="4" w:space="0" w:color="auto"/>
            </w:tcBorders>
            <w:vAlign w:val="bottom"/>
          </w:tcPr>
          <w:p w14:paraId="282AF664" w14:textId="77777777" w:rsidR="00307155" w:rsidRPr="00FC7BB4" w:rsidRDefault="00307155" w:rsidP="00F3101B">
            <w:pPr>
              <w:spacing w:line="331" w:lineRule="auto"/>
              <w:ind w:right="27" w:firstLine="0"/>
              <w:jc w:val="left"/>
              <w:rPr>
                <w:rFonts w:ascii="Times New Roman" w:hAnsi="Times New Roman" w:cs="Times New Roman"/>
                <w:i/>
                <w:iCs/>
                <w:sz w:val="18"/>
                <w:szCs w:val="18"/>
              </w:rPr>
            </w:pPr>
            <w:r w:rsidRPr="00FC7BB4">
              <w:rPr>
                <w:rFonts w:ascii="Times New Roman" w:hAnsi="Times New Roman" w:cs="Times New Roman"/>
                <w:i/>
                <w:iCs/>
                <w:sz w:val="18"/>
                <w:szCs w:val="18"/>
              </w:rPr>
              <w:t>-0.04</w:t>
            </w:r>
          </w:p>
        </w:tc>
        <w:tc>
          <w:tcPr>
            <w:tcW w:w="1077" w:type="dxa"/>
            <w:tcBorders>
              <w:top w:val="nil"/>
              <w:left w:val="single" w:sz="4" w:space="0" w:color="auto"/>
              <w:bottom w:val="nil"/>
              <w:right w:val="nil"/>
            </w:tcBorders>
            <w:vAlign w:val="bottom"/>
          </w:tcPr>
          <w:p w14:paraId="133B2C01" w14:textId="77777777" w:rsidR="00307155" w:rsidRPr="00FC7BB4" w:rsidRDefault="00307155" w:rsidP="00F3101B">
            <w:pPr>
              <w:spacing w:line="331" w:lineRule="auto"/>
              <w:ind w:right="27" w:firstLine="0"/>
              <w:jc w:val="left"/>
              <w:rPr>
                <w:rFonts w:ascii="Times New Roman" w:hAnsi="Times New Roman" w:cs="Times New Roman"/>
                <w:i/>
                <w:iCs/>
                <w:sz w:val="18"/>
                <w:szCs w:val="18"/>
              </w:rPr>
            </w:pPr>
            <w:r w:rsidRPr="00FC7BB4">
              <w:rPr>
                <w:rFonts w:ascii="Times New Roman" w:hAnsi="Times New Roman" w:cs="Times New Roman"/>
                <w:i/>
                <w:iCs/>
                <w:sz w:val="18"/>
                <w:szCs w:val="18"/>
              </w:rPr>
              <w:t>-0.07***</w:t>
            </w:r>
          </w:p>
        </w:tc>
        <w:tc>
          <w:tcPr>
            <w:tcW w:w="1077" w:type="dxa"/>
            <w:tcBorders>
              <w:top w:val="nil"/>
              <w:left w:val="nil"/>
              <w:bottom w:val="nil"/>
              <w:right w:val="nil"/>
            </w:tcBorders>
            <w:vAlign w:val="bottom"/>
          </w:tcPr>
          <w:p w14:paraId="6013D563" w14:textId="5AE3537C" w:rsidR="00307155" w:rsidRPr="00FC7BB4" w:rsidRDefault="00895C99" w:rsidP="00F3101B">
            <w:pPr>
              <w:spacing w:line="331" w:lineRule="auto"/>
              <w:ind w:right="27" w:firstLine="0"/>
              <w:jc w:val="left"/>
              <w:rPr>
                <w:rFonts w:ascii="Times New Roman" w:hAnsi="Times New Roman" w:cs="Times New Roman"/>
                <w:i/>
                <w:iCs/>
                <w:sz w:val="18"/>
                <w:szCs w:val="18"/>
              </w:rPr>
            </w:pPr>
            <w:r w:rsidRPr="00FC7BB4">
              <w:rPr>
                <w:rFonts w:ascii="Times New Roman" w:hAnsi="Times New Roman" w:cs="Times New Roman"/>
                <w:i/>
                <w:iCs/>
                <w:sz w:val="18"/>
                <w:szCs w:val="18"/>
              </w:rPr>
              <w:t xml:space="preserve">   </w:t>
            </w:r>
            <w:r w:rsidR="00307155" w:rsidRPr="00FC7BB4">
              <w:rPr>
                <w:rFonts w:ascii="Times New Roman" w:hAnsi="Times New Roman" w:cs="Times New Roman"/>
                <w:i/>
                <w:iCs/>
                <w:sz w:val="18"/>
                <w:szCs w:val="18"/>
              </w:rPr>
              <w:t>0.00</w:t>
            </w:r>
          </w:p>
        </w:tc>
        <w:tc>
          <w:tcPr>
            <w:tcW w:w="1077" w:type="dxa"/>
            <w:tcBorders>
              <w:top w:val="nil"/>
              <w:left w:val="nil"/>
              <w:bottom w:val="nil"/>
              <w:right w:val="single" w:sz="4" w:space="0" w:color="auto"/>
            </w:tcBorders>
            <w:vAlign w:val="bottom"/>
          </w:tcPr>
          <w:p w14:paraId="73EE2B8D" w14:textId="61A7438C" w:rsidR="00307155" w:rsidRPr="00FC7BB4" w:rsidRDefault="00670E7C" w:rsidP="00F3101B">
            <w:pPr>
              <w:spacing w:line="331" w:lineRule="auto"/>
              <w:ind w:right="27" w:firstLine="0"/>
              <w:jc w:val="left"/>
              <w:rPr>
                <w:rFonts w:ascii="Times New Roman" w:hAnsi="Times New Roman" w:cs="Times New Roman"/>
                <w:i/>
                <w:iCs/>
                <w:sz w:val="18"/>
                <w:szCs w:val="18"/>
              </w:rPr>
            </w:pPr>
            <w:r w:rsidRPr="00FC7BB4">
              <w:rPr>
                <w:rFonts w:ascii="Times New Roman" w:hAnsi="Times New Roman" w:cs="Times New Roman"/>
                <w:i/>
                <w:iCs/>
                <w:sz w:val="18"/>
                <w:szCs w:val="18"/>
              </w:rPr>
              <w:t xml:space="preserve">  </w:t>
            </w:r>
            <w:r w:rsidR="00307155" w:rsidRPr="00FC7BB4">
              <w:rPr>
                <w:rFonts w:ascii="Times New Roman" w:hAnsi="Times New Roman" w:cs="Times New Roman"/>
                <w:i/>
                <w:iCs/>
                <w:sz w:val="18"/>
                <w:szCs w:val="18"/>
              </w:rPr>
              <w:t>0.06**</w:t>
            </w:r>
          </w:p>
        </w:tc>
        <w:tc>
          <w:tcPr>
            <w:tcW w:w="1077" w:type="dxa"/>
            <w:tcBorders>
              <w:top w:val="nil"/>
              <w:left w:val="single" w:sz="4" w:space="0" w:color="auto"/>
              <w:bottom w:val="nil"/>
              <w:right w:val="nil"/>
            </w:tcBorders>
            <w:vAlign w:val="bottom"/>
          </w:tcPr>
          <w:p w14:paraId="1309B257" w14:textId="77777777" w:rsidR="00307155" w:rsidRPr="00FC7BB4" w:rsidRDefault="00307155" w:rsidP="00F3101B">
            <w:pPr>
              <w:spacing w:line="331" w:lineRule="auto"/>
              <w:ind w:right="27" w:firstLine="0"/>
              <w:jc w:val="left"/>
              <w:rPr>
                <w:rFonts w:ascii="Times New Roman" w:hAnsi="Times New Roman" w:cs="Times New Roman"/>
                <w:i/>
                <w:iCs/>
                <w:sz w:val="18"/>
                <w:szCs w:val="18"/>
              </w:rPr>
            </w:pPr>
            <w:r w:rsidRPr="00FC7BB4">
              <w:rPr>
                <w:rFonts w:ascii="Times New Roman" w:hAnsi="Times New Roman" w:cs="Times New Roman"/>
                <w:i/>
                <w:iCs/>
                <w:sz w:val="18"/>
                <w:szCs w:val="18"/>
              </w:rPr>
              <w:t>-0.09***</w:t>
            </w:r>
          </w:p>
        </w:tc>
        <w:tc>
          <w:tcPr>
            <w:tcW w:w="1077" w:type="dxa"/>
            <w:tcBorders>
              <w:top w:val="nil"/>
              <w:left w:val="nil"/>
              <w:bottom w:val="nil"/>
              <w:right w:val="nil"/>
            </w:tcBorders>
            <w:vAlign w:val="bottom"/>
          </w:tcPr>
          <w:p w14:paraId="760B7FA8" w14:textId="77777777" w:rsidR="00307155" w:rsidRPr="00FC7BB4" w:rsidRDefault="00307155" w:rsidP="00F3101B">
            <w:pPr>
              <w:spacing w:line="331" w:lineRule="auto"/>
              <w:ind w:right="27" w:firstLine="0"/>
              <w:jc w:val="left"/>
              <w:rPr>
                <w:rFonts w:ascii="Times New Roman" w:hAnsi="Times New Roman" w:cs="Times New Roman"/>
                <w:i/>
                <w:iCs/>
                <w:sz w:val="18"/>
                <w:szCs w:val="18"/>
              </w:rPr>
            </w:pPr>
            <w:r w:rsidRPr="00FC7BB4">
              <w:rPr>
                <w:rFonts w:ascii="Times New Roman" w:hAnsi="Times New Roman" w:cs="Times New Roman"/>
                <w:i/>
                <w:iCs/>
                <w:sz w:val="18"/>
                <w:szCs w:val="18"/>
              </w:rPr>
              <w:t>-0.12***</w:t>
            </w:r>
          </w:p>
        </w:tc>
        <w:tc>
          <w:tcPr>
            <w:tcW w:w="1077" w:type="dxa"/>
            <w:tcBorders>
              <w:top w:val="nil"/>
              <w:left w:val="nil"/>
              <w:bottom w:val="nil"/>
              <w:right w:val="single" w:sz="4" w:space="0" w:color="auto"/>
            </w:tcBorders>
            <w:vAlign w:val="bottom"/>
          </w:tcPr>
          <w:p w14:paraId="322D37E2" w14:textId="77777777" w:rsidR="00307155" w:rsidRPr="00FC7BB4" w:rsidRDefault="00307155" w:rsidP="00F3101B">
            <w:pPr>
              <w:spacing w:line="331" w:lineRule="auto"/>
              <w:ind w:right="27" w:firstLine="0"/>
              <w:jc w:val="left"/>
              <w:rPr>
                <w:rFonts w:ascii="Times New Roman" w:hAnsi="Times New Roman" w:cs="Times New Roman"/>
                <w:i/>
                <w:iCs/>
                <w:sz w:val="18"/>
                <w:szCs w:val="18"/>
              </w:rPr>
            </w:pPr>
            <w:r w:rsidRPr="00FC7BB4">
              <w:rPr>
                <w:rFonts w:ascii="Times New Roman" w:hAnsi="Times New Roman" w:cs="Times New Roman"/>
                <w:i/>
                <w:iCs/>
                <w:sz w:val="18"/>
                <w:szCs w:val="18"/>
              </w:rPr>
              <w:t>-0.12***</w:t>
            </w:r>
          </w:p>
        </w:tc>
        <w:tc>
          <w:tcPr>
            <w:tcW w:w="1077" w:type="dxa"/>
            <w:gridSpan w:val="2"/>
            <w:tcBorders>
              <w:top w:val="nil"/>
              <w:left w:val="single" w:sz="4" w:space="0" w:color="auto"/>
              <w:bottom w:val="nil"/>
              <w:right w:val="nil"/>
            </w:tcBorders>
            <w:vAlign w:val="bottom"/>
          </w:tcPr>
          <w:p w14:paraId="0BC5A9A7" w14:textId="77777777" w:rsidR="00307155" w:rsidRPr="00FC7BB4" w:rsidRDefault="00307155" w:rsidP="00F3101B">
            <w:pPr>
              <w:spacing w:line="331" w:lineRule="auto"/>
              <w:ind w:right="27" w:firstLine="0"/>
              <w:jc w:val="left"/>
              <w:rPr>
                <w:rFonts w:ascii="Times New Roman" w:hAnsi="Times New Roman" w:cs="Times New Roman"/>
                <w:i/>
                <w:iCs/>
                <w:sz w:val="18"/>
                <w:szCs w:val="18"/>
              </w:rPr>
            </w:pPr>
            <w:r w:rsidRPr="00FC7BB4">
              <w:rPr>
                <w:rFonts w:ascii="Times New Roman" w:hAnsi="Times New Roman" w:cs="Times New Roman"/>
                <w:i/>
                <w:iCs/>
                <w:sz w:val="18"/>
                <w:szCs w:val="18"/>
              </w:rPr>
              <w:t>-0.03***</w:t>
            </w:r>
          </w:p>
        </w:tc>
        <w:tc>
          <w:tcPr>
            <w:tcW w:w="1077" w:type="dxa"/>
            <w:gridSpan w:val="2"/>
            <w:tcBorders>
              <w:top w:val="nil"/>
              <w:left w:val="nil"/>
              <w:bottom w:val="nil"/>
              <w:right w:val="nil"/>
            </w:tcBorders>
            <w:vAlign w:val="bottom"/>
          </w:tcPr>
          <w:p w14:paraId="390A2943" w14:textId="77777777" w:rsidR="00307155" w:rsidRPr="00FC7BB4" w:rsidRDefault="00307155" w:rsidP="00F3101B">
            <w:pPr>
              <w:spacing w:line="331" w:lineRule="auto"/>
              <w:ind w:right="27" w:firstLine="0"/>
              <w:jc w:val="left"/>
              <w:rPr>
                <w:rFonts w:ascii="Times New Roman" w:hAnsi="Times New Roman" w:cs="Times New Roman"/>
                <w:i/>
                <w:iCs/>
                <w:sz w:val="18"/>
                <w:szCs w:val="18"/>
              </w:rPr>
            </w:pPr>
            <w:r w:rsidRPr="00FC7BB4">
              <w:rPr>
                <w:rFonts w:ascii="Times New Roman" w:hAnsi="Times New Roman" w:cs="Times New Roman"/>
                <w:i/>
                <w:iCs/>
                <w:sz w:val="18"/>
                <w:szCs w:val="18"/>
              </w:rPr>
              <w:t>0.15***</w:t>
            </w:r>
          </w:p>
        </w:tc>
        <w:tc>
          <w:tcPr>
            <w:tcW w:w="1077" w:type="dxa"/>
            <w:gridSpan w:val="2"/>
            <w:tcBorders>
              <w:top w:val="nil"/>
              <w:left w:val="nil"/>
              <w:bottom w:val="nil"/>
              <w:right w:val="nil"/>
            </w:tcBorders>
            <w:vAlign w:val="bottom"/>
          </w:tcPr>
          <w:p w14:paraId="55DDAEA7" w14:textId="77777777" w:rsidR="00307155" w:rsidRPr="00FC7BB4" w:rsidRDefault="00307155" w:rsidP="00F3101B">
            <w:pPr>
              <w:spacing w:line="331" w:lineRule="auto"/>
              <w:ind w:right="27" w:firstLine="0"/>
              <w:jc w:val="left"/>
              <w:rPr>
                <w:rFonts w:ascii="Times New Roman" w:hAnsi="Times New Roman" w:cs="Times New Roman"/>
                <w:i/>
                <w:iCs/>
                <w:sz w:val="18"/>
                <w:szCs w:val="18"/>
              </w:rPr>
            </w:pPr>
            <w:r w:rsidRPr="00FC7BB4">
              <w:rPr>
                <w:rFonts w:ascii="Times New Roman" w:hAnsi="Times New Roman" w:cs="Times New Roman"/>
                <w:i/>
                <w:iCs/>
                <w:sz w:val="18"/>
                <w:szCs w:val="18"/>
              </w:rPr>
              <w:t>0.24***</w:t>
            </w:r>
          </w:p>
        </w:tc>
      </w:tr>
      <w:tr w:rsidR="00307155" w:rsidRPr="00FC7BB4" w14:paraId="4E5AA5F0" w14:textId="77777777" w:rsidTr="00291B27">
        <w:trPr>
          <w:gridAfter w:val="1"/>
          <w:wAfter w:w="2914" w:type="dxa"/>
          <w:trHeight w:val="345"/>
        </w:trPr>
        <w:tc>
          <w:tcPr>
            <w:tcW w:w="1184" w:type="dxa"/>
            <w:tcBorders>
              <w:top w:val="nil"/>
              <w:left w:val="nil"/>
              <w:bottom w:val="nil"/>
              <w:right w:val="single" w:sz="4" w:space="0" w:color="auto"/>
            </w:tcBorders>
            <w:vAlign w:val="bottom"/>
          </w:tcPr>
          <w:p w14:paraId="00720AB3" w14:textId="77777777" w:rsidR="00307155" w:rsidRPr="00FC7BB4" w:rsidRDefault="00307155" w:rsidP="00F3101B">
            <w:pPr>
              <w:spacing w:line="331"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  </w:t>
            </w:r>
            <w:proofErr w:type="spellStart"/>
            <w:proofErr w:type="gramStart"/>
            <w:r w:rsidRPr="00FC7BB4">
              <w:rPr>
                <w:rFonts w:ascii="Times New Roman" w:hAnsi="Times New Roman" w:cs="Times New Roman"/>
                <w:sz w:val="18"/>
                <w:szCs w:val="18"/>
              </w:rPr>
              <w:t>Ddn,R</w:t>
            </w:r>
            <w:proofErr w:type="spellEnd"/>
            <w:proofErr w:type="gramEnd"/>
            <w:r w:rsidRPr="00FC7BB4">
              <w:rPr>
                <w:rFonts w:ascii="Times New Roman" w:hAnsi="Times New Roman" w:cs="Times New Roman"/>
                <w:sz w:val="18"/>
                <w:szCs w:val="18"/>
              </w:rPr>
              <w:t>=0</w:t>
            </w:r>
          </w:p>
        </w:tc>
        <w:tc>
          <w:tcPr>
            <w:tcW w:w="1077" w:type="dxa"/>
            <w:tcBorders>
              <w:top w:val="nil"/>
              <w:left w:val="single" w:sz="4" w:space="0" w:color="auto"/>
              <w:bottom w:val="nil"/>
              <w:right w:val="nil"/>
            </w:tcBorders>
            <w:vAlign w:val="bottom"/>
          </w:tcPr>
          <w:p w14:paraId="321131B8"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0.15</w:t>
            </w:r>
          </w:p>
        </w:tc>
        <w:tc>
          <w:tcPr>
            <w:tcW w:w="1077" w:type="dxa"/>
            <w:tcBorders>
              <w:top w:val="nil"/>
              <w:left w:val="nil"/>
              <w:bottom w:val="nil"/>
              <w:right w:val="nil"/>
            </w:tcBorders>
            <w:vAlign w:val="bottom"/>
          </w:tcPr>
          <w:p w14:paraId="58AD3EA1"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0.24</w:t>
            </w:r>
          </w:p>
        </w:tc>
        <w:tc>
          <w:tcPr>
            <w:tcW w:w="1077" w:type="dxa"/>
            <w:tcBorders>
              <w:top w:val="nil"/>
              <w:left w:val="nil"/>
              <w:bottom w:val="nil"/>
              <w:right w:val="single" w:sz="4" w:space="0" w:color="auto"/>
            </w:tcBorders>
            <w:vAlign w:val="bottom"/>
          </w:tcPr>
          <w:p w14:paraId="09488337"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0.32</w:t>
            </w:r>
          </w:p>
        </w:tc>
        <w:tc>
          <w:tcPr>
            <w:tcW w:w="1077" w:type="dxa"/>
            <w:tcBorders>
              <w:top w:val="nil"/>
              <w:left w:val="single" w:sz="4" w:space="0" w:color="auto"/>
              <w:bottom w:val="nil"/>
              <w:right w:val="nil"/>
            </w:tcBorders>
            <w:vAlign w:val="bottom"/>
          </w:tcPr>
          <w:p w14:paraId="3DDE932C"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0.21</w:t>
            </w:r>
          </w:p>
        </w:tc>
        <w:tc>
          <w:tcPr>
            <w:tcW w:w="1077" w:type="dxa"/>
            <w:tcBorders>
              <w:top w:val="nil"/>
              <w:left w:val="nil"/>
              <w:bottom w:val="nil"/>
              <w:right w:val="nil"/>
            </w:tcBorders>
            <w:vAlign w:val="bottom"/>
          </w:tcPr>
          <w:p w14:paraId="1EC0CFAF"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0.29</w:t>
            </w:r>
          </w:p>
        </w:tc>
        <w:tc>
          <w:tcPr>
            <w:tcW w:w="1077" w:type="dxa"/>
            <w:tcBorders>
              <w:top w:val="nil"/>
              <w:left w:val="nil"/>
              <w:bottom w:val="nil"/>
              <w:right w:val="single" w:sz="4" w:space="0" w:color="auto"/>
            </w:tcBorders>
            <w:vAlign w:val="bottom"/>
          </w:tcPr>
          <w:p w14:paraId="65EC381A"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0.35</w:t>
            </w:r>
          </w:p>
        </w:tc>
        <w:tc>
          <w:tcPr>
            <w:tcW w:w="1077" w:type="dxa"/>
            <w:tcBorders>
              <w:top w:val="nil"/>
              <w:left w:val="single" w:sz="4" w:space="0" w:color="auto"/>
              <w:bottom w:val="nil"/>
              <w:right w:val="nil"/>
            </w:tcBorders>
            <w:vAlign w:val="bottom"/>
          </w:tcPr>
          <w:p w14:paraId="32311AE2"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0.31</w:t>
            </w:r>
          </w:p>
        </w:tc>
        <w:tc>
          <w:tcPr>
            <w:tcW w:w="1077" w:type="dxa"/>
            <w:tcBorders>
              <w:top w:val="nil"/>
              <w:left w:val="nil"/>
              <w:bottom w:val="nil"/>
              <w:right w:val="nil"/>
            </w:tcBorders>
            <w:vAlign w:val="bottom"/>
          </w:tcPr>
          <w:p w14:paraId="20E116FC"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0.47</w:t>
            </w:r>
          </w:p>
        </w:tc>
        <w:tc>
          <w:tcPr>
            <w:tcW w:w="1077" w:type="dxa"/>
            <w:tcBorders>
              <w:top w:val="nil"/>
              <w:left w:val="nil"/>
              <w:bottom w:val="nil"/>
              <w:right w:val="single" w:sz="4" w:space="0" w:color="auto"/>
            </w:tcBorders>
            <w:vAlign w:val="bottom"/>
          </w:tcPr>
          <w:p w14:paraId="763B94F0"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0.58</w:t>
            </w:r>
          </w:p>
        </w:tc>
        <w:tc>
          <w:tcPr>
            <w:tcW w:w="1077" w:type="dxa"/>
            <w:gridSpan w:val="2"/>
            <w:tcBorders>
              <w:top w:val="nil"/>
              <w:left w:val="single" w:sz="4" w:space="0" w:color="auto"/>
              <w:bottom w:val="nil"/>
              <w:right w:val="nil"/>
            </w:tcBorders>
            <w:vAlign w:val="bottom"/>
          </w:tcPr>
          <w:p w14:paraId="66CDC1C2"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0.45</w:t>
            </w:r>
          </w:p>
        </w:tc>
        <w:tc>
          <w:tcPr>
            <w:tcW w:w="1077" w:type="dxa"/>
            <w:gridSpan w:val="2"/>
            <w:tcBorders>
              <w:top w:val="nil"/>
              <w:left w:val="nil"/>
              <w:bottom w:val="nil"/>
              <w:right w:val="nil"/>
            </w:tcBorders>
            <w:vAlign w:val="bottom"/>
          </w:tcPr>
          <w:p w14:paraId="7E8F1201"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0.49</w:t>
            </w:r>
          </w:p>
        </w:tc>
        <w:tc>
          <w:tcPr>
            <w:tcW w:w="1077" w:type="dxa"/>
            <w:gridSpan w:val="2"/>
            <w:tcBorders>
              <w:top w:val="nil"/>
              <w:left w:val="nil"/>
              <w:bottom w:val="nil"/>
              <w:right w:val="nil"/>
            </w:tcBorders>
            <w:vAlign w:val="bottom"/>
          </w:tcPr>
          <w:p w14:paraId="51B2AB18"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0.51</w:t>
            </w:r>
          </w:p>
        </w:tc>
      </w:tr>
      <w:tr w:rsidR="00307155" w:rsidRPr="00FC7BB4" w14:paraId="237DB9CC" w14:textId="77777777" w:rsidTr="00291B27">
        <w:trPr>
          <w:gridAfter w:val="1"/>
          <w:wAfter w:w="2914" w:type="dxa"/>
          <w:trHeight w:val="50"/>
        </w:trPr>
        <w:tc>
          <w:tcPr>
            <w:tcW w:w="1184" w:type="dxa"/>
            <w:tcBorders>
              <w:top w:val="nil"/>
              <w:left w:val="nil"/>
              <w:bottom w:val="nil"/>
              <w:right w:val="single" w:sz="4" w:space="0" w:color="auto"/>
            </w:tcBorders>
            <w:vAlign w:val="bottom"/>
          </w:tcPr>
          <w:p w14:paraId="069CC973" w14:textId="77777777" w:rsidR="00307155" w:rsidRPr="00FC7BB4" w:rsidRDefault="00307155" w:rsidP="00F3101B">
            <w:pPr>
              <w:spacing w:line="331"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  </w:t>
            </w:r>
            <w:proofErr w:type="spellStart"/>
            <w:proofErr w:type="gramStart"/>
            <w:r w:rsidRPr="00FC7BB4">
              <w:rPr>
                <w:rFonts w:ascii="Times New Roman" w:hAnsi="Times New Roman" w:cs="Times New Roman"/>
                <w:sz w:val="18"/>
                <w:szCs w:val="18"/>
              </w:rPr>
              <w:t>Ddn,R</w:t>
            </w:r>
            <w:proofErr w:type="spellEnd"/>
            <w:proofErr w:type="gramEnd"/>
            <w:r w:rsidRPr="00FC7BB4">
              <w:rPr>
                <w:rFonts w:ascii="Times New Roman" w:hAnsi="Times New Roman" w:cs="Times New Roman"/>
                <w:sz w:val="18"/>
                <w:szCs w:val="18"/>
              </w:rPr>
              <w:t>=1</w:t>
            </w:r>
          </w:p>
        </w:tc>
        <w:tc>
          <w:tcPr>
            <w:tcW w:w="1077" w:type="dxa"/>
            <w:tcBorders>
              <w:top w:val="nil"/>
              <w:left w:val="single" w:sz="4" w:space="0" w:color="auto"/>
              <w:bottom w:val="nil"/>
              <w:right w:val="nil"/>
            </w:tcBorders>
            <w:vAlign w:val="bottom"/>
          </w:tcPr>
          <w:p w14:paraId="47E8EB69"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0.12</w:t>
            </w:r>
          </w:p>
        </w:tc>
        <w:tc>
          <w:tcPr>
            <w:tcW w:w="1077" w:type="dxa"/>
            <w:tcBorders>
              <w:top w:val="nil"/>
              <w:left w:val="nil"/>
              <w:bottom w:val="nil"/>
              <w:right w:val="nil"/>
            </w:tcBorders>
            <w:vAlign w:val="bottom"/>
          </w:tcPr>
          <w:p w14:paraId="4D9C028C"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0.23</w:t>
            </w:r>
          </w:p>
        </w:tc>
        <w:tc>
          <w:tcPr>
            <w:tcW w:w="1077" w:type="dxa"/>
            <w:tcBorders>
              <w:top w:val="nil"/>
              <w:left w:val="nil"/>
              <w:bottom w:val="nil"/>
              <w:right w:val="single" w:sz="4" w:space="0" w:color="auto"/>
            </w:tcBorders>
            <w:vAlign w:val="bottom"/>
          </w:tcPr>
          <w:p w14:paraId="751A81CF"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0.33</w:t>
            </w:r>
          </w:p>
        </w:tc>
        <w:tc>
          <w:tcPr>
            <w:tcW w:w="1077" w:type="dxa"/>
            <w:tcBorders>
              <w:top w:val="nil"/>
              <w:left w:val="single" w:sz="4" w:space="0" w:color="auto"/>
              <w:bottom w:val="nil"/>
              <w:right w:val="nil"/>
            </w:tcBorders>
            <w:vAlign w:val="bottom"/>
          </w:tcPr>
          <w:p w14:paraId="14F2D0F2"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0.17</w:t>
            </w:r>
          </w:p>
        </w:tc>
        <w:tc>
          <w:tcPr>
            <w:tcW w:w="1077" w:type="dxa"/>
            <w:tcBorders>
              <w:top w:val="nil"/>
              <w:left w:val="nil"/>
              <w:bottom w:val="nil"/>
              <w:right w:val="nil"/>
            </w:tcBorders>
            <w:vAlign w:val="bottom"/>
          </w:tcPr>
          <w:p w14:paraId="4246995F"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0.29</w:t>
            </w:r>
          </w:p>
        </w:tc>
        <w:tc>
          <w:tcPr>
            <w:tcW w:w="1077" w:type="dxa"/>
            <w:tcBorders>
              <w:top w:val="nil"/>
              <w:left w:val="nil"/>
              <w:bottom w:val="nil"/>
              <w:right w:val="single" w:sz="4" w:space="0" w:color="auto"/>
            </w:tcBorders>
            <w:vAlign w:val="bottom"/>
          </w:tcPr>
          <w:p w14:paraId="2976B9F7"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0.38</w:t>
            </w:r>
          </w:p>
        </w:tc>
        <w:tc>
          <w:tcPr>
            <w:tcW w:w="1077" w:type="dxa"/>
            <w:tcBorders>
              <w:top w:val="nil"/>
              <w:left w:val="single" w:sz="4" w:space="0" w:color="auto"/>
              <w:bottom w:val="nil"/>
              <w:right w:val="nil"/>
            </w:tcBorders>
            <w:vAlign w:val="bottom"/>
          </w:tcPr>
          <w:p w14:paraId="4AC8F426"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0.27</w:t>
            </w:r>
          </w:p>
        </w:tc>
        <w:tc>
          <w:tcPr>
            <w:tcW w:w="1077" w:type="dxa"/>
            <w:tcBorders>
              <w:top w:val="nil"/>
              <w:left w:val="nil"/>
              <w:bottom w:val="nil"/>
              <w:right w:val="nil"/>
            </w:tcBorders>
            <w:vAlign w:val="bottom"/>
          </w:tcPr>
          <w:p w14:paraId="1A4B3138"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0.44</w:t>
            </w:r>
          </w:p>
        </w:tc>
        <w:tc>
          <w:tcPr>
            <w:tcW w:w="1077" w:type="dxa"/>
            <w:tcBorders>
              <w:top w:val="nil"/>
              <w:left w:val="nil"/>
              <w:bottom w:val="nil"/>
              <w:right w:val="single" w:sz="4" w:space="0" w:color="auto"/>
            </w:tcBorders>
            <w:vAlign w:val="bottom"/>
          </w:tcPr>
          <w:p w14:paraId="51ABFBE6"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0.56</w:t>
            </w:r>
          </w:p>
        </w:tc>
        <w:tc>
          <w:tcPr>
            <w:tcW w:w="1077" w:type="dxa"/>
            <w:gridSpan w:val="2"/>
            <w:tcBorders>
              <w:top w:val="nil"/>
              <w:left w:val="single" w:sz="4" w:space="0" w:color="auto"/>
              <w:bottom w:val="nil"/>
              <w:right w:val="nil"/>
            </w:tcBorders>
            <w:vAlign w:val="bottom"/>
          </w:tcPr>
          <w:p w14:paraId="4DEB7621"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0.49</w:t>
            </w:r>
          </w:p>
        </w:tc>
        <w:tc>
          <w:tcPr>
            <w:tcW w:w="1077" w:type="dxa"/>
            <w:gridSpan w:val="2"/>
            <w:tcBorders>
              <w:top w:val="nil"/>
              <w:left w:val="nil"/>
              <w:bottom w:val="nil"/>
              <w:right w:val="nil"/>
            </w:tcBorders>
            <w:vAlign w:val="bottom"/>
          </w:tcPr>
          <w:p w14:paraId="5D1FA614"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0.78</w:t>
            </w:r>
          </w:p>
        </w:tc>
        <w:tc>
          <w:tcPr>
            <w:tcW w:w="1077" w:type="dxa"/>
            <w:gridSpan w:val="2"/>
            <w:tcBorders>
              <w:top w:val="nil"/>
              <w:left w:val="nil"/>
              <w:bottom w:val="nil"/>
              <w:right w:val="nil"/>
            </w:tcBorders>
            <w:vAlign w:val="bottom"/>
          </w:tcPr>
          <w:p w14:paraId="22334228"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0.91</w:t>
            </w:r>
          </w:p>
        </w:tc>
      </w:tr>
      <w:tr w:rsidR="00307155" w:rsidRPr="00FC7BB4" w14:paraId="1C1D72A8" w14:textId="77777777" w:rsidTr="00291B27">
        <w:trPr>
          <w:gridAfter w:val="1"/>
          <w:wAfter w:w="2914" w:type="dxa"/>
          <w:trHeight w:val="40"/>
        </w:trPr>
        <w:tc>
          <w:tcPr>
            <w:tcW w:w="1184" w:type="dxa"/>
            <w:tcBorders>
              <w:top w:val="nil"/>
              <w:left w:val="nil"/>
              <w:bottom w:val="single" w:sz="4" w:space="0" w:color="auto"/>
              <w:right w:val="single" w:sz="4" w:space="0" w:color="auto"/>
            </w:tcBorders>
            <w:vAlign w:val="bottom"/>
          </w:tcPr>
          <w:p w14:paraId="294D829B"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Change</w:t>
            </w:r>
          </w:p>
        </w:tc>
        <w:tc>
          <w:tcPr>
            <w:tcW w:w="1077" w:type="dxa"/>
            <w:tcBorders>
              <w:top w:val="nil"/>
              <w:left w:val="single" w:sz="4" w:space="0" w:color="auto"/>
              <w:bottom w:val="single" w:sz="4" w:space="0" w:color="auto"/>
              <w:right w:val="nil"/>
            </w:tcBorders>
            <w:vAlign w:val="bottom"/>
          </w:tcPr>
          <w:p w14:paraId="1D983054"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-0.03**</w:t>
            </w:r>
          </w:p>
        </w:tc>
        <w:tc>
          <w:tcPr>
            <w:tcW w:w="1077" w:type="dxa"/>
            <w:tcBorders>
              <w:top w:val="nil"/>
              <w:left w:val="nil"/>
              <w:bottom w:val="single" w:sz="4" w:space="0" w:color="auto"/>
              <w:right w:val="nil"/>
            </w:tcBorders>
            <w:vAlign w:val="bottom"/>
          </w:tcPr>
          <w:p w14:paraId="7282CCF2"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-0.01</w:t>
            </w:r>
          </w:p>
        </w:tc>
        <w:tc>
          <w:tcPr>
            <w:tcW w:w="1077" w:type="dxa"/>
            <w:tcBorders>
              <w:top w:val="nil"/>
              <w:left w:val="nil"/>
              <w:bottom w:val="single" w:sz="4" w:space="0" w:color="auto"/>
              <w:right w:val="single" w:sz="4" w:space="0" w:color="auto"/>
            </w:tcBorders>
            <w:vAlign w:val="bottom"/>
          </w:tcPr>
          <w:p w14:paraId="1EFD563A" w14:textId="650DB440"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0.01</w:t>
            </w:r>
          </w:p>
        </w:tc>
        <w:tc>
          <w:tcPr>
            <w:tcW w:w="1077" w:type="dxa"/>
            <w:tcBorders>
              <w:top w:val="nil"/>
              <w:left w:val="single" w:sz="4" w:space="0" w:color="auto"/>
              <w:bottom w:val="single" w:sz="4" w:space="0" w:color="auto"/>
              <w:right w:val="nil"/>
            </w:tcBorders>
            <w:vAlign w:val="bottom"/>
          </w:tcPr>
          <w:p w14:paraId="77E1C1B7"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-0.04***</w:t>
            </w:r>
          </w:p>
        </w:tc>
        <w:tc>
          <w:tcPr>
            <w:tcW w:w="1077" w:type="dxa"/>
            <w:tcBorders>
              <w:top w:val="nil"/>
              <w:left w:val="nil"/>
              <w:bottom w:val="single" w:sz="4" w:space="0" w:color="auto"/>
              <w:right w:val="nil"/>
            </w:tcBorders>
            <w:vAlign w:val="bottom"/>
          </w:tcPr>
          <w:p w14:paraId="2AD170BC" w14:textId="2A1263BB" w:rsidR="00307155" w:rsidRPr="00FC7BB4" w:rsidRDefault="00895C99"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 xml:space="preserve">   </w:t>
            </w:r>
            <w:r w:rsidR="00307155" w:rsidRPr="00FC7BB4">
              <w:rPr>
                <w:rFonts w:ascii="Times New Roman" w:hAnsi="Times New Roman" w:cs="Times New Roman"/>
                <w:i/>
                <w:iCs/>
                <w:sz w:val="18"/>
                <w:szCs w:val="18"/>
              </w:rPr>
              <w:t>0.00</w:t>
            </w:r>
          </w:p>
        </w:tc>
        <w:tc>
          <w:tcPr>
            <w:tcW w:w="1077" w:type="dxa"/>
            <w:tcBorders>
              <w:top w:val="nil"/>
              <w:left w:val="nil"/>
              <w:bottom w:val="single" w:sz="4" w:space="0" w:color="auto"/>
              <w:right w:val="single" w:sz="4" w:space="0" w:color="auto"/>
            </w:tcBorders>
            <w:vAlign w:val="bottom"/>
          </w:tcPr>
          <w:p w14:paraId="3FDE9B76" w14:textId="32CDBA00" w:rsidR="00307155" w:rsidRPr="00FC7BB4" w:rsidRDefault="00670E7C"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 xml:space="preserve">  </w:t>
            </w:r>
            <w:r w:rsidR="00307155" w:rsidRPr="00FC7BB4">
              <w:rPr>
                <w:rFonts w:ascii="Times New Roman" w:hAnsi="Times New Roman" w:cs="Times New Roman"/>
                <w:i/>
                <w:iCs/>
                <w:sz w:val="18"/>
                <w:szCs w:val="18"/>
              </w:rPr>
              <w:t>0.04</w:t>
            </w:r>
          </w:p>
        </w:tc>
        <w:tc>
          <w:tcPr>
            <w:tcW w:w="1077" w:type="dxa"/>
            <w:tcBorders>
              <w:top w:val="nil"/>
              <w:left w:val="single" w:sz="4" w:space="0" w:color="auto"/>
              <w:bottom w:val="single" w:sz="4" w:space="0" w:color="auto"/>
              <w:right w:val="nil"/>
            </w:tcBorders>
            <w:vAlign w:val="bottom"/>
          </w:tcPr>
          <w:p w14:paraId="59FEDC6D"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-0.04**</w:t>
            </w:r>
          </w:p>
        </w:tc>
        <w:tc>
          <w:tcPr>
            <w:tcW w:w="1077" w:type="dxa"/>
            <w:tcBorders>
              <w:top w:val="nil"/>
              <w:left w:val="nil"/>
              <w:bottom w:val="single" w:sz="4" w:space="0" w:color="auto"/>
              <w:right w:val="nil"/>
            </w:tcBorders>
            <w:vAlign w:val="bottom"/>
          </w:tcPr>
          <w:p w14:paraId="215B2448" w14:textId="0339E695" w:rsidR="00307155" w:rsidRPr="00FC7BB4" w:rsidRDefault="006C0851"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 xml:space="preserve"> </w:t>
            </w:r>
            <w:r w:rsidR="00307155" w:rsidRPr="00FC7BB4">
              <w:rPr>
                <w:rFonts w:ascii="Times New Roman" w:hAnsi="Times New Roman" w:cs="Times New Roman"/>
                <w:i/>
                <w:iCs/>
                <w:sz w:val="18"/>
                <w:szCs w:val="18"/>
              </w:rPr>
              <w:t>-0.03</w:t>
            </w:r>
          </w:p>
        </w:tc>
        <w:tc>
          <w:tcPr>
            <w:tcW w:w="1077" w:type="dxa"/>
            <w:tcBorders>
              <w:top w:val="nil"/>
              <w:left w:val="nil"/>
              <w:bottom w:val="single" w:sz="4" w:space="0" w:color="auto"/>
              <w:right w:val="single" w:sz="4" w:space="0" w:color="auto"/>
            </w:tcBorders>
            <w:vAlign w:val="bottom"/>
          </w:tcPr>
          <w:p w14:paraId="408B9A19"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-0.02</w:t>
            </w:r>
          </w:p>
        </w:tc>
        <w:tc>
          <w:tcPr>
            <w:tcW w:w="1077" w:type="dxa"/>
            <w:gridSpan w:val="2"/>
            <w:tcBorders>
              <w:top w:val="nil"/>
              <w:left w:val="single" w:sz="4" w:space="0" w:color="auto"/>
              <w:bottom w:val="single" w:sz="4" w:space="0" w:color="auto"/>
              <w:right w:val="nil"/>
            </w:tcBorders>
            <w:vAlign w:val="bottom"/>
          </w:tcPr>
          <w:p w14:paraId="46A396E9"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0.04***</w:t>
            </w:r>
          </w:p>
        </w:tc>
        <w:tc>
          <w:tcPr>
            <w:tcW w:w="1077" w:type="dxa"/>
            <w:gridSpan w:val="2"/>
            <w:tcBorders>
              <w:top w:val="nil"/>
              <w:left w:val="nil"/>
              <w:bottom w:val="single" w:sz="4" w:space="0" w:color="auto"/>
              <w:right w:val="nil"/>
            </w:tcBorders>
            <w:vAlign w:val="bottom"/>
          </w:tcPr>
          <w:p w14:paraId="0CE13CB8"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0.29***</w:t>
            </w:r>
          </w:p>
        </w:tc>
        <w:tc>
          <w:tcPr>
            <w:tcW w:w="1077" w:type="dxa"/>
            <w:gridSpan w:val="2"/>
            <w:tcBorders>
              <w:top w:val="nil"/>
              <w:left w:val="nil"/>
              <w:bottom w:val="single" w:sz="4" w:space="0" w:color="auto"/>
              <w:right w:val="nil"/>
            </w:tcBorders>
            <w:vAlign w:val="bottom"/>
          </w:tcPr>
          <w:p w14:paraId="37E30AAD"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0.39***</w:t>
            </w:r>
          </w:p>
        </w:tc>
      </w:tr>
      <w:tr w:rsidR="00307155" w:rsidRPr="00FC7BB4" w14:paraId="751AB284" w14:textId="77777777" w:rsidTr="00291B27">
        <w:trPr>
          <w:trHeight w:val="338"/>
        </w:trPr>
        <w:tc>
          <w:tcPr>
            <w:tcW w:w="17022" w:type="dxa"/>
            <w:gridSpan w:val="17"/>
            <w:tcBorders>
              <w:top w:val="nil"/>
              <w:left w:val="nil"/>
              <w:bottom w:val="nil"/>
              <w:right w:val="nil"/>
            </w:tcBorders>
            <w:vAlign w:val="bottom"/>
          </w:tcPr>
          <w:p w14:paraId="30C44869" w14:textId="61D4EB48"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Probability firms decrease prices (</w:t>
            </w:r>
            <w:proofErr w:type="spellStart"/>
            <w:r w:rsidRPr="00FC7BB4">
              <w:rPr>
                <w:rFonts w:ascii="Times New Roman" w:hAnsi="Times New Roman" w:cs="Times New Roman"/>
                <w:i/>
                <w:iCs/>
                <w:sz w:val="18"/>
                <w:szCs w:val="18"/>
              </w:rPr>
              <w:t>Pdn</w:t>
            </w:r>
            <w:proofErr w:type="spellEnd"/>
            <w:r w:rsidRPr="00FC7BB4">
              <w:rPr>
                <w:rFonts w:ascii="Times New Roman" w:hAnsi="Times New Roman" w:cs="Times New Roman"/>
                <w:i/>
                <w:iCs/>
                <w:sz w:val="18"/>
                <w:szCs w:val="18"/>
              </w:rPr>
              <w:t>) when costs decrease</w:t>
            </w:r>
            <w:r w:rsidR="00351D90" w:rsidRPr="00FC7BB4">
              <w:rPr>
                <w:rFonts w:ascii="Times New Roman" w:hAnsi="Times New Roman" w:cs="Times New Roman"/>
                <w:i/>
                <w:iCs/>
                <w:sz w:val="18"/>
                <w:szCs w:val="18"/>
              </w:rPr>
              <w:t xml:space="preserve"> (</w:t>
            </w:r>
            <w:proofErr w:type="spellStart"/>
            <w:r w:rsidRPr="00FC7BB4">
              <w:rPr>
                <w:rFonts w:ascii="Times New Roman" w:hAnsi="Times New Roman" w:cs="Times New Roman"/>
                <w:i/>
                <w:iCs/>
                <w:sz w:val="18"/>
                <w:szCs w:val="18"/>
              </w:rPr>
              <w:t>Cdn</w:t>
            </w:r>
            <w:proofErr w:type="spellEnd"/>
            <w:r w:rsidRPr="00FC7BB4">
              <w:rPr>
                <w:rFonts w:ascii="Times New Roman" w:hAnsi="Times New Roman" w:cs="Times New Roman"/>
                <w:i/>
                <w:iCs/>
                <w:sz w:val="18"/>
                <w:szCs w:val="18"/>
              </w:rPr>
              <w:t>) and.…</w:t>
            </w:r>
          </w:p>
        </w:tc>
      </w:tr>
      <w:tr w:rsidR="00307155" w:rsidRPr="00FC7BB4" w14:paraId="56E63CE0" w14:textId="77777777" w:rsidTr="00291B27">
        <w:trPr>
          <w:gridAfter w:val="1"/>
          <w:wAfter w:w="2914" w:type="dxa"/>
          <w:trHeight w:val="338"/>
        </w:trPr>
        <w:tc>
          <w:tcPr>
            <w:tcW w:w="1184" w:type="dxa"/>
            <w:tcBorders>
              <w:top w:val="nil"/>
              <w:left w:val="nil"/>
              <w:bottom w:val="nil"/>
              <w:right w:val="single" w:sz="4" w:space="0" w:color="auto"/>
            </w:tcBorders>
            <w:vAlign w:val="bottom"/>
          </w:tcPr>
          <w:p w14:paraId="1C3F7202" w14:textId="77777777" w:rsidR="00307155" w:rsidRPr="00FC7BB4" w:rsidRDefault="00307155" w:rsidP="00F3101B">
            <w:pPr>
              <w:spacing w:line="331"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  </w:t>
            </w:r>
            <w:proofErr w:type="spellStart"/>
            <w:proofErr w:type="gramStart"/>
            <w:r w:rsidRPr="00FC7BB4">
              <w:rPr>
                <w:rFonts w:ascii="Times New Roman" w:hAnsi="Times New Roman" w:cs="Times New Roman"/>
                <w:sz w:val="18"/>
                <w:szCs w:val="18"/>
              </w:rPr>
              <w:t>Dup,R</w:t>
            </w:r>
            <w:proofErr w:type="spellEnd"/>
            <w:proofErr w:type="gramEnd"/>
            <w:r w:rsidRPr="00FC7BB4">
              <w:rPr>
                <w:rFonts w:ascii="Times New Roman" w:hAnsi="Times New Roman" w:cs="Times New Roman"/>
                <w:sz w:val="18"/>
                <w:szCs w:val="18"/>
              </w:rPr>
              <w:t>=0</w:t>
            </w:r>
          </w:p>
        </w:tc>
        <w:tc>
          <w:tcPr>
            <w:tcW w:w="1077" w:type="dxa"/>
            <w:tcBorders>
              <w:top w:val="nil"/>
              <w:left w:val="single" w:sz="4" w:space="0" w:color="auto"/>
              <w:bottom w:val="nil"/>
              <w:right w:val="nil"/>
            </w:tcBorders>
            <w:vAlign w:val="bottom"/>
          </w:tcPr>
          <w:p w14:paraId="49057A89"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0.36</w:t>
            </w:r>
          </w:p>
        </w:tc>
        <w:tc>
          <w:tcPr>
            <w:tcW w:w="1077" w:type="dxa"/>
            <w:tcBorders>
              <w:top w:val="nil"/>
              <w:left w:val="nil"/>
              <w:bottom w:val="nil"/>
              <w:right w:val="nil"/>
            </w:tcBorders>
            <w:vAlign w:val="bottom"/>
          </w:tcPr>
          <w:p w14:paraId="723AC25E"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0.38</w:t>
            </w:r>
          </w:p>
        </w:tc>
        <w:tc>
          <w:tcPr>
            <w:tcW w:w="1077" w:type="dxa"/>
            <w:tcBorders>
              <w:top w:val="nil"/>
              <w:left w:val="nil"/>
              <w:bottom w:val="nil"/>
              <w:right w:val="single" w:sz="4" w:space="0" w:color="auto"/>
            </w:tcBorders>
            <w:vAlign w:val="bottom"/>
          </w:tcPr>
          <w:p w14:paraId="533F7FDE"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0.40</w:t>
            </w:r>
          </w:p>
        </w:tc>
        <w:tc>
          <w:tcPr>
            <w:tcW w:w="1077" w:type="dxa"/>
            <w:tcBorders>
              <w:top w:val="nil"/>
              <w:left w:val="single" w:sz="4" w:space="0" w:color="auto"/>
              <w:bottom w:val="nil"/>
              <w:right w:val="nil"/>
            </w:tcBorders>
            <w:vAlign w:val="bottom"/>
          </w:tcPr>
          <w:p w14:paraId="46193AE5"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0.22</w:t>
            </w:r>
          </w:p>
        </w:tc>
        <w:tc>
          <w:tcPr>
            <w:tcW w:w="1077" w:type="dxa"/>
            <w:tcBorders>
              <w:top w:val="nil"/>
              <w:left w:val="nil"/>
              <w:bottom w:val="nil"/>
              <w:right w:val="nil"/>
            </w:tcBorders>
            <w:vAlign w:val="bottom"/>
          </w:tcPr>
          <w:p w14:paraId="50F53576"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0.18</w:t>
            </w:r>
          </w:p>
        </w:tc>
        <w:tc>
          <w:tcPr>
            <w:tcW w:w="1077" w:type="dxa"/>
            <w:tcBorders>
              <w:top w:val="nil"/>
              <w:left w:val="nil"/>
              <w:bottom w:val="nil"/>
              <w:right w:val="single" w:sz="4" w:space="0" w:color="auto"/>
            </w:tcBorders>
            <w:vAlign w:val="bottom"/>
          </w:tcPr>
          <w:p w14:paraId="6A10DAA3"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0.15</w:t>
            </w:r>
          </w:p>
        </w:tc>
        <w:tc>
          <w:tcPr>
            <w:tcW w:w="1077" w:type="dxa"/>
            <w:tcBorders>
              <w:top w:val="nil"/>
              <w:left w:val="single" w:sz="4" w:space="0" w:color="auto"/>
              <w:bottom w:val="nil"/>
              <w:right w:val="nil"/>
            </w:tcBorders>
            <w:vAlign w:val="bottom"/>
          </w:tcPr>
          <w:p w14:paraId="23A09933"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0.34</w:t>
            </w:r>
          </w:p>
        </w:tc>
        <w:tc>
          <w:tcPr>
            <w:tcW w:w="1077" w:type="dxa"/>
            <w:tcBorders>
              <w:top w:val="nil"/>
              <w:left w:val="nil"/>
              <w:bottom w:val="nil"/>
              <w:right w:val="nil"/>
            </w:tcBorders>
            <w:vAlign w:val="bottom"/>
          </w:tcPr>
          <w:p w14:paraId="63220846"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0.36</w:t>
            </w:r>
          </w:p>
        </w:tc>
        <w:tc>
          <w:tcPr>
            <w:tcW w:w="1077" w:type="dxa"/>
            <w:tcBorders>
              <w:top w:val="nil"/>
              <w:left w:val="nil"/>
              <w:bottom w:val="nil"/>
              <w:right w:val="single" w:sz="4" w:space="0" w:color="auto"/>
            </w:tcBorders>
            <w:vAlign w:val="bottom"/>
          </w:tcPr>
          <w:p w14:paraId="2BA461F6"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0.37</w:t>
            </w:r>
          </w:p>
        </w:tc>
        <w:tc>
          <w:tcPr>
            <w:tcW w:w="1077" w:type="dxa"/>
            <w:gridSpan w:val="2"/>
            <w:tcBorders>
              <w:top w:val="nil"/>
              <w:left w:val="single" w:sz="4" w:space="0" w:color="auto"/>
              <w:bottom w:val="nil"/>
              <w:right w:val="nil"/>
            </w:tcBorders>
            <w:vAlign w:val="bottom"/>
          </w:tcPr>
          <w:p w14:paraId="5C4EEFDC" w14:textId="77777777" w:rsidR="00307155" w:rsidRPr="00FC7BB4" w:rsidRDefault="00307155" w:rsidP="00F3101B">
            <w:pPr>
              <w:spacing w:line="331" w:lineRule="auto"/>
              <w:ind w:right="27"/>
              <w:jc w:val="left"/>
              <w:rPr>
                <w:rFonts w:ascii="Times New Roman" w:hAnsi="Times New Roman" w:cs="Times New Roman"/>
                <w:sz w:val="18"/>
                <w:szCs w:val="18"/>
              </w:rPr>
            </w:pPr>
            <w:r w:rsidRPr="00FC7BB4">
              <w:rPr>
                <w:rFonts w:ascii="Times New Roman" w:hAnsi="Times New Roman" w:cs="Times New Roman"/>
                <w:sz w:val="18"/>
                <w:szCs w:val="18"/>
              </w:rPr>
              <w:t>0.33</w:t>
            </w:r>
          </w:p>
        </w:tc>
        <w:tc>
          <w:tcPr>
            <w:tcW w:w="1077" w:type="dxa"/>
            <w:gridSpan w:val="2"/>
            <w:tcBorders>
              <w:top w:val="nil"/>
              <w:left w:val="nil"/>
              <w:bottom w:val="nil"/>
              <w:right w:val="nil"/>
            </w:tcBorders>
            <w:vAlign w:val="bottom"/>
          </w:tcPr>
          <w:p w14:paraId="5B54AE6D" w14:textId="77777777" w:rsidR="00307155" w:rsidRPr="00FC7BB4" w:rsidRDefault="00307155" w:rsidP="00F3101B">
            <w:pPr>
              <w:spacing w:line="331" w:lineRule="auto"/>
              <w:ind w:right="27"/>
              <w:jc w:val="left"/>
              <w:rPr>
                <w:rFonts w:ascii="Times New Roman" w:hAnsi="Times New Roman" w:cs="Times New Roman"/>
                <w:sz w:val="18"/>
                <w:szCs w:val="18"/>
              </w:rPr>
            </w:pPr>
            <w:r w:rsidRPr="00FC7BB4">
              <w:rPr>
                <w:rFonts w:ascii="Times New Roman" w:hAnsi="Times New Roman" w:cs="Times New Roman"/>
                <w:sz w:val="18"/>
                <w:szCs w:val="18"/>
              </w:rPr>
              <w:t>0.29</w:t>
            </w:r>
          </w:p>
        </w:tc>
        <w:tc>
          <w:tcPr>
            <w:tcW w:w="1077" w:type="dxa"/>
            <w:gridSpan w:val="2"/>
            <w:tcBorders>
              <w:top w:val="nil"/>
              <w:left w:val="nil"/>
              <w:bottom w:val="nil"/>
              <w:right w:val="nil"/>
            </w:tcBorders>
            <w:vAlign w:val="bottom"/>
          </w:tcPr>
          <w:p w14:paraId="5AB46DD4" w14:textId="77777777" w:rsidR="00307155" w:rsidRPr="00FC7BB4" w:rsidRDefault="00307155" w:rsidP="00F3101B">
            <w:pPr>
              <w:spacing w:line="331" w:lineRule="auto"/>
              <w:ind w:right="27"/>
              <w:jc w:val="left"/>
              <w:rPr>
                <w:rFonts w:ascii="Times New Roman" w:hAnsi="Times New Roman" w:cs="Times New Roman"/>
                <w:sz w:val="18"/>
                <w:szCs w:val="18"/>
              </w:rPr>
            </w:pPr>
            <w:r w:rsidRPr="00FC7BB4">
              <w:rPr>
                <w:rFonts w:ascii="Times New Roman" w:hAnsi="Times New Roman" w:cs="Times New Roman"/>
                <w:sz w:val="18"/>
                <w:szCs w:val="18"/>
              </w:rPr>
              <w:t>0.26</w:t>
            </w:r>
          </w:p>
        </w:tc>
      </w:tr>
      <w:tr w:rsidR="00307155" w:rsidRPr="00FC7BB4" w14:paraId="2358D4E6" w14:textId="77777777" w:rsidTr="00291B27">
        <w:trPr>
          <w:gridAfter w:val="1"/>
          <w:wAfter w:w="2914" w:type="dxa"/>
          <w:trHeight w:val="156"/>
        </w:trPr>
        <w:tc>
          <w:tcPr>
            <w:tcW w:w="1184" w:type="dxa"/>
            <w:tcBorders>
              <w:top w:val="nil"/>
              <w:left w:val="nil"/>
              <w:bottom w:val="nil"/>
              <w:right w:val="single" w:sz="4" w:space="0" w:color="auto"/>
            </w:tcBorders>
            <w:vAlign w:val="bottom"/>
          </w:tcPr>
          <w:p w14:paraId="59BA3590" w14:textId="77777777" w:rsidR="00307155" w:rsidRPr="00FC7BB4" w:rsidRDefault="00307155" w:rsidP="00F3101B">
            <w:pPr>
              <w:spacing w:line="331"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  </w:t>
            </w:r>
            <w:proofErr w:type="spellStart"/>
            <w:proofErr w:type="gramStart"/>
            <w:r w:rsidRPr="00FC7BB4">
              <w:rPr>
                <w:rFonts w:ascii="Times New Roman" w:hAnsi="Times New Roman" w:cs="Times New Roman"/>
                <w:sz w:val="18"/>
                <w:szCs w:val="18"/>
              </w:rPr>
              <w:t>Dup,R</w:t>
            </w:r>
            <w:proofErr w:type="spellEnd"/>
            <w:proofErr w:type="gramEnd"/>
            <w:r w:rsidRPr="00FC7BB4">
              <w:rPr>
                <w:rFonts w:ascii="Times New Roman" w:hAnsi="Times New Roman" w:cs="Times New Roman"/>
                <w:sz w:val="18"/>
                <w:szCs w:val="18"/>
              </w:rPr>
              <w:t>=1</w:t>
            </w:r>
          </w:p>
        </w:tc>
        <w:tc>
          <w:tcPr>
            <w:tcW w:w="1077" w:type="dxa"/>
            <w:tcBorders>
              <w:top w:val="nil"/>
              <w:left w:val="single" w:sz="4" w:space="0" w:color="auto"/>
              <w:bottom w:val="nil"/>
              <w:right w:val="nil"/>
            </w:tcBorders>
            <w:vAlign w:val="bottom"/>
          </w:tcPr>
          <w:p w14:paraId="57A5CD7F"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0.26</w:t>
            </w:r>
          </w:p>
        </w:tc>
        <w:tc>
          <w:tcPr>
            <w:tcW w:w="1077" w:type="dxa"/>
            <w:tcBorders>
              <w:top w:val="nil"/>
              <w:left w:val="nil"/>
              <w:bottom w:val="nil"/>
              <w:right w:val="nil"/>
            </w:tcBorders>
            <w:vAlign w:val="bottom"/>
          </w:tcPr>
          <w:p w14:paraId="0EC96877"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0.49</w:t>
            </w:r>
          </w:p>
        </w:tc>
        <w:tc>
          <w:tcPr>
            <w:tcW w:w="1077" w:type="dxa"/>
            <w:tcBorders>
              <w:top w:val="nil"/>
              <w:left w:val="nil"/>
              <w:bottom w:val="nil"/>
              <w:right w:val="single" w:sz="4" w:space="0" w:color="auto"/>
            </w:tcBorders>
            <w:vAlign w:val="bottom"/>
          </w:tcPr>
          <w:p w14:paraId="5FB96336"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0.65</w:t>
            </w:r>
          </w:p>
        </w:tc>
        <w:tc>
          <w:tcPr>
            <w:tcW w:w="1077" w:type="dxa"/>
            <w:tcBorders>
              <w:top w:val="nil"/>
              <w:left w:val="single" w:sz="4" w:space="0" w:color="auto"/>
              <w:bottom w:val="nil"/>
              <w:right w:val="nil"/>
            </w:tcBorders>
            <w:vAlign w:val="bottom"/>
          </w:tcPr>
          <w:p w14:paraId="6620017B"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0.24</w:t>
            </w:r>
          </w:p>
        </w:tc>
        <w:tc>
          <w:tcPr>
            <w:tcW w:w="1077" w:type="dxa"/>
            <w:tcBorders>
              <w:top w:val="nil"/>
              <w:left w:val="nil"/>
              <w:bottom w:val="nil"/>
              <w:right w:val="nil"/>
            </w:tcBorders>
            <w:vAlign w:val="bottom"/>
          </w:tcPr>
          <w:p w14:paraId="74E5B6FA"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0.17</w:t>
            </w:r>
          </w:p>
        </w:tc>
        <w:tc>
          <w:tcPr>
            <w:tcW w:w="1077" w:type="dxa"/>
            <w:tcBorders>
              <w:top w:val="nil"/>
              <w:left w:val="nil"/>
              <w:bottom w:val="nil"/>
              <w:right w:val="single" w:sz="4" w:space="0" w:color="auto"/>
            </w:tcBorders>
            <w:vAlign w:val="bottom"/>
          </w:tcPr>
          <w:p w14:paraId="2BA99938"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0.13</w:t>
            </w:r>
          </w:p>
        </w:tc>
        <w:tc>
          <w:tcPr>
            <w:tcW w:w="1077" w:type="dxa"/>
            <w:tcBorders>
              <w:top w:val="nil"/>
              <w:left w:val="single" w:sz="4" w:space="0" w:color="auto"/>
              <w:bottom w:val="nil"/>
              <w:right w:val="nil"/>
            </w:tcBorders>
            <w:vAlign w:val="bottom"/>
          </w:tcPr>
          <w:p w14:paraId="2467D1B0"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0.28</w:t>
            </w:r>
          </w:p>
        </w:tc>
        <w:tc>
          <w:tcPr>
            <w:tcW w:w="1077" w:type="dxa"/>
            <w:tcBorders>
              <w:top w:val="nil"/>
              <w:left w:val="nil"/>
              <w:bottom w:val="nil"/>
              <w:right w:val="nil"/>
            </w:tcBorders>
            <w:vAlign w:val="bottom"/>
          </w:tcPr>
          <w:p w14:paraId="3DE40655"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0.18</w:t>
            </w:r>
          </w:p>
        </w:tc>
        <w:tc>
          <w:tcPr>
            <w:tcW w:w="1077" w:type="dxa"/>
            <w:tcBorders>
              <w:top w:val="nil"/>
              <w:left w:val="nil"/>
              <w:bottom w:val="nil"/>
              <w:right w:val="single" w:sz="4" w:space="0" w:color="auto"/>
            </w:tcBorders>
            <w:vAlign w:val="bottom"/>
          </w:tcPr>
          <w:p w14:paraId="6FD3C9F6"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0.13</w:t>
            </w:r>
          </w:p>
        </w:tc>
        <w:tc>
          <w:tcPr>
            <w:tcW w:w="1077" w:type="dxa"/>
            <w:gridSpan w:val="2"/>
            <w:tcBorders>
              <w:top w:val="nil"/>
              <w:left w:val="single" w:sz="4" w:space="0" w:color="auto"/>
              <w:bottom w:val="nil"/>
              <w:right w:val="nil"/>
            </w:tcBorders>
            <w:vAlign w:val="bottom"/>
          </w:tcPr>
          <w:p w14:paraId="2AF7CF77" w14:textId="77777777" w:rsidR="00307155" w:rsidRPr="00FC7BB4" w:rsidRDefault="00307155" w:rsidP="00F3101B">
            <w:pPr>
              <w:spacing w:line="331" w:lineRule="auto"/>
              <w:ind w:right="27"/>
              <w:jc w:val="left"/>
              <w:rPr>
                <w:rFonts w:ascii="Times New Roman" w:hAnsi="Times New Roman" w:cs="Times New Roman"/>
                <w:sz w:val="18"/>
                <w:szCs w:val="18"/>
              </w:rPr>
            </w:pPr>
            <w:r w:rsidRPr="00FC7BB4">
              <w:rPr>
                <w:rFonts w:ascii="Times New Roman" w:hAnsi="Times New Roman" w:cs="Times New Roman"/>
                <w:sz w:val="18"/>
                <w:szCs w:val="18"/>
              </w:rPr>
              <w:t>0.20</w:t>
            </w:r>
          </w:p>
        </w:tc>
        <w:tc>
          <w:tcPr>
            <w:tcW w:w="1077" w:type="dxa"/>
            <w:gridSpan w:val="2"/>
            <w:tcBorders>
              <w:top w:val="nil"/>
              <w:left w:val="nil"/>
              <w:bottom w:val="nil"/>
              <w:right w:val="nil"/>
            </w:tcBorders>
            <w:vAlign w:val="bottom"/>
          </w:tcPr>
          <w:p w14:paraId="7FDECDAF" w14:textId="77777777" w:rsidR="00307155" w:rsidRPr="00FC7BB4" w:rsidRDefault="00307155" w:rsidP="00F3101B">
            <w:pPr>
              <w:spacing w:line="331" w:lineRule="auto"/>
              <w:ind w:right="27"/>
              <w:jc w:val="left"/>
              <w:rPr>
                <w:rFonts w:ascii="Times New Roman" w:hAnsi="Times New Roman" w:cs="Times New Roman"/>
                <w:sz w:val="18"/>
                <w:szCs w:val="18"/>
              </w:rPr>
            </w:pPr>
            <w:r w:rsidRPr="00FC7BB4">
              <w:rPr>
                <w:rFonts w:ascii="Times New Roman" w:hAnsi="Times New Roman" w:cs="Times New Roman"/>
                <w:sz w:val="18"/>
                <w:szCs w:val="18"/>
              </w:rPr>
              <w:t>0.06</w:t>
            </w:r>
          </w:p>
        </w:tc>
        <w:tc>
          <w:tcPr>
            <w:tcW w:w="1077" w:type="dxa"/>
            <w:gridSpan w:val="2"/>
            <w:tcBorders>
              <w:top w:val="nil"/>
              <w:left w:val="nil"/>
              <w:bottom w:val="nil"/>
              <w:right w:val="nil"/>
            </w:tcBorders>
            <w:vAlign w:val="bottom"/>
          </w:tcPr>
          <w:p w14:paraId="2185C164" w14:textId="77777777" w:rsidR="00307155" w:rsidRPr="00FC7BB4" w:rsidRDefault="00307155" w:rsidP="00F3101B">
            <w:pPr>
              <w:spacing w:line="331" w:lineRule="auto"/>
              <w:ind w:right="27"/>
              <w:jc w:val="left"/>
              <w:rPr>
                <w:rFonts w:ascii="Times New Roman" w:hAnsi="Times New Roman" w:cs="Times New Roman"/>
                <w:sz w:val="18"/>
                <w:szCs w:val="18"/>
              </w:rPr>
            </w:pPr>
            <w:r w:rsidRPr="00FC7BB4">
              <w:rPr>
                <w:rFonts w:ascii="Times New Roman" w:hAnsi="Times New Roman" w:cs="Times New Roman"/>
                <w:sz w:val="18"/>
                <w:szCs w:val="18"/>
              </w:rPr>
              <w:t>0.02</w:t>
            </w:r>
          </w:p>
        </w:tc>
      </w:tr>
      <w:tr w:rsidR="00307155" w:rsidRPr="00FC7BB4" w14:paraId="1E68A0C1" w14:textId="77777777" w:rsidTr="00291B27">
        <w:trPr>
          <w:gridAfter w:val="1"/>
          <w:wAfter w:w="2914" w:type="dxa"/>
          <w:trHeight w:val="345"/>
        </w:trPr>
        <w:tc>
          <w:tcPr>
            <w:tcW w:w="1184" w:type="dxa"/>
            <w:tcBorders>
              <w:top w:val="nil"/>
              <w:left w:val="nil"/>
              <w:bottom w:val="nil"/>
              <w:right w:val="single" w:sz="4" w:space="0" w:color="auto"/>
            </w:tcBorders>
            <w:vAlign w:val="bottom"/>
          </w:tcPr>
          <w:p w14:paraId="21EC3E8B"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Change</w:t>
            </w:r>
          </w:p>
        </w:tc>
        <w:tc>
          <w:tcPr>
            <w:tcW w:w="1077" w:type="dxa"/>
            <w:tcBorders>
              <w:top w:val="nil"/>
              <w:left w:val="single" w:sz="4" w:space="0" w:color="auto"/>
              <w:bottom w:val="nil"/>
              <w:right w:val="nil"/>
            </w:tcBorders>
            <w:vAlign w:val="bottom"/>
          </w:tcPr>
          <w:p w14:paraId="7F281CCE"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-0.09*</w:t>
            </w:r>
          </w:p>
        </w:tc>
        <w:tc>
          <w:tcPr>
            <w:tcW w:w="1077" w:type="dxa"/>
            <w:tcBorders>
              <w:top w:val="nil"/>
              <w:left w:val="nil"/>
              <w:bottom w:val="nil"/>
              <w:right w:val="nil"/>
            </w:tcBorders>
            <w:vAlign w:val="bottom"/>
          </w:tcPr>
          <w:p w14:paraId="40E60186"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0.11</w:t>
            </w:r>
          </w:p>
        </w:tc>
        <w:tc>
          <w:tcPr>
            <w:tcW w:w="1077" w:type="dxa"/>
            <w:tcBorders>
              <w:top w:val="nil"/>
              <w:left w:val="nil"/>
              <w:bottom w:val="nil"/>
              <w:right w:val="single" w:sz="4" w:space="0" w:color="auto"/>
            </w:tcBorders>
            <w:vAlign w:val="bottom"/>
          </w:tcPr>
          <w:p w14:paraId="52D540BA"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0.25</w:t>
            </w:r>
          </w:p>
        </w:tc>
        <w:tc>
          <w:tcPr>
            <w:tcW w:w="1077" w:type="dxa"/>
            <w:tcBorders>
              <w:top w:val="nil"/>
              <w:left w:val="single" w:sz="4" w:space="0" w:color="auto"/>
              <w:bottom w:val="nil"/>
              <w:right w:val="nil"/>
            </w:tcBorders>
            <w:vAlign w:val="bottom"/>
          </w:tcPr>
          <w:p w14:paraId="5A21119C"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0.02</w:t>
            </w:r>
          </w:p>
        </w:tc>
        <w:tc>
          <w:tcPr>
            <w:tcW w:w="1077" w:type="dxa"/>
            <w:tcBorders>
              <w:top w:val="nil"/>
              <w:left w:val="nil"/>
              <w:bottom w:val="nil"/>
              <w:right w:val="nil"/>
            </w:tcBorders>
            <w:vAlign w:val="bottom"/>
          </w:tcPr>
          <w:p w14:paraId="41AD790B"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-0.01</w:t>
            </w:r>
          </w:p>
        </w:tc>
        <w:tc>
          <w:tcPr>
            <w:tcW w:w="1077" w:type="dxa"/>
            <w:tcBorders>
              <w:top w:val="nil"/>
              <w:left w:val="nil"/>
              <w:bottom w:val="nil"/>
              <w:right w:val="single" w:sz="4" w:space="0" w:color="auto"/>
            </w:tcBorders>
            <w:vAlign w:val="bottom"/>
          </w:tcPr>
          <w:p w14:paraId="37098000"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-0.02</w:t>
            </w:r>
          </w:p>
        </w:tc>
        <w:tc>
          <w:tcPr>
            <w:tcW w:w="1077" w:type="dxa"/>
            <w:tcBorders>
              <w:top w:val="nil"/>
              <w:left w:val="single" w:sz="4" w:space="0" w:color="auto"/>
              <w:bottom w:val="nil"/>
              <w:right w:val="nil"/>
            </w:tcBorders>
            <w:vAlign w:val="bottom"/>
          </w:tcPr>
          <w:p w14:paraId="02805426"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-0.06**</w:t>
            </w:r>
          </w:p>
        </w:tc>
        <w:tc>
          <w:tcPr>
            <w:tcW w:w="1077" w:type="dxa"/>
            <w:tcBorders>
              <w:top w:val="nil"/>
              <w:left w:val="nil"/>
              <w:bottom w:val="nil"/>
              <w:right w:val="nil"/>
            </w:tcBorders>
            <w:vAlign w:val="bottom"/>
          </w:tcPr>
          <w:p w14:paraId="1028E89C"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-0.18***</w:t>
            </w:r>
          </w:p>
        </w:tc>
        <w:tc>
          <w:tcPr>
            <w:tcW w:w="1077" w:type="dxa"/>
            <w:tcBorders>
              <w:top w:val="nil"/>
              <w:left w:val="nil"/>
              <w:bottom w:val="nil"/>
              <w:right w:val="single" w:sz="4" w:space="0" w:color="auto"/>
            </w:tcBorders>
            <w:vAlign w:val="bottom"/>
          </w:tcPr>
          <w:p w14:paraId="0C7061FF"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-0.24***</w:t>
            </w:r>
          </w:p>
        </w:tc>
        <w:tc>
          <w:tcPr>
            <w:tcW w:w="1077" w:type="dxa"/>
            <w:gridSpan w:val="2"/>
            <w:tcBorders>
              <w:top w:val="nil"/>
              <w:left w:val="single" w:sz="4" w:space="0" w:color="auto"/>
              <w:bottom w:val="nil"/>
              <w:right w:val="nil"/>
            </w:tcBorders>
            <w:vAlign w:val="bottom"/>
          </w:tcPr>
          <w:p w14:paraId="4E6C3C64" w14:textId="77777777" w:rsidR="00307155" w:rsidRPr="00FC7BB4" w:rsidRDefault="00307155" w:rsidP="0008355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-0.13***</w:t>
            </w:r>
          </w:p>
        </w:tc>
        <w:tc>
          <w:tcPr>
            <w:tcW w:w="1077" w:type="dxa"/>
            <w:gridSpan w:val="2"/>
            <w:tcBorders>
              <w:top w:val="nil"/>
              <w:left w:val="nil"/>
              <w:bottom w:val="nil"/>
              <w:right w:val="nil"/>
            </w:tcBorders>
            <w:vAlign w:val="bottom"/>
          </w:tcPr>
          <w:p w14:paraId="2955B07B" w14:textId="77777777" w:rsidR="00307155" w:rsidRPr="00FC7BB4" w:rsidRDefault="00307155" w:rsidP="0008355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-0.23***</w:t>
            </w:r>
          </w:p>
        </w:tc>
        <w:tc>
          <w:tcPr>
            <w:tcW w:w="1077" w:type="dxa"/>
            <w:gridSpan w:val="2"/>
            <w:tcBorders>
              <w:top w:val="nil"/>
              <w:left w:val="nil"/>
              <w:bottom w:val="nil"/>
              <w:right w:val="nil"/>
            </w:tcBorders>
            <w:vAlign w:val="bottom"/>
          </w:tcPr>
          <w:p w14:paraId="57602497" w14:textId="77777777" w:rsidR="00307155" w:rsidRPr="00FC7BB4" w:rsidRDefault="00307155" w:rsidP="0008355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-0.24***</w:t>
            </w:r>
          </w:p>
        </w:tc>
      </w:tr>
      <w:tr w:rsidR="00307155" w:rsidRPr="00FC7BB4" w14:paraId="366FB69C" w14:textId="77777777" w:rsidTr="00291B27">
        <w:trPr>
          <w:gridAfter w:val="1"/>
          <w:wAfter w:w="2914" w:type="dxa"/>
          <w:trHeight w:val="338"/>
        </w:trPr>
        <w:tc>
          <w:tcPr>
            <w:tcW w:w="1184" w:type="dxa"/>
            <w:tcBorders>
              <w:top w:val="nil"/>
              <w:left w:val="nil"/>
              <w:bottom w:val="nil"/>
              <w:right w:val="single" w:sz="4" w:space="0" w:color="auto"/>
            </w:tcBorders>
            <w:vAlign w:val="bottom"/>
          </w:tcPr>
          <w:p w14:paraId="2EEBD52B" w14:textId="77777777" w:rsidR="00307155" w:rsidRPr="00FC7BB4" w:rsidRDefault="00307155" w:rsidP="00F3101B">
            <w:pPr>
              <w:spacing w:line="331"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  </w:t>
            </w:r>
            <w:proofErr w:type="spellStart"/>
            <w:proofErr w:type="gramStart"/>
            <w:r w:rsidRPr="00FC7BB4">
              <w:rPr>
                <w:rFonts w:ascii="Times New Roman" w:hAnsi="Times New Roman" w:cs="Times New Roman"/>
                <w:sz w:val="18"/>
                <w:szCs w:val="18"/>
              </w:rPr>
              <w:t>Dnc,R</w:t>
            </w:r>
            <w:proofErr w:type="spellEnd"/>
            <w:proofErr w:type="gramEnd"/>
            <w:r w:rsidRPr="00FC7BB4">
              <w:rPr>
                <w:rFonts w:ascii="Times New Roman" w:hAnsi="Times New Roman" w:cs="Times New Roman"/>
                <w:sz w:val="18"/>
                <w:szCs w:val="18"/>
              </w:rPr>
              <w:t>=0</w:t>
            </w:r>
          </w:p>
        </w:tc>
        <w:tc>
          <w:tcPr>
            <w:tcW w:w="1077" w:type="dxa"/>
            <w:tcBorders>
              <w:top w:val="nil"/>
              <w:left w:val="single" w:sz="4" w:space="0" w:color="auto"/>
              <w:bottom w:val="nil"/>
              <w:right w:val="nil"/>
            </w:tcBorders>
            <w:vAlign w:val="bottom"/>
          </w:tcPr>
          <w:p w14:paraId="285DB049"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0.46</w:t>
            </w:r>
          </w:p>
        </w:tc>
        <w:tc>
          <w:tcPr>
            <w:tcW w:w="1077" w:type="dxa"/>
            <w:tcBorders>
              <w:top w:val="nil"/>
              <w:left w:val="nil"/>
              <w:bottom w:val="nil"/>
              <w:right w:val="nil"/>
            </w:tcBorders>
            <w:vAlign w:val="bottom"/>
          </w:tcPr>
          <w:p w14:paraId="2D4095F2"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0.49</w:t>
            </w:r>
          </w:p>
        </w:tc>
        <w:tc>
          <w:tcPr>
            <w:tcW w:w="1077" w:type="dxa"/>
            <w:tcBorders>
              <w:top w:val="nil"/>
              <w:left w:val="nil"/>
              <w:bottom w:val="nil"/>
              <w:right w:val="single" w:sz="4" w:space="0" w:color="auto"/>
            </w:tcBorders>
            <w:vAlign w:val="bottom"/>
          </w:tcPr>
          <w:p w14:paraId="21C52BF3"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0.52</w:t>
            </w:r>
          </w:p>
        </w:tc>
        <w:tc>
          <w:tcPr>
            <w:tcW w:w="1077" w:type="dxa"/>
            <w:tcBorders>
              <w:top w:val="nil"/>
              <w:left w:val="single" w:sz="4" w:space="0" w:color="auto"/>
              <w:bottom w:val="nil"/>
              <w:right w:val="nil"/>
            </w:tcBorders>
            <w:vAlign w:val="bottom"/>
          </w:tcPr>
          <w:p w14:paraId="2433C43F"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0.25</w:t>
            </w:r>
          </w:p>
        </w:tc>
        <w:tc>
          <w:tcPr>
            <w:tcW w:w="1077" w:type="dxa"/>
            <w:tcBorders>
              <w:top w:val="nil"/>
              <w:left w:val="nil"/>
              <w:bottom w:val="nil"/>
              <w:right w:val="nil"/>
            </w:tcBorders>
            <w:vAlign w:val="bottom"/>
          </w:tcPr>
          <w:p w14:paraId="70FC7CDA"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0.22</w:t>
            </w:r>
          </w:p>
        </w:tc>
        <w:tc>
          <w:tcPr>
            <w:tcW w:w="1077" w:type="dxa"/>
            <w:tcBorders>
              <w:top w:val="nil"/>
              <w:left w:val="nil"/>
              <w:bottom w:val="nil"/>
              <w:right w:val="single" w:sz="4" w:space="0" w:color="auto"/>
            </w:tcBorders>
            <w:vAlign w:val="bottom"/>
          </w:tcPr>
          <w:p w14:paraId="214E9A7A"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0.20</w:t>
            </w:r>
          </w:p>
        </w:tc>
        <w:tc>
          <w:tcPr>
            <w:tcW w:w="1077" w:type="dxa"/>
            <w:tcBorders>
              <w:top w:val="nil"/>
              <w:left w:val="single" w:sz="4" w:space="0" w:color="auto"/>
              <w:bottom w:val="nil"/>
              <w:right w:val="nil"/>
            </w:tcBorders>
            <w:vAlign w:val="bottom"/>
          </w:tcPr>
          <w:p w14:paraId="5F8907B8"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0.42</w:t>
            </w:r>
          </w:p>
        </w:tc>
        <w:tc>
          <w:tcPr>
            <w:tcW w:w="1077" w:type="dxa"/>
            <w:tcBorders>
              <w:top w:val="nil"/>
              <w:left w:val="nil"/>
              <w:bottom w:val="nil"/>
              <w:right w:val="nil"/>
            </w:tcBorders>
            <w:vAlign w:val="bottom"/>
          </w:tcPr>
          <w:p w14:paraId="26FA1009"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0.45</w:t>
            </w:r>
          </w:p>
        </w:tc>
        <w:tc>
          <w:tcPr>
            <w:tcW w:w="1077" w:type="dxa"/>
            <w:tcBorders>
              <w:top w:val="nil"/>
              <w:left w:val="nil"/>
              <w:bottom w:val="nil"/>
              <w:right w:val="single" w:sz="4" w:space="0" w:color="auto"/>
            </w:tcBorders>
            <w:vAlign w:val="bottom"/>
          </w:tcPr>
          <w:p w14:paraId="6245FC37"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0.46</w:t>
            </w:r>
          </w:p>
        </w:tc>
        <w:tc>
          <w:tcPr>
            <w:tcW w:w="1077" w:type="dxa"/>
            <w:gridSpan w:val="2"/>
            <w:tcBorders>
              <w:top w:val="nil"/>
              <w:left w:val="single" w:sz="4" w:space="0" w:color="auto"/>
              <w:bottom w:val="nil"/>
              <w:right w:val="nil"/>
            </w:tcBorders>
            <w:vAlign w:val="bottom"/>
          </w:tcPr>
          <w:p w14:paraId="31E9A6BE"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0.33</w:t>
            </w:r>
          </w:p>
        </w:tc>
        <w:tc>
          <w:tcPr>
            <w:tcW w:w="1077" w:type="dxa"/>
            <w:gridSpan w:val="2"/>
            <w:tcBorders>
              <w:top w:val="nil"/>
              <w:left w:val="nil"/>
              <w:bottom w:val="nil"/>
              <w:right w:val="nil"/>
            </w:tcBorders>
            <w:vAlign w:val="bottom"/>
          </w:tcPr>
          <w:p w14:paraId="6BAE9BEA"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0.30</w:t>
            </w:r>
          </w:p>
        </w:tc>
        <w:tc>
          <w:tcPr>
            <w:tcW w:w="1077" w:type="dxa"/>
            <w:gridSpan w:val="2"/>
            <w:tcBorders>
              <w:top w:val="nil"/>
              <w:left w:val="nil"/>
              <w:bottom w:val="nil"/>
              <w:right w:val="nil"/>
            </w:tcBorders>
            <w:vAlign w:val="bottom"/>
          </w:tcPr>
          <w:p w14:paraId="24A0587F"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0.28</w:t>
            </w:r>
          </w:p>
        </w:tc>
      </w:tr>
      <w:tr w:rsidR="00307155" w:rsidRPr="00FC7BB4" w14:paraId="582DC001" w14:textId="77777777" w:rsidTr="00291B27">
        <w:trPr>
          <w:gridAfter w:val="1"/>
          <w:wAfter w:w="2914" w:type="dxa"/>
          <w:trHeight w:val="50"/>
        </w:trPr>
        <w:tc>
          <w:tcPr>
            <w:tcW w:w="1184" w:type="dxa"/>
            <w:tcBorders>
              <w:top w:val="nil"/>
              <w:left w:val="nil"/>
              <w:bottom w:val="nil"/>
              <w:right w:val="single" w:sz="4" w:space="0" w:color="auto"/>
            </w:tcBorders>
            <w:vAlign w:val="bottom"/>
          </w:tcPr>
          <w:p w14:paraId="76BD5A88" w14:textId="77777777" w:rsidR="00307155" w:rsidRPr="00FC7BB4" w:rsidRDefault="00307155" w:rsidP="00F3101B">
            <w:pPr>
              <w:spacing w:line="331"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  </w:t>
            </w:r>
            <w:proofErr w:type="spellStart"/>
            <w:proofErr w:type="gramStart"/>
            <w:r w:rsidRPr="00FC7BB4">
              <w:rPr>
                <w:rFonts w:ascii="Times New Roman" w:hAnsi="Times New Roman" w:cs="Times New Roman"/>
                <w:sz w:val="18"/>
                <w:szCs w:val="18"/>
              </w:rPr>
              <w:t>Dnc,R</w:t>
            </w:r>
            <w:proofErr w:type="spellEnd"/>
            <w:proofErr w:type="gramEnd"/>
            <w:r w:rsidRPr="00FC7BB4">
              <w:rPr>
                <w:rFonts w:ascii="Times New Roman" w:hAnsi="Times New Roman" w:cs="Times New Roman"/>
                <w:sz w:val="18"/>
                <w:szCs w:val="18"/>
              </w:rPr>
              <w:t>=1</w:t>
            </w:r>
          </w:p>
        </w:tc>
        <w:tc>
          <w:tcPr>
            <w:tcW w:w="1077" w:type="dxa"/>
            <w:tcBorders>
              <w:top w:val="nil"/>
              <w:left w:val="single" w:sz="4" w:space="0" w:color="auto"/>
              <w:bottom w:val="nil"/>
              <w:right w:val="nil"/>
            </w:tcBorders>
            <w:vAlign w:val="bottom"/>
          </w:tcPr>
          <w:p w14:paraId="594707C5"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0.40</w:t>
            </w:r>
          </w:p>
        </w:tc>
        <w:tc>
          <w:tcPr>
            <w:tcW w:w="1077" w:type="dxa"/>
            <w:tcBorders>
              <w:top w:val="nil"/>
              <w:left w:val="nil"/>
              <w:bottom w:val="nil"/>
              <w:right w:val="nil"/>
            </w:tcBorders>
            <w:vAlign w:val="bottom"/>
          </w:tcPr>
          <w:p w14:paraId="1501EDDB"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0.61</w:t>
            </w:r>
          </w:p>
        </w:tc>
        <w:tc>
          <w:tcPr>
            <w:tcW w:w="1077" w:type="dxa"/>
            <w:tcBorders>
              <w:top w:val="nil"/>
              <w:left w:val="nil"/>
              <w:bottom w:val="nil"/>
              <w:right w:val="single" w:sz="4" w:space="0" w:color="auto"/>
            </w:tcBorders>
            <w:vAlign w:val="bottom"/>
          </w:tcPr>
          <w:p w14:paraId="060EA382"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0.73</w:t>
            </w:r>
          </w:p>
        </w:tc>
        <w:tc>
          <w:tcPr>
            <w:tcW w:w="1077" w:type="dxa"/>
            <w:tcBorders>
              <w:top w:val="nil"/>
              <w:left w:val="single" w:sz="4" w:space="0" w:color="auto"/>
              <w:bottom w:val="nil"/>
              <w:right w:val="nil"/>
            </w:tcBorders>
            <w:vAlign w:val="bottom"/>
          </w:tcPr>
          <w:p w14:paraId="7AA3677F"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0.30</w:t>
            </w:r>
          </w:p>
        </w:tc>
        <w:tc>
          <w:tcPr>
            <w:tcW w:w="1077" w:type="dxa"/>
            <w:tcBorders>
              <w:top w:val="nil"/>
              <w:left w:val="nil"/>
              <w:bottom w:val="nil"/>
              <w:right w:val="nil"/>
            </w:tcBorders>
            <w:vAlign w:val="bottom"/>
          </w:tcPr>
          <w:p w14:paraId="69C678F5"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0.24</w:t>
            </w:r>
          </w:p>
        </w:tc>
        <w:tc>
          <w:tcPr>
            <w:tcW w:w="1077" w:type="dxa"/>
            <w:tcBorders>
              <w:top w:val="nil"/>
              <w:left w:val="nil"/>
              <w:bottom w:val="nil"/>
              <w:right w:val="single" w:sz="4" w:space="0" w:color="auto"/>
            </w:tcBorders>
            <w:vAlign w:val="bottom"/>
          </w:tcPr>
          <w:p w14:paraId="7E1B38B9"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0.20</w:t>
            </w:r>
          </w:p>
        </w:tc>
        <w:tc>
          <w:tcPr>
            <w:tcW w:w="1077" w:type="dxa"/>
            <w:tcBorders>
              <w:top w:val="nil"/>
              <w:left w:val="single" w:sz="4" w:space="0" w:color="auto"/>
              <w:bottom w:val="nil"/>
              <w:right w:val="nil"/>
            </w:tcBorders>
            <w:vAlign w:val="bottom"/>
          </w:tcPr>
          <w:p w14:paraId="755C1CB8"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0.38</w:t>
            </w:r>
          </w:p>
        </w:tc>
        <w:tc>
          <w:tcPr>
            <w:tcW w:w="1077" w:type="dxa"/>
            <w:tcBorders>
              <w:top w:val="nil"/>
              <w:left w:val="nil"/>
              <w:bottom w:val="nil"/>
              <w:right w:val="nil"/>
            </w:tcBorders>
            <w:vAlign w:val="bottom"/>
          </w:tcPr>
          <w:p w14:paraId="69C6C770"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0.31</w:t>
            </w:r>
          </w:p>
        </w:tc>
        <w:tc>
          <w:tcPr>
            <w:tcW w:w="1077" w:type="dxa"/>
            <w:tcBorders>
              <w:top w:val="nil"/>
              <w:left w:val="nil"/>
              <w:bottom w:val="nil"/>
              <w:right w:val="single" w:sz="4" w:space="0" w:color="auto"/>
            </w:tcBorders>
            <w:vAlign w:val="bottom"/>
          </w:tcPr>
          <w:p w14:paraId="09DDF2A0"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0.27</w:t>
            </w:r>
          </w:p>
        </w:tc>
        <w:tc>
          <w:tcPr>
            <w:tcW w:w="1077" w:type="dxa"/>
            <w:gridSpan w:val="2"/>
            <w:tcBorders>
              <w:top w:val="nil"/>
              <w:left w:val="single" w:sz="4" w:space="0" w:color="auto"/>
              <w:bottom w:val="nil"/>
              <w:right w:val="nil"/>
            </w:tcBorders>
            <w:vAlign w:val="bottom"/>
          </w:tcPr>
          <w:p w14:paraId="22B19CEC"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0.24</w:t>
            </w:r>
          </w:p>
        </w:tc>
        <w:tc>
          <w:tcPr>
            <w:tcW w:w="1077" w:type="dxa"/>
            <w:gridSpan w:val="2"/>
            <w:tcBorders>
              <w:top w:val="nil"/>
              <w:left w:val="nil"/>
              <w:bottom w:val="nil"/>
              <w:right w:val="nil"/>
            </w:tcBorders>
            <w:vAlign w:val="bottom"/>
          </w:tcPr>
          <w:p w14:paraId="12DDD770"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0.13</w:t>
            </w:r>
          </w:p>
        </w:tc>
        <w:tc>
          <w:tcPr>
            <w:tcW w:w="1077" w:type="dxa"/>
            <w:gridSpan w:val="2"/>
            <w:tcBorders>
              <w:top w:val="nil"/>
              <w:left w:val="nil"/>
              <w:bottom w:val="nil"/>
              <w:right w:val="nil"/>
            </w:tcBorders>
            <w:vAlign w:val="bottom"/>
          </w:tcPr>
          <w:p w14:paraId="639EA506"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0.08</w:t>
            </w:r>
          </w:p>
        </w:tc>
      </w:tr>
      <w:tr w:rsidR="00307155" w:rsidRPr="00FC7BB4" w14:paraId="77C49CF9" w14:textId="77777777" w:rsidTr="00291B27">
        <w:trPr>
          <w:gridAfter w:val="1"/>
          <w:wAfter w:w="2914" w:type="dxa"/>
          <w:trHeight w:val="50"/>
        </w:trPr>
        <w:tc>
          <w:tcPr>
            <w:tcW w:w="1184" w:type="dxa"/>
            <w:tcBorders>
              <w:top w:val="nil"/>
              <w:left w:val="nil"/>
              <w:bottom w:val="nil"/>
              <w:right w:val="single" w:sz="4" w:space="0" w:color="auto"/>
            </w:tcBorders>
            <w:vAlign w:val="bottom"/>
          </w:tcPr>
          <w:p w14:paraId="6E2BC49F"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Change</w:t>
            </w:r>
          </w:p>
        </w:tc>
        <w:tc>
          <w:tcPr>
            <w:tcW w:w="1077" w:type="dxa"/>
            <w:tcBorders>
              <w:top w:val="nil"/>
              <w:left w:val="single" w:sz="4" w:space="0" w:color="auto"/>
              <w:bottom w:val="nil"/>
              <w:right w:val="nil"/>
            </w:tcBorders>
            <w:vAlign w:val="bottom"/>
          </w:tcPr>
          <w:p w14:paraId="2022F4EF"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-0.06</w:t>
            </w:r>
          </w:p>
        </w:tc>
        <w:tc>
          <w:tcPr>
            <w:tcW w:w="1077" w:type="dxa"/>
            <w:tcBorders>
              <w:top w:val="nil"/>
              <w:left w:val="nil"/>
              <w:bottom w:val="nil"/>
              <w:right w:val="nil"/>
            </w:tcBorders>
            <w:vAlign w:val="bottom"/>
          </w:tcPr>
          <w:p w14:paraId="781B4153"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0.11</w:t>
            </w:r>
          </w:p>
        </w:tc>
        <w:tc>
          <w:tcPr>
            <w:tcW w:w="1077" w:type="dxa"/>
            <w:tcBorders>
              <w:top w:val="nil"/>
              <w:left w:val="nil"/>
              <w:bottom w:val="nil"/>
              <w:right w:val="single" w:sz="4" w:space="0" w:color="auto"/>
            </w:tcBorders>
            <w:vAlign w:val="bottom"/>
          </w:tcPr>
          <w:p w14:paraId="48A5F873"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0.22</w:t>
            </w:r>
          </w:p>
        </w:tc>
        <w:tc>
          <w:tcPr>
            <w:tcW w:w="1077" w:type="dxa"/>
            <w:tcBorders>
              <w:top w:val="nil"/>
              <w:left w:val="single" w:sz="4" w:space="0" w:color="auto"/>
              <w:bottom w:val="nil"/>
              <w:right w:val="nil"/>
            </w:tcBorders>
            <w:vAlign w:val="bottom"/>
          </w:tcPr>
          <w:p w14:paraId="223931D1"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0.06*</w:t>
            </w:r>
          </w:p>
        </w:tc>
        <w:tc>
          <w:tcPr>
            <w:tcW w:w="1077" w:type="dxa"/>
            <w:tcBorders>
              <w:top w:val="nil"/>
              <w:left w:val="nil"/>
              <w:bottom w:val="nil"/>
              <w:right w:val="nil"/>
            </w:tcBorders>
            <w:vAlign w:val="bottom"/>
          </w:tcPr>
          <w:p w14:paraId="0738D0D5"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0.02</w:t>
            </w:r>
          </w:p>
        </w:tc>
        <w:tc>
          <w:tcPr>
            <w:tcW w:w="1077" w:type="dxa"/>
            <w:tcBorders>
              <w:top w:val="nil"/>
              <w:left w:val="nil"/>
              <w:bottom w:val="nil"/>
              <w:right w:val="single" w:sz="4" w:space="0" w:color="auto"/>
            </w:tcBorders>
            <w:vAlign w:val="bottom"/>
          </w:tcPr>
          <w:p w14:paraId="29B02DCF"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0.00</w:t>
            </w:r>
          </w:p>
        </w:tc>
        <w:tc>
          <w:tcPr>
            <w:tcW w:w="1077" w:type="dxa"/>
            <w:tcBorders>
              <w:top w:val="nil"/>
              <w:left w:val="single" w:sz="4" w:space="0" w:color="auto"/>
              <w:bottom w:val="nil"/>
              <w:right w:val="nil"/>
            </w:tcBorders>
            <w:vAlign w:val="bottom"/>
          </w:tcPr>
          <w:p w14:paraId="66DA1B0A"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-0.04</w:t>
            </w:r>
          </w:p>
        </w:tc>
        <w:tc>
          <w:tcPr>
            <w:tcW w:w="1077" w:type="dxa"/>
            <w:tcBorders>
              <w:top w:val="nil"/>
              <w:left w:val="nil"/>
              <w:bottom w:val="nil"/>
              <w:right w:val="nil"/>
            </w:tcBorders>
            <w:vAlign w:val="bottom"/>
          </w:tcPr>
          <w:p w14:paraId="584C3B5A"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-0.13**</w:t>
            </w:r>
          </w:p>
        </w:tc>
        <w:tc>
          <w:tcPr>
            <w:tcW w:w="1077" w:type="dxa"/>
            <w:tcBorders>
              <w:top w:val="nil"/>
              <w:left w:val="nil"/>
              <w:bottom w:val="nil"/>
              <w:right w:val="single" w:sz="4" w:space="0" w:color="auto"/>
            </w:tcBorders>
            <w:vAlign w:val="bottom"/>
          </w:tcPr>
          <w:p w14:paraId="7F8DDB09"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-0.20**</w:t>
            </w:r>
          </w:p>
        </w:tc>
        <w:tc>
          <w:tcPr>
            <w:tcW w:w="1077" w:type="dxa"/>
            <w:gridSpan w:val="2"/>
            <w:tcBorders>
              <w:top w:val="nil"/>
              <w:left w:val="single" w:sz="4" w:space="0" w:color="auto"/>
              <w:bottom w:val="nil"/>
              <w:right w:val="nil"/>
            </w:tcBorders>
            <w:vAlign w:val="bottom"/>
          </w:tcPr>
          <w:p w14:paraId="0018E554"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-0.09***</w:t>
            </w:r>
          </w:p>
        </w:tc>
        <w:tc>
          <w:tcPr>
            <w:tcW w:w="1077" w:type="dxa"/>
            <w:gridSpan w:val="2"/>
            <w:tcBorders>
              <w:top w:val="nil"/>
              <w:left w:val="nil"/>
              <w:bottom w:val="nil"/>
              <w:right w:val="nil"/>
            </w:tcBorders>
            <w:vAlign w:val="bottom"/>
          </w:tcPr>
          <w:p w14:paraId="56228122"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-0.17***</w:t>
            </w:r>
          </w:p>
        </w:tc>
        <w:tc>
          <w:tcPr>
            <w:tcW w:w="1077" w:type="dxa"/>
            <w:gridSpan w:val="2"/>
            <w:tcBorders>
              <w:top w:val="nil"/>
              <w:left w:val="nil"/>
              <w:bottom w:val="nil"/>
              <w:right w:val="nil"/>
            </w:tcBorders>
            <w:vAlign w:val="bottom"/>
          </w:tcPr>
          <w:p w14:paraId="04C0E959"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-0.20***</w:t>
            </w:r>
          </w:p>
        </w:tc>
      </w:tr>
      <w:tr w:rsidR="00307155" w:rsidRPr="00FC7BB4" w14:paraId="64C0FCDD" w14:textId="77777777" w:rsidTr="00291B27">
        <w:trPr>
          <w:gridAfter w:val="1"/>
          <w:wAfter w:w="2914" w:type="dxa"/>
          <w:trHeight w:val="80"/>
        </w:trPr>
        <w:tc>
          <w:tcPr>
            <w:tcW w:w="1184" w:type="dxa"/>
            <w:tcBorders>
              <w:top w:val="nil"/>
              <w:left w:val="nil"/>
              <w:bottom w:val="nil"/>
              <w:right w:val="single" w:sz="4" w:space="0" w:color="auto"/>
            </w:tcBorders>
            <w:vAlign w:val="bottom"/>
          </w:tcPr>
          <w:p w14:paraId="4CC6EBA6" w14:textId="77777777" w:rsidR="00307155" w:rsidRPr="00FC7BB4" w:rsidRDefault="00307155" w:rsidP="00F3101B">
            <w:pPr>
              <w:spacing w:line="331"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  </w:t>
            </w:r>
            <w:proofErr w:type="spellStart"/>
            <w:proofErr w:type="gramStart"/>
            <w:r w:rsidRPr="00FC7BB4">
              <w:rPr>
                <w:rFonts w:ascii="Times New Roman" w:hAnsi="Times New Roman" w:cs="Times New Roman"/>
                <w:sz w:val="18"/>
                <w:szCs w:val="18"/>
              </w:rPr>
              <w:t>Ddn,R</w:t>
            </w:r>
            <w:proofErr w:type="spellEnd"/>
            <w:proofErr w:type="gramEnd"/>
            <w:r w:rsidRPr="00FC7BB4">
              <w:rPr>
                <w:rFonts w:ascii="Times New Roman" w:hAnsi="Times New Roman" w:cs="Times New Roman"/>
                <w:sz w:val="18"/>
                <w:szCs w:val="18"/>
              </w:rPr>
              <w:t>=0</w:t>
            </w:r>
          </w:p>
        </w:tc>
        <w:tc>
          <w:tcPr>
            <w:tcW w:w="1077" w:type="dxa"/>
            <w:tcBorders>
              <w:top w:val="nil"/>
              <w:left w:val="single" w:sz="4" w:space="0" w:color="auto"/>
              <w:bottom w:val="nil"/>
              <w:right w:val="nil"/>
            </w:tcBorders>
            <w:vAlign w:val="bottom"/>
          </w:tcPr>
          <w:p w14:paraId="064B2E6D"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0.76</w:t>
            </w:r>
          </w:p>
        </w:tc>
        <w:tc>
          <w:tcPr>
            <w:tcW w:w="1077" w:type="dxa"/>
            <w:tcBorders>
              <w:top w:val="nil"/>
              <w:left w:val="nil"/>
              <w:bottom w:val="nil"/>
              <w:right w:val="nil"/>
            </w:tcBorders>
            <w:vAlign w:val="bottom"/>
          </w:tcPr>
          <w:p w14:paraId="0D40CD63"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0.76</w:t>
            </w:r>
          </w:p>
        </w:tc>
        <w:tc>
          <w:tcPr>
            <w:tcW w:w="1077" w:type="dxa"/>
            <w:tcBorders>
              <w:top w:val="nil"/>
              <w:left w:val="nil"/>
              <w:bottom w:val="nil"/>
              <w:right w:val="single" w:sz="4" w:space="0" w:color="auto"/>
            </w:tcBorders>
            <w:vAlign w:val="bottom"/>
          </w:tcPr>
          <w:p w14:paraId="0A1414E0"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0.76</w:t>
            </w:r>
          </w:p>
        </w:tc>
        <w:tc>
          <w:tcPr>
            <w:tcW w:w="1077" w:type="dxa"/>
            <w:tcBorders>
              <w:top w:val="nil"/>
              <w:left w:val="single" w:sz="4" w:space="0" w:color="auto"/>
              <w:bottom w:val="nil"/>
              <w:right w:val="nil"/>
            </w:tcBorders>
            <w:vAlign w:val="bottom"/>
          </w:tcPr>
          <w:p w14:paraId="3F719AE9"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0.39</w:t>
            </w:r>
          </w:p>
        </w:tc>
        <w:tc>
          <w:tcPr>
            <w:tcW w:w="1077" w:type="dxa"/>
            <w:tcBorders>
              <w:top w:val="nil"/>
              <w:left w:val="nil"/>
              <w:bottom w:val="nil"/>
              <w:right w:val="nil"/>
            </w:tcBorders>
            <w:vAlign w:val="bottom"/>
          </w:tcPr>
          <w:p w14:paraId="0450A5B4"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0.33</w:t>
            </w:r>
          </w:p>
        </w:tc>
        <w:tc>
          <w:tcPr>
            <w:tcW w:w="1077" w:type="dxa"/>
            <w:tcBorders>
              <w:top w:val="nil"/>
              <w:left w:val="nil"/>
              <w:bottom w:val="nil"/>
              <w:right w:val="single" w:sz="4" w:space="0" w:color="auto"/>
            </w:tcBorders>
            <w:vAlign w:val="bottom"/>
          </w:tcPr>
          <w:p w14:paraId="24F1A1B1"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0.29</w:t>
            </w:r>
          </w:p>
        </w:tc>
        <w:tc>
          <w:tcPr>
            <w:tcW w:w="1077" w:type="dxa"/>
            <w:tcBorders>
              <w:top w:val="nil"/>
              <w:left w:val="single" w:sz="4" w:space="0" w:color="auto"/>
              <w:bottom w:val="nil"/>
              <w:right w:val="nil"/>
            </w:tcBorders>
            <w:vAlign w:val="bottom"/>
          </w:tcPr>
          <w:p w14:paraId="64D4B8B9"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0.56</w:t>
            </w:r>
          </w:p>
        </w:tc>
        <w:tc>
          <w:tcPr>
            <w:tcW w:w="1077" w:type="dxa"/>
            <w:tcBorders>
              <w:top w:val="nil"/>
              <w:left w:val="nil"/>
              <w:bottom w:val="nil"/>
              <w:right w:val="nil"/>
            </w:tcBorders>
            <w:vAlign w:val="bottom"/>
          </w:tcPr>
          <w:p w14:paraId="4FBF7E9A"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0.59</w:t>
            </w:r>
          </w:p>
        </w:tc>
        <w:tc>
          <w:tcPr>
            <w:tcW w:w="1077" w:type="dxa"/>
            <w:tcBorders>
              <w:top w:val="nil"/>
              <w:left w:val="nil"/>
              <w:bottom w:val="nil"/>
              <w:right w:val="single" w:sz="4" w:space="0" w:color="auto"/>
            </w:tcBorders>
            <w:vAlign w:val="bottom"/>
          </w:tcPr>
          <w:p w14:paraId="0068BB48"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0.61</w:t>
            </w:r>
          </w:p>
        </w:tc>
        <w:tc>
          <w:tcPr>
            <w:tcW w:w="1077" w:type="dxa"/>
            <w:gridSpan w:val="2"/>
            <w:tcBorders>
              <w:top w:val="nil"/>
              <w:left w:val="single" w:sz="4" w:space="0" w:color="auto"/>
              <w:bottom w:val="nil"/>
              <w:right w:val="nil"/>
            </w:tcBorders>
            <w:vAlign w:val="bottom"/>
          </w:tcPr>
          <w:p w14:paraId="4CE56AC2"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0.42</w:t>
            </w:r>
          </w:p>
        </w:tc>
        <w:tc>
          <w:tcPr>
            <w:tcW w:w="1077" w:type="dxa"/>
            <w:gridSpan w:val="2"/>
            <w:tcBorders>
              <w:top w:val="nil"/>
              <w:left w:val="nil"/>
              <w:bottom w:val="nil"/>
              <w:right w:val="nil"/>
            </w:tcBorders>
            <w:vAlign w:val="bottom"/>
          </w:tcPr>
          <w:p w14:paraId="183D77C3"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0.37</w:t>
            </w:r>
          </w:p>
        </w:tc>
        <w:tc>
          <w:tcPr>
            <w:tcW w:w="1077" w:type="dxa"/>
            <w:gridSpan w:val="2"/>
            <w:tcBorders>
              <w:top w:val="nil"/>
              <w:left w:val="nil"/>
              <w:bottom w:val="nil"/>
              <w:right w:val="nil"/>
            </w:tcBorders>
            <w:vAlign w:val="bottom"/>
          </w:tcPr>
          <w:p w14:paraId="09282931"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0.33</w:t>
            </w:r>
          </w:p>
        </w:tc>
      </w:tr>
      <w:tr w:rsidR="00307155" w:rsidRPr="00FC7BB4" w14:paraId="727D1E5B" w14:textId="77777777" w:rsidTr="00291B27">
        <w:trPr>
          <w:gridAfter w:val="1"/>
          <w:wAfter w:w="2914" w:type="dxa"/>
          <w:trHeight w:val="56"/>
        </w:trPr>
        <w:tc>
          <w:tcPr>
            <w:tcW w:w="1184" w:type="dxa"/>
            <w:tcBorders>
              <w:top w:val="nil"/>
              <w:left w:val="nil"/>
              <w:bottom w:val="nil"/>
              <w:right w:val="single" w:sz="4" w:space="0" w:color="auto"/>
            </w:tcBorders>
            <w:vAlign w:val="bottom"/>
          </w:tcPr>
          <w:p w14:paraId="5AB18FBD" w14:textId="77777777" w:rsidR="00307155" w:rsidRPr="00FC7BB4" w:rsidRDefault="00307155" w:rsidP="00F3101B">
            <w:pPr>
              <w:spacing w:line="331"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  </w:t>
            </w:r>
            <w:proofErr w:type="spellStart"/>
            <w:proofErr w:type="gramStart"/>
            <w:r w:rsidRPr="00FC7BB4">
              <w:rPr>
                <w:rFonts w:ascii="Times New Roman" w:hAnsi="Times New Roman" w:cs="Times New Roman"/>
                <w:sz w:val="18"/>
                <w:szCs w:val="18"/>
              </w:rPr>
              <w:t>Ddn,R</w:t>
            </w:r>
            <w:proofErr w:type="spellEnd"/>
            <w:proofErr w:type="gramEnd"/>
            <w:r w:rsidRPr="00FC7BB4">
              <w:rPr>
                <w:rFonts w:ascii="Times New Roman" w:hAnsi="Times New Roman" w:cs="Times New Roman"/>
                <w:sz w:val="18"/>
                <w:szCs w:val="18"/>
              </w:rPr>
              <w:t>=1</w:t>
            </w:r>
          </w:p>
        </w:tc>
        <w:tc>
          <w:tcPr>
            <w:tcW w:w="1077" w:type="dxa"/>
            <w:tcBorders>
              <w:top w:val="nil"/>
              <w:left w:val="single" w:sz="4" w:space="0" w:color="auto"/>
              <w:bottom w:val="nil"/>
              <w:right w:val="nil"/>
            </w:tcBorders>
            <w:vAlign w:val="bottom"/>
          </w:tcPr>
          <w:p w14:paraId="68E41D40"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0.64</w:t>
            </w:r>
          </w:p>
        </w:tc>
        <w:tc>
          <w:tcPr>
            <w:tcW w:w="1077" w:type="dxa"/>
            <w:tcBorders>
              <w:top w:val="nil"/>
              <w:left w:val="nil"/>
              <w:bottom w:val="nil"/>
              <w:right w:val="nil"/>
            </w:tcBorders>
            <w:vAlign w:val="bottom"/>
          </w:tcPr>
          <w:p w14:paraId="1243070E"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0.80</w:t>
            </w:r>
          </w:p>
        </w:tc>
        <w:tc>
          <w:tcPr>
            <w:tcW w:w="1077" w:type="dxa"/>
            <w:tcBorders>
              <w:top w:val="nil"/>
              <w:left w:val="nil"/>
              <w:bottom w:val="nil"/>
              <w:right w:val="single" w:sz="4" w:space="0" w:color="auto"/>
            </w:tcBorders>
            <w:vAlign w:val="bottom"/>
          </w:tcPr>
          <w:p w14:paraId="30725FA8"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0.88</w:t>
            </w:r>
          </w:p>
        </w:tc>
        <w:tc>
          <w:tcPr>
            <w:tcW w:w="1077" w:type="dxa"/>
            <w:tcBorders>
              <w:top w:val="nil"/>
              <w:left w:val="single" w:sz="4" w:space="0" w:color="auto"/>
              <w:bottom w:val="nil"/>
              <w:right w:val="nil"/>
            </w:tcBorders>
            <w:vAlign w:val="bottom"/>
          </w:tcPr>
          <w:p w14:paraId="2ECC7305"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0.43</w:t>
            </w:r>
          </w:p>
        </w:tc>
        <w:tc>
          <w:tcPr>
            <w:tcW w:w="1077" w:type="dxa"/>
            <w:tcBorders>
              <w:top w:val="nil"/>
              <w:left w:val="nil"/>
              <w:bottom w:val="nil"/>
              <w:right w:val="nil"/>
            </w:tcBorders>
            <w:vAlign w:val="bottom"/>
          </w:tcPr>
          <w:p w14:paraId="74654920"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0.35</w:t>
            </w:r>
          </w:p>
        </w:tc>
        <w:tc>
          <w:tcPr>
            <w:tcW w:w="1077" w:type="dxa"/>
            <w:tcBorders>
              <w:top w:val="nil"/>
              <w:left w:val="nil"/>
              <w:bottom w:val="nil"/>
              <w:right w:val="single" w:sz="4" w:space="0" w:color="auto"/>
            </w:tcBorders>
            <w:vAlign w:val="bottom"/>
          </w:tcPr>
          <w:p w14:paraId="6CB3474F"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0.30</w:t>
            </w:r>
          </w:p>
        </w:tc>
        <w:tc>
          <w:tcPr>
            <w:tcW w:w="1077" w:type="dxa"/>
            <w:tcBorders>
              <w:top w:val="nil"/>
              <w:left w:val="single" w:sz="4" w:space="0" w:color="auto"/>
              <w:bottom w:val="nil"/>
              <w:right w:val="nil"/>
            </w:tcBorders>
            <w:vAlign w:val="bottom"/>
          </w:tcPr>
          <w:p w14:paraId="34C3971D"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0.47</w:t>
            </w:r>
          </w:p>
        </w:tc>
        <w:tc>
          <w:tcPr>
            <w:tcW w:w="1077" w:type="dxa"/>
            <w:tcBorders>
              <w:top w:val="nil"/>
              <w:left w:val="nil"/>
              <w:bottom w:val="nil"/>
              <w:right w:val="nil"/>
            </w:tcBorders>
            <w:vAlign w:val="bottom"/>
          </w:tcPr>
          <w:p w14:paraId="4E88FF49"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0.36</w:t>
            </w:r>
          </w:p>
        </w:tc>
        <w:tc>
          <w:tcPr>
            <w:tcW w:w="1077" w:type="dxa"/>
            <w:tcBorders>
              <w:top w:val="nil"/>
              <w:left w:val="nil"/>
              <w:bottom w:val="nil"/>
              <w:right w:val="single" w:sz="4" w:space="0" w:color="auto"/>
            </w:tcBorders>
            <w:vAlign w:val="bottom"/>
          </w:tcPr>
          <w:p w14:paraId="78B685DB"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0.29</w:t>
            </w:r>
          </w:p>
        </w:tc>
        <w:tc>
          <w:tcPr>
            <w:tcW w:w="1077" w:type="dxa"/>
            <w:gridSpan w:val="2"/>
            <w:tcBorders>
              <w:top w:val="nil"/>
              <w:left w:val="single" w:sz="4" w:space="0" w:color="auto"/>
              <w:bottom w:val="nil"/>
              <w:right w:val="nil"/>
            </w:tcBorders>
            <w:vAlign w:val="bottom"/>
          </w:tcPr>
          <w:p w14:paraId="0D3A29CF"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0.26</w:t>
            </w:r>
          </w:p>
        </w:tc>
        <w:tc>
          <w:tcPr>
            <w:tcW w:w="1077" w:type="dxa"/>
            <w:gridSpan w:val="2"/>
            <w:tcBorders>
              <w:top w:val="nil"/>
              <w:left w:val="nil"/>
              <w:bottom w:val="nil"/>
              <w:right w:val="nil"/>
            </w:tcBorders>
            <w:vAlign w:val="bottom"/>
          </w:tcPr>
          <w:p w14:paraId="0B62986F"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0.09</w:t>
            </w:r>
          </w:p>
        </w:tc>
        <w:tc>
          <w:tcPr>
            <w:tcW w:w="1077" w:type="dxa"/>
            <w:gridSpan w:val="2"/>
            <w:tcBorders>
              <w:top w:val="nil"/>
              <w:left w:val="nil"/>
              <w:bottom w:val="nil"/>
              <w:right w:val="nil"/>
            </w:tcBorders>
            <w:vAlign w:val="bottom"/>
          </w:tcPr>
          <w:p w14:paraId="607E9092" w14:textId="77777777" w:rsidR="00307155" w:rsidRPr="00FC7BB4" w:rsidRDefault="00307155" w:rsidP="00F3101B">
            <w:pPr>
              <w:spacing w:line="331" w:lineRule="auto"/>
              <w:ind w:right="27"/>
              <w:rPr>
                <w:rFonts w:ascii="Times New Roman" w:hAnsi="Times New Roman" w:cs="Times New Roman"/>
                <w:sz w:val="18"/>
                <w:szCs w:val="18"/>
              </w:rPr>
            </w:pPr>
            <w:r w:rsidRPr="00FC7BB4">
              <w:rPr>
                <w:rFonts w:ascii="Times New Roman" w:hAnsi="Times New Roman" w:cs="Times New Roman"/>
                <w:sz w:val="18"/>
                <w:szCs w:val="18"/>
              </w:rPr>
              <w:t>0.04</w:t>
            </w:r>
          </w:p>
        </w:tc>
      </w:tr>
      <w:tr w:rsidR="00307155" w:rsidRPr="00FC7BB4" w14:paraId="468C97D4" w14:textId="77777777" w:rsidTr="00291B27">
        <w:trPr>
          <w:gridAfter w:val="1"/>
          <w:wAfter w:w="2914" w:type="dxa"/>
          <w:trHeight w:val="56"/>
        </w:trPr>
        <w:tc>
          <w:tcPr>
            <w:tcW w:w="1184" w:type="dxa"/>
            <w:tcBorders>
              <w:top w:val="nil"/>
              <w:left w:val="nil"/>
              <w:bottom w:val="single" w:sz="4" w:space="0" w:color="auto"/>
              <w:right w:val="single" w:sz="4" w:space="0" w:color="auto"/>
            </w:tcBorders>
            <w:vAlign w:val="bottom"/>
          </w:tcPr>
          <w:p w14:paraId="450289C9" w14:textId="77777777" w:rsidR="00307155" w:rsidRPr="00FC7BB4" w:rsidRDefault="00307155" w:rsidP="00F3101B">
            <w:pPr>
              <w:spacing w:line="331"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w:t>
            </w:r>
          </w:p>
        </w:tc>
        <w:tc>
          <w:tcPr>
            <w:tcW w:w="1077" w:type="dxa"/>
            <w:tcBorders>
              <w:top w:val="nil"/>
              <w:left w:val="single" w:sz="4" w:space="0" w:color="auto"/>
              <w:bottom w:val="single" w:sz="4" w:space="0" w:color="auto"/>
              <w:right w:val="nil"/>
            </w:tcBorders>
            <w:vAlign w:val="bottom"/>
          </w:tcPr>
          <w:p w14:paraId="0D6CC042"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-0.12**</w:t>
            </w:r>
          </w:p>
        </w:tc>
        <w:tc>
          <w:tcPr>
            <w:tcW w:w="1077" w:type="dxa"/>
            <w:tcBorders>
              <w:top w:val="nil"/>
              <w:left w:val="nil"/>
              <w:bottom w:val="single" w:sz="4" w:space="0" w:color="auto"/>
              <w:right w:val="nil"/>
            </w:tcBorders>
            <w:vAlign w:val="bottom"/>
          </w:tcPr>
          <w:p w14:paraId="20186E75"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0.04</w:t>
            </w:r>
          </w:p>
        </w:tc>
        <w:tc>
          <w:tcPr>
            <w:tcW w:w="1077" w:type="dxa"/>
            <w:tcBorders>
              <w:top w:val="nil"/>
              <w:left w:val="nil"/>
              <w:bottom w:val="single" w:sz="4" w:space="0" w:color="auto"/>
              <w:right w:val="single" w:sz="4" w:space="0" w:color="auto"/>
            </w:tcBorders>
            <w:vAlign w:val="bottom"/>
          </w:tcPr>
          <w:p w14:paraId="6452471C"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0.12</w:t>
            </w:r>
          </w:p>
        </w:tc>
        <w:tc>
          <w:tcPr>
            <w:tcW w:w="1077" w:type="dxa"/>
            <w:tcBorders>
              <w:top w:val="nil"/>
              <w:left w:val="single" w:sz="4" w:space="0" w:color="auto"/>
              <w:bottom w:val="single" w:sz="4" w:space="0" w:color="auto"/>
              <w:right w:val="nil"/>
            </w:tcBorders>
            <w:vAlign w:val="bottom"/>
          </w:tcPr>
          <w:p w14:paraId="437ED763"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0.04</w:t>
            </w:r>
          </w:p>
        </w:tc>
        <w:tc>
          <w:tcPr>
            <w:tcW w:w="1077" w:type="dxa"/>
            <w:tcBorders>
              <w:top w:val="nil"/>
              <w:left w:val="nil"/>
              <w:bottom w:val="single" w:sz="4" w:space="0" w:color="auto"/>
              <w:right w:val="nil"/>
            </w:tcBorders>
            <w:vAlign w:val="bottom"/>
          </w:tcPr>
          <w:p w14:paraId="7419BF1D"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0.02</w:t>
            </w:r>
          </w:p>
        </w:tc>
        <w:tc>
          <w:tcPr>
            <w:tcW w:w="1077" w:type="dxa"/>
            <w:tcBorders>
              <w:top w:val="nil"/>
              <w:left w:val="nil"/>
              <w:bottom w:val="single" w:sz="4" w:space="0" w:color="auto"/>
              <w:right w:val="single" w:sz="4" w:space="0" w:color="auto"/>
            </w:tcBorders>
            <w:vAlign w:val="bottom"/>
          </w:tcPr>
          <w:p w14:paraId="1AC5A6AF"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0.01</w:t>
            </w:r>
          </w:p>
        </w:tc>
        <w:tc>
          <w:tcPr>
            <w:tcW w:w="1077" w:type="dxa"/>
            <w:tcBorders>
              <w:top w:val="nil"/>
              <w:left w:val="single" w:sz="4" w:space="0" w:color="auto"/>
              <w:bottom w:val="single" w:sz="4" w:space="0" w:color="auto"/>
              <w:right w:val="nil"/>
            </w:tcBorders>
            <w:vAlign w:val="bottom"/>
          </w:tcPr>
          <w:p w14:paraId="2B9857D3"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-0.09***</w:t>
            </w:r>
          </w:p>
        </w:tc>
        <w:tc>
          <w:tcPr>
            <w:tcW w:w="1077" w:type="dxa"/>
            <w:tcBorders>
              <w:top w:val="nil"/>
              <w:left w:val="nil"/>
              <w:bottom w:val="single" w:sz="4" w:space="0" w:color="auto"/>
              <w:right w:val="nil"/>
            </w:tcBorders>
            <w:vAlign w:val="bottom"/>
          </w:tcPr>
          <w:p w14:paraId="0E6E01BD"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-0.23***</w:t>
            </w:r>
          </w:p>
        </w:tc>
        <w:tc>
          <w:tcPr>
            <w:tcW w:w="1077" w:type="dxa"/>
            <w:tcBorders>
              <w:top w:val="nil"/>
              <w:left w:val="nil"/>
              <w:bottom w:val="single" w:sz="4" w:space="0" w:color="auto"/>
              <w:right w:val="single" w:sz="4" w:space="0" w:color="auto"/>
            </w:tcBorders>
            <w:vAlign w:val="bottom"/>
          </w:tcPr>
          <w:p w14:paraId="2D455919"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-0.32***</w:t>
            </w:r>
          </w:p>
        </w:tc>
        <w:tc>
          <w:tcPr>
            <w:tcW w:w="1077" w:type="dxa"/>
            <w:gridSpan w:val="2"/>
            <w:tcBorders>
              <w:top w:val="nil"/>
              <w:left w:val="single" w:sz="4" w:space="0" w:color="auto"/>
              <w:bottom w:val="single" w:sz="4" w:space="0" w:color="auto"/>
              <w:right w:val="nil"/>
            </w:tcBorders>
            <w:vAlign w:val="bottom"/>
          </w:tcPr>
          <w:p w14:paraId="5877D8B7"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-0.16***</w:t>
            </w:r>
          </w:p>
        </w:tc>
        <w:tc>
          <w:tcPr>
            <w:tcW w:w="1077" w:type="dxa"/>
            <w:gridSpan w:val="2"/>
            <w:tcBorders>
              <w:top w:val="nil"/>
              <w:left w:val="nil"/>
              <w:bottom w:val="single" w:sz="4" w:space="0" w:color="auto"/>
              <w:right w:val="nil"/>
            </w:tcBorders>
            <w:vAlign w:val="bottom"/>
          </w:tcPr>
          <w:p w14:paraId="08C1CD02"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-0.28***</w:t>
            </w:r>
          </w:p>
        </w:tc>
        <w:tc>
          <w:tcPr>
            <w:tcW w:w="1077" w:type="dxa"/>
            <w:gridSpan w:val="2"/>
            <w:tcBorders>
              <w:top w:val="nil"/>
              <w:left w:val="nil"/>
              <w:bottom w:val="single" w:sz="4" w:space="0" w:color="auto"/>
              <w:right w:val="nil"/>
            </w:tcBorders>
            <w:vAlign w:val="bottom"/>
          </w:tcPr>
          <w:p w14:paraId="0DE2881E" w14:textId="77777777" w:rsidR="00307155" w:rsidRPr="00FC7BB4" w:rsidRDefault="00307155" w:rsidP="00F3101B">
            <w:pPr>
              <w:spacing w:line="331"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-0.30***</w:t>
            </w:r>
          </w:p>
        </w:tc>
      </w:tr>
    </w:tbl>
    <w:p w14:paraId="1AA96AF2" w14:textId="77777777" w:rsidR="00307155" w:rsidRPr="00FC7BB4" w:rsidRDefault="00307155" w:rsidP="00F3101B">
      <w:pPr>
        <w:pStyle w:val="FootnoteText"/>
        <w:ind w:left="-283" w:right="794" w:firstLine="0"/>
        <w:rPr>
          <w:rFonts w:ascii="Times New Roman" w:hAnsi="Times New Roman" w:cs="Times New Roman"/>
          <w:sz w:val="18"/>
          <w:szCs w:val="18"/>
          <w:lang w:val="en-GB"/>
        </w:rPr>
      </w:pPr>
      <w:bookmarkStart w:id="82" w:name="_Hlk201930160"/>
      <w:bookmarkStart w:id="83" w:name="_Hlk201092378"/>
      <w:r w:rsidRPr="00FC7BB4">
        <w:rPr>
          <w:rFonts w:ascii="Times New Roman" w:hAnsi="Times New Roman" w:cs="Times New Roman"/>
          <w:sz w:val="18"/>
          <w:szCs w:val="18"/>
        </w:rPr>
        <w:t xml:space="preserve">Notes: </w:t>
      </w:r>
      <w:bookmarkStart w:id="84" w:name="_Hlk213335422"/>
      <w:r w:rsidRPr="00FC7BB4">
        <w:rPr>
          <w:rFonts w:ascii="Times New Roman" w:hAnsi="Times New Roman" w:cs="Times New Roman"/>
          <w:sz w:val="18"/>
          <w:szCs w:val="18"/>
        </w:rPr>
        <w:t xml:space="preserve">These conditional probabilities are derived from the coefficient estimates shown in Table A2 and are evaluated at the specific inflation rates of 2%, 5% and 7%. </w:t>
      </w:r>
      <w:r w:rsidRPr="00FC7BB4">
        <w:rPr>
          <w:rFonts w:ascii="Times New Roman" w:eastAsia="Times New Roman" w:hAnsi="Times New Roman" w:cs="Times New Roman"/>
          <w:color w:val="auto"/>
          <w:kern w:val="0"/>
          <w:sz w:val="18"/>
          <w:szCs w:val="18"/>
          <w14:ligatures w14:val="none"/>
        </w:rPr>
        <w:t xml:space="preserve"> </w:t>
      </w:r>
      <w:r w:rsidRPr="00FC7BB4">
        <w:rPr>
          <w:rFonts w:ascii="Times New Roman" w:hAnsi="Times New Roman" w:cs="Times New Roman"/>
          <w:sz w:val="18"/>
          <w:szCs w:val="18"/>
        </w:rPr>
        <w:t xml:space="preserve">P=prices, C=costs, D=demand, up=increase, </w:t>
      </w:r>
      <w:proofErr w:type="spellStart"/>
      <w:r w:rsidRPr="00FC7BB4">
        <w:rPr>
          <w:rFonts w:ascii="Times New Roman" w:hAnsi="Times New Roman" w:cs="Times New Roman"/>
          <w:sz w:val="18"/>
          <w:szCs w:val="18"/>
        </w:rPr>
        <w:t>nc</w:t>
      </w:r>
      <w:proofErr w:type="spellEnd"/>
      <w:r w:rsidRPr="00FC7BB4">
        <w:rPr>
          <w:rFonts w:ascii="Times New Roman" w:hAnsi="Times New Roman" w:cs="Times New Roman"/>
          <w:sz w:val="18"/>
          <w:szCs w:val="18"/>
        </w:rPr>
        <w:t xml:space="preserve">=no change, </w:t>
      </w:r>
      <w:proofErr w:type="spellStart"/>
      <w:r w:rsidRPr="00FC7BB4">
        <w:rPr>
          <w:rFonts w:ascii="Times New Roman" w:hAnsi="Times New Roman" w:cs="Times New Roman"/>
          <w:sz w:val="18"/>
          <w:szCs w:val="18"/>
        </w:rPr>
        <w:t>dn</w:t>
      </w:r>
      <w:proofErr w:type="spellEnd"/>
      <w:r w:rsidRPr="00FC7BB4">
        <w:rPr>
          <w:rFonts w:ascii="Times New Roman" w:hAnsi="Times New Roman" w:cs="Times New Roman"/>
          <w:sz w:val="18"/>
          <w:szCs w:val="18"/>
        </w:rPr>
        <w:t>=down</w:t>
      </w:r>
      <w:r w:rsidRPr="00FC7BB4">
        <w:rPr>
          <w:rFonts w:ascii="Times New Roman" w:eastAsia="Cambria" w:hAnsi="Times New Roman" w:cs="Times New Roman"/>
          <w:i/>
          <w:sz w:val="18"/>
          <w:szCs w:val="18"/>
        </w:rPr>
        <w:t xml:space="preserve">, </w:t>
      </w:r>
      <w:r w:rsidRPr="00FC7BB4">
        <w:rPr>
          <w:rFonts w:ascii="Times New Roman" w:hAnsi="Times New Roman" w:cs="Times New Roman"/>
          <w:sz w:val="18"/>
          <w:szCs w:val="18"/>
        </w:rPr>
        <w:t xml:space="preserve">hence for example Pup=Prices up, and so on. </w:t>
      </w:r>
      <w:r w:rsidRPr="00FC7BB4">
        <w:rPr>
          <w:rFonts w:ascii="Times New Roman" w:eastAsia="Cambria" w:hAnsi="Times New Roman" w:cs="Times New Roman"/>
          <w:iCs/>
          <w:sz w:val="18"/>
          <w:szCs w:val="18"/>
        </w:rPr>
        <w:t xml:space="preserve">R=Recent is the time contingent dummy variable which </w:t>
      </w:r>
      <w:r w:rsidRPr="00FC7BB4">
        <w:rPr>
          <w:rFonts w:ascii="Times New Roman" w:hAnsi="Times New Roman" w:cs="Times New Roman"/>
          <w:iCs/>
          <w:sz w:val="18"/>
          <w:szCs w:val="18"/>
        </w:rPr>
        <w:t>ta</w:t>
      </w:r>
      <w:r w:rsidRPr="00FC7BB4">
        <w:rPr>
          <w:rFonts w:ascii="Times New Roman" w:hAnsi="Times New Roman" w:cs="Times New Roman"/>
          <w:sz w:val="18"/>
          <w:szCs w:val="18"/>
        </w:rPr>
        <w:t>kes a value=1 from 2011Q2 and zero otherwise.</w:t>
      </w:r>
      <w:bookmarkStart w:id="85" w:name="_Hlk201087739"/>
      <w:r w:rsidRPr="00FC7BB4">
        <w:rPr>
          <w:rFonts w:ascii="Times New Roman" w:hAnsi="Times New Roman" w:cs="Times New Roman"/>
          <w:sz w:val="18"/>
          <w:szCs w:val="18"/>
        </w:rPr>
        <w:t xml:space="preserve"> </w:t>
      </w:r>
      <w:r w:rsidRPr="00FC7BB4">
        <w:rPr>
          <w:rFonts w:ascii="Times New Roman" w:hAnsi="Times New Roman" w:cs="Times New Roman"/>
          <w:i/>
          <w:iCs/>
          <w:sz w:val="18"/>
          <w:szCs w:val="18"/>
        </w:rPr>
        <w:t>Change</w:t>
      </w:r>
      <w:r w:rsidRPr="00FC7BB4">
        <w:rPr>
          <w:rFonts w:ascii="Times New Roman" w:hAnsi="Times New Roman" w:cs="Times New Roman"/>
          <w:sz w:val="18"/>
          <w:szCs w:val="18"/>
        </w:rPr>
        <w:t xml:space="preserve"> is the absolute change in estimated conditional probability of a price change </w:t>
      </w:r>
      <w:r w:rsidRPr="00FC7BB4">
        <w:rPr>
          <w:rFonts w:ascii="Times New Roman" w:eastAsia="Times New Roman" w:hAnsi="Times New Roman" w:cs="Times New Roman"/>
          <w:color w:val="auto"/>
          <w:kern w:val="0"/>
          <w:sz w:val="18"/>
          <w:szCs w:val="18"/>
          <w14:ligatures w14:val="none"/>
        </w:rPr>
        <w:t xml:space="preserve">(under the equivalent cost and demand conditions) </w:t>
      </w:r>
      <w:r w:rsidRPr="00FC7BB4">
        <w:rPr>
          <w:rFonts w:ascii="Times New Roman" w:hAnsi="Times New Roman" w:cs="Times New Roman"/>
          <w:sz w:val="18"/>
          <w:szCs w:val="18"/>
        </w:rPr>
        <w:t xml:space="preserve">between Pre- and Post-2011Q2. </w:t>
      </w:r>
      <w:r w:rsidRPr="00FC7BB4">
        <w:rPr>
          <w:rFonts w:ascii="Times New Roman" w:eastAsia="Times New Roman" w:hAnsi="Times New Roman" w:cs="Times New Roman"/>
          <w:color w:val="auto"/>
          <w:kern w:val="0"/>
          <w:sz w:val="18"/>
          <w:szCs w:val="18"/>
          <w14:ligatures w14:val="none"/>
        </w:rPr>
        <w:t>Statistical significance is evaluated using the Delta method by applying the “margins” command in Stata and is</w:t>
      </w:r>
      <w:r w:rsidRPr="00FC7BB4">
        <w:rPr>
          <w:rFonts w:ascii="Times New Roman" w:hAnsi="Times New Roman" w:cs="Times New Roman"/>
          <w:sz w:val="18"/>
          <w:szCs w:val="18"/>
        </w:rPr>
        <w:t xml:space="preserve"> denoted by asterisks: *** </w:t>
      </w:r>
      <w:bookmarkStart w:id="86" w:name="_Hlk201087293"/>
      <w:r w:rsidRPr="00FC7BB4">
        <w:rPr>
          <w:rFonts w:ascii="Times New Roman" w:hAnsi="Times New Roman" w:cs="Times New Roman"/>
          <w:sz w:val="18"/>
          <w:szCs w:val="18"/>
        </w:rPr>
        <w:t>denotes p &lt; 0.01</w:t>
      </w:r>
      <w:bookmarkEnd w:id="86"/>
      <w:r w:rsidRPr="00FC7BB4">
        <w:rPr>
          <w:rFonts w:ascii="Times New Roman" w:hAnsi="Times New Roman" w:cs="Times New Roman"/>
          <w:sz w:val="18"/>
          <w:szCs w:val="18"/>
        </w:rPr>
        <w:t>; ** p &lt; 0.05; * p &lt; 0.10.</w:t>
      </w:r>
      <w:bookmarkEnd w:id="85"/>
      <w:r w:rsidRPr="00FC7BB4">
        <w:rPr>
          <w:rFonts w:ascii="Times New Roman" w:hAnsi="Times New Roman" w:cs="Times New Roman"/>
          <w:sz w:val="18"/>
          <w:szCs w:val="18"/>
        </w:rPr>
        <w:t xml:space="preserve"> </w:t>
      </w:r>
      <w:r w:rsidRPr="00FC7BB4">
        <w:rPr>
          <w:rFonts w:ascii="Times New Roman" w:eastAsia="Times New Roman" w:hAnsi="Times New Roman" w:cs="Times New Roman"/>
          <w:color w:val="auto"/>
          <w:kern w:val="0"/>
          <w:sz w:val="18"/>
          <w:szCs w:val="18"/>
          <w14:ligatures w14:val="none"/>
        </w:rPr>
        <w:t>Small differences between the recorded “Change (R=</w:t>
      </w:r>
      <w:proofErr w:type="gramStart"/>
      <w:r w:rsidRPr="00FC7BB4">
        <w:rPr>
          <w:rFonts w:ascii="Times New Roman" w:eastAsia="Times New Roman" w:hAnsi="Times New Roman" w:cs="Times New Roman"/>
          <w:color w:val="auto"/>
          <w:kern w:val="0"/>
          <w:sz w:val="18"/>
          <w:szCs w:val="18"/>
          <w14:ligatures w14:val="none"/>
        </w:rPr>
        <w:t>1)-(</w:t>
      </w:r>
      <w:proofErr w:type="gramEnd"/>
      <w:r w:rsidRPr="00FC7BB4">
        <w:rPr>
          <w:rFonts w:ascii="Times New Roman" w:eastAsia="Times New Roman" w:hAnsi="Times New Roman" w:cs="Times New Roman"/>
          <w:color w:val="auto"/>
          <w:kern w:val="0"/>
          <w:sz w:val="18"/>
          <w:szCs w:val="18"/>
          <w14:ligatures w14:val="none"/>
        </w:rPr>
        <w:t>R=0)” and the respective reported values of the conditional probabilities are due to rounding to the nearest digit at the second decimal point.</w:t>
      </w:r>
    </w:p>
    <w:bookmarkEnd w:id="82"/>
    <w:bookmarkEnd w:id="84"/>
    <w:p w14:paraId="707891F7" w14:textId="77777777" w:rsidR="00307155" w:rsidRPr="00FC7BB4" w:rsidRDefault="00307155" w:rsidP="00F3101B">
      <w:pPr>
        <w:spacing w:line="240" w:lineRule="auto"/>
        <w:ind w:left="-283" w:right="27" w:firstLine="0"/>
        <w:rPr>
          <w:rFonts w:ascii="Times New Roman" w:hAnsi="Times New Roman" w:cs="Times New Roman"/>
          <w:sz w:val="18"/>
          <w:szCs w:val="18"/>
        </w:rPr>
      </w:pPr>
    </w:p>
    <w:p w14:paraId="5C849894" w14:textId="77777777" w:rsidR="00307155" w:rsidRPr="00FC7BB4" w:rsidRDefault="00307155" w:rsidP="00F3101B">
      <w:pPr>
        <w:spacing w:line="240" w:lineRule="auto"/>
        <w:ind w:left="-283" w:right="27" w:firstLine="0"/>
        <w:rPr>
          <w:rFonts w:ascii="Times New Roman" w:hAnsi="Times New Roman" w:cs="Times New Roman"/>
          <w:sz w:val="18"/>
          <w:szCs w:val="18"/>
        </w:rPr>
      </w:pPr>
    </w:p>
    <w:p w14:paraId="1E963CCE" w14:textId="77777777" w:rsidR="00307155" w:rsidRPr="00FC7BB4" w:rsidRDefault="00307155" w:rsidP="00815077">
      <w:pPr>
        <w:spacing w:after="160" w:line="278" w:lineRule="auto"/>
        <w:ind w:right="27" w:firstLine="0"/>
        <w:jc w:val="left"/>
        <w:rPr>
          <w:rFonts w:ascii="Times New Roman" w:hAnsi="Times New Roman" w:cs="Times New Roman"/>
          <w:sz w:val="18"/>
          <w:szCs w:val="18"/>
        </w:rPr>
        <w:sectPr w:rsidR="00307155" w:rsidRPr="00FC7BB4" w:rsidSect="00307155">
          <w:pgSz w:w="15840" w:h="12240" w:orient="landscape"/>
          <w:pgMar w:top="720" w:right="720" w:bottom="720" w:left="720" w:header="720" w:footer="1134" w:gutter="0"/>
          <w:cols w:space="720"/>
          <w:docGrid w:linePitch="272"/>
        </w:sectPr>
      </w:pPr>
    </w:p>
    <w:bookmarkEnd w:id="83"/>
    <w:p w14:paraId="0B04046A" w14:textId="77777777" w:rsidR="00307155" w:rsidRPr="00FC7BB4" w:rsidRDefault="00307155" w:rsidP="00F3101B">
      <w:pPr>
        <w:pStyle w:val="FootnoteText"/>
        <w:spacing w:line="360" w:lineRule="auto"/>
        <w:ind w:right="27" w:firstLine="0"/>
        <w:rPr>
          <w:rFonts w:ascii="Times New Roman" w:hAnsi="Times New Roman" w:cs="Times New Roman"/>
          <w:sz w:val="24"/>
          <w:szCs w:val="24"/>
        </w:rPr>
      </w:pPr>
      <w:r w:rsidRPr="00FC7BB4">
        <w:rPr>
          <w:rFonts w:ascii="Times New Roman" w:hAnsi="Times New Roman" w:cs="Times New Roman"/>
          <w:b/>
          <w:bCs/>
          <w:i/>
          <w:iCs/>
          <w:sz w:val="24"/>
          <w:szCs w:val="24"/>
        </w:rPr>
        <w:lastRenderedPageBreak/>
        <w:t>6</w:t>
      </w:r>
      <w:r w:rsidRPr="00FC7BB4">
        <w:rPr>
          <w:rFonts w:ascii="Times New Roman" w:hAnsi="Times New Roman" w:cs="Times New Roman"/>
          <w:b/>
          <w:bCs/>
          <w:i/>
          <w:iCs/>
          <w:sz w:val="24"/>
        </w:rPr>
        <w:t xml:space="preserve">.2. </w:t>
      </w:r>
      <w:r w:rsidRPr="00FC7BB4">
        <w:rPr>
          <w:rFonts w:ascii="Times New Roman" w:hAnsi="Times New Roman" w:cs="Times New Roman"/>
          <w:b/>
          <w:bCs/>
          <w:i/>
          <w:iCs/>
          <w:color w:val="auto"/>
          <w:sz w:val="24"/>
        </w:rPr>
        <w:t>Conditional probabilities of price changes by firm size</w:t>
      </w:r>
      <w:r w:rsidRPr="00FC7BB4">
        <w:rPr>
          <w:rFonts w:ascii="Times New Roman" w:hAnsi="Times New Roman" w:cs="Times New Roman"/>
          <w:i/>
          <w:iCs/>
          <w:sz w:val="24"/>
        </w:rPr>
        <w:t xml:space="preserve"> </w:t>
      </w:r>
    </w:p>
    <w:p w14:paraId="4D2F6A50" w14:textId="75284B33" w:rsidR="00307155" w:rsidRPr="00FC7BB4" w:rsidRDefault="00FC25AA" w:rsidP="00F3101B">
      <w:pPr>
        <w:spacing w:after="0" w:line="331" w:lineRule="auto"/>
        <w:ind w:right="27" w:firstLine="0"/>
        <w:rPr>
          <w:rFonts w:ascii="Times New Roman" w:hAnsi="Times New Roman" w:cs="Times New Roman"/>
          <w:color w:val="auto"/>
          <w:sz w:val="24"/>
        </w:rPr>
      </w:pPr>
      <w:bookmarkStart w:id="87" w:name="_Hlk213335851"/>
      <w:r w:rsidRPr="00FC7BB4">
        <w:rPr>
          <w:rFonts w:ascii="Times New Roman" w:hAnsi="Times New Roman" w:cs="Times New Roman"/>
          <w:sz w:val="24"/>
        </w:rPr>
        <w:t xml:space="preserve">It is apparent from Table 3 </w:t>
      </w:r>
      <w:r w:rsidR="00DE3035" w:rsidRPr="00FC7BB4">
        <w:rPr>
          <w:rFonts w:ascii="Times New Roman" w:hAnsi="Times New Roman" w:cs="Times New Roman"/>
          <w:sz w:val="24"/>
        </w:rPr>
        <w:t>that</w:t>
      </w:r>
      <w:r w:rsidRPr="00FC7BB4">
        <w:rPr>
          <w:rFonts w:ascii="Times New Roman" w:hAnsi="Times New Roman" w:cs="Times New Roman"/>
          <w:sz w:val="24"/>
        </w:rPr>
        <w:t xml:space="preserve"> larger firms are more likely to sell online</w:t>
      </w:r>
      <w:r w:rsidR="00DE3035" w:rsidRPr="00FC7BB4">
        <w:rPr>
          <w:rFonts w:ascii="Times New Roman" w:hAnsi="Times New Roman" w:cs="Times New Roman"/>
          <w:sz w:val="24"/>
        </w:rPr>
        <w:t xml:space="preserve"> and </w:t>
      </w:r>
      <w:r w:rsidR="00FA7EA5" w:rsidRPr="00FC7BB4">
        <w:rPr>
          <w:rFonts w:ascii="Times New Roman" w:hAnsi="Times New Roman" w:cs="Times New Roman"/>
          <w:sz w:val="24"/>
        </w:rPr>
        <w:t xml:space="preserve">are </w:t>
      </w:r>
      <w:r w:rsidR="00DE3035" w:rsidRPr="00FC7BB4">
        <w:rPr>
          <w:rFonts w:ascii="Times New Roman" w:hAnsi="Times New Roman" w:cs="Times New Roman"/>
          <w:sz w:val="24"/>
        </w:rPr>
        <w:t xml:space="preserve">more sophisticated in their </w:t>
      </w:r>
      <w:r w:rsidR="00284CB2" w:rsidRPr="00FC7BB4">
        <w:rPr>
          <w:rFonts w:ascii="Times New Roman" w:hAnsi="Times New Roman" w:cs="Times New Roman"/>
          <w:sz w:val="24"/>
        </w:rPr>
        <w:t>data drive</w:t>
      </w:r>
      <w:r w:rsidR="000919CA" w:rsidRPr="00FC7BB4">
        <w:rPr>
          <w:rFonts w:ascii="Times New Roman" w:hAnsi="Times New Roman" w:cs="Times New Roman"/>
          <w:sz w:val="24"/>
        </w:rPr>
        <w:t>n</w:t>
      </w:r>
      <w:r w:rsidR="00284CB2" w:rsidRPr="00FC7BB4">
        <w:rPr>
          <w:rFonts w:ascii="Times New Roman" w:hAnsi="Times New Roman" w:cs="Times New Roman"/>
          <w:sz w:val="24"/>
        </w:rPr>
        <w:t xml:space="preserve"> decision making</w:t>
      </w:r>
      <w:r w:rsidRPr="00FC7BB4">
        <w:rPr>
          <w:rFonts w:ascii="Times New Roman" w:hAnsi="Times New Roman" w:cs="Times New Roman"/>
          <w:sz w:val="24"/>
        </w:rPr>
        <w:t>. As w</w:t>
      </w:r>
      <w:r w:rsidR="006B31EF" w:rsidRPr="00FC7BB4">
        <w:rPr>
          <w:rFonts w:ascii="Times New Roman" w:hAnsi="Times New Roman" w:cs="Times New Roman"/>
          <w:sz w:val="24"/>
        </w:rPr>
        <w:t>as</w:t>
      </w:r>
      <w:r w:rsidRPr="00FC7BB4">
        <w:rPr>
          <w:rFonts w:ascii="Times New Roman" w:hAnsi="Times New Roman" w:cs="Times New Roman"/>
          <w:sz w:val="24"/>
        </w:rPr>
        <w:t xml:space="preserve"> noted earlier, price flexibility </w:t>
      </w:r>
      <w:r w:rsidR="00DF2AF3" w:rsidRPr="00FC7BB4">
        <w:rPr>
          <w:rFonts w:ascii="Times New Roman" w:hAnsi="Times New Roman" w:cs="Times New Roman"/>
          <w:sz w:val="24"/>
        </w:rPr>
        <w:t xml:space="preserve">would therefore be expected </w:t>
      </w:r>
      <w:r w:rsidRPr="00FC7BB4">
        <w:rPr>
          <w:rFonts w:ascii="Times New Roman" w:hAnsi="Times New Roman" w:cs="Times New Roman"/>
          <w:sz w:val="24"/>
        </w:rPr>
        <w:t>to have increased in larger firms</w:t>
      </w:r>
      <w:r w:rsidR="003E625F" w:rsidRPr="00FC7BB4">
        <w:rPr>
          <w:rFonts w:ascii="Times New Roman" w:hAnsi="Times New Roman" w:cs="Times New Roman"/>
          <w:sz w:val="24"/>
        </w:rPr>
        <w:t>.</w:t>
      </w:r>
      <w:r w:rsidR="0049052B" w:rsidRPr="00FC7BB4">
        <w:rPr>
          <w:rFonts w:ascii="Times New Roman" w:hAnsi="Times New Roman" w:cs="Times New Roman"/>
          <w:sz w:val="24"/>
        </w:rPr>
        <w:t xml:space="preserve"> </w:t>
      </w:r>
      <w:r w:rsidR="00307155" w:rsidRPr="00FC7BB4">
        <w:rPr>
          <w:rFonts w:ascii="Times New Roman" w:hAnsi="Times New Roman" w:cs="Times New Roman"/>
          <w:sz w:val="24"/>
        </w:rPr>
        <w:t>Figure 4 shows the differences in the conditional probabilities of price increases for small firms (20≥employees) and large firms (200&lt;employees). The differences in conditional probabilities represent the differences between the periods before and after 2011Q2. They are reported for different annual inflation rates and for each industry sector.</w:t>
      </w:r>
      <w:r w:rsidR="00307155" w:rsidRPr="00FC7BB4">
        <w:rPr>
          <w:rStyle w:val="FootnoteReference"/>
          <w:rFonts w:ascii="Times New Roman" w:hAnsi="Times New Roman" w:cs="Times New Roman"/>
          <w:sz w:val="24"/>
        </w:rPr>
        <w:footnoteReference w:id="35"/>
      </w:r>
      <w:r w:rsidR="00307155" w:rsidRPr="00FC7BB4">
        <w:rPr>
          <w:rFonts w:ascii="Times New Roman" w:hAnsi="Times New Roman" w:cs="Times New Roman"/>
          <w:color w:val="0000FF"/>
          <w:sz w:val="24"/>
          <w:vertAlign w:val="superscript"/>
        </w:rPr>
        <w:t xml:space="preserve"> </w:t>
      </w:r>
      <w:r w:rsidR="00307155" w:rsidRPr="00FC7BB4">
        <w:rPr>
          <w:rFonts w:ascii="Times New Roman" w:hAnsi="Times New Roman" w:cs="Times New Roman"/>
          <w:color w:val="auto"/>
          <w:sz w:val="24"/>
        </w:rPr>
        <w:t xml:space="preserve">The estimated probabilities for all cases are shown in Table A4. </w:t>
      </w:r>
    </w:p>
    <w:p w14:paraId="1B2D4B4E" w14:textId="2A7D6B96" w:rsidR="003E625F" w:rsidRPr="00FC7BB4" w:rsidRDefault="00307155" w:rsidP="00F3101B">
      <w:pPr>
        <w:spacing w:after="0" w:line="331" w:lineRule="auto"/>
        <w:ind w:left="-17" w:right="27"/>
        <w:rPr>
          <w:rFonts w:ascii="Times New Roman" w:hAnsi="Times New Roman" w:cs="Times New Roman"/>
          <w:sz w:val="24"/>
        </w:rPr>
      </w:pPr>
      <w:r w:rsidRPr="00FC7BB4">
        <w:rPr>
          <w:rFonts w:ascii="Times New Roman" w:hAnsi="Times New Roman" w:cs="Times New Roman"/>
          <w:color w:val="auto"/>
          <w:sz w:val="24"/>
        </w:rPr>
        <w:t xml:space="preserve">Figure 4 </w:t>
      </w:r>
      <w:r w:rsidRPr="00FC7BB4">
        <w:rPr>
          <w:rFonts w:ascii="Times New Roman" w:hAnsi="Times New Roman" w:cs="Times New Roman"/>
          <w:sz w:val="24"/>
        </w:rPr>
        <w:t>shows that for the Services sector, both small and large firms have experienced an increase in their conditional probability of rising prices</w:t>
      </w:r>
      <w:r w:rsidR="006B31EF" w:rsidRPr="00FC7BB4">
        <w:rPr>
          <w:rFonts w:ascii="Times New Roman" w:hAnsi="Times New Roman" w:cs="Times New Roman"/>
          <w:sz w:val="24"/>
        </w:rPr>
        <w:t xml:space="preserve"> </w:t>
      </w:r>
      <w:proofErr w:type="gramStart"/>
      <w:r w:rsidR="006B31EF" w:rsidRPr="00FC7BB4">
        <w:rPr>
          <w:rFonts w:ascii="Times New Roman" w:hAnsi="Times New Roman" w:cs="Times New Roman"/>
          <w:sz w:val="24"/>
        </w:rPr>
        <w:t>P</w:t>
      </w:r>
      <w:r w:rsidRPr="00FC7BB4">
        <w:rPr>
          <w:rFonts w:ascii="Times New Roman" w:hAnsi="Times New Roman" w:cs="Times New Roman"/>
          <w:sz w:val="24"/>
        </w:rPr>
        <w:t>ost-2011Q2</w:t>
      </w:r>
      <w:proofErr w:type="gramEnd"/>
      <w:r w:rsidRPr="00FC7BB4">
        <w:rPr>
          <w:rFonts w:ascii="Times New Roman" w:hAnsi="Times New Roman" w:cs="Times New Roman"/>
          <w:sz w:val="24"/>
        </w:rPr>
        <w:t xml:space="preserve"> compared to the earlier years, for inflation rates above 2 per cent. The size of the </w:t>
      </w:r>
      <w:proofErr w:type="gramStart"/>
      <w:r w:rsidR="006B31EF" w:rsidRPr="00FC7BB4">
        <w:rPr>
          <w:rFonts w:ascii="Times New Roman" w:hAnsi="Times New Roman" w:cs="Times New Roman"/>
          <w:sz w:val="24"/>
        </w:rPr>
        <w:t>P</w:t>
      </w:r>
      <w:r w:rsidRPr="00FC7BB4">
        <w:rPr>
          <w:rFonts w:ascii="Times New Roman" w:hAnsi="Times New Roman" w:cs="Times New Roman"/>
          <w:sz w:val="24"/>
        </w:rPr>
        <w:t>ost-2011Q2</w:t>
      </w:r>
      <w:proofErr w:type="gramEnd"/>
      <w:r w:rsidRPr="00FC7BB4">
        <w:rPr>
          <w:rFonts w:ascii="Times New Roman" w:hAnsi="Times New Roman" w:cs="Times New Roman"/>
          <w:sz w:val="24"/>
        </w:rPr>
        <w:t xml:space="preserve"> change tends to be larger for small firms. The </w:t>
      </w:r>
      <w:r w:rsidR="00321B03" w:rsidRPr="00FC7BB4">
        <w:rPr>
          <w:rFonts w:ascii="Times New Roman" w:hAnsi="Times New Roman" w:cs="Times New Roman"/>
          <w:sz w:val="24"/>
        </w:rPr>
        <w:t xml:space="preserve">firm size </w:t>
      </w:r>
      <w:r w:rsidRPr="00FC7BB4">
        <w:rPr>
          <w:rFonts w:ascii="Times New Roman" w:hAnsi="Times New Roman" w:cs="Times New Roman"/>
          <w:sz w:val="24"/>
        </w:rPr>
        <w:t xml:space="preserve">differences are small however, and in the situation when both costs and demand increase, there is no discernible difference between large and small firms in the size of the change in conditional probabilities of price change between the two periods. </w:t>
      </w:r>
      <w:r w:rsidR="00E62087" w:rsidRPr="00FC7BB4">
        <w:rPr>
          <w:rFonts w:ascii="Times New Roman" w:hAnsi="Times New Roman" w:cs="Times New Roman"/>
          <w:sz w:val="24"/>
        </w:rPr>
        <w:t xml:space="preserve">We therefore do not observe the expected </w:t>
      </w:r>
      <w:r w:rsidR="00494B80" w:rsidRPr="00FC7BB4">
        <w:rPr>
          <w:rFonts w:ascii="Times New Roman" w:hAnsi="Times New Roman" w:cs="Times New Roman"/>
          <w:sz w:val="24"/>
        </w:rPr>
        <w:t xml:space="preserve">relationship between size and price flexibility in the </w:t>
      </w:r>
      <w:r w:rsidR="00F43182" w:rsidRPr="00FC7BB4">
        <w:rPr>
          <w:rFonts w:ascii="Times New Roman" w:hAnsi="Times New Roman" w:cs="Times New Roman"/>
          <w:sz w:val="24"/>
        </w:rPr>
        <w:t>S</w:t>
      </w:r>
      <w:r w:rsidR="00494B80" w:rsidRPr="00FC7BB4">
        <w:rPr>
          <w:rFonts w:ascii="Times New Roman" w:hAnsi="Times New Roman" w:cs="Times New Roman"/>
          <w:sz w:val="24"/>
        </w:rPr>
        <w:t xml:space="preserve">ervices sector. </w:t>
      </w:r>
      <w:r w:rsidR="006B31EF" w:rsidRPr="00FC7BB4">
        <w:rPr>
          <w:rFonts w:ascii="Times New Roman" w:hAnsi="Times New Roman" w:cs="Times New Roman"/>
          <w:sz w:val="24"/>
        </w:rPr>
        <w:t>S</w:t>
      </w:r>
      <w:r w:rsidR="007A0000" w:rsidRPr="00FC7BB4">
        <w:rPr>
          <w:rFonts w:ascii="Times New Roman" w:hAnsi="Times New Roman" w:cs="Times New Roman"/>
          <w:sz w:val="24"/>
        </w:rPr>
        <w:t>omething else might be at play.</w:t>
      </w:r>
      <w:r w:rsidR="006B31EF" w:rsidRPr="00FC7BB4">
        <w:rPr>
          <w:rFonts w:ascii="Times New Roman" w:hAnsi="Times New Roman" w:cs="Times New Roman"/>
          <w:sz w:val="24"/>
        </w:rPr>
        <w:t xml:space="preserve"> </w:t>
      </w:r>
      <w:r w:rsidR="007A0000" w:rsidRPr="00FC7BB4">
        <w:rPr>
          <w:rFonts w:ascii="Times New Roman" w:hAnsi="Times New Roman" w:cs="Times New Roman"/>
          <w:sz w:val="24"/>
        </w:rPr>
        <w:t>Specifically, if technology reduces the fixed cost compo</w:t>
      </w:r>
      <w:r w:rsidR="00681124" w:rsidRPr="00FC7BB4">
        <w:rPr>
          <w:rFonts w:ascii="Times New Roman" w:hAnsi="Times New Roman" w:cs="Times New Roman"/>
          <w:sz w:val="24"/>
        </w:rPr>
        <w:t>nent of price review and menu costs, this will disproportionately benefit smaller firms</w:t>
      </w:r>
      <w:r w:rsidR="00940BAD" w:rsidRPr="00FC7BB4">
        <w:rPr>
          <w:rFonts w:ascii="Times New Roman" w:hAnsi="Times New Roman" w:cs="Times New Roman"/>
          <w:sz w:val="24"/>
        </w:rPr>
        <w:t xml:space="preserve"> who do adopt </w:t>
      </w:r>
      <w:r w:rsidR="000237B5" w:rsidRPr="00FC7BB4">
        <w:rPr>
          <w:rFonts w:ascii="Times New Roman" w:hAnsi="Times New Roman" w:cs="Times New Roman"/>
          <w:sz w:val="24"/>
        </w:rPr>
        <w:t xml:space="preserve">digital </w:t>
      </w:r>
      <w:r w:rsidR="00940BAD" w:rsidRPr="00FC7BB4">
        <w:rPr>
          <w:rFonts w:ascii="Times New Roman" w:hAnsi="Times New Roman" w:cs="Times New Roman"/>
          <w:sz w:val="24"/>
        </w:rPr>
        <w:t>technology</w:t>
      </w:r>
      <w:r w:rsidR="002C1655" w:rsidRPr="00FC7BB4">
        <w:rPr>
          <w:rFonts w:ascii="Times New Roman" w:hAnsi="Times New Roman" w:cs="Times New Roman"/>
          <w:sz w:val="24"/>
        </w:rPr>
        <w:t xml:space="preserve"> </w:t>
      </w:r>
      <w:r w:rsidR="000237B5" w:rsidRPr="00FC7BB4">
        <w:rPr>
          <w:rFonts w:ascii="Times New Roman" w:hAnsi="Times New Roman" w:cs="Times New Roman"/>
          <w:sz w:val="24"/>
        </w:rPr>
        <w:t xml:space="preserve">(and digital technology is more widespread in the </w:t>
      </w:r>
      <w:r w:rsidR="00F43182" w:rsidRPr="00FC7BB4">
        <w:rPr>
          <w:rFonts w:ascii="Times New Roman" w:hAnsi="Times New Roman" w:cs="Times New Roman"/>
          <w:sz w:val="24"/>
        </w:rPr>
        <w:t>S</w:t>
      </w:r>
      <w:r w:rsidR="000237B5" w:rsidRPr="00FC7BB4">
        <w:rPr>
          <w:rFonts w:ascii="Times New Roman" w:hAnsi="Times New Roman" w:cs="Times New Roman"/>
          <w:sz w:val="24"/>
        </w:rPr>
        <w:t>ervices sector)</w:t>
      </w:r>
      <w:r w:rsidR="0005435E" w:rsidRPr="00FC7BB4">
        <w:rPr>
          <w:rFonts w:ascii="Times New Roman" w:hAnsi="Times New Roman" w:cs="Times New Roman"/>
          <w:sz w:val="24"/>
        </w:rPr>
        <w:t>.</w:t>
      </w:r>
      <w:r w:rsidR="0005435E" w:rsidRPr="00FC7BB4">
        <w:rPr>
          <w:rStyle w:val="FootnoteReference"/>
          <w:rFonts w:ascii="Times New Roman" w:hAnsi="Times New Roman" w:cs="Times New Roman"/>
          <w:sz w:val="24"/>
        </w:rPr>
        <w:footnoteReference w:id="36"/>
      </w:r>
      <w:r w:rsidR="00940BAD" w:rsidRPr="00FC7BB4">
        <w:rPr>
          <w:rFonts w:ascii="Times New Roman" w:hAnsi="Times New Roman" w:cs="Times New Roman"/>
          <w:sz w:val="24"/>
        </w:rPr>
        <w:t xml:space="preserve"> </w:t>
      </w:r>
      <w:r w:rsidR="00FB373B" w:rsidRPr="00FC7BB4">
        <w:rPr>
          <w:rFonts w:ascii="Times New Roman" w:hAnsi="Times New Roman" w:cs="Times New Roman"/>
          <w:sz w:val="24"/>
        </w:rPr>
        <w:t xml:space="preserve">In the </w:t>
      </w:r>
      <w:r w:rsidR="006B31EF" w:rsidRPr="00FC7BB4">
        <w:rPr>
          <w:rFonts w:ascii="Times New Roman" w:hAnsi="Times New Roman" w:cs="Times New Roman"/>
          <w:sz w:val="24"/>
        </w:rPr>
        <w:t>S</w:t>
      </w:r>
      <w:r w:rsidR="00FB373B" w:rsidRPr="00FC7BB4">
        <w:rPr>
          <w:rFonts w:ascii="Times New Roman" w:hAnsi="Times New Roman" w:cs="Times New Roman"/>
          <w:sz w:val="24"/>
        </w:rPr>
        <w:t>ervices sector i</w:t>
      </w:r>
      <w:r w:rsidR="00306742" w:rsidRPr="00FC7BB4">
        <w:rPr>
          <w:rFonts w:ascii="Times New Roman" w:hAnsi="Times New Roman" w:cs="Times New Roman"/>
          <w:sz w:val="24"/>
        </w:rPr>
        <w:t xml:space="preserve">t may be the case two </w:t>
      </w:r>
      <w:r w:rsidR="005A6173" w:rsidRPr="00FC7BB4">
        <w:rPr>
          <w:rFonts w:ascii="Times New Roman" w:hAnsi="Times New Roman" w:cs="Times New Roman"/>
          <w:sz w:val="24"/>
        </w:rPr>
        <w:t xml:space="preserve">differing </w:t>
      </w:r>
      <w:r w:rsidR="00306742" w:rsidRPr="00FC7BB4">
        <w:rPr>
          <w:rFonts w:ascii="Times New Roman" w:hAnsi="Times New Roman" w:cs="Times New Roman"/>
          <w:sz w:val="24"/>
        </w:rPr>
        <w:t>forces</w:t>
      </w:r>
      <w:r w:rsidR="000F402E" w:rsidRPr="00FC7BB4">
        <w:rPr>
          <w:rFonts w:ascii="Times New Roman" w:hAnsi="Times New Roman" w:cs="Times New Roman"/>
          <w:sz w:val="24"/>
        </w:rPr>
        <w:t xml:space="preserve"> regarding digital capability</w:t>
      </w:r>
      <w:r w:rsidR="00FB373B" w:rsidRPr="00FC7BB4">
        <w:rPr>
          <w:rFonts w:ascii="Times New Roman" w:hAnsi="Times New Roman" w:cs="Times New Roman"/>
          <w:sz w:val="24"/>
        </w:rPr>
        <w:t xml:space="preserve"> </w:t>
      </w:r>
      <w:r w:rsidR="006A491F" w:rsidRPr="00FC7BB4">
        <w:rPr>
          <w:rFonts w:ascii="Times New Roman" w:hAnsi="Times New Roman" w:cs="Times New Roman"/>
          <w:sz w:val="24"/>
        </w:rPr>
        <w:t>are operating</w:t>
      </w:r>
      <w:r w:rsidR="008C4EFC" w:rsidRPr="00FC7BB4">
        <w:rPr>
          <w:rFonts w:ascii="Times New Roman" w:hAnsi="Times New Roman" w:cs="Times New Roman"/>
          <w:sz w:val="24"/>
        </w:rPr>
        <w:t>: a</w:t>
      </w:r>
      <w:r w:rsidR="00FB373B" w:rsidRPr="00FC7BB4">
        <w:rPr>
          <w:rFonts w:ascii="Times New Roman" w:hAnsi="Times New Roman" w:cs="Times New Roman"/>
          <w:sz w:val="24"/>
        </w:rPr>
        <w:t xml:space="preserve"> </w:t>
      </w:r>
      <w:r w:rsidR="00E2247A" w:rsidRPr="00FC7BB4">
        <w:rPr>
          <w:rFonts w:ascii="Times New Roman" w:hAnsi="Times New Roman" w:cs="Times New Roman"/>
          <w:sz w:val="24"/>
        </w:rPr>
        <w:t xml:space="preserve">higher prevalence </w:t>
      </w:r>
      <w:r w:rsidR="005663B0" w:rsidRPr="00FC7BB4">
        <w:rPr>
          <w:rFonts w:ascii="Times New Roman" w:hAnsi="Times New Roman" w:cs="Times New Roman"/>
          <w:sz w:val="24"/>
        </w:rPr>
        <w:t xml:space="preserve">of digital capability </w:t>
      </w:r>
      <w:r w:rsidR="00E2247A" w:rsidRPr="00FC7BB4">
        <w:rPr>
          <w:rFonts w:ascii="Times New Roman" w:hAnsi="Times New Roman" w:cs="Times New Roman"/>
          <w:sz w:val="24"/>
        </w:rPr>
        <w:t>in larger firms</w:t>
      </w:r>
      <w:r w:rsidR="000F402E" w:rsidRPr="00FC7BB4">
        <w:rPr>
          <w:rFonts w:ascii="Times New Roman" w:hAnsi="Times New Roman" w:cs="Times New Roman"/>
          <w:sz w:val="24"/>
        </w:rPr>
        <w:t>,</w:t>
      </w:r>
      <w:r w:rsidR="005663B0" w:rsidRPr="00FC7BB4">
        <w:rPr>
          <w:rFonts w:ascii="Times New Roman" w:hAnsi="Times New Roman" w:cs="Times New Roman"/>
          <w:sz w:val="24"/>
        </w:rPr>
        <w:t xml:space="preserve"> but a</w:t>
      </w:r>
      <w:r w:rsidR="006B31EF" w:rsidRPr="00FC7BB4">
        <w:rPr>
          <w:rFonts w:ascii="Times New Roman" w:hAnsi="Times New Roman" w:cs="Times New Roman"/>
          <w:sz w:val="24"/>
        </w:rPr>
        <w:t xml:space="preserve"> </w:t>
      </w:r>
      <w:r w:rsidR="000F402E" w:rsidRPr="00FC7BB4">
        <w:rPr>
          <w:rFonts w:ascii="Times New Roman" w:hAnsi="Times New Roman" w:cs="Times New Roman"/>
          <w:sz w:val="24"/>
        </w:rPr>
        <w:t>disproportionate benefit</w:t>
      </w:r>
      <w:r w:rsidR="005663B0" w:rsidRPr="00FC7BB4">
        <w:rPr>
          <w:rFonts w:ascii="Times New Roman" w:hAnsi="Times New Roman" w:cs="Times New Roman"/>
          <w:sz w:val="24"/>
        </w:rPr>
        <w:t xml:space="preserve"> from digital cap</w:t>
      </w:r>
      <w:r w:rsidR="00634394" w:rsidRPr="00FC7BB4">
        <w:rPr>
          <w:rFonts w:ascii="Times New Roman" w:hAnsi="Times New Roman" w:cs="Times New Roman"/>
          <w:sz w:val="24"/>
        </w:rPr>
        <w:t>ability</w:t>
      </w:r>
      <w:r w:rsidR="000F402E" w:rsidRPr="00FC7BB4">
        <w:rPr>
          <w:rFonts w:ascii="Times New Roman" w:hAnsi="Times New Roman" w:cs="Times New Roman"/>
          <w:sz w:val="24"/>
        </w:rPr>
        <w:t xml:space="preserve"> to smaller firms</w:t>
      </w:r>
      <w:r w:rsidR="00306742" w:rsidRPr="00FC7BB4">
        <w:rPr>
          <w:rFonts w:ascii="Times New Roman" w:hAnsi="Times New Roman" w:cs="Times New Roman"/>
          <w:sz w:val="24"/>
        </w:rPr>
        <w:t>.</w:t>
      </w:r>
    </w:p>
    <w:p w14:paraId="2F0E5049" w14:textId="22B052AC" w:rsidR="00307155" w:rsidRPr="00FC7BB4" w:rsidRDefault="00B66C68" w:rsidP="00F3101B">
      <w:pPr>
        <w:spacing w:after="0" w:line="331" w:lineRule="auto"/>
        <w:ind w:left="-17" w:right="27"/>
        <w:rPr>
          <w:rFonts w:ascii="Times New Roman" w:hAnsi="Times New Roman" w:cs="Times New Roman"/>
          <w:sz w:val="24"/>
        </w:rPr>
      </w:pPr>
      <w:r w:rsidRPr="00FC7BB4">
        <w:rPr>
          <w:rFonts w:ascii="Times New Roman" w:hAnsi="Times New Roman" w:cs="Times New Roman"/>
          <w:sz w:val="24"/>
        </w:rPr>
        <w:t xml:space="preserve">In contrast, for Merchant and Manufacturing firms, larger firms display a </w:t>
      </w:r>
      <w:r w:rsidR="00F910B1" w:rsidRPr="00FC7BB4">
        <w:rPr>
          <w:rFonts w:ascii="Times New Roman" w:hAnsi="Times New Roman" w:cs="Times New Roman"/>
          <w:sz w:val="24"/>
        </w:rPr>
        <w:t>more substantial</w:t>
      </w:r>
      <w:r w:rsidRPr="00FC7BB4">
        <w:rPr>
          <w:rFonts w:ascii="Times New Roman" w:hAnsi="Times New Roman" w:cs="Times New Roman"/>
          <w:sz w:val="24"/>
        </w:rPr>
        <w:t xml:space="preserve"> increase in price flexibility in an upward direction</w:t>
      </w:r>
      <w:r w:rsidR="00F910B1" w:rsidRPr="00FC7BB4">
        <w:rPr>
          <w:rFonts w:ascii="Times New Roman" w:hAnsi="Times New Roman" w:cs="Times New Roman"/>
          <w:sz w:val="24"/>
        </w:rPr>
        <w:t xml:space="preserve"> than smaller firms</w:t>
      </w:r>
      <w:r w:rsidR="000A62F1" w:rsidRPr="00FC7BB4">
        <w:rPr>
          <w:rFonts w:ascii="Times New Roman" w:hAnsi="Times New Roman" w:cs="Times New Roman"/>
          <w:sz w:val="24"/>
        </w:rPr>
        <w:t xml:space="preserve">; this is consistent with </w:t>
      </w:r>
      <w:r w:rsidR="00F910B1" w:rsidRPr="00FC7BB4">
        <w:rPr>
          <w:rFonts w:ascii="Times New Roman" w:hAnsi="Times New Roman" w:cs="Times New Roman"/>
          <w:sz w:val="24"/>
        </w:rPr>
        <w:t>the</w:t>
      </w:r>
      <w:r w:rsidR="000A62F1" w:rsidRPr="00FC7BB4">
        <w:rPr>
          <w:rFonts w:ascii="Times New Roman" w:hAnsi="Times New Roman" w:cs="Times New Roman"/>
          <w:sz w:val="24"/>
        </w:rPr>
        <w:t xml:space="preserve"> hypothesis</w:t>
      </w:r>
      <w:r w:rsidR="00F910B1" w:rsidRPr="00FC7BB4">
        <w:rPr>
          <w:rFonts w:ascii="Times New Roman" w:hAnsi="Times New Roman" w:cs="Times New Roman"/>
          <w:sz w:val="24"/>
        </w:rPr>
        <w:t xml:space="preserve"> that higher investment in digital technology by larger firms will lower price review and menu costs of price adjustment and increase price flexibility</w:t>
      </w:r>
      <w:r w:rsidRPr="00FC7BB4">
        <w:rPr>
          <w:rFonts w:ascii="Times New Roman" w:hAnsi="Times New Roman" w:cs="Times New Roman"/>
          <w:sz w:val="24"/>
        </w:rPr>
        <w:t xml:space="preserve">. Larger Merchant and Manufacturing firms manage long and complex supply chains to source their physical goods meaning the price review process requires more inputs of information and managerial time. </w:t>
      </w:r>
      <w:r w:rsidR="001A2A56" w:rsidRPr="00FC7BB4">
        <w:rPr>
          <w:rFonts w:ascii="Times New Roman" w:hAnsi="Times New Roman" w:cs="Times New Roman"/>
          <w:sz w:val="24"/>
        </w:rPr>
        <w:t xml:space="preserve">By contrast smaller firms in these sectors are </w:t>
      </w:r>
      <w:r w:rsidR="00670E7C" w:rsidRPr="00FC7BB4">
        <w:rPr>
          <w:rFonts w:ascii="Times New Roman" w:hAnsi="Times New Roman" w:cs="Times New Roman"/>
          <w:sz w:val="24"/>
        </w:rPr>
        <w:t xml:space="preserve">more </w:t>
      </w:r>
      <w:r w:rsidR="001A2A56" w:rsidRPr="00FC7BB4">
        <w:rPr>
          <w:rFonts w:ascii="Times New Roman" w:hAnsi="Times New Roman" w:cs="Times New Roman"/>
          <w:sz w:val="24"/>
        </w:rPr>
        <w:t xml:space="preserve">likely to source </w:t>
      </w:r>
      <w:r w:rsidR="002C29DC" w:rsidRPr="00FC7BB4">
        <w:rPr>
          <w:rFonts w:ascii="Times New Roman" w:hAnsi="Times New Roman" w:cs="Times New Roman"/>
          <w:sz w:val="24"/>
        </w:rPr>
        <w:t>locally</w:t>
      </w:r>
      <w:r w:rsidR="001A2A56" w:rsidRPr="00FC7BB4">
        <w:rPr>
          <w:rFonts w:ascii="Times New Roman" w:hAnsi="Times New Roman" w:cs="Times New Roman"/>
          <w:sz w:val="24"/>
        </w:rPr>
        <w:t>.</w:t>
      </w:r>
      <w:r w:rsidR="00896969" w:rsidRPr="00FC7BB4">
        <w:rPr>
          <w:rFonts w:ascii="Times New Roman" w:hAnsi="Times New Roman" w:cs="Times New Roman"/>
          <w:sz w:val="24"/>
        </w:rPr>
        <w:t xml:space="preserve"> </w:t>
      </w:r>
      <w:r w:rsidRPr="00FC7BB4">
        <w:rPr>
          <w:rFonts w:ascii="Times New Roman" w:hAnsi="Times New Roman" w:cs="Times New Roman"/>
          <w:sz w:val="24"/>
        </w:rPr>
        <w:t>Consequently, when information technology enhances the timeliness and quality of information on changes in supply chain costs, it disproportionately</w:t>
      </w:r>
      <w:r w:rsidR="000D4460" w:rsidRPr="00FC7BB4">
        <w:rPr>
          <w:rFonts w:ascii="Times New Roman" w:hAnsi="Times New Roman" w:cs="Times New Roman"/>
          <w:sz w:val="24"/>
        </w:rPr>
        <w:t xml:space="preserve"> lowers price review costs</w:t>
      </w:r>
      <w:r w:rsidR="0073337B" w:rsidRPr="00FC7BB4">
        <w:rPr>
          <w:rFonts w:ascii="Times New Roman" w:hAnsi="Times New Roman" w:cs="Times New Roman"/>
          <w:sz w:val="24"/>
        </w:rPr>
        <w:t xml:space="preserve"> for</w:t>
      </w:r>
      <w:r w:rsidR="000D4460" w:rsidRPr="00FC7BB4">
        <w:rPr>
          <w:rFonts w:ascii="Times New Roman" w:hAnsi="Times New Roman" w:cs="Times New Roman"/>
          <w:sz w:val="24"/>
        </w:rPr>
        <w:t xml:space="preserve"> </w:t>
      </w:r>
      <w:r w:rsidR="0073337B" w:rsidRPr="00FC7BB4">
        <w:rPr>
          <w:rFonts w:ascii="Times New Roman" w:hAnsi="Times New Roman" w:cs="Times New Roman"/>
          <w:sz w:val="24"/>
        </w:rPr>
        <w:t xml:space="preserve">larger firms in these sectors </w:t>
      </w:r>
      <w:r w:rsidR="000D4460" w:rsidRPr="00FC7BB4">
        <w:rPr>
          <w:rFonts w:ascii="Times New Roman" w:hAnsi="Times New Roman" w:cs="Times New Roman"/>
          <w:sz w:val="24"/>
        </w:rPr>
        <w:t>and</w:t>
      </w:r>
      <w:r w:rsidR="000F5FD3" w:rsidRPr="00FC7BB4">
        <w:rPr>
          <w:rFonts w:ascii="Times New Roman" w:hAnsi="Times New Roman" w:cs="Times New Roman"/>
          <w:sz w:val="24"/>
        </w:rPr>
        <w:t xml:space="preserve"> </w:t>
      </w:r>
      <w:r w:rsidRPr="00FC7BB4">
        <w:rPr>
          <w:rFonts w:ascii="Times New Roman" w:hAnsi="Times New Roman" w:cs="Times New Roman"/>
          <w:sz w:val="24"/>
        </w:rPr>
        <w:t>increases</w:t>
      </w:r>
      <w:r w:rsidR="0073337B" w:rsidRPr="00FC7BB4">
        <w:rPr>
          <w:rFonts w:ascii="Times New Roman" w:hAnsi="Times New Roman" w:cs="Times New Roman"/>
          <w:sz w:val="24"/>
        </w:rPr>
        <w:t xml:space="preserve"> their</w:t>
      </w:r>
      <w:r w:rsidRPr="00FC7BB4">
        <w:rPr>
          <w:rFonts w:ascii="Times New Roman" w:hAnsi="Times New Roman" w:cs="Times New Roman"/>
          <w:sz w:val="24"/>
        </w:rPr>
        <w:t xml:space="preserve"> price flexibility.</w:t>
      </w:r>
      <w:r w:rsidR="004864D5" w:rsidRPr="00FC7BB4">
        <w:rPr>
          <w:rFonts w:ascii="Times New Roman" w:hAnsi="Times New Roman" w:cs="Times New Roman"/>
          <w:sz w:val="24"/>
        </w:rPr>
        <w:t xml:space="preserve"> </w:t>
      </w:r>
    </w:p>
    <w:p w14:paraId="16000AE1" w14:textId="77777777" w:rsidR="00307155" w:rsidRPr="00FC7BB4" w:rsidRDefault="00307155" w:rsidP="00F3101B">
      <w:pPr>
        <w:spacing w:after="3" w:line="240" w:lineRule="auto"/>
        <w:ind w:left="-5" w:right="27" w:firstLine="279"/>
        <w:jc w:val="center"/>
        <w:rPr>
          <w:rFonts w:ascii="Times New Roman" w:hAnsi="Times New Roman" w:cs="Times New Roman"/>
          <w:color w:val="auto"/>
          <w:sz w:val="24"/>
        </w:rPr>
      </w:pPr>
    </w:p>
    <w:bookmarkEnd w:id="87"/>
    <w:p w14:paraId="0167C05A" w14:textId="77777777" w:rsidR="007B374F" w:rsidRPr="00FC7BB4" w:rsidRDefault="007B374F" w:rsidP="00F3101B">
      <w:pPr>
        <w:spacing w:after="3" w:line="240" w:lineRule="auto"/>
        <w:ind w:left="-5" w:right="27" w:firstLine="279"/>
        <w:jc w:val="center"/>
        <w:rPr>
          <w:rFonts w:ascii="Times New Roman" w:hAnsi="Times New Roman" w:cs="Times New Roman"/>
          <w:color w:val="auto"/>
          <w:sz w:val="24"/>
        </w:rPr>
      </w:pPr>
    </w:p>
    <w:p w14:paraId="1E7304F9" w14:textId="77777777" w:rsidR="00CB78FD" w:rsidRDefault="00CB78FD" w:rsidP="00F3101B">
      <w:pPr>
        <w:spacing w:after="3" w:line="240" w:lineRule="auto"/>
        <w:ind w:left="-5" w:right="27" w:firstLine="279"/>
        <w:jc w:val="center"/>
        <w:rPr>
          <w:rFonts w:ascii="Times New Roman" w:hAnsi="Times New Roman" w:cs="Times New Roman"/>
          <w:b/>
          <w:bCs/>
          <w:sz w:val="24"/>
        </w:rPr>
      </w:pPr>
    </w:p>
    <w:p w14:paraId="7F6E77D8" w14:textId="77777777" w:rsidR="00717BD6" w:rsidRDefault="00717BD6" w:rsidP="00F3101B">
      <w:pPr>
        <w:spacing w:after="3" w:line="240" w:lineRule="auto"/>
        <w:ind w:left="-5" w:right="27" w:firstLine="279"/>
        <w:jc w:val="center"/>
        <w:rPr>
          <w:rFonts w:ascii="Times New Roman" w:hAnsi="Times New Roman" w:cs="Times New Roman"/>
          <w:b/>
          <w:bCs/>
          <w:sz w:val="24"/>
        </w:rPr>
      </w:pPr>
    </w:p>
    <w:p w14:paraId="17D0B3D4" w14:textId="77777777" w:rsidR="00717BD6" w:rsidRDefault="00717BD6" w:rsidP="00F3101B">
      <w:pPr>
        <w:spacing w:after="3" w:line="240" w:lineRule="auto"/>
        <w:ind w:left="-5" w:right="27" w:firstLine="279"/>
        <w:jc w:val="center"/>
        <w:rPr>
          <w:rFonts w:ascii="Times New Roman" w:hAnsi="Times New Roman" w:cs="Times New Roman"/>
          <w:b/>
          <w:bCs/>
          <w:sz w:val="24"/>
        </w:rPr>
      </w:pPr>
    </w:p>
    <w:p w14:paraId="68B8EF55" w14:textId="77777777" w:rsidR="00717BD6" w:rsidRPr="00FC7BB4" w:rsidRDefault="00717BD6" w:rsidP="00F3101B">
      <w:pPr>
        <w:spacing w:after="3" w:line="240" w:lineRule="auto"/>
        <w:ind w:left="-5" w:right="27" w:firstLine="279"/>
        <w:jc w:val="center"/>
        <w:rPr>
          <w:rFonts w:ascii="Times New Roman" w:hAnsi="Times New Roman" w:cs="Times New Roman"/>
          <w:b/>
          <w:bCs/>
          <w:sz w:val="24"/>
        </w:rPr>
      </w:pPr>
    </w:p>
    <w:p w14:paraId="4A950D51" w14:textId="6B7F8EE5" w:rsidR="00CB78FD" w:rsidRPr="00FC7BB4" w:rsidRDefault="00CB78FD" w:rsidP="00F3101B">
      <w:pPr>
        <w:spacing w:after="160" w:line="259" w:lineRule="auto"/>
        <w:ind w:right="27" w:firstLine="0"/>
        <w:jc w:val="left"/>
        <w:rPr>
          <w:rFonts w:ascii="Times New Roman" w:hAnsi="Times New Roman" w:cs="Times New Roman"/>
          <w:b/>
          <w:bCs/>
          <w:sz w:val="24"/>
        </w:rPr>
      </w:pPr>
    </w:p>
    <w:p w14:paraId="1AAE1A67" w14:textId="76BFE565" w:rsidR="00307155" w:rsidRPr="00FC7BB4" w:rsidRDefault="00307155" w:rsidP="00F3101B">
      <w:pPr>
        <w:spacing w:after="3" w:line="240" w:lineRule="auto"/>
        <w:ind w:left="-5" w:right="27" w:firstLine="279"/>
        <w:jc w:val="center"/>
        <w:rPr>
          <w:rFonts w:ascii="Times New Roman" w:hAnsi="Times New Roman" w:cs="Times New Roman"/>
          <w:b/>
          <w:bCs/>
          <w:sz w:val="24"/>
        </w:rPr>
      </w:pPr>
      <w:r w:rsidRPr="00FC7BB4">
        <w:rPr>
          <w:rFonts w:ascii="Times New Roman" w:hAnsi="Times New Roman" w:cs="Times New Roman"/>
          <w:b/>
          <w:bCs/>
          <w:sz w:val="24"/>
        </w:rPr>
        <w:lastRenderedPageBreak/>
        <w:t>Figure 4:</w:t>
      </w:r>
      <w:r w:rsidRPr="00FC7BB4">
        <w:rPr>
          <w:rFonts w:ascii="Times New Roman" w:hAnsi="Times New Roman" w:cs="Times New Roman"/>
          <w:sz w:val="16"/>
        </w:rPr>
        <w:t xml:space="preserve"> </w:t>
      </w:r>
      <w:r w:rsidRPr="00FC7BB4">
        <w:rPr>
          <w:rFonts w:ascii="Times New Roman" w:hAnsi="Times New Roman" w:cs="Times New Roman"/>
          <w:b/>
          <w:bCs/>
          <w:sz w:val="24"/>
        </w:rPr>
        <w:t>Change in conditional probabilities of a price increase by firm size</w:t>
      </w:r>
    </w:p>
    <w:p w14:paraId="2437B1E5" w14:textId="77777777" w:rsidR="00307155" w:rsidRPr="00FC7BB4" w:rsidRDefault="00307155" w:rsidP="00F3101B">
      <w:pPr>
        <w:spacing w:after="3" w:line="240" w:lineRule="auto"/>
        <w:ind w:left="-5" w:right="27" w:firstLine="279"/>
        <w:jc w:val="center"/>
        <w:rPr>
          <w:rFonts w:ascii="Times New Roman" w:hAnsi="Times New Roman" w:cs="Times New Roman"/>
          <w:b/>
          <w:bCs/>
          <w:sz w:val="24"/>
        </w:rPr>
      </w:pPr>
    </w:p>
    <w:p w14:paraId="07B054D1" w14:textId="404D9C7C" w:rsidR="00307155" w:rsidRPr="00FC7BB4" w:rsidRDefault="00103E8E" w:rsidP="00F3101B">
      <w:pPr>
        <w:spacing w:after="3" w:line="240" w:lineRule="auto"/>
        <w:ind w:left="-567" w:right="27" w:firstLine="279"/>
        <w:jc w:val="center"/>
        <w:rPr>
          <w:rFonts w:ascii="Times New Roman" w:hAnsi="Times New Roman" w:cs="Times New Roman"/>
          <w:b/>
          <w:bCs/>
          <w:sz w:val="24"/>
        </w:rPr>
      </w:pPr>
      <w:r w:rsidRPr="00FC7BB4">
        <w:rPr>
          <w:rFonts w:ascii="Times New Roman" w:hAnsi="Times New Roman" w:cs="Times New Roman"/>
          <w:b/>
          <w:bCs/>
          <w:noProof/>
          <w:sz w:val="24"/>
        </w:rPr>
        <w:drawing>
          <wp:inline distT="0" distB="0" distL="0" distR="0" wp14:anchorId="7C790EF8" wp14:editId="59CE88FC">
            <wp:extent cx="4845656" cy="7419975"/>
            <wp:effectExtent l="0" t="0" r="0" b="0"/>
            <wp:docPr id="1578419492" name="Picture 1" descr="A graph of different sizes an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19492" name="Picture 1" descr="A graph of different sizes and shapes&#10;&#10;AI-generated content may be incorrect."/>
                    <pic:cNvPicPr/>
                  </pic:nvPicPr>
                  <pic:blipFill>
                    <a:blip r:embed="rId18"/>
                    <a:stretch>
                      <a:fillRect/>
                    </a:stretch>
                  </pic:blipFill>
                  <pic:spPr>
                    <a:xfrm>
                      <a:off x="0" y="0"/>
                      <a:ext cx="4860738" cy="7443069"/>
                    </a:xfrm>
                    <a:prstGeom prst="rect">
                      <a:avLst/>
                    </a:prstGeom>
                  </pic:spPr>
                </pic:pic>
              </a:graphicData>
            </a:graphic>
          </wp:inline>
        </w:drawing>
      </w:r>
    </w:p>
    <w:p w14:paraId="12B2995D" w14:textId="77777777" w:rsidR="00307155" w:rsidRPr="00FC7BB4" w:rsidRDefault="00307155" w:rsidP="00F3101B">
      <w:pPr>
        <w:spacing w:after="3" w:line="240" w:lineRule="auto"/>
        <w:ind w:left="715" w:right="27" w:firstLine="725"/>
        <w:rPr>
          <w:rFonts w:ascii="Times New Roman" w:hAnsi="Times New Roman" w:cs="Times New Roman"/>
          <w:sz w:val="18"/>
          <w:szCs w:val="18"/>
        </w:rPr>
      </w:pPr>
      <w:bookmarkStart w:id="88" w:name="_Hlk195275519"/>
    </w:p>
    <w:p w14:paraId="68B24A8B" w14:textId="75C76D99" w:rsidR="00307155" w:rsidRPr="00FC7BB4" w:rsidRDefault="00307155" w:rsidP="00F3101B">
      <w:pPr>
        <w:spacing w:after="3" w:line="240" w:lineRule="auto"/>
        <w:ind w:left="1474" w:right="1701" w:firstLine="0"/>
        <w:rPr>
          <w:rFonts w:ascii="Times New Roman" w:hAnsi="Times New Roman" w:cs="Times New Roman"/>
          <w:sz w:val="18"/>
          <w:szCs w:val="18"/>
        </w:rPr>
      </w:pPr>
      <w:r w:rsidRPr="00FC7BB4">
        <w:rPr>
          <w:rFonts w:ascii="Times New Roman" w:hAnsi="Times New Roman" w:cs="Times New Roman"/>
          <w:sz w:val="18"/>
          <w:szCs w:val="18"/>
        </w:rPr>
        <w:t xml:space="preserve">Notes: </w:t>
      </w:r>
      <w:bookmarkStart w:id="89" w:name="_Hlk213335895"/>
      <w:r w:rsidRPr="00FC7BB4">
        <w:rPr>
          <w:rFonts w:ascii="Times New Roman" w:hAnsi="Times New Roman" w:cs="Times New Roman"/>
          <w:sz w:val="18"/>
          <w:szCs w:val="18"/>
        </w:rPr>
        <w:t xml:space="preserve">Derived from estimated conditional probabilities reported in Table A4. </w:t>
      </w:r>
      <w:r w:rsidR="00F3101B" w:rsidRPr="00FC7BB4">
        <w:rPr>
          <w:rFonts w:ascii="Times New Roman" w:hAnsi="Times New Roman" w:cs="Times New Roman"/>
          <w:sz w:val="18"/>
          <w:szCs w:val="18"/>
        </w:rPr>
        <w:t>D</w:t>
      </w:r>
      <w:r w:rsidRPr="00FC7BB4">
        <w:rPr>
          <w:rFonts w:ascii="Times New Roman" w:hAnsi="Times New Roman" w:cs="Times New Roman"/>
          <w:sz w:val="18"/>
          <w:szCs w:val="18"/>
        </w:rPr>
        <w:t xml:space="preserve">=demand, C=costs, up=increase, </w:t>
      </w:r>
      <w:proofErr w:type="spellStart"/>
      <w:r w:rsidRPr="00FC7BB4">
        <w:rPr>
          <w:rFonts w:ascii="Times New Roman" w:hAnsi="Times New Roman" w:cs="Times New Roman"/>
          <w:sz w:val="18"/>
          <w:szCs w:val="18"/>
        </w:rPr>
        <w:t>nc</w:t>
      </w:r>
      <w:proofErr w:type="spellEnd"/>
      <w:r w:rsidRPr="00FC7BB4">
        <w:rPr>
          <w:rFonts w:ascii="Times New Roman" w:hAnsi="Times New Roman" w:cs="Times New Roman"/>
          <w:sz w:val="18"/>
          <w:szCs w:val="18"/>
        </w:rPr>
        <w:t xml:space="preserve">=no change, </w:t>
      </w:r>
      <w:proofErr w:type="spellStart"/>
      <w:r w:rsidRPr="00FC7BB4">
        <w:rPr>
          <w:rFonts w:ascii="Times New Roman" w:hAnsi="Times New Roman" w:cs="Times New Roman"/>
          <w:sz w:val="18"/>
          <w:szCs w:val="18"/>
        </w:rPr>
        <w:t>dn</w:t>
      </w:r>
      <w:proofErr w:type="spellEnd"/>
      <w:r w:rsidRPr="00FC7BB4">
        <w:rPr>
          <w:rFonts w:ascii="Times New Roman" w:hAnsi="Times New Roman" w:cs="Times New Roman"/>
          <w:sz w:val="18"/>
          <w:szCs w:val="18"/>
        </w:rPr>
        <w:t>=down, hence for example Dup=Demand up, Cup=Costs up, and so on.</w:t>
      </w:r>
      <w:bookmarkEnd w:id="89"/>
    </w:p>
    <w:p w14:paraId="01661DCE" w14:textId="4C7FA674" w:rsidR="00307155" w:rsidRPr="00FC7BB4" w:rsidRDefault="00307155" w:rsidP="00F3101B">
      <w:pPr>
        <w:spacing w:after="120" w:line="360" w:lineRule="auto"/>
        <w:ind w:left="-17" w:right="27"/>
        <w:rPr>
          <w:rFonts w:ascii="Times New Roman" w:hAnsi="Times New Roman" w:cs="Times New Roman"/>
          <w:color w:val="auto"/>
          <w:sz w:val="24"/>
        </w:rPr>
      </w:pPr>
      <w:bookmarkStart w:id="90" w:name="_Hlk213335922"/>
      <w:bookmarkEnd w:id="88"/>
      <w:r w:rsidRPr="00FC7BB4">
        <w:rPr>
          <w:rFonts w:ascii="Times New Roman" w:hAnsi="Times New Roman" w:cs="Times New Roman"/>
          <w:sz w:val="24"/>
        </w:rPr>
        <w:lastRenderedPageBreak/>
        <w:t>Differences in estimated conditional probabilities of price decreases for large and small firms before and after 2011Q2 at different annual inflation rates and for each industry sector are also provided in Table A</w:t>
      </w:r>
      <w:r w:rsidRPr="00FC7BB4">
        <w:rPr>
          <w:rFonts w:ascii="Times New Roman" w:hAnsi="Times New Roman" w:cs="Times New Roman"/>
          <w:color w:val="auto"/>
          <w:sz w:val="24"/>
        </w:rPr>
        <w:t xml:space="preserve">4. </w:t>
      </w:r>
      <w:r w:rsidRPr="00FC7BB4">
        <w:rPr>
          <w:rFonts w:ascii="Times New Roman" w:hAnsi="Times New Roman" w:cs="Times New Roman"/>
          <w:sz w:val="24"/>
        </w:rPr>
        <w:t xml:space="preserve">After disaggregating by sector and firm size, the number of counts of reported price decreases by firm size and sector during the </w:t>
      </w:r>
      <w:proofErr w:type="gramStart"/>
      <w:r w:rsidR="00F910B1" w:rsidRPr="00FC7BB4">
        <w:rPr>
          <w:rFonts w:ascii="Times New Roman" w:hAnsi="Times New Roman" w:cs="Times New Roman"/>
          <w:sz w:val="24"/>
        </w:rPr>
        <w:t>P</w:t>
      </w:r>
      <w:r w:rsidRPr="00FC7BB4">
        <w:rPr>
          <w:rFonts w:ascii="Times New Roman" w:hAnsi="Times New Roman" w:cs="Times New Roman"/>
          <w:sz w:val="24"/>
        </w:rPr>
        <w:t>ost-2011Q2</w:t>
      </w:r>
      <w:proofErr w:type="gramEnd"/>
      <w:r w:rsidRPr="00FC7BB4">
        <w:rPr>
          <w:rFonts w:ascii="Times New Roman" w:hAnsi="Times New Roman" w:cs="Times New Roman"/>
          <w:sz w:val="24"/>
        </w:rPr>
        <w:t xml:space="preserve"> period </w:t>
      </w:r>
      <w:proofErr w:type="gramStart"/>
      <w:r w:rsidRPr="00FC7BB4">
        <w:rPr>
          <w:rFonts w:ascii="Times New Roman" w:hAnsi="Times New Roman" w:cs="Times New Roman"/>
          <w:sz w:val="24"/>
        </w:rPr>
        <w:t>are</w:t>
      </w:r>
      <w:proofErr w:type="gramEnd"/>
      <w:r w:rsidRPr="00FC7BB4">
        <w:rPr>
          <w:rFonts w:ascii="Times New Roman" w:hAnsi="Times New Roman" w:cs="Times New Roman"/>
          <w:sz w:val="24"/>
        </w:rPr>
        <w:t xml:space="preserve"> much smaller than </w:t>
      </w:r>
      <w:r w:rsidR="00F910B1" w:rsidRPr="00FC7BB4">
        <w:rPr>
          <w:rFonts w:ascii="Times New Roman" w:hAnsi="Times New Roman" w:cs="Times New Roman"/>
          <w:sz w:val="24"/>
        </w:rPr>
        <w:t>during</w:t>
      </w:r>
      <w:r w:rsidRPr="00FC7BB4">
        <w:rPr>
          <w:rFonts w:ascii="Times New Roman" w:hAnsi="Times New Roman" w:cs="Times New Roman"/>
          <w:sz w:val="24"/>
        </w:rPr>
        <w:t xml:space="preserve"> the </w:t>
      </w:r>
      <w:proofErr w:type="gramStart"/>
      <w:r w:rsidR="00F910B1" w:rsidRPr="00FC7BB4">
        <w:rPr>
          <w:rFonts w:ascii="Times New Roman" w:hAnsi="Times New Roman" w:cs="Times New Roman"/>
          <w:sz w:val="24"/>
        </w:rPr>
        <w:t>P</w:t>
      </w:r>
      <w:r w:rsidRPr="00FC7BB4">
        <w:rPr>
          <w:rFonts w:ascii="Times New Roman" w:hAnsi="Times New Roman" w:cs="Times New Roman"/>
          <w:sz w:val="24"/>
        </w:rPr>
        <w:t>re-2011</w:t>
      </w:r>
      <w:proofErr w:type="gramEnd"/>
      <w:r w:rsidRPr="00FC7BB4">
        <w:rPr>
          <w:rFonts w:ascii="Times New Roman" w:hAnsi="Times New Roman" w:cs="Times New Roman"/>
          <w:sz w:val="24"/>
        </w:rPr>
        <w:t xml:space="preserve"> period. With this caution in mind, the results in Table A4 suggest that both small and large Services firms were less likely to drop their prices after 2011Q2. In the Merchant sector, smaller firms displayed more downward price stickiness in recent years compared to the earlier years, whilst for large firms an increase in downward price stickiness was only evident when both demand and costs fell. For Manufacturing firms, both small and large firms have become more responsive to reductions in costs and demand in recent years (consistent wit</w:t>
      </w:r>
      <w:r w:rsidR="00F910B1" w:rsidRPr="00FC7BB4">
        <w:rPr>
          <w:rFonts w:ascii="Times New Roman" w:hAnsi="Times New Roman" w:cs="Times New Roman"/>
          <w:sz w:val="24"/>
        </w:rPr>
        <w:t>h</w:t>
      </w:r>
      <w:r w:rsidR="00035F59" w:rsidRPr="00FC7BB4">
        <w:rPr>
          <w:rFonts w:ascii="Times New Roman" w:hAnsi="Times New Roman" w:cs="Times New Roman"/>
          <w:sz w:val="24"/>
        </w:rPr>
        <w:t xml:space="preserve"> price review</w:t>
      </w:r>
      <w:r w:rsidR="00F910B1" w:rsidRPr="00FC7BB4">
        <w:rPr>
          <w:rFonts w:ascii="Times New Roman" w:hAnsi="Times New Roman" w:cs="Times New Roman"/>
          <w:sz w:val="24"/>
        </w:rPr>
        <w:t xml:space="preserve"> and menu </w:t>
      </w:r>
      <w:r w:rsidRPr="00FC7BB4">
        <w:rPr>
          <w:rFonts w:ascii="Times New Roman" w:hAnsi="Times New Roman" w:cs="Times New Roman"/>
          <w:sz w:val="24"/>
        </w:rPr>
        <w:t>costs being lower) but, except for the demand down and cost down scenario, larger firms were more likely to drop prices than smaller ones. This is consistent with larger Manufacturing firms</w:t>
      </w:r>
      <w:r w:rsidR="00F22CD4" w:rsidRPr="00FC7BB4">
        <w:rPr>
          <w:rFonts w:ascii="Times New Roman" w:hAnsi="Times New Roman" w:cs="Times New Roman"/>
          <w:sz w:val="24"/>
        </w:rPr>
        <w:t xml:space="preserve"> now</w:t>
      </w:r>
      <w:r w:rsidRPr="00FC7BB4">
        <w:rPr>
          <w:rFonts w:ascii="Times New Roman" w:hAnsi="Times New Roman" w:cs="Times New Roman"/>
          <w:sz w:val="24"/>
        </w:rPr>
        <w:t xml:space="preserve"> having more real-time reliable information on </w:t>
      </w:r>
      <w:r w:rsidR="00F22CD4" w:rsidRPr="00FC7BB4">
        <w:rPr>
          <w:rFonts w:ascii="Times New Roman" w:hAnsi="Times New Roman" w:cs="Times New Roman"/>
          <w:sz w:val="24"/>
        </w:rPr>
        <w:t xml:space="preserve">supply chain </w:t>
      </w:r>
      <w:r w:rsidRPr="00FC7BB4">
        <w:rPr>
          <w:rFonts w:ascii="Times New Roman" w:hAnsi="Times New Roman" w:cs="Times New Roman"/>
          <w:sz w:val="24"/>
        </w:rPr>
        <w:t>costs and thus being more willing to act on the information.</w:t>
      </w:r>
    </w:p>
    <w:bookmarkEnd w:id="90"/>
    <w:p w14:paraId="45921E62" w14:textId="77777777" w:rsidR="00307155" w:rsidRPr="00717BD6" w:rsidRDefault="00307155" w:rsidP="00F3101B">
      <w:pPr>
        <w:spacing w:after="120" w:line="331" w:lineRule="auto"/>
        <w:ind w:right="27" w:firstLine="0"/>
        <w:rPr>
          <w:rFonts w:ascii="Times New Roman" w:hAnsi="Times New Roman" w:cs="Times New Roman"/>
          <w:b/>
          <w:bCs/>
          <w:color w:val="000000" w:themeColor="text1"/>
          <w:sz w:val="24"/>
        </w:rPr>
      </w:pPr>
      <w:r w:rsidRPr="00717BD6">
        <w:rPr>
          <w:rFonts w:ascii="Times New Roman" w:hAnsi="Times New Roman" w:cs="Times New Roman"/>
          <w:b/>
          <w:bCs/>
          <w:color w:val="000000" w:themeColor="text1"/>
          <w:sz w:val="24"/>
        </w:rPr>
        <w:t xml:space="preserve">7. </w:t>
      </w:r>
      <w:bookmarkStart w:id="91" w:name="_Hlk213335991"/>
      <w:r w:rsidRPr="00717BD6">
        <w:rPr>
          <w:rFonts w:ascii="Times New Roman" w:hAnsi="Times New Roman" w:cs="Times New Roman"/>
          <w:b/>
          <w:bCs/>
          <w:color w:val="000000" w:themeColor="text1"/>
          <w:sz w:val="24"/>
        </w:rPr>
        <w:t>Consumer behaviour, profit increases, and more acute price asymmetry</w:t>
      </w:r>
      <w:bookmarkEnd w:id="91"/>
    </w:p>
    <w:p w14:paraId="3815F2E7" w14:textId="23CD5A43" w:rsidR="006C3C19" w:rsidRPr="00FC7BB4" w:rsidRDefault="006C3C19" w:rsidP="00F3101B">
      <w:pPr>
        <w:spacing w:after="0" w:line="331" w:lineRule="auto"/>
        <w:ind w:left="-17" w:right="27" w:firstLine="17"/>
        <w:rPr>
          <w:rFonts w:ascii="Times New Roman" w:hAnsi="Times New Roman" w:cs="Times New Roman"/>
          <w:sz w:val="24"/>
        </w:rPr>
      </w:pPr>
      <w:bookmarkStart w:id="92" w:name="_Hlk213336015"/>
      <w:r w:rsidRPr="00FC7BB4">
        <w:rPr>
          <w:rFonts w:ascii="Times New Roman" w:hAnsi="Times New Roman" w:cs="Times New Roman"/>
          <w:sz w:val="24"/>
        </w:rPr>
        <w:t>Technological changes are, of course, not the only possible explanation for why there have been changes in the conditional probability of price changes and</w:t>
      </w:r>
      <w:r w:rsidR="003F6D51" w:rsidRPr="00FC7BB4">
        <w:rPr>
          <w:rFonts w:ascii="Times New Roman" w:hAnsi="Times New Roman" w:cs="Times New Roman"/>
          <w:sz w:val="24"/>
        </w:rPr>
        <w:t xml:space="preserve"> an</w:t>
      </w:r>
      <w:r w:rsidRPr="00FC7BB4">
        <w:rPr>
          <w:rFonts w:ascii="Times New Roman" w:hAnsi="Times New Roman" w:cs="Times New Roman"/>
          <w:sz w:val="24"/>
        </w:rPr>
        <w:t xml:space="preserve"> increase in the use </w:t>
      </w:r>
      <w:r w:rsidR="000F0213" w:rsidRPr="00FC7BB4">
        <w:rPr>
          <w:rFonts w:ascii="Times New Roman" w:hAnsi="Times New Roman" w:cs="Times New Roman"/>
          <w:sz w:val="24"/>
        </w:rPr>
        <w:t xml:space="preserve">of </w:t>
      </w:r>
      <w:r w:rsidRPr="00FC7BB4">
        <w:rPr>
          <w:rFonts w:ascii="Times New Roman" w:hAnsi="Times New Roman" w:cs="Times New Roman"/>
          <w:sz w:val="24"/>
        </w:rPr>
        <w:t xml:space="preserve">smaller but more frequent price changes. Moreover, technological change-based explanations predict increased price flexibility in both directions. </w:t>
      </w:r>
      <w:r w:rsidR="000F0213" w:rsidRPr="00FC7BB4">
        <w:rPr>
          <w:rFonts w:ascii="Times New Roman" w:hAnsi="Times New Roman" w:cs="Times New Roman"/>
          <w:sz w:val="24"/>
        </w:rPr>
        <w:t>It was observed i</w:t>
      </w:r>
      <w:r w:rsidRPr="00FC7BB4">
        <w:rPr>
          <w:rFonts w:ascii="Times New Roman" w:hAnsi="Times New Roman" w:cs="Times New Roman"/>
          <w:sz w:val="24"/>
        </w:rPr>
        <w:t>n Section 5</w:t>
      </w:r>
      <w:r w:rsidR="000F0213" w:rsidRPr="00FC7BB4">
        <w:rPr>
          <w:rFonts w:ascii="Times New Roman" w:hAnsi="Times New Roman" w:cs="Times New Roman"/>
          <w:sz w:val="24"/>
        </w:rPr>
        <w:t xml:space="preserve"> that </w:t>
      </w:r>
      <w:r w:rsidR="00F4554D" w:rsidRPr="00FC7BB4">
        <w:rPr>
          <w:rFonts w:ascii="Times New Roman" w:hAnsi="Times New Roman" w:cs="Times New Roman"/>
          <w:sz w:val="24"/>
        </w:rPr>
        <w:t>in aggregate,</w:t>
      </w:r>
      <w:r w:rsidRPr="00FC7BB4">
        <w:rPr>
          <w:rFonts w:ascii="Times New Roman" w:hAnsi="Times New Roman" w:cs="Times New Roman"/>
          <w:sz w:val="24"/>
        </w:rPr>
        <w:t xml:space="preserve"> price flexibility has only increased in the upward, but not downward, direction; that is pricing behaviour has become more asymmetric. In this section</w:t>
      </w:r>
      <w:r w:rsidR="000F0213" w:rsidRPr="00FC7BB4">
        <w:rPr>
          <w:rFonts w:ascii="Times New Roman" w:hAnsi="Times New Roman" w:cs="Times New Roman"/>
          <w:sz w:val="24"/>
        </w:rPr>
        <w:t>,</w:t>
      </w:r>
      <w:r w:rsidRPr="00FC7BB4">
        <w:rPr>
          <w:rFonts w:ascii="Times New Roman" w:hAnsi="Times New Roman" w:cs="Times New Roman"/>
          <w:sz w:val="24"/>
        </w:rPr>
        <w:t xml:space="preserve"> alternative explanations for why pricing asymmetry has become more acute</w:t>
      </w:r>
      <w:r w:rsidR="000F0213" w:rsidRPr="00FC7BB4">
        <w:rPr>
          <w:rFonts w:ascii="Times New Roman" w:hAnsi="Times New Roman" w:cs="Times New Roman"/>
          <w:sz w:val="24"/>
        </w:rPr>
        <w:t xml:space="preserve"> are considered.</w:t>
      </w:r>
    </w:p>
    <w:p w14:paraId="6DAD0FAA" w14:textId="332F1179" w:rsidR="00307155" w:rsidRPr="00FC7BB4" w:rsidRDefault="00307155" w:rsidP="00F3101B">
      <w:pPr>
        <w:spacing w:after="0" w:line="331" w:lineRule="auto"/>
        <w:ind w:left="-17" w:right="27"/>
        <w:rPr>
          <w:rFonts w:ascii="Times New Roman" w:hAnsi="Times New Roman" w:cs="Times New Roman"/>
          <w:sz w:val="24"/>
        </w:rPr>
      </w:pPr>
      <w:r w:rsidRPr="00FC7BB4">
        <w:rPr>
          <w:rFonts w:ascii="Times New Roman" w:hAnsi="Times New Roman" w:cs="Times New Roman"/>
          <w:sz w:val="24"/>
        </w:rPr>
        <w:t xml:space="preserve">One alternative explanation draws on the idea of rational inattention by consumers to small price adjustments. Humans need to be selective in the information they process, otherwise they risk being overwhelmed (Sims, 2003). In the context of price adjustments, because tracking prices requires time and mental effort, consumers might be inattentive to small price changes. The result of this inattention is to push the elasticity of demand towards zero for small price changes. In such circumstances, Chen </w:t>
      </w:r>
      <w:r w:rsidRPr="00FC7BB4">
        <w:rPr>
          <w:rFonts w:ascii="Times New Roman" w:hAnsi="Times New Roman" w:cs="Times New Roman"/>
          <w:i/>
          <w:iCs/>
          <w:sz w:val="24"/>
        </w:rPr>
        <w:t xml:space="preserve">et al. </w:t>
      </w:r>
      <w:r w:rsidRPr="00FC7BB4">
        <w:rPr>
          <w:rFonts w:ascii="Times New Roman" w:hAnsi="Times New Roman" w:cs="Times New Roman"/>
          <w:sz w:val="24"/>
        </w:rPr>
        <w:t xml:space="preserve">(2008) and Levy </w:t>
      </w:r>
      <w:r w:rsidRPr="00FC7BB4">
        <w:rPr>
          <w:rFonts w:ascii="Times New Roman" w:hAnsi="Times New Roman" w:cs="Times New Roman"/>
          <w:i/>
          <w:iCs/>
          <w:sz w:val="24"/>
        </w:rPr>
        <w:t>et al</w:t>
      </w:r>
      <w:r w:rsidRPr="00FC7BB4">
        <w:rPr>
          <w:rFonts w:ascii="Times New Roman" w:hAnsi="Times New Roman" w:cs="Times New Roman"/>
          <w:sz w:val="24"/>
        </w:rPr>
        <w:t xml:space="preserve">. (2025) note that from a firm’s point of view, small price increases might be valuable as they escape the notice of the customer and consequently elicit no demand response. By the same logic, small price decreases do not help the firm to increase demand because they too escape the notice of the customer. Levy </w:t>
      </w:r>
      <w:r w:rsidRPr="00FC7BB4">
        <w:rPr>
          <w:rFonts w:ascii="Times New Roman" w:hAnsi="Times New Roman" w:cs="Times New Roman"/>
          <w:i/>
          <w:iCs/>
          <w:sz w:val="24"/>
        </w:rPr>
        <w:t>et al</w:t>
      </w:r>
      <w:r w:rsidRPr="00FC7BB4">
        <w:rPr>
          <w:rFonts w:ascii="Times New Roman" w:hAnsi="Times New Roman" w:cs="Times New Roman"/>
          <w:sz w:val="24"/>
        </w:rPr>
        <w:t>. (2025</w:t>
      </w:r>
      <w:r w:rsidR="00F43182" w:rsidRPr="00FC7BB4">
        <w:rPr>
          <w:rFonts w:ascii="Times New Roman" w:hAnsi="Times New Roman" w:cs="Times New Roman"/>
          <w:sz w:val="24"/>
        </w:rPr>
        <w:t>, p2</w:t>
      </w:r>
      <w:r w:rsidRPr="00FC7BB4">
        <w:rPr>
          <w:rFonts w:ascii="Times New Roman" w:hAnsi="Times New Roman" w:cs="Times New Roman"/>
          <w:sz w:val="24"/>
        </w:rPr>
        <w:t>) states this means “the retailer has an incentive to make more frequent small price increases than decreases</w:t>
      </w:r>
      <w:r w:rsidR="000F0213" w:rsidRPr="00FC7BB4">
        <w:rPr>
          <w:rFonts w:ascii="Times New Roman" w:hAnsi="Times New Roman" w:cs="Times New Roman"/>
          <w:sz w:val="24"/>
        </w:rPr>
        <w:t>.” T</w:t>
      </w:r>
      <w:r w:rsidRPr="00FC7BB4">
        <w:rPr>
          <w:rFonts w:ascii="Times New Roman" w:hAnsi="Times New Roman" w:cs="Times New Roman"/>
          <w:sz w:val="24"/>
        </w:rPr>
        <w:t>hat is, prices will display asymmetric behaviour. Using price scanner data</w:t>
      </w:r>
      <w:r w:rsidR="000F0213" w:rsidRPr="00FC7BB4">
        <w:rPr>
          <w:rFonts w:ascii="Times New Roman" w:hAnsi="Times New Roman" w:cs="Times New Roman"/>
          <w:sz w:val="24"/>
        </w:rPr>
        <w:t>,</w:t>
      </w:r>
      <w:r w:rsidRPr="00FC7BB4">
        <w:rPr>
          <w:rFonts w:ascii="Times New Roman" w:hAnsi="Times New Roman" w:cs="Times New Roman"/>
          <w:sz w:val="24"/>
        </w:rPr>
        <w:t xml:space="preserve"> Chen </w:t>
      </w:r>
      <w:r w:rsidRPr="00FC7BB4">
        <w:rPr>
          <w:rFonts w:ascii="Times New Roman" w:hAnsi="Times New Roman" w:cs="Times New Roman"/>
          <w:i/>
          <w:iCs/>
          <w:sz w:val="24"/>
        </w:rPr>
        <w:t>et al.</w:t>
      </w:r>
      <w:r w:rsidRPr="00FC7BB4">
        <w:rPr>
          <w:rFonts w:ascii="Times New Roman" w:hAnsi="Times New Roman" w:cs="Times New Roman"/>
          <w:sz w:val="24"/>
        </w:rPr>
        <w:t xml:space="preserve"> and Levy </w:t>
      </w:r>
      <w:r w:rsidRPr="00FC7BB4">
        <w:rPr>
          <w:rFonts w:ascii="Times New Roman" w:hAnsi="Times New Roman" w:cs="Times New Roman"/>
          <w:i/>
          <w:iCs/>
          <w:sz w:val="24"/>
        </w:rPr>
        <w:t>et al</w:t>
      </w:r>
      <w:r w:rsidRPr="00FC7BB4">
        <w:rPr>
          <w:rFonts w:ascii="Times New Roman" w:hAnsi="Times New Roman" w:cs="Times New Roman"/>
          <w:sz w:val="24"/>
        </w:rPr>
        <w:t xml:space="preserve">. confirm this prediction empirically. Small price increases occur more frequently than small price decreases. In a further test of the idea, Levy </w:t>
      </w:r>
      <w:r w:rsidRPr="00FC7BB4">
        <w:rPr>
          <w:rFonts w:ascii="Times New Roman" w:hAnsi="Times New Roman" w:cs="Times New Roman"/>
          <w:i/>
          <w:iCs/>
          <w:sz w:val="24"/>
        </w:rPr>
        <w:t>et al</w:t>
      </w:r>
      <w:r w:rsidRPr="00FC7BB4">
        <w:rPr>
          <w:rFonts w:ascii="Times New Roman" w:hAnsi="Times New Roman" w:cs="Times New Roman"/>
          <w:sz w:val="24"/>
        </w:rPr>
        <w:t xml:space="preserve">. predict pricing asymmetry should be negatively correlated with unemployment over the business cycle as unemployed people have more time to be attentive to price changes. They present empirical evidence that supports this conjecture. </w:t>
      </w:r>
    </w:p>
    <w:p w14:paraId="233EE8B1" w14:textId="5DAA167A" w:rsidR="00307155" w:rsidRPr="00FC7BB4" w:rsidRDefault="00D65375" w:rsidP="00F3101B">
      <w:pPr>
        <w:spacing w:after="0" w:line="331" w:lineRule="auto"/>
        <w:ind w:left="-17" w:right="27"/>
        <w:rPr>
          <w:rFonts w:ascii="Times New Roman" w:hAnsi="Times New Roman" w:cs="Times New Roman"/>
          <w:sz w:val="24"/>
        </w:rPr>
      </w:pPr>
      <w:r w:rsidRPr="00FC7BB4">
        <w:rPr>
          <w:rFonts w:ascii="Times New Roman" w:hAnsi="Times New Roman" w:cs="Times New Roman"/>
          <w:sz w:val="24"/>
        </w:rPr>
        <w:lastRenderedPageBreak/>
        <w:t>Increased c</w:t>
      </w:r>
      <w:r w:rsidR="00307155" w:rsidRPr="00FC7BB4">
        <w:rPr>
          <w:rFonts w:ascii="Times New Roman" w:hAnsi="Times New Roman" w:cs="Times New Roman"/>
          <w:sz w:val="24"/>
        </w:rPr>
        <w:t xml:space="preserve">onsumer inattention </w:t>
      </w:r>
      <w:r w:rsidR="00DD0EC3" w:rsidRPr="00FC7BB4">
        <w:rPr>
          <w:rFonts w:ascii="Times New Roman" w:hAnsi="Times New Roman" w:cs="Times New Roman"/>
          <w:sz w:val="24"/>
        </w:rPr>
        <w:t xml:space="preserve">therefore </w:t>
      </w:r>
      <w:r w:rsidR="00307155" w:rsidRPr="00FC7BB4">
        <w:rPr>
          <w:rFonts w:ascii="Times New Roman" w:hAnsi="Times New Roman" w:cs="Times New Roman"/>
          <w:sz w:val="24"/>
        </w:rPr>
        <w:t>may play a role in explaining the</w:t>
      </w:r>
      <w:r w:rsidR="003D2461" w:rsidRPr="00FC7BB4">
        <w:rPr>
          <w:rFonts w:ascii="Times New Roman" w:hAnsi="Times New Roman" w:cs="Times New Roman"/>
          <w:sz w:val="24"/>
        </w:rPr>
        <w:t xml:space="preserve"> increased</w:t>
      </w:r>
      <w:r w:rsidR="00307155" w:rsidRPr="00FC7BB4">
        <w:rPr>
          <w:rFonts w:ascii="Times New Roman" w:hAnsi="Times New Roman" w:cs="Times New Roman"/>
          <w:sz w:val="24"/>
        </w:rPr>
        <w:t xml:space="preserve"> pricing asymmetry observed in the New Zealand firm pricing data</w:t>
      </w:r>
      <w:r w:rsidR="003D2461" w:rsidRPr="00FC7BB4">
        <w:rPr>
          <w:rFonts w:ascii="Times New Roman" w:hAnsi="Times New Roman" w:cs="Times New Roman"/>
          <w:sz w:val="24"/>
        </w:rPr>
        <w:t xml:space="preserve">. </w:t>
      </w:r>
      <w:r w:rsidR="00307155" w:rsidRPr="00FC7BB4">
        <w:rPr>
          <w:rFonts w:ascii="Times New Roman" w:hAnsi="Times New Roman" w:cs="Times New Roman"/>
          <w:sz w:val="24"/>
        </w:rPr>
        <w:t>Owing to the length of the period subsamples (</w:t>
      </w:r>
      <w:r w:rsidR="000F0213" w:rsidRPr="00FC7BB4">
        <w:rPr>
          <w:rFonts w:ascii="Times New Roman" w:hAnsi="Times New Roman" w:cs="Times New Roman"/>
          <w:sz w:val="24"/>
        </w:rPr>
        <w:t>P</w:t>
      </w:r>
      <w:r w:rsidR="00307155" w:rsidRPr="00FC7BB4">
        <w:rPr>
          <w:rFonts w:ascii="Times New Roman" w:hAnsi="Times New Roman" w:cs="Times New Roman"/>
          <w:sz w:val="24"/>
        </w:rPr>
        <w:t xml:space="preserve">re- and </w:t>
      </w:r>
      <w:r w:rsidR="000F0213" w:rsidRPr="00FC7BB4">
        <w:rPr>
          <w:rFonts w:ascii="Times New Roman" w:hAnsi="Times New Roman" w:cs="Times New Roman"/>
          <w:sz w:val="24"/>
        </w:rPr>
        <w:t>P</w:t>
      </w:r>
      <w:r w:rsidR="00307155" w:rsidRPr="00FC7BB4">
        <w:rPr>
          <w:rFonts w:ascii="Times New Roman" w:hAnsi="Times New Roman" w:cs="Times New Roman"/>
          <w:sz w:val="24"/>
        </w:rPr>
        <w:t xml:space="preserve">ost-2011Q2), any increased inattention by consumers is unlikely to reflect business cycle induced differences in inattention </w:t>
      </w:r>
      <w:proofErr w:type="gramStart"/>
      <w:r w:rsidR="000F0213" w:rsidRPr="00FC7BB4">
        <w:rPr>
          <w:rFonts w:ascii="Times New Roman" w:hAnsi="Times New Roman" w:cs="Times New Roman"/>
          <w:sz w:val="24"/>
        </w:rPr>
        <w:t>as a result of</w:t>
      </w:r>
      <w:proofErr w:type="gramEnd"/>
      <w:r w:rsidR="00307155" w:rsidRPr="00FC7BB4">
        <w:rPr>
          <w:rFonts w:ascii="Times New Roman" w:hAnsi="Times New Roman" w:cs="Times New Roman"/>
          <w:sz w:val="24"/>
        </w:rPr>
        <w:t xml:space="preserve"> unemployment in the two subsamples.</w:t>
      </w:r>
      <w:r w:rsidR="00307155" w:rsidRPr="00FC7BB4">
        <w:rPr>
          <w:rStyle w:val="FootnoteReference"/>
          <w:rFonts w:ascii="Times New Roman" w:hAnsi="Times New Roman" w:cs="Times New Roman"/>
          <w:sz w:val="24"/>
        </w:rPr>
        <w:footnoteReference w:id="37"/>
      </w:r>
      <w:r w:rsidR="00307155" w:rsidRPr="00FC7BB4">
        <w:rPr>
          <w:rFonts w:ascii="Times New Roman" w:hAnsi="Times New Roman" w:cs="Times New Roman"/>
          <w:sz w:val="24"/>
        </w:rPr>
        <w:t xml:space="preserve"> But perhaps an explanation lies in another labour market indicator: the participation rate.</w:t>
      </w:r>
    </w:p>
    <w:p w14:paraId="3F719290" w14:textId="652129D1" w:rsidR="00307155" w:rsidRPr="00FC7BB4" w:rsidRDefault="00307155" w:rsidP="00F3101B">
      <w:pPr>
        <w:spacing w:after="0" w:line="331" w:lineRule="auto"/>
        <w:ind w:left="-17" w:right="27"/>
        <w:rPr>
          <w:rFonts w:ascii="Times New Roman" w:hAnsi="Times New Roman" w:cs="Times New Roman"/>
          <w:sz w:val="24"/>
        </w:rPr>
      </w:pPr>
      <w:r w:rsidRPr="00FC7BB4">
        <w:rPr>
          <w:rFonts w:ascii="Times New Roman" w:hAnsi="Times New Roman" w:cs="Times New Roman"/>
          <w:sz w:val="24"/>
        </w:rPr>
        <w:t>In New Zealand, and like many other countries, there has been a rise in the percentage of woman of child-rearing age in the workforce. In 1986, in New Zealand, approximately 70 per cent of females between 25 and 49 years old were working. This percentage increased to just over 84 in 2024. Over the same period, the percentage of men working was relatively stable, falling slightly from 96 to 93 per cent.</w:t>
      </w:r>
      <w:r w:rsidRPr="00FC7BB4">
        <w:rPr>
          <w:rStyle w:val="FootnoteReference"/>
          <w:rFonts w:ascii="Times New Roman" w:hAnsi="Times New Roman" w:cs="Times New Roman"/>
          <w:sz w:val="24"/>
        </w:rPr>
        <w:footnoteReference w:id="38"/>
      </w:r>
      <w:r w:rsidRPr="00FC7BB4">
        <w:rPr>
          <w:rFonts w:ascii="Times New Roman" w:hAnsi="Times New Roman" w:cs="Times New Roman"/>
          <w:sz w:val="24"/>
        </w:rPr>
        <w:t xml:space="preserve"> These data suggest there has been a shift toward two parent working households. Given the competing demands on parental time in dual income households, it is reasonable to hypothesise that rising rates of two-parent working households may have contributed to greater household inattention to small price changes. In response to this </w:t>
      </w:r>
      <w:r w:rsidR="00194B70" w:rsidRPr="00FC7BB4">
        <w:rPr>
          <w:rFonts w:ascii="Times New Roman" w:hAnsi="Times New Roman" w:cs="Times New Roman"/>
          <w:sz w:val="24"/>
        </w:rPr>
        <w:t xml:space="preserve">increased </w:t>
      </w:r>
      <w:r w:rsidRPr="00FC7BB4">
        <w:rPr>
          <w:rFonts w:ascii="Times New Roman" w:hAnsi="Times New Roman" w:cs="Times New Roman"/>
          <w:sz w:val="24"/>
        </w:rPr>
        <w:t xml:space="preserve">inattention, smaller, more frequent price changes during periods of high inflation are optimal from </w:t>
      </w:r>
      <w:r w:rsidR="000F0213" w:rsidRPr="00FC7BB4">
        <w:rPr>
          <w:rFonts w:ascii="Times New Roman" w:hAnsi="Times New Roman" w:cs="Times New Roman"/>
          <w:sz w:val="24"/>
        </w:rPr>
        <w:t xml:space="preserve">the point of view of </w:t>
      </w:r>
      <w:r w:rsidRPr="00FC7BB4">
        <w:rPr>
          <w:rFonts w:ascii="Times New Roman" w:hAnsi="Times New Roman" w:cs="Times New Roman"/>
          <w:sz w:val="24"/>
        </w:rPr>
        <w:t>firms. Section 3 documents that in recent periods, the magnitude of price increases is smaller and more frequent for a given inflation rate, than in earlier decades.</w:t>
      </w:r>
      <w:r w:rsidR="007207BE" w:rsidRPr="00FC7BB4">
        <w:rPr>
          <w:rFonts w:ascii="Times New Roman" w:hAnsi="Times New Roman" w:cs="Times New Roman"/>
          <w:sz w:val="24"/>
        </w:rPr>
        <w:t xml:space="preserve"> </w:t>
      </w:r>
      <w:r w:rsidRPr="00FC7BB4">
        <w:rPr>
          <w:rFonts w:ascii="Times New Roman" w:hAnsi="Times New Roman" w:cs="Times New Roman"/>
          <w:sz w:val="24"/>
        </w:rPr>
        <w:t>Further if, as argued above, increased inattention pushes the elasticity of demand on small price changes toward zero, it also suggests price increases should become more common, but price decreases less so. Again, this is consistent with what is observed in the more recent period (</w:t>
      </w:r>
      <w:proofErr w:type="gramStart"/>
      <w:r w:rsidR="00C9023D" w:rsidRPr="00FC7BB4">
        <w:rPr>
          <w:rFonts w:ascii="Times New Roman" w:hAnsi="Times New Roman" w:cs="Times New Roman"/>
          <w:sz w:val="24"/>
        </w:rPr>
        <w:t>P</w:t>
      </w:r>
      <w:r w:rsidRPr="00FC7BB4">
        <w:rPr>
          <w:rFonts w:ascii="Times New Roman" w:hAnsi="Times New Roman" w:cs="Times New Roman"/>
          <w:sz w:val="24"/>
        </w:rPr>
        <w:t>ost-2011Q2</w:t>
      </w:r>
      <w:proofErr w:type="gramEnd"/>
      <w:r w:rsidRPr="00FC7BB4">
        <w:rPr>
          <w:rFonts w:ascii="Times New Roman" w:hAnsi="Times New Roman" w:cs="Times New Roman"/>
          <w:sz w:val="24"/>
        </w:rPr>
        <w:t xml:space="preserve">). </w:t>
      </w:r>
      <w:r w:rsidR="008976A2" w:rsidRPr="00FC7BB4">
        <w:rPr>
          <w:rFonts w:ascii="Times New Roman" w:hAnsi="Times New Roman" w:cs="Times New Roman"/>
          <w:sz w:val="24"/>
        </w:rPr>
        <w:t>Further,</w:t>
      </w:r>
      <w:r w:rsidR="00C9023D" w:rsidRPr="00FC7BB4">
        <w:rPr>
          <w:rFonts w:ascii="Times New Roman" w:hAnsi="Times New Roman" w:cs="Times New Roman"/>
          <w:sz w:val="24"/>
        </w:rPr>
        <w:t xml:space="preserve"> it is notable that</w:t>
      </w:r>
      <w:r w:rsidR="008976A2" w:rsidRPr="00FC7BB4">
        <w:rPr>
          <w:rFonts w:ascii="Times New Roman" w:hAnsi="Times New Roman" w:cs="Times New Roman"/>
          <w:sz w:val="24"/>
        </w:rPr>
        <w:t xml:space="preserve"> th</w:t>
      </w:r>
      <w:r w:rsidR="005B3D20" w:rsidRPr="00FC7BB4">
        <w:rPr>
          <w:rFonts w:ascii="Times New Roman" w:hAnsi="Times New Roman" w:cs="Times New Roman"/>
          <w:sz w:val="24"/>
        </w:rPr>
        <w:t xml:space="preserve">is pricing asymmetry became more acute in the two sectors which are the most household facing: </w:t>
      </w:r>
      <w:r w:rsidR="00C9023D" w:rsidRPr="00FC7BB4">
        <w:rPr>
          <w:rFonts w:ascii="Times New Roman" w:hAnsi="Times New Roman" w:cs="Times New Roman"/>
          <w:sz w:val="24"/>
        </w:rPr>
        <w:t>M</w:t>
      </w:r>
      <w:r w:rsidR="005B3D20" w:rsidRPr="00FC7BB4">
        <w:rPr>
          <w:rFonts w:ascii="Times New Roman" w:hAnsi="Times New Roman" w:cs="Times New Roman"/>
          <w:sz w:val="24"/>
        </w:rPr>
        <w:t xml:space="preserve">erchants and </w:t>
      </w:r>
      <w:r w:rsidR="00C9023D" w:rsidRPr="00FC7BB4">
        <w:rPr>
          <w:rFonts w:ascii="Times New Roman" w:hAnsi="Times New Roman" w:cs="Times New Roman"/>
          <w:sz w:val="24"/>
        </w:rPr>
        <w:t>S</w:t>
      </w:r>
      <w:r w:rsidR="005B3D20" w:rsidRPr="00FC7BB4">
        <w:rPr>
          <w:rFonts w:ascii="Times New Roman" w:hAnsi="Times New Roman" w:cs="Times New Roman"/>
          <w:sz w:val="24"/>
        </w:rPr>
        <w:t>er</w:t>
      </w:r>
      <w:r w:rsidR="00693B2B" w:rsidRPr="00FC7BB4">
        <w:rPr>
          <w:rFonts w:ascii="Times New Roman" w:hAnsi="Times New Roman" w:cs="Times New Roman"/>
          <w:sz w:val="24"/>
        </w:rPr>
        <w:t>vices.</w:t>
      </w:r>
      <w:r w:rsidRPr="00FC7BB4">
        <w:rPr>
          <w:rFonts w:ascii="Times New Roman" w:hAnsi="Times New Roman" w:cs="Times New Roman"/>
          <w:sz w:val="24"/>
        </w:rPr>
        <w:t xml:space="preserve">  </w:t>
      </w:r>
    </w:p>
    <w:p w14:paraId="03106400" w14:textId="10AD2163" w:rsidR="00307155" w:rsidRPr="00FC7BB4" w:rsidRDefault="00307155" w:rsidP="00F3101B">
      <w:pPr>
        <w:spacing w:after="0" w:line="331" w:lineRule="auto"/>
        <w:ind w:left="-17" w:right="27"/>
        <w:rPr>
          <w:rFonts w:ascii="Times New Roman" w:hAnsi="Times New Roman" w:cs="Times New Roman"/>
          <w:sz w:val="24"/>
        </w:rPr>
      </w:pPr>
      <w:r w:rsidRPr="00FC7BB4">
        <w:rPr>
          <w:rFonts w:ascii="Times New Roman" w:hAnsi="Times New Roman" w:cs="Times New Roman"/>
          <w:sz w:val="24"/>
        </w:rPr>
        <w:t>Another possible explanation for the change in firm price setting behaviour relates to absolute and relative price confusion. When the price level is more volatile, which it is in periods of higher inflation, customers find it harder to distinguish between absolute and relative price changes.</w:t>
      </w:r>
      <w:r w:rsidR="007207BE" w:rsidRPr="00FC7BB4">
        <w:rPr>
          <w:rFonts w:ascii="Times New Roman" w:hAnsi="Times New Roman" w:cs="Times New Roman"/>
          <w:sz w:val="24"/>
        </w:rPr>
        <w:t xml:space="preserve"> </w:t>
      </w:r>
      <w:r w:rsidRPr="00FC7BB4">
        <w:rPr>
          <w:rFonts w:ascii="Times New Roman" w:hAnsi="Times New Roman" w:cs="Times New Roman"/>
          <w:sz w:val="24"/>
        </w:rPr>
        <w:t xml:space="preserve">Scanlon (2024) presents a model which shows under such conditions, consumers are more likely to attribute a firm's price change to overall inflation rather than a shift in relative prices. This leads to a smaller demand response when relative price changes do occur and, as Scanlon shows, this allows firm markups to increase. In the most recent inflation episode, </w:t>
      </w:r>
      <w:r w:rsidR="00C9023D" w:rsidRPr="00FC7BB4">
        <w:rPr>
          <w:rFonts w:ascii="Times New Roman" w:hAnsi="Times New Roman" w:cs="Times New Roman"/>
          <w:sz w:val="24"/>
        </w:rPr>
        <w:t>as a result of</w:t>
      </w:r>
      <w:r w:rsidRPr="00FC7BB4">
        <w:rPr>
          <w:rFonts w:ascii="Times New Roman" w:hAnsi="Times New Roman" w:cs="Times New Roman"/>
          <w:sz w:val="24"/>
        </w:rPr>
        <w:t xml:space="preserve"> lost profits in 2020 when firms’ trading was restricted by shelter-in-place (`lockdown’) orders, </w:t>
      </w:r>
      <w:r w:rsidR="000540EB" w:rsidRPr="00FC7BB4">
        <w:rPr>
          <w:rFonts w:ascii="Times New Roman" w:hAnsi="Times New Roman" w:cs="Times New Roman"/>
          <w:sz w:val="24"/>
        </w:rPr>
        <w:t xml:space="preserve">perhaps </w:t>
      </w:r>
      <w:r w:rsidRPr="00FC7BB4">
        <w:rPr>
          <w:rFonts w:ascii="Times New Roman" w:hAnsi="Times New Roman" w:cs="Times New Roman"/>
          <w:sz w:val="24"/>
        </w:rPr>
        <w:t>firms were more willing than in the past to exploit this customer confusion</w:t>
      </w:r>
      <w:r w:rsidR="00795E0B" w:rsidRPr="00FC7BB4">
        <w:rPr>
          <w:rFonts w:ascii="Times New Roman" w:hAnsi="Times New Roman" w:cs="Times New Roman"/>
          <w:sz w:val="24"/>
        </w:rPr>
        <w:t xml:space="preserve"> (</w:t>
      </w:r>
      <w:r w:rsidR="00C9023D" w:rsidRPr="00FC7BB4">
        <w:rPr>
          <w:rFonts w:ascii="Times New Roman" w:hAnsi="Times New Roman" w:cs="Times New Roman"/>
          <w:sz w:val="24"/>
        </w:rPr>
        <w:t xml:space="preserve">and </w:t>
      </w:r>
      <w:r w:rsidR="00795E0B" w:rsidRPr="00FC7BB4">
        <w:rPr>
          <w:rFonts w:ascii="Times New Roman" w:hAnsi="Times New Roman" w:cs="Times New Roman"/>
          <w:sz w:val="24"/>
        </w:rPr>
        <w:t xml:space="preserve">perhaps reflecting increased </w:t>
      </w:r>
      <w:r w:rsidR="003503A5" w:rsidRPr="00FC7BB4">
        <w:rPr>
          <w:rFonts w:ascii="Times New Roman" w:hAnsi="Times New Roman" w:cs="Times New Roman"/>
          <w:sz w:val="24"/>
        </w:rPr>
        <w:t>consumer inattention</w:t>
      </w:r>
      <w:r w:rsidR="00C9023D" w:rsidRPr="00FC7BB4">
        <w:rPr>
          <w:rFonts w:ascii="Times New Roman" w:hAnsi="Times New Roman" w:cs="Times New Roman"/>
          <w:sz w:val="24"/>
        </w:rPr>
        <w:t xml:space="preserve"> as discussed in the</w:t>
      </w:r>
      <w:r w:rsidR="003503A5" w:rsidRPr="00FC7BB4">
        <w:rPr>
          <w:rFonts w:ascii="Times New Roman" w:hAnsi="Times New Roman" w:cs="Times New Roman"/>
          <w:sz w:val="24"/>
        </w:rPr>
        <w:t xml:space="preserve"> previous paragraph</w:t>
      </w:r>
      <w:r w:rsidR="00795E0B" w:rsidRPr="00FC7BB4">
        <w:rPr>
          <w:rFonts w:ascii="Times New Roman" w:hAnsi="Times New Roman" w:cs="Times New Roman"/>
          <w:sz w:val="24"/>
        </w:rPr>
        <w:t>)</w:t>
      </w:r>
      <w:r w:rsidRPr="00FC7BB4">
        <w:rPr>
          <w:rFonts w:ascii="Times New Roman" w:hAnsi="Times New Roman" w:cs="Times New Roman"/>
          <w:sz w:val="24"/>
        </w:rPr>
        <w:t xml:space="preserve"> to restore profits and the firm balance sheet. Glover, </w:t>
      </w:r>
      <w:r w:rsidRPr="00FC7BB4">
        <w:rPr>
          <w:rFonts w:ascii="Times New Roman" w:hAnsi="Times New Roman" w:cs="Times New Roman"/>
          <w:i/>
          <w:iCs/>
          <w:sz w:val="24"/>
        </w:rPr>
        <w:t>et al.</w:t>
      </w:r>
      <w:r w:rsidRPr="00FC7BB4">
        <w:rPr>
          <w:rFonts w:ascii="Times New Roman" w:hAnsi="Times New Roman" w:cs="Times New Roman"/>
          <w:sz w:val="24"/>
        </w:rPr>
        <w:t xml:space="preserve"> (2023) show that for the USA, firm mark-up growth contributed a “substantially larger contribution” to the rise of inflation in 2021 than during the preceding decade (p33).</w:t>
      </w:r>
    </w:p>
    <w:bookmarkEnd w:id="92"/>
    <w:p w14:paraId="245E16E0" w14:textId="77777777" w:rsidR="007B473F" w:rsidRPr="00FC7BB4" w:rsidRDefault="007B473F">
      <w:pPr>
        <w:spacing w:after="0" w:line="331" w:lineRule="auto"/>
        <w:ind w:left="-17" w:right="27"/>
        <w:rPr>
          <w:rFonts w:ascii="Times New Roman" w:hAnsi="Times New Roman" w:cs="Times New Roman"/>
          <w:sz w:val="24"/>
        </w:rPr>
      </w:pPr>
    </w:p>
    <w:p w14:paraId="2852DCD3" w14:textId="2C63175A" w:rsidR="00307155" w:rsidRPr="00FC7BB4" w:rsidRDefault="00307155" w:rsidP="00F3101B">
      <w:pPr>
        <w:spacing w:after="0" w:line="360" w:lineRule="auto"/>
        <w:ind w:right="27" w:firstLine="284"/>
        <w:jc w:val="center"/>
        <w:rPr>
          <w:rFonts w:ascii="Times New Roman" w:hAnsi="Times New Roman" w:cs="Times New Roman"/>
          <w:b/>
          <w:bCs/>
          <w:color w:val="auto"/>
          <w:sz w:val="24"/>
        </w:rPr>
      </w:pPr>
      <w:bookmarkStart w:id="93" w:name="_Hlk203732738"/>
      <w:r w:rsidRPr="00FC7BB4">
        <w:rPr>
          <w:rFonts w:ascii="Times New Roman" w:hAnsi="Times New Roman" w:cs="Times New Roman"/>
          <w:b/>
          <w:bCs/>
          <w:color w:val="auto"/>
          <w:sz w:val="24"/>
        </w:rPr>
        <w:lastRenderedPageBreak/>
        <w:t>Table 5: Conditional probabilities of profit increase when firms report no change in cost and demand: Pre- and Post-2011Q2</w:t>
      </w:r>
    </w:p>
    <w:tbl>
      <w:tblPr>
        <w:tblW w:w="10018" w:type="dxa"/>
        <w:jc w:val="center"/>
        <w:tblLook w:val="04A0" w:firstRow="1" w:lastRow="0" w:firstColumn="1" w:lastColumn="0" w:noHBand="0" w:noVBand="1"/>
      </w:tblPr>
      <w:tblGrid>
        <w:gridCol w:w="3865"/>
        <w:gridCol w:w="754"/>
        <w:gridCol w:w="758"/>
        <w:gridCol w:w="1186"/>
        <w:gridCol w:w="149"/>
        <w:gridCol w:w="147"/>
        <w:gridCol w:w="892"/>
        <w:gridCol w:w="910"/>
        <w:gridCol w:w="128"/>
        <w:gridCol w:w="1229"/>
      </w:tblGrid>
      <w:tr w:rsidR="00307155" w:rsidRPr="00FC7BB4" w14:paraId="7017E16B" w14:textId="77777777" w:rsidTr="00F3101B">
        <w:trPr>
          <w:trHeight w:val="50"/>
          <w:jc w:val="center"/>
        </w:trPr>
        <w:tc>
          <w:tcPr>
            <w:tcW w:w="3865" w:type="dxa"/>
            <w:tcBorders>
              <w:top w:val="nil"/>
              <w:left w:val="nil"/>
              <w:bottom w:val="single" w:sz="4" w:space="0" w:color="auto"/>
              <w:right w:val="nil"/>
            </w:tcBorders>
            <w:noWrap/>
            <w:vAlign w:val="bottom"/>
            <w:hideMark/>
          </w:tcPr>
          <w:p w14:paraId="0DEE41BA"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24"/>
                <w14:ligatures w14:val="none"/>
              </w:rPr>
            </w:pPr>
          </w:p>
        </w:tc>
        <w:tc>
          <w:tcPr>
            <w:tcW w:w="754" w:type="dxa"/>
            <w:tcBorders>
              <w:top w:val="nil"/>
              <w:left w:val="nil"/>
              <w:bottom w:val="single" w:sz="4" w:space="0" w:color="auto"/>
              <w:right w:val="nil"/>
            </w:tcBorders>
            <w:noWrap/>
            <w:vAlign w:val="bottom"/>
            <w:hideMark/>
          </w:tcPr>
          <w:p w14:paraId="085C4375"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758" w:type="dxa"/>
            <w:tcBorders>
              <w:top w:val="nil"/>
              <w:left w:val="nil"/>
              <w:bottom w:val="single" w:sz="4" w:space="0" w:color="auto"/>
              <w:right w:val="nil"/>
            </w:tcBorders>
            <w:noWrap/>
            <w:vAlign w:val="bottom"/>
            <w:hideMark/>
          </w:tcPr>
          <w:p w14:paraId="56948C89"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186" w:type="dxa"/>
            <w:tcBorders>
              <w:top w:val="nil"/>
              <w:left w:val="nil"/>
              <w:bottom w:val="single" w:sz="4" w:space="0" w:color="auto"/>
              <w:right w:val="nil"/>
            </w:tcBorders>
            <w:noWrap/>
            <w:vAlign w:val="bottom"/>
            <w:hideMark/>
          </w:tcPr>
          <w:p w14:paraId="1BE043FB"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188" w:type="dxa"/>
            <w:gridSpan w:val="3"/>
            <w:tcBorders>
              <w:top w:val="nil"/>
              <w:left w:val="nil"/>
              <w:bottom w:val="single" w:sz="4" w:space="0" w:color="auto"/>
              <w:right w:val="nil"/>
            </w:tcBorders>
            <w:noWrap/>
            <w:vAlign w:val="bottom"/>
            <w:hideMark/>
          </w:tcPr>
          <w:p w14:paraId="059CB05B"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038" w:type="dxa"/>
            <w:gridSpan w:val="2"/>
            <w:tcBorders>
              <w:top w:val="nil"/>
              <w:left w:val="nil"/>
              <w:bottom w:val="single" w:sz="4" w:space="0" w:color="auto"/>
              <w:right w:val="nil"/>
            </w:tcBorders>
            <w:noWrap/>
            <w:vAlign w:val="bottom"/>
            <w:hideMark/>
          </w:tcPr>
          <w:p w14:paraId="67264110"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229" w:type="dxa"/>
            <w:tcBorders>
              <w:top w:val="nil"/>
              <w:left w:val="nil"/>
              <w:bottom w:val="single" w:sz="4" w:space="0" w:color="auto"/>
              <w:right w:val="nil"/>
            </w:tcBorders>
            <w:noWrap/>
            <w:vAlign w:val="bottom"/>
            <w:hideMark/>
          </w:tcPr>
          <w:p w14:paraId="419AF0E2"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r>
      <w:tr w:rsidR="00307155" w:rsidRPr="00FC7BB4" w14:paraId="712C3E75" w14:textId="77777777" w:rsidTr="00F3101B">
        <w:trPr>
          <w:trHeight w:val="289"/>
          <w:jc w:val="center"/>
        </w:trPr>
        <w:tc>
          <w:tcPr>
            <w:tcW w:w="3865" w:type="dxa"/>
            <w:tcBorders>
              <w:top w:val="single" w:sz="4" w:space="0" w:color="auto"/>
              <w:left w:val="nil"/>
              <w:bottom w:val="nil"/>
              <w:right w:val="nil"/>
            </w:tcBorders>
            <w:noWrap/>
            <w:vAlign w:val="bottom"/>
            <w:hideMark/>
          </w:tcPr>
          <w:p w14:paraId="5F2FC579"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Type of conditional probability:</w:t>
            </w:r>
          </w:p>
        </w:tc>
        <w:tc>
          <w:tcPr>
            <w:tcW w:w="1512" w:type="dxa"/>
            <w:gridSpan w:val="2"/>
            <w:tcBorders>
              <w:top w:val="single" w:sz="4" w:space="0" w:color="auto"/>
              <w:left w:val="nil"/>
              <w:bottom w:val="nil"/>
              <w:right w:val="nil"/>
            </w:tcBorders>
            <w:noWrap/>
            <w:vAlign w:val="bottom"/>
            <w:hideMark/>
          </w:tcPr>
          <w:p w14:paraId="46B799AF"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 xml:space="preserve">Probability: </w:t>
            </w:r>
          </w:p>
        </w:tc>
        <w:tc>
          <w:tcPr>
            <w:tcW w:w="1186" w:type="dxa"/>
            <w:tcBorders>
              <w:top w:val="single" w:sz="4" w:space="0" w:color="auto"/>
              <w:left w:val="nil"/>
              <w:bottom w:val="nil"/>
              <w:right w:val="nil"/>
            </w:tcBorders>
            <w:noWrap/>
            <w:vAlign w:val="bottom"/>
            <w:hideMark/>
          </w:tcPr>
          <w:p w14:paraId="0C8FA98A"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 </w:t>
            </w:r>
          </w:p>
        </w:tc>
        <w:tc>
          <w:tcPr>
            <w:tcW w:w="3455" w:type="dxa"/>
            <w:gridSpan w:val="6"/>
            <w:tcBorders>
              <w:top w:val="single" w:sz="4" w:space="0" w:color="auto"/>
              <w:left w:val="nil"/>
              <w:bottom w:val="nil"/>
              <w:right w:val="nil"/>
            </w:tcBorders>
            <w:noWrap/>
            <w:vAlign w:val="bottom"/>
            <w:hideMark/>
          </w:tcPr>
          <w:p w14:paraId="7E67DA3C"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 xml:space="preserve">     Change in probability (R=</w:t>
            </w:r>
            <w:proofErr w:type="gramStart"/>
            <w:r w:rsidRPr="00FC7BB4">
              <w:rPr>
                <w:rFonts w:ascii="Times New Roman" w:eastAsia="Times New Roman" w:hAnsi="Times New Roman" w:cs="Times New Roman"/>
                <w:color w:val="auto"/>
                <w:kern w:val="0"/>
                <w:szCs w:val="20"/>
                <w14:ligatures w14:val="none"/>
              </w:rPr>
              <w:t>1)-(</w:t>
            </w:r>
            <w:proofErr w:type="gramEnd"/>
            <w:r w:rsidRPr="00FC7BB4">
              <w:rPr>
                <w:rFonts w:ascii="Times New Roman" w:eastAsia="Times New Roman" w:hAnsi="Times New Roman" w:cs="Times New Roman"/>
                <w:color w:val="auto"/>
                <w:kern w:val="0"/>
                <w:szCs w:val="20"/>
                <w14:ligatures w14:val="none"/>
              </w:rPr>
              <w:t>R=0):</w:t>
            </w:r>
          </w:p>
        </w:tc>
      </w:tr>
      <w:tr w:rsidR="00307155" w:rsidRPr="00FC7BB4" w14:paraId="6C72F38F" w14:textId="77777777" w:rsidTr="00F3101B">
        <w:trPr>
          <w:trHeight w:val="289"/>
          <w:jc w:val="center"/>
        </w:trPr>
        <w:tc>
          <w:tcPr>
            <w:tcW w:w="3865" w:type="dxa"/>
            <w:tcBorders>
              <w:top w:val="nil"/>
              <w:left w:val="nil"/>
              <w:bottom w:val="single" w:sz="4" w:space="0" w:color="auto"/>
              <w:right w:val="nil"/>
            </w:tcBorders>
            <w:noWrap/>
            <w:vAlign w:val="bottom"/>
            <w:hideMark/>
          </w:tcPr>
          <w:p w14:paraId="496508B6"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 xml:space="preserve">                                                                </w:t>
            </w:r>
          </w:p>
        </w:tc>
        <w:tc>
          <w:tcPr>
            <w:tcW w:w="754" w:type="dxa"/>
            <w:tcBorders>
              <w:top w:val="nil"/>
              <w:left w:val="nil"/>
              <w:bottom w:val="single" w:sz="4" w:space="0" w:color="auto"/>
              <w:right w:val="nil"/>
            </w:tcBorders>
            <w:noWrap/>
            <w:vAlign w:val="bottom"/>
            <w:hideMark/>
          </w:tcPr>
          <w:p w14:paraId="440C11D9"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 xml:space="preserve">  2%</w:t>
            </w:r>
          </w:p>
        </w:tc>
        <w:tc>
          <w:tcPr>
            <w:tcW w:w="758" w:type="dxa"/>
            <w:tcBorders>
              <w:top w:val="nil"/>
              <w:left w:val="nil"/>
              <w:bottom w:val="single" w:sz="4" w:space="0" w:color="auto"/>
              <w:right w:val="nil"/>
            </w:tcBorders>
            <w:noWrap/>
            <w:vAlign w:val="bottom"/>
            <w:hideMark/>
          </w:tcPr>
          <w:p w14:paraId="1E15829B" w14:textId="02304985"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5</w:t>
            </w:r>
            <w:r w:rsidR="00A37C85" w:rsidRPr="00FC7BB4">
              <w:rPr>
                <w:rFonts w:ascii="Times New Roman" w:eastAsia="Times New Roman" w:hAnsi="Times New Roman" w:cs="Times New Roman"/>
                <w:color w:val="auto"/>
                <w:kern w:val="0"/>
                <w:szCs w:val="20"/>
                <w14:ligatures w14:val="none"/>
              </w:rPr>
              <w:t>%</w:t>
            </w:r>
          </w:p>
        </w:tc>
        <w:tc>
          <w:tcPr>
            <w:tcW w:w="1482" w:type="dxa"/>
            <w:gridSpan w:val="3"/>
            <w:tcBorders>
              <w:top w:val="nil"/>
              <w:left w:val="nil"/>
              <w:bottom w:val="single" w:sz="4" w:space="0" w:color="auto"/>
              <w:right w:val="nil"/>
            </w:tcBorders>
            <w:noWrap/>
            <w:vAlign w:val="bottom"/>
            <w:hideMark/>
          </w:tcPr>
          <w:p w14:paraId="3A4046CE"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 xml:space="preserve">        7%</w:t>
            </w:r>
          </w:p>
        </w:tc>
        <w:tc>
          <w:tcPr>
            <w:tcW w:w="892" w:type="dxa"/>
            <w:tcBorders>
              <w:top w:val="nil"/>
              <w:left w:val="nil"/>
              <w:bottom w:val="single" w:sz="4" w:space="0" w:color="auto"/>
              <w:right w:val="nil"/>
            </w:tcBorders>
            <w:noWrap/>
            <w:vAlign w:val="bottom"/>
            <w:hideMark/>
          </w:tcPr>
          <w:p w14:paraId="4EE92626"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 xml:space="preserve">  2%</w:t>
            </w:r>
          </w:p>
        </w:tc>
        <w:tc>
          <w:tcPr>
            <w:tcW w:w="1038" w:type="dxa"/>
            <w:gridSpan w:val="2"/>
            <w:tcBorders>
              <w:top w:val="nil"/>
              <w:left w:val="nil"/>
              <w:bottom w:val="single" w:sz="4" w:space="0" w:color="auto"/>
              <w:right w:val="nil"/>
            </w:tcBorders>
            <w:noWrap/>
            <w:vAlign w:val="bottom"/>
            <w:hideMark/>
          </w:tcPr>
          <w:p w14:paraId="61696D6C"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 xml:space="preserve">   5%</w:t>
            </w:r>
          </w:p>
        </w:tc>
        <w:tc>
          <w:tcPr>
            <w:tcW w:w="1229" w:type="dxa"/>
            <w:tcBorders>
              <w:top w:val="nil"/>
              <w:left w:val="nil"/>
              <w:bottom w:val="single" w:sz="4" w:space="0" w:color="auto"/>
              <w:right w:val="nil"/>
            </w:tcBorders>
            <w:noWrap/>
            <w:vAlign w:val="bottom"/>
            <w:hideMark/>
          </w:tcPr>
          <w:p w14:paraId="2497BE79"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 xml:space="preserve"> 7%</w:t>
            </w:r>
          </w:p>
        </w:tc>
      </w:tr>
      <w:tr w:rsidR="00307155" w:rsidRPr="00FC7BB4" w14:paraId="66541E0F" w14:textId="77777777" w:rsidTr="00291B27">
        <w:trPr>
          <w:trHeight w:val="289"/>
          <w:jc w:val="center"/>
        </w:trPr>
        <w:tc>
          <w:tcPr>
            <w:tcW w:w="10018" w:type="dxa"/>
            <w:gridSpan w:val="10"/>
            <w:tcBorders>
              <w:top w:val="single" w:sz="4" w:space="0" w:color="auto"/>
              <w:left w:val="nil"/>
              <w:bottom w:val="nil"/>
              <w:right w:val="nil"/>
            </w:tcBorders>
            <w:vAlign w:val="center"/>
          </w:tcPr>
          <w:p w14:paraId="10F6995B" w14:textId="77777777" w:rsidR="00307155" w:rsidRPr="00FC7BB4" w:rsidRDefault="00307155" w:rsidP="00F3101B">
            <w:pPr>
              <w:spacing w:after="0" w:line="240" w:lineRule="auto"/>
              <w:ind w:right="27" w:firstLine="0"/>
              <w:rPr>
                <w:rFonts w:ascii="Times New Roman" w:eastAsia="Times New Roman" w:hAnsi="Times New Roman" w:cs="Times New Roman"/>
                <w:i/>
                <w:iCs/>
                <w:kern w:val="0"/>
                <w:szCs w:val="20"/>
                <w14:ligatures w14:val="none"/>
              </w:rPr>
            </w:pPr>
          </w:p>
          <w:p w14:paraId="5F65FAD1" w14:textId="77777777" w:rsidR="00307155" w:rsidRPr="00FC7BB4" w:rsidRDefault="00307155" w:rsidP="00F3101B">
            <w:pPr>
              <w:spacing w:after="0" w:line="240" w:lineRule="auto"/>
              <w:ind w:right="27" w:firstLine="0"/>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i/>
                <w:iCs/>
                <w:kern w:val="0"/>
                <w:szCs w:val="20"/>
                <w14:ligatures w14:val="none"/>
              </w:rPr>
              <w:t>Probability firms increase profit (all firms):</w:t>
            </w:r>
          </w:p>
        </w:tc>
      </w:tr>
      <w:tr w:rsidR="00307155" w:rsidRPr="00FC7BB4" w14:paraId="150CADAD" w14:textId="77777777" w:rsidTr="00F3101B">
        <w:trPr>
          <w:trHeight w:val="344"/>
          <w:jc w:val="center"/>
        </w:trPr>
        <w:tc>
          <w:tcPr>
            <w:tcW w:w="3865" w:type="dxa"/>
            <w:tcBorders>
              <w:top w:val="nil"/>
              <w:left w:val="nil"/>
              <w:bottom w:val="nil"/>
              <w:right w:val="nil"/>
            </w:tcBorders>
            <w:vAlign w:val="center"/>
            <w:hideMark/>
          </w:tcPr>
          <w:p w14:paraId="44120223" w14:textId="18B15B02" w:rsidR="00307155" w:rsidRPr="00FC7BB4" w:rsidRDefault="00307155" w:rsidP="00F3101B">
            <w:pPr>
              <w:spacing w:after="0" w:line="240" w:lineRule="auto"/>
              <w:ind w:right="28"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w:t>
            </w:r>
            <w:r w:rsidR="00CA506C" w:rsidRPr="00FC7BB4">
              <w:rPr>
                <w:rFonts w:ascii="Times New Roman" w:eastAsia="Times New Roman" w:hAnsi="Times New Roman" w:cs="Times New Roman"/>
                <w:kern w:val="0"/>
                <w:szCs w:val="20"/>
                <w14:ligatures w14:val="none"/>
              </w:rPr>
              <w:t>r</w:t>
            </w:r>
            <w:r w:rsidRPr="00FC7BB4">
              <w:rPr>
                <w:rFonts w:ascii="Times New Roman" w:eastAsia="Times New Roman" w:hAnsi="Times New Roman" w:cs="Times New Roman"/>
                <w:kern w:val="0"/>
                <w:szCs w:val="20"/>
                <w14:ligatures w14:val="none"/>
              </w:rPr>
              <w:t>up|Cnc</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Dnc</w:t>
            </w:r>
            <w:proofErr w:type="spellEnd"/>
            <w:r w:rsidRPr="00FC7BB4">
              <w:rPr>
                <w:rFonts w:ascii="Times New Roman" w:eastAsia="Times New Roman" w:hAnsi="Times New Roman" w:cs="Times New Roman"/>
                <w:kern w:val="0"/>
                <w:szCs w:val="20"/>
                <w14:ligatures w14:val="none"/>
              </w:rPr>
              <w:t>, R=0]</w:t>
            </w:r>
          </w:p>
        </w:tc>
        <w:tc>
          <w:tcPr>
            <w:tcW w:w="754" w:type="dxa"/>
            <w:tcBorders>
              <w:top w:val="nil"/>
              <w:left w:val="nil"/>
              <w:bottom w:val="nil"/>
              <w:right w:val="nil"/>
            </w:tcBorders>
            <w:vAlign w:val="center"/>
            <w:hideMark/>
          </w:tcPr>
          <w:p w14:paraId="01E8C6A5" w14:textId="77777777" w:rsidR="00307155" w:rsidRPr="00FC7BB4" w:rsidRDefault="00307155" w:rsidP="00F3101B">
            <w:pPr>
              <w:spacing w:after="0" w:line="240" w:lineRule="auto"/>
              <w:ind w:right="28"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0.28</w:t>
            </w:r>
          </w:p>
        </w:tc>
        <w:tc>
          <w:tcPr>
            <w:tcW w:w="758" w:type="dxa"/>
            <w:tcBorders>
              <w:top w:val="nil"/>
              <w:left w:val="nil"/>
              <w:bottom w:val="nil"/>
              <w:right w:val="nil"/>
            </w:tcBorders>
            <w:vAlign w:val="center"/>
            <w:hideMark/>
          </w:tcPr>
          <w:p w14:paraId="5A1957D2" w14:textId="7D95EC9B" w:rsidR="00307155" w:rsidRPr="00FC7BB4" w:rsidRDefault="00307155" w:rsidP="00F3101B">
            <w:pPr>
              <w:spacing w:after="0" w:line="240" w:lineRule="auto"/>
              <w:ind w:right="28"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w:t>
            </w:r>
            <w:r w:rsidR="00FC6CD0" w:rsidRPr="00FC7BB4">
              <w:rPr>
                <w:rFonts w:ascii="Times New Roman" w:eastAsia="Times New Roman" w:hAnsi="Times New Roman" w:cs="Times New Roman"/>
                <w:kern w:val="0"/>
                <w:szCs w:val="20"/>
                <w14:ligatures w14:val="none"/>
              </w:rPr>
              <w:t>0</w:t>
            </w:r>
            <w:r w:rsidRPr="00FC7BB4">
              <w:rPr>
                <w:rFonts w:ascii="Times New Roman" w:eastAsia="Times New Roman" w:hAnsi="Times New Roman" w:cs="Times New Roman"/>
                <w:kern w:val="0"/>
                <w:szCs w:val="20"/>
                <w14:ligatures w14:val="none"/>
              </w:rPr>
              <w:t>.29</w:t>
            </w:r>
          </w:p>
        </w:tc>
        <w:tc>
          <w:tcPr>
            <w:tcW w:w="1186" w:type="dxa"/>
            <w:tcBorders>
              <w:top w:val="nil"/>
              <w:left w:val="nil"/>
              <w:bottom w:val="nil"/>
              <w:right w:val="nil"/>
            </w:tcBorders>
            <w:vAlign w:val="center"/>
            <w:hideMark/>
          </w:tcPr>
          <w:p w14:paraId="194AEFC1" w14:textId="77777777" w:rsidR="00307155" w:rsidRPr="00FC7BB4" w:rsidRDefault="00307155" w:rsidP="00F3101B">
            <w:pPr>
              <w:spacing w:after="0" w:line="240" w:lineRule="auto"/>
              <w:ind w:right="28"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0.29</w:t>
            </w:r>
          </w:p>
        </w:tc>
        <w:tc>
          <w:tcPr>
            <w:tcW w:w="1188" w:type="dxa"/>
            <w:gridSpan w:val="3"/>
            <w:tcBorders>
              <w:top w:val="nil"/>
              <w:left w:val="nil"/>
              <w:bottom w:val="nil"/>
              <w:right w:val="nil"/>
            </w:tcBorders>
            <w:vAlign w:val="center"/>
            <w:hideMark/>
          </w:tcPr>
          <w:p w14:paraId="6ADC8F22" w14:textId="77777777" w:rsidR="00307155" w:rsidRPr="00FC7BB4" w:rsidRDefault="00307155" w:rsidP="00F3101B">
            <w:pPr>
              <w:spacing w:after="0" w:line="240" w:lineRule="auto"/>
              <w:ind w:right="28" w:firstLine="0"/>
              <w:rPr>
                <w:rFonts w:ascii="Times New Roman" w:eastAsia="Times New Roman" w:hAnsi="Times New Roman" w:cs="Times New Roman"/>
                <w:kern w:val="0"/>
                <w:szCs w:val="20"/>
                <w14:ligatures w14:val="none"/>
              </w:rPr>
            </w:pPr>
          </w:p>
        </w:tc>
        <w:tc>
          <w:tcPr>
            <w:tcW w:w="1038" w:type="dxa"/>
            <w:gridSpan w:val="2"/>
            <w:tcBorders>
              <w:top w:val="nil"/>
              <w:left w:val="nil"/>
              <w:bottom w:val="nil"/>
              <w:right w:val="nil"/>
            </w:tcBorders>
            <w:vAlign w:val="center"/>
            <w:hideMark/>
          </w:tcPr>
          <w:p w14:paraId="2A6C0B41" w14:textId="77777777" w:rsidR="00307155" w:rsidRPr="00FC7BB4" w:rsidRDefault="00307155" w:rsidP="00F3101B">
            <w:pPr>
              <w:spacing w:after="0" w:line="240" w:lineRule="auto"/>
              <w:ind w:right="27" w:firstLine="0"/>
              <w:rPr>
                <w:rFonts w:ascii="Times New Roman" w:eastAsia="Times New Roman" w:hAnsi="Times New Roman" w:cs="Times New Roman"/>
                <w:color w:val="auto"/>
                <w:kern w:val="0"/>
                <w:szCs w:val="20"/>
                <w14:ligatures w14:val="none"/>
              </w:rPr>
            </w:pPr>
          </w:p>
        </w:tc>
        <w:tc>
          <w:tcPr>
            <w:tcW w:w="1229" w:type="dxa"/>
            <w:tcBorders>
              <w:top w:val="nil"/>
              <w:left w:val="nil"/>
              <w:bottom w:val="nil"/>
              <w:right w:val="nil"/>
            </w:tcBorders>
            <w:vAlign w:val="center"/>
            <w:hideMark/>
          </w:tcPr>
          <w:p w14:paraId="0DF898DA" w14:textId="77777777" w:rsidR="00307155" w:rsidRPr="00FC7BB4" w:rsidRDefault="00307155" w:rsidP="00F3101B">
            <w:pPr>
              <w:spacing w:after="0" w:line="240" w:lineRule="auto"/>
              <w:ind w:right="27" w:firstLine="0"/>
              <w:rPr>
                <w:rFonts w:ascii="Times New Roman" w:eastAsia="Times New Roman" w:hAnsi="Times New Roman" w:cs="Times New Roman"/>
                <w:color w:val="auto"/>
                <w:kern w:val="0"/>
                <w:szCs w:val="20"/>
                <w14:ligatures w14:val="none"/>
              </w:rPr>
            </w:pPr>
          </w:p>
        </w:tc>
      </w:tr>
      <w:tr w:rsidR="00307155" w:rsidRPr="00FC7BB4" w14:paraId="374A48EB" w14:textId="77777777" w:rsidTr="00F3101B">
        <w:trPr>
          <w:trHeight w:val="278"/>
          <w:jc w:val="center"/>
        </w:trPr>
        <w:tc>
          <w:tcPr>
            <w:tcW w:w="3865" w:type="dxa"/>
            <w:tcBorders>
              <w:top w:val="nil"/>
              <w:left w:val="nil"/>
              <w:bottom w:val="nil"/>
              <w:right w:val="nil"/>
            </w:tcBorders>
            <w:vAlign w:val="center"/>
            <w:hideMark/>
          </w:tcPr>
          <w:p w14:paraId="226F8E75" w14:textId="47B0A19A" w:rsidR="00307155" w:rsidRPr="00FC7BB4" w:rsidRDefault="00307155" w:rsidP="00F3101B">
            <w:pPr>
              <w:spacing w:after="0" w:line="240" w:lineRule="auto"/>
              <w:ind w:right="28"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w:t>
            </w:r>
            <w:r w:rsidR="00670E7C" w:rsidRPr="00FC7BB4">
              <w:rPr>
                <w:rFonts w:ascii="Times New Roman" w:eastAsia="Times New Roman" w:hAnsi="Times New Roman" w:cs="Times New Roman"/>
                <w:kern w:val="0"/>
                <w:szCs w:val="20"/>
                <w14:ligatures w14:val="none"/>
              </w:rPr>
              <w:t>r</w:t>
            </w:r>
            <w:r w:rsidRPr="00FC7BB4">
              <w:rPr>
                <w:rFonts w:ascii="Times New Roman" w:eastAsia="Times New Roman" w:hAnsi="Times New Roman" w:cs="Times New Roman"/>
                <w:kern w:val="0"/>
                <w:szCs w:val="20"/>
                <w14:ligatures w14:val="none"/>
              </w:rPr>
              <w:t>up|Cnc</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Dnc</w:t>
            </w:r>
            <w:proofErr w:type="spellEnd"/>
            <w:r w:rsidRPr="00FC7BB4">
              <w:rPr>
                <w:rFonts w:ascii="Times New Roman" w:eastAsia="Times New Roman" w:hAnsi="Times New Roman" w:cs="Times New Roman"/>
                <w:kern w:val="0"/>
                <w:szCs w:val="20"/>
                <w14:ligatures w14:val="none"/>
              </w:rPr>
              <w:t>, R=1]</w:t>
            </w:r>
          </w:p>
        </w:tc>
        <w:tc>
          <w:tcPr>
            <w:tcW w:w="754" w:type="dxa"/>
            <w:tcBorders>
              <w:top w:val="nil"/>
              <w:left w:val="nil"/>
              <w:bottom w:val="nil"/>
              <w:right w:val="nil"/>
            </w:tcBorders>
            <w:vAlign w:val="center"/>
            <w:hideMark/>
          </w:tcPr>
          <w:p w14:paraId="2CB8D25B" w14:textId="77777777" w:rsidR="00307155" w:rsidRPr="00FC7BB4" w:rsidRDefault="00307155" w:rsidP="00F3101B">
            <w:pPr>
              <w:spacing w:after="0" w:line="240" w:lineRule="auto"/>
              <w:ind w:right="28"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0.29</w:t>
            </w:r>
          </w:p>
        </w:tc>
        <w:tc>
          <w:tcPr>
            <w:tcW w:w="758" w:type="dxa"/>
            <w:tcBorders>
              <w:top w:val="nil"/>
              <w:left w:val="nil"/>
              <w:bottom w:val="nil"/>
              <w:right w:val="nil"/>
            </w:tcBorders>
            <w:vAlign w:val="center"/>
            <w:hideMark/>
          </w:tcPr>
          <w:p w14:paraId="496ABB35" w14:textId="7BA2FC0D" w:rsidR="00307155" w:rsidRPr="00FC7BB4" w:rsidRDefault="00307155" w:rsidP="00F3101B">
            <w:pPr>
              <w:spacing w:after="0" w:line="240" w:lineRule="auto"/>
              <w:ind w:right="28"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0.33</w:t>
            </w:r>
          </w:p>
        </w:tc>
        <w:tc>
          <w:tcPr>
            <w:tcW w:w="1335" w:type="dxa"/>
            <w:gridSpan w:val="2"/>
            <w:tcBorders>
              <w:top w:val="nil"/>
              <w:left w:val="nil"/>
              <w:bottom w:val="nil"/>
              <w:right w:val="nil"/>
            </w:tcBorders>
            <w:vAlign w:val="center"/>
            <w:hideMark/>
          </w:tcPr>
          <w:p w14:paraId="1E9CCB67" w14:textId="77777777" w:rsidR="00307155" w:rsidRPr="00FC7BB4" w:rsidRDefault="00307155" w:rsidP="00F3101B">
            <w:pPr>
              <w:spacing w:after="0" w:line="240" w:lineRule="auto"/>
              <w:ind w:right="28"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0.37</w:t>
            </w:r>
          </w:p>
        </w:tc>
        <w:tc>
          <w:tcPr>
            <w:tcW w:w="1039" w:type="dxa"/>
            <w:gridSpan w:val="2"/>
            <w:tcBorders>
              <w:top w:val="nil"/>
              <w:left w:val="nil"/>
              <w:bottom w:val="nil"/>
              <w:right w:val="nil"/>
            </w:tcBorders>
            <w:noWrap/>
            <w:vAlign w:val="bottom"/>
            <w:hideMark/>
          </w:tcPr>
          <w:p w14:paraId="0033FE85" w14:textId="4543DCED" w:rsidR="00307155" w:rsidRPr="00FC7BB4" w:rsidRDefault="00FC6CD0"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w:t>
            </w:r>
            <w:r w:rsidR="00307155" w:rsidRPr="00FC7BB4">
              <w:rPr>
                <w:rFonts w:ascii="Times New Roman" w:eastAsia="Times New Roman" w:hAnsi="Times New Roman" w:cs="Times New Roman"/>
                <w:i/>
                <w:iCs/>
                <w:kern w:val="0"/>
                <w:szCs w:val="20"/>
                <w14:ligatures w14:val="none"/>
              </w:rPr>
              <w:t>0.00</w:t>
            </w:r>
          </w:p>
        </w:tc>
        <w:tc>
          <w:tcPr>
            <w:tcW w:w="910" w:type="dxa"/>
            <w:tcBorders>
              <w:top w:val="nil"/>
              <w:left w:val="nil"/>
              <w:bottom w:val="nil"/>
              <w:right w:val="nil"/>
            </w:tcBorders>
            <w:noWrap/>
            <w:vAlign w:val="bottom"/>
            <w:hideMark/>
          </w:tcPr>
          <w:p w14:paraId="65B7EE75" w14:textId="01F4DBE4"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.04***</w:t>
            </w:r>
          </w:p>
        </w:tc>
        <w:tc>
          <w:tcPr>
            <w:tcW w:w="1357" w:type="dxa"/>
            <w:gridSpan w:val="2"/>
            <w:tcBorders>
              <w:top w:val="nil"/>
              <w:left w:val="nil"/>
              <w:bottom w:val="nil"/>
              <w:right w:val="nil"/>
            </w:tcBorders>
            <w:noWrap/>
            <w:vAlign w:val="bottom"/>
            <w:hideMark/>
          </w:tcPr>
          <w:p w14:paraId="5C43FCE8"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0.07***</w:t>
            </w:r>
          </w:p>
        </w:tc>
      </w:tr>
      <w:tr w:rsidR="00307155" w:rsidRPr="00FC7BB4" w14:paraId="1919E569" w14:textId="77777777" w:rsidTr="00F3101B">
        <w:trPr>
          <w:trHeight w:val="252"/>
          <w:jc w:val="center"/>
        </w:trPr>
        <w:tc>
          <w:tcPr>
            <w:tcW w:w="3865" w:type="dxa"/>
            <w:tcBorders>
              <w:top w:val="nil"/>
              <w:left w:val="nil"/>
              <w:bottom w:val="nil"/>
              <w:right w:val="nil"/>
            </w:tcBorders>
            <w:vAlign w:val="center"/>
          </w:tcPr>
          <w:p w14:paraId="37DC23C8"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p w14:paraId="13558347"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Probability Builders increase profit:</w:t>
            </w:r>
          </w:p>
        </w:tc>
        <w:tc>
          <w:tcPr>
            <w:tcW w:w="754" w:type="dxa"/>
            <w:tcBorders>
              <w:top w:val="nil"/>
              <w:left w:val="nil"/>
              <w:bottom w:val="nil"/>
              <w:right w:val="nil"/>
            </w:tcBorders>
            <w:vAlign w:val="center"/>
          </w:tcPr>
          <w:p w14:paraId="529A098B"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758" w:type="dxa"/>
            <w:tcBorders>
              <w:top w:val="nil"/>
              <w:left w:val="nil"/>
              <w:bottom w:val="nil"/>
              <w:right w:val="nil"/>
            </w:tcBorders>
            <w:vAlign w:val="center"/>
          </w:tcPr>
          <w:p w14:paraId="7A6CEFA9"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86" w:type="dxa"/>
            <w:tcBorders>
              <w:top w:val="nil"/>
              <w:left w:val="nil"/>
              <w:bottom w:val="nil"/>
              <w:right w:val="nil"/>
            </w:tcBorders>
            <w:vAlign w:val="center"/>
          </w:tcPr>
          <w:p w14:paraId="40332240"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88" w:type="dxa"/>
            <w:gridSpan w:val="3"/>
            <w:tcBorders>
              <w:top w:val="nil"/>
              <w:left w:val="nil"/>
              <w:bottom w:val="nil"/>
              <w:right w:val="nil"/>
            </w:tcBorders>
            <w:noWrap/>
            <w:vAlign w:val="bottom"/>
          </w:tcPr>
          <w:p w14:paraId="04B5D4D5"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c>
          <w:tcPr>
            <w:tcW w:w="1038" w:type="dxa"/>
            <w:gridSpan w:val="2"/>
            <w:tcBorders>
              <w:top w:val="nil"/>
              <w:left w:val="nil"/>
              <w:bottom w:val="nil"/>
              <w:right w:val="nil"/>
            </w:tcBorders>
            <w:noWrap/>
            <w:vAlign w:val="bottom"/>
          </w:tcPr>
          <w:p w14:paraId="4EB2B237"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c>
          <w:tcPr>
            <w:tcW w:w="1229" w:type="dxa"/>
            <w:tcBorders>
              <w:top w:val="nil"/>
              <w:left w:val="nil"/>
              <w:bottom w:val="nil"/>
              <w:right w:val="nil"/>
            </w:tcBorders>
            <w:noWrap/>
            <w:vAlign w:val="bottom"/>
          </w:tcPr>
          <w:p w14:paraId="386BC2B8"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r>
      <w:tr w:rsidR="00307155" w:rsidRPr="00FC7BB4" w14:paraId="5A9FC89A" w14:textId="77777777" w:rsidTr="00F3101B">
        <w:trPr>
          <w:trHeight w:val="289"/>
          <w:jc w:val="center"/>
        </w:trPr>
        <w:tc>
          <w:tcPr>
            <w:tcW w:w="3865" w:type="dxa"/>
            <w:tcBorders>
              <w:left w:val="nil"/>
              <w:right w:val="nil"/>
            </w:tcBorders>
            <w:vAlign w:val="center"/>
          </w:tcPr>
          <w:p w14:paraId="1182BB73" w14:textId="668B279A"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w:t>
            </w:r>
            <w:r w:rsidR="00CA506C" w:rsidRPr="00FC7BB4">
              <w:rPr>
                <w:rFonts w:ascii="Times New Roman" w:eastAsia="Times New Roman" w:hAnsi="Times New Roman" w:cs="Times New Roman"/>
                <w:kern w:val="0"/>
                <w:szCs w:val="20"/>
                <w14:ligatures w14:val="none"/>
              </w:rPr>
              <w:t>r</w:t>
            </w:r>
            <w:r w:rsidRPr="00FC7BB4">
              <w:rPr>
                <w:rFonts w:ascii="Times New Roman" w:eastAsia="Times New Roman" w:hAnsi="Times New Roman" w:cs="Times New Roman"/>
                <w:kern w:val="0"/>
                <w:szCs w:val="20"/>
                <w14:ligatures w14:val="none"/>
              </w:rPr>
              <w:t>up|Cnc</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Dnc</w:t>
            </w:r>
            <w:proofErr w:type="spellEnd"/>
            <w:r w:rsidRPr="00FC7BB4">
              <w:rPr>
                <w:rFonts w:ascii="Times New Roman" w:eastAsia="Times New Roman" w:hAnsi="Times New Roman" w:cs="Times New Roman"/>
                <w:kern w:val="0"/>
                <w:szCs w:val="20"/>
                <w14:ligatures w14:val="none"/>
              </w:rPr>
              <w:t>, R=0]</w:t>
            </w:r>
          </w:p>
          <w:p w14:paraId="5F5DD722"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Prup|Cnc</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Dnc</w:t>
            </w:r>
            <w:proofErr w:type="spellEnd"/>
            <w:r w:rsidRPr="00FC7BB4">
              <w:rPr>
                <w:rFonts w:ascii="Times New Roman" w:eastAsia="Times New Roman" w:hAnsi="Times New Roman" w:cs="Times New Roman"/>
                <w:kern w:val="0"/>
                <w:szCs w:val="20"/>
                <w14:ligatures w14:val="none"/>
              </w:rPr>
              <w:t>, R=1]</w:t>
            </w:r>
          </w:p>
        </w:tc>
        <w:tc>
          <w:tcPr>
            <w:tcW w:w="754" w:type="dxa"/>
            <w:tcBorders>
              <w:left w:val="nil"/>
              <w:right w:val="nil"/>
            </w:tcBorders>
            <w:vAlign w:val="center"/>
          </w:tcPr>
          <w:p w14:paraId="2E132193"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0.26</w:t>
            </w:r>
          </w:p>
          <w:p w14:paraId="2EFBBF4C"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0.22</w:t>
            </w:r>
          </w:p>
        </w:tc>
        <w:tc>
          <w:tcPr>
            <w:tcW w:w="758" w:type="dxa"/>
            <w:tcBorders>
              <w:left w:val="nil"/>
              <w:right w:val="nil"/>
            </w:tcBorders>
            <w:vAlign w:val="center"/>
          </w:tcPr>
          <w:p w14:paraId="0AE6979C" w14:textId="47C8DEEE"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w:t>
            </w:r>
            <w:r w:rsidR="00FC6CD0" w:rsidRPr="00FC7BB4">
              <w:rPr>
                <w:rFonts w:ascii="Times New Roman" w:eastAsia="Times New Roman" w:hAnsi="Times New Roman" w:cs="Times New Roman"/>
                <w:kern w:val="0"/>
                <w:szCs w:val="20"/>
                <w14:ligatures w14:val="none"/>
              </w:rPr>
              <w:t>0</w:t>
            </w:r>
            <w:r w:rsidRPr="00FC7BB4">
              <w:rPr>
                <w:rFonts w:ascii="Times New Roman" w:eastAsia="Times New Roman" w:hAnsi="Times New Roman" w:cs="Times New Roman"/>
                <w:kern w:val="0"/>
                <w:szCs w:val="20"/>
                <w14:ligatures w14:val="none"/>
              </w:rPr>
              <w:t>.27</w:t>
            </w:r>
          </w:p>
          <w:p w14:paraId="4B52FCB6" w14:textId="7AE3D285" w:rsidR="00307155" w:rsidRPr="00FC7BB4" w:rsidRDefault="00FC6CD0"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w:t>
            </w:r>
            <w:r w:rsidR="00307155" w:rsidRPr="00FC7BB4">
              <w:rPr>
                <w:rFonts w:ascii="Times New Roman" w:eastAsia="Times New Roman" w:hAnsi="Times New Roman" w:cs="Times New Roman"/>
                <w:kern w:val="0"/>
                <w:szCs w:val="20"/>
                <w14:ligatures w14:val="none"/>
              </w:rPr>
              <w:t>29</w:t>
            </w:r>
          </w:p>
        </w:tc>
        <w:tc>
          <w:tcPr>
            <w:tcW w:w="1186" w:type="dxa"/>
            <w:tcBorders>
              <w:left w:val="nil"/>
              <w:right w:val="nil"/>
            </w:tcBorders>
            <w:vAlign w:val="center"/>
          </w:tcPr>
          <w:p w14:paraId="49B59F11"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0.28</w:t>
            </w:r>
          </w:p>
          <w:p w14:paraId="57A43DEB"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0.33</w:t>
            </w:r>
          </w:p>
        </w:tc>
        <w:tc>
          <w:tcPr>
            <w:tcW w:w="1188" w:type="dxa"/>
            <w:gridSpan w:val="3"/>
            <w:tcBorders>
              <w:left w:val="nil"/>
              <w:right w:val="nil"/>
            </w:tcBorders>
            <w:noWrap/>
            <w:vAlign w:val="bottom"/>
          </w:tcPr>
          <w:p w14:paraId="52E84C0B"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w:t>
            </w:r>
          </w:p>
          <w:p w14:paraId="34BA1C83"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-0.03**</w:t>
            </w:r>
          </w:p>
        </w:tc>
        <w:tc>
          <w:tcPr>
            <w:tcW w:w="1038" w:type="dxa"/>
            <w:gridSpan w:val="2"/>
            <w:tcBorders>
              <w:left w:val="nil"/>
              <w:right w:val="nil"/>
            </w:tcBorders>
            <w:noWrap/>
            <w:vAlign w:val="bottom"/>
          </w:tcPr>
          <w:p w14:paraId="62E49140"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0.02</w:t>
            </w:r>
          </w:p>
        </w:tc>
        <w:tc>
          <w:tcPr>
            <w:tcW w:w="1229" w:type="dxa"/>
            <w:tcBorders>
              <w:left w:val="nil"/>
              <w:right w:val="nil"/>
            </w:tcBorders>
            <w:noWrap/>
            <w:vAlign w:val="bottom"/>
          </w:tcPr>
          <w:p w14:paraId="75A51EE9"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0.06</w:t>
            </w:r>
          </w:p>
        </w:tc>
      </w:tr>
      <w:tr w:rsidR="00307155" w:rsidRPr="00FC7BB4" w14:paraId="68A08DF3" w14:textId="77777777" w:rsidTr="00F3101B">
        <w:trPr>
          <w:trHeight w:val="289"/>
          <w:jc w:val="center"/>
        </w:trPr>
        <w:tc>
          <w:tcPr>
            <w:tcW w:w="3865" w:type="dxa"/>
            <w:tcBorders>
              <w:left w:val="nil"/>
              <w:right w:val="nil"/>
            </w:tcBorders>
            <w:vAlign w:val="center"/>
          </w:tcPr>
          <w:p w14:paraId="3EDFB4CE"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754" w:type="dxa"/>
            <w:tcBorders>
              <w:left w:val="nil"/>
              <w:right w:val="nil"/>
            </w:tcBorders>
            <w:vAlign w:val="center"/>
          </w:tcPr>
          <w:p w14:paraId="27281C27"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758" w:type="dxa"/>
            <w:tcBorders>
              <w:left w:val="nil"/>
              <w:right w:val="nil"/>
            </w:tcBorders>
            <w:vAlign w:val="center"/>
          </w:tcPr>
          <w:p w14:paraId="48CCCB6D"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86" w:type="dxa"/>
            <w:tcBorders>
              <w:left w:val="nil"/>
              <w:right w:val="nil"/>
            </w:tcBorders>
            <w:vAlign w:val="center"/>
          </w:tcPr>
          <w:p w14:paraId="73A4E478"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88" w:type="dxa"/>
            <w:gridSpan w:val="3"/>
            <w:tcBorders>
              <w:left w:val="nil"/>
              <w:right w:val="nil"/>
            </w:tcBorders>
            <w:noWrap/>
            <w:vAlign w:val="bottom"/>
          </w:tcPr>
          <w:p w14:paraId="17DDC190"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c>
          <w:tcPr>
            <w:tcW w:w="1038" w:type="dxa"/>
            <w:gridSpan w:val="2"/>
            <w:tcBorders>
              <w:left w:val="nil"/>
              <w:right w:val="nil"/>
            </w:tcBorders>
            <w:noWrap/>
            <w:vAlign w:val="bottom"/>
          </w:tcPr>
          <w:p w14:paraId="31576F6E"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c>
          <w:tcPr>
            <w:tcW w:w="1229" w:type="dxa"/>
            <w:tcBorders>
              <w:left w:val="nil"/>
              <w:right w:val="nil"/>
            </w:tcBorders>
            <w:noWrap/>
            <w:vAlign w:val="bottom"/>
          </w:tcPr>
          <w:p w14:paraId="025A98B2"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r>
      <w:tr w:rsidR="00307155" w:rsidRPr="00FC7BB4" w14:paraId="24752DFB" w14:textId="77777777" w:rsidTr="00F3101B">
        <w:trPr>
          <w:trHeight w:val="50"/>
          <w:jc w:val="center"/>
        </w:trPr>
        <w:tc>
          <w:tcPr>
            <w:tcW w:w="3865" w:type="dxa"/>
            <w:tcBorders>
              <w:left w:val="nil"/>
              <w:right w:val="nil"/>
            </w:tcBorders>
            <w:vAlign w:val="center"/>
          </w:tcPr>
          <w:p w14:paraId="72728056" w14:textId="77777777" w:rsidR="00307155" w:rsidRPr="00FC7BB4" w:rsidRDefault="00307155" w:rsidP="00F3101B">
            <w:pPr>
              <w:spacing w:after="0" w:line="240" w:lineRule="auto"/>
              <w:ind w:right="27" w:firstLine="0"/>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Probability Manufacturers increase profit:</w:t>
            </w:r>
          </w:p>
        </w:tc>
        <w:tc>
          <w:tcPr>
            <w:tcW w:w="754" w:type="dxa"/>
            <w:tcBorders>
              <w:left w:val="nil"/>
              <w:right w:val="nil"/>
            </w:tcBorders>
            <w:vAlign w:val="center"/>
          </w:tcPr>
          <w:p w14:paraId="2DB26B04"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758" w:type="dxa"/>
            <w:tcBorders>
              <w:left w:val="nil"/>
              <w:right w:val="nil"/>
            </w:tcBorders>
            <w:vAlign w:val="center"/>
          </w:tcPr>
          <w:p w14:paraId="30C03106"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86" w:type="dxa"/>
            <w:tcBorders>
              <w:left w:val="nil"/>
              <w:right w:val="nil"/>
            </w:tcBorders>
            <w:vAlign w:val="center"/>
          </w:tcPr>
          <w:p w14:paraId="58259256"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88" w:type="dxa"/>
            <w:gridSpan w:val="3"/>
            <w:tcBorders>
              <w:left w:val="nil"/>
              <w:right w:val="nil"/>
            </w:tcBorders>
            <w:noWrap/>
            <w:vAlign w:val="bottom"/>
          </w:tcPr>
          <w:p w14:paraId="346BE14F"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c>
          <w:tcPr>
            <w:tcW w:w="1038" w:type="dxa"/>
            <w:gridSpan w:val="2"/>
            <w:tcBorders>
              <w:left w:val="nil"/>
              <w:right w:val="nil"/>
            </w:tcBorders>
            <w:noWrap/>
            <w:vAlign w:val="bottom"/>
          </w:tcPr>
          <w:p w14:paraId="29AF550A"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c>
          <w:tcPr>
            <w:tcW w:w="1229" w:type="dxa"/>
            <w:tcBorders>
              <w:left w:val="nil"/>
              <w:right w:val="nil"/>
            </w:tcBorders>
            <w:noWrap/>
            <w:vAlign w:val="bottom"/>
          </w:tcPr>
          <w:p w14:paraId="465E2318"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r>
      <w:tr w:rsidR="00307155" w:rsidRPr="00FC7BB4" w14:paraId="3E14D810" w14:textId="77777777" w:rsidTr="00F3101B">
        <w:trPr>
          <w:trHeight w:val="184"/>
          <w:jc w:val="center"/>
        </w:trPr>
        <w:tc>
          <w:tcPr>
            <w:tcW w:w="3865" w:type="dxa"/>
            <w:tcBorders>
              <w:left w:val="nil"/>
              <w:right w:val="nil"/>
            </w:tcBorders>
            <w:vAlign w:val="center"/>
          </w:tcPr>
          <w:p w14:paraId="3E71BCFE" w14:textId="47BE3026"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w:t>
            </w:r>
            <w:r w:rsidR="00CA506C" w:rsidRPr="00FC7BB4">
              <w:rPr>
                <w:rFonts w:ascii="Times New Roman" w:eastAsia="Times New Roman" w:hAnsi="Times New Roman" w:cs="Times New Roman"/>
                <w:kern w:val="0"/>
                <w:szCs w:val="20"/>
                <w14:ligatures w14:val="none"/>
              </w:rPr>
              <w:t>r</w:t>
            </w:r>
            <w:r w:rsidRPr="00FC7BB4">
              <w:rPr>
                <w:rFonts w:ascii="Times New Roman" w:eastAsia="Times New Roman" w:hAnsi="Times New Roman" w:cs="Times New Roman"/>
                <w:kern w:val="0"/>
                <w:szCs w:val="20"/>
                <w14:ligatures w14:val="none"/>
              </w:rPr>
              <w:t>up|Cnc</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Dnc</w:t>
            </w:r>
            <w:proofErr w:type="spellEnd"/>
            <w:r w:rsidRPr="00FC7BB4">
              <w:rPr>
                <w:rFonts w:ascii="Times New Roman" w:eastAsia="Times New Roman" w:hAnsi="Times New Roman" w:cs="Times New Roman"/>
                <w:kern w:val="0"/>
                <w:szCs w:val="20"/>
                <w14:ligatures w14:val="none"/>
              </w:rPr>
              <w:t>, R=0]</w:t>
            </w:r>
          </w:p>
          <w:p w14:paraId="2C6C28B4" w14:textId="1DE2EF20"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w:t>
            </w:r>
            <w:r w:rsidR="00670E7C" w:rsidRPr="00FC7BB4">
              <w:rPr>
                <w:rFonts w:ascii="Times New Roman" w:eastAsia="Times New Roman" w:hAnsi="Times New Roman" w:cs="Times New Roman"/>
                <w:kern w:val="0"/>
                <w:szCs w:val="20"/>
                <w14:ligatures w14:val="none"/>
              </w:rPr>
              <w:t>r</w:t>
            </w:r>
            <w:r w:rsidRPr="00FC7BB4">
              <w:rPr>
                <w:rFonts w:ascii="Times New Roman" w:eastAsia="Times New Roman" w:hAnsi="Times New Roman" w:cs="Times New Roman"/>
                <w:kern w:val="0"/>
                <w:szCs w:val="20"/>
                <w14:ligatures w14:val="none"/>
              </w:rPr>
              <w:t>up|Cnc</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Dnc</w:t>
            </w:r>
            <w:proofErr w:type="spellEnd"/>
            <w:r w:rsidRPr="00FC7BB4">
              <w:rPr>
                <w:rFonts w:ascii="Times New Roman" w:eastAsia="Times New Roman" w:hAnsi="Times New Roman" w:cs="Times New Roman"/>
                <w:kern w:val="0"/>
                <w:szCs w:val="20"/>
                <w14:ligatures w14:val="none"/>
              </w:rPr>
              <w:t>, R=1]</w:t>
            </w:r>
          </w:p>
        </w:tc>
        <w:tc>
          <w:tcPr>
            <w:tcW w:w="754" w:type="dxa"/>
            <w:tcBorders>
              <w:left w:val="nil"/>
              <w:right w:val="nil"/>
            </w:tcBorders>
            <w:vAlign w:val="center"/>
          </w:tcPr>
          <w:p w14:paraId="4C623F5B"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0.30</w:t>
            </w:r>
          </w:p>
          <w:p w14:paraId="70256836"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0.28</w:t>
            </w:r>
          </w:p>
        </w:tc>
        <w:tc>
          <w:tcPr>
            <w:tcW w:w="758" w:type="dxa"/>
            <w:tcBorders>
              <w:left w:val="nil"/>
              <w:right w:val="nil"/>
            </w:tcBorders>
            <w:vAlign w:val="center"/>
          </w:tcPr>
          <w:p w14:paraId="661BDDDF" w14:textId="34E53701"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0.30</w:t>
            </w:r>
          </w:p>
          <w:p w14:paraId="561B9066" w14:textId="0C8CBE30"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w:t>
            </w:r>
            <w:r w:rsidR="00FC6CD0" w:rsidRPr="00FC7BB4">
              <w:rPr>
                <w:rFonts w:ascii="Times New Roman" w:eastAsia="Times New Roman" w:hAnsi="Times New Roman" w:cs="Times New Roman"/>
                <w:kern w:val="0"/>
                <w:szCs w:val="20"/>
                <w14:ligatures w14:val="none"/>
              </w:rPr>
              <w:t>0</w:t>
            </w:r>
            <w:r w:rsidRPr="00FC7BB4">
              <w:rPr>
                <w:rFonts w:ascii="Times New Roman" w:eastAsia="Times New Roman" w:hAnsi="Times New Roman" w:cs="Times New Roman"/>
                <w:kern w:val="0"/>
                <w:szCs w:val="20"/>
                <w14:ligatures w14:val="none"/>
              </w:rPr>
              <w:t>.30</w:t>
            </w:r>
          </w:p>
        </w:tc>
        <w:tc>
          <w:tcPr>
            <w:tcW w:w="1186" w:type="dxa"/>
            <w:tcBorders>
              <w:left w:val="nil"/>
              <w:right w:val="nil"/>
            </w:tcBorders>
            <w:vAlign w:val="center"/>
          </w:tcPr>
          <w:p w14:paraId="7A7F7178"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0.30</w:t>
            </w:r>
          </w:p>
          <w:p w14:paraId="0630EF53"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0.31                        </w:t>
            </w:r>
          </w:p>
        </w:tc>
        <w:tc>
          <w:tcPr>
            <w:tcW w:w="1188" w:type="dxa"/>
            <w:gridSpan w:val="3"/>
            <w:tcBorders>
              <w:left w:val="nil"/>
              <w:right w:val="nil"/>
            </w:tcBorders>
            <w:noWrap/>
            <w:vAlign w:val="bottom"/>
          </w:tcPr>
          <w:p w14:paraId="1E59F7D4"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-0.02**          </w:t>
            </w:r>
          </w:p>
        </w:tc>
        <w:tc>
          <w:tcPr>
            <w:tcW w:w="1038" w:type="dxa"/>
            <w:gridSpan w:val="2"/>
            <w:tcBorders>
              <w:left w:val="nil"/>
              <w:right w:val="nil"/>
            </w:tcBorders>
            <w:noWrap/>
            <w:vAlign w:val="bottom"/>
          </w:tcPr>
          <w:p w14:paraId="7C854E16"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0.00</w:t>
            </w:r>
          </w:p>
        </w:tc>
        <w:tc>
          <w:tcPr>
            <w:tcW w:w="1229" w:type="dxa"/>
            <w:tcBorders>
              <w:left w:val="nil"/>
              <w:right w:val="nil"/>
            </w:tcBorders>
            <w:noWrap/>
            <w:vAlign w:val="bottom"/>
          </w:tcPr>
          <w:p w14:paraId="2111AC89"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0.01</w:t>
            </w:r>
          </w:p>
        </w:tc>
      </w:tr>
      <w:tr w:rsidR="00307155" w:rsidRPr="00FC7BB4" w14:paraId="6258B8E2" w14:textId="77777777" w:rsidTr="00F3101B">
        <w:trPr>
          <w:trHeight w:val="50"/>
          <w:jc w:val="center"/>
        </w:trPr>
        <w:tc>
          <w:tcPr>
            <w:tcW w:w="3865" w:type="dxa"/>
            <w:tcBorders>
              <w:left w:val="nil"/>
              <w:right w:val="nil"/>
            </w:tcBorders>
            <w:vAlign w:val="center"/>
          </w:tcPr>
          <w:p w14:paraId="40B1C4EA"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754" w:type="dxa"/>
            <w:tcBorders>
              <w:left w:val="nil"/>
              <w:right w:val="nil"/>
            </w:tcBorders>
            <w:vAlign w:val="center"/>
          </w:tcPr>
          <w:p w14:paraId="7EDC1C72"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758" w:type="dxa"/>
            <w:tcBorders>
              <w:left w:val="nil"/>
              <w:right w:val="nil"/>
            </w:tcBorders>
            <w:vAlign w:val="center"/>
          </w:tcPr>
          <w:p w14:paraId="5D3C40A4"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86" w:type="dxa"/>
            <w:tcBorders>
              <w:left w:val="nil"/>
              <w:right w:val="nil"/>
            </w:tcBorders>
            <w:vAlign w:val="center"/>
          </w:tcPr>
          <w:p w14:paraId="6B88BDE6"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88" w:type="dxa"/>
            <w:gridSpan w:val="3"/>
            <w:tcBorders>
              <w:left w:val="nil"/>
              <w:right w:val="nil"/>
            </w:tcBorders>
            <w:noWrap/>
            <w:vAlign w:val="bottom"/>
          </w:tcPr>
          <w:p w14:paraId="77EA1717"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c>
          <w:tcPr>
            <w:tcW w:w="1038" w:type="dxa"/>
            <w:gridSpan w:val="2"/>
            <w:tcBorders>
              <w:left w:val="nil"/>
              <w:right w:val="nil"/>
            </w:tcBorders>
            <w:noWrap/>
            <w:vAlign w:val="bottom"/>
          </w:tcPr>
          <w:p w14:paraId="6A84B4FB"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c>
          <w:tcPr>
            <w:tcW w:w="1229" w:type="dxa"/>
            <w:tcBorders>
              <w:left w:val="nil"/>
              <w:right w:val="nil"/>
            </w:tcBorders>
            <w:noWrap/>
            <w:vAlign w:val="bottom"/>
          </w:tcPr>
          <w:p w14:paraId="001FE31E"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r>
      <w:tr w:rsidR="00307155" w:rsidRPr="00FC7BB4" w14:paraId="1F269DCD" w14:textId="77777777" w:rsidTr="00F3101B">
        <w:trPr>
          <w:trHeight w:val="50"/>
          <w:jc w:val="center"/>
        </w:trPr>
        <w:tc>
          <w:tcPr>
            <w:tcW w:w="3865" w:type="dxa"/>
            <w:tcBorders>
              <w:left w:val="nil"/>
              <w:right w:val="nil"/>
            </w:tcBorders>
            <w:vAlign w:val="center"/>
          </w:tcPr>
          <w:p w14:paraId="00B99EC8"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i/>
                <w:iCs/>
                <w:kern w:val="0"/>
                <w:szCs w:val="20"/>
                <w14:ligatures w14:val="none"/>
              </w:rPr>
              <w:t>Probability Merchants increase profit:</w:t>
            </w:r>
          </w:p>
        </w:tc>
        <w:tc>
          <w:tcPr>
            <w:tcW w:w="754" w:type="dxa"/>
            <w:tcBorders>
              <w:left w:val="nil"/>
              <w:right w:val="nil"/>
            </w:tcBorders>
            <w:vAlign w:val="center"/>
          </w:tcPr>
          <w:p w14:paraId="6C0D1700"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758" w:type="dxa"/>
            <w:tcBorders>
              <w:left w:val="nil"/>
              <w:right w:val="nil"/>
            </w:tcBorders>
            <w:vAlign w:val="center"/>
          </w:tcPr>
          <w:p w14:paraId="4D384B9E"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86" w:type="dxa"/>
            <w:tcBorders>
              <w:left w:val="nil"/>
              <w:right w:val="nil"/>
            </w:tcBorders>
            <w:vAlign w:val="center"/>
          </w:tcPr>
          <w:p w14:paraId="03B9D215"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88" w:type="dxa"/>
            <w:gridSpan w:val="3"/>
            <w:tcBorders>
              <w:left w:val="nil"/>
              <w:right w:val="nil"/>
            </w:tcBorders>
            <w:noWrap/>
            <w:vAlign w:val="bottom"/>
          </w:tcPr>
          <w:p w14:paraId="0ABD0F67"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c>
          <w:tcPr>
            <w:tcW w:w="1038" w:type="dxa"/>
            <w:gridSpan w:val="2"/>
            <w:tcBorders>
              <w:left w:val="nil"/>
              <w:right w:val="nil"/>
            </w:tcBorders>
            <w:noWrap/>
            <w:vAlign w:val="bottom"/>
          </w:tcPr>
          <w:p w14:paraId="1204967F"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c>
          <w:tcPr>
            <w:tcW w:w="1229" w:type="dxa"/>
            <w:tcBorders>
              <w:left w:val="nil"/>
              <w:right w:val="nil"/>
            </w:tcBorders>
            <w:noWrap/>
            <w:vAlign w:val="bottom"/>
          </w:tcPr>
          <w:p w14:paraId="550E42D4"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r>
      <w:tr w:rsidR="00307155" w:rsidRPr="00FC7BB4" w14:paraId="38A65C7C" w14:textId="77777777" w:rsidTr="00F3101B">
        <w:trPr>
          <w:trHeight w:val="289"/>
          <w:jc w:val="center"/>
        </w:trPr>
        <w:tc>
          <w:tcPr>
            <w:tcW w:w="3865" w:type="dxa"/>
            <w:tcBorders>
              <w:left w:val="nil"/>
              <w:right w:val="nil"/>
            </w:tcBorders>
            <w:vAlign w:val="center"/>
          </w:tcPr>
          <w:p w14:paraId="278092B2" w14:textId="277BA69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w:t>
            </w:r>
            <w:r w:rsidR="00CA506C" w:rsidRPr="00FC7BB4">
              <w:rPr>
                <w:rFonts w:ascii="Times New Roman" w:eastAsia="Times New Roman" w:hAnsi="Times New Roman" w:cs="Times New Roman"/>
                <w:kern w:val="0"/>
                <w:szCs w:val="20"/>
                <w14:ligatures w14:val="none"/>
              </w:rPr>
              <w:t>r</w:t>
            </w:r>
            <w:r w:rsidRPr="00FC7BB4">
              <w:rPr>
                <w:rFonts w:ascii="Times New Roman" w:eastAsia="Times New Roman" w:hAnsi="Times New Roman" w:cs="Times New Roman"/>
                <w:kern w:val="0"/>
                <w:szCs w:val="20"/>
                <w14:ligatures w14:val="none"/>
              </w:rPr>
              <w:t>up|Cnc</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Dnc</w:t>
            </w:r>
            <w:proofErr w:type="spellEnd"/>
            <w:r w:rsidRPr="00FC7BB4">
              <w:rPr>
                <w:rFonts w:ascii="Times New Roman" w:eastAsia="Times New Roman" w:hAnsi="Times New Roman" w:cs="Times New Roman"/>
                <w:kern w:val="0"/>
                <w:szCs w:val="20"/>
                <w14:ligatures w14:val="none"/>
              </w:rPr>
              <w:t>, R=0]</w:t>
            </w:r>
          </w:p>
          <w:p w14:paraId="0A888C9C" w14:textId="14E002E2"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w:t>
            </w:r>
            <w:r w:rsidR="00CA506C" w:rsidRPr="00FC7BB4">
              <w:rPr>
                <w:rFonts w:ascii="Times New Roman" w:eastAsia="Times New Roman" w:hAnsi="Times New Roman" w:cs="Times New Roman"/>
                <w:kern w:val="0"/>
                <w:szCs w:val="20"/>
                <w14:ligatures w14:val="none"/>
              </w:rPr>
              <w:t>r</w:t>
            </w:r>
            <w:r w:rsidRPr="00FC7BB4">
              <w:rPr>
                <w:rFonts w:ascii="Times New Roman" w:eastAsia="Times New Roman" w:hAnsi="Times New Roman" w:cs="Times New Roman"/>
                <w:kern w:val="0"/>
                <w:szCs w:val="20"/>
                <w14:ligatures w14:val="none"/>
              </w:rPr>
              <w:t>up|Cnc</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Dnc</w:t>
            </w:r>
            <w:proofErr w:type="spellEnd"/>
            <w:r w:rsidRPr="00FC7BB4">
              <w:rPr>
                <w:rFonts w:ascii="Times New Roman" w:eastAsia="Times New Roman" w:hAnsi="Times New Roman" w:cs="Times New Roman"/>
                <w:kern w:val="0"/>
                <w:szCs w:val="20"/>
                <w14:ligatures w14:val="none"/>
              </w:rPr>
              <w:t>, R=1]</w:t>
            </w:r>
          </w:p>
          <w:p w14:paraId="3386FD43"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p w14:paraId="5CAEBCD8" w14:textId="77777777" w:rsidR="00307155" w:rsidRPr="00FC7BB4" w:rsidRDefault="00307155" w:rsidP="00F3101B">
            <w:pPr>
              <w:spacing w:after="0" w:line="240" w:lineRule="auto"/>
              <w:ind w:right="27" w:firstLine="0"/>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Probability Services increase profit:</w:t>
            </w:r>
          </w:p>
          <w:p w14:paraId="368F8B94" w14:textId="6E1A76B6"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w:t>
            </w:r>
            <w:r w:rsidR="00CA506C" w:rsidRPr="00FC7BB4">
              <w:rPr>
                <w:rFonts w:ascii="Times New Roman" w:eastAsia="Times New Roman" w:hAnsi="Times New Roman" w:cs="Times New Roman"/>
                <w:kern w:val="0"/>
                <w:szCs w:val="20"/>
                <w14:ligatures w14:val="none"/>
              </w:rPr>
              <w:t>r</w:t>
            </w:r>
            <w:r w:rsidRPr="00FC7BB4">
              <w:rPr>
                <w:rFonts w:ascii="Times New Roman" w:eastAsia="Times New Roman" w:hAnsi="Times New Roman" w:cs="Times New Roman"/>
                <w:kern w:val="0"/>
                <w:szCs w:val="20"/>
                <w14:ligatures w14:val="none"/>
              </w:rPr>
              <w:t>up|Cnc</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Dnc</w:t>
            </w:r>
            <w:proofErr w:type="spellEnd"/>
            <w:r w:rsidRPr="00FC7BB4">
              <w:rPr>
                <w:rFonts w:ascii="Times New Roman" w:eastAsia="Times New Roman" w:hAnsi="Times New Roman" w:cs="Times New Roman"/>
                <w:kern w:val="0"/>
                <w:szCs w:val="20"/>
                <w14:ligatures w14:val="none"/>
              </w:rPr>
              <w:t>, R=0]</w:t>
            </w:r>
          </w:p>
          <w:p w14:paraId="3BEA6FD4" w14:textId="4FDE5504"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Prob{</w:t>
            </w:r>
            <w:proofErr w:type="spellStart"/>
            <w:proofErr w:type="gramEnd"/>
            <w:r w:rsidRPr="00FC7BB4">
              <w:rPr>
                <w:rFonts w:ascii="Times New Roman" w:eastAsia="Times New Roman" w:hAnsi="Times New Roman" w:cs="Times New Roman"/>
                <w:kern w:val="0"/>
                <w:szCs w:val="20"/>
                <w14:ligatures w14:val="none"/>
              </w:rPr>
              <w:t>P</w:t>
            </w:r>
            <w:r w:rsidR="00CA506C" w:rsidRPr="00FC7BB4">
              <w:rPr>
                <w:rFonts w:ascii="Times New Roman" w:eastAsia="Times New Roman" w:hAnsi="Times New Roman" w:cs="Times New Roman"/>
                <w:kern w:val="0"/>
                <w:szCs w:val="20"/>
                <w14:ligatures w14:val="none"/>
              </w:rPr>
              <w:t>r</w:t>
            </w:r>
            <w:r w:rsidRPr="00FC7BB4">
              <w:rPr>
                <w:rFonts w:ascii="Times New Roman" w:eastAsia="Times New Roman" w:hAnsi="Times New Roman" w:cs="Times New Roman"/>
                <w:kern w:val="0"/>
                <w:szCs w:val="20"/>
                <w14:ligatures w14:val="none"/>
              </w:rPr>
              <w:t>up|Cnc</w:t>
            </w:r>
            <w:proofErr w:type="spellEnd"/>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Dnc</w:t>
            </w:r>
            <w:proofErr w:type="spellEnd"/>
            <w:r w:rsidRPr="00FC7BB4">
              <w:rPr>
                <w:rFonts w:ascii="Times New Roman" w:eastAsia="Times New Roman" w:hAnsi="Times New Roman" w:cs="Times New Roman"/>
                <w:kern w:val="0"/>
                <w:szCs w:val="20"/>
                <w14:ligatures w14:val="none"/>
              </w:rPr>
              <w:t>, R=1]</w:t>
            </w:r>
          </w:p>
        </w:tc>
        <w:tc>
          <w:tcPr>
            <w:tcW w:w="754" w:type="dxa"/>
            <w:tcBorders>
              <w:left w:val="nil"/>
              <w:right w:val="nil"/>
            </w:tcBorders>
            <w:vAlign w:val="center"/>
          </w:tcPr>
          <w:p w14:paraId="2BD0E14C"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0.31</w:t>
            </w:r>
          </w:p>
          <w:p w14:paraId="075FECD1"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0.32</w:t>
            </w:r>
          </w:p>
          <w:p w14:paraId="060CB6FE"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p w14:paraId="30D4D011"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p w14:paraId="6F3EF2F1"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0.27</w:t>
            </w:r>
          </w:p>
          <w:p w14:paraId="5CFAEE6D"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0.28      </w:t>
            </w:r>
          </w:p>
        </w:tc>
        <w:tc>
          <w:tcPr>
            <w:tcW w:w="758" w:type="dxa"/>
            <w:tcBorders>
              <w:left w:val="nil"/>
              <w:right w:val="nil"/>
            </w:tcBorders>
            <w:vAlign w:val="center"/>
          </w:tcPr>
          <w:p w14:paraId="2199B493" w14:textId="6825FA67" w:rsidR="00307155" w:rsidRPr="00FC7BB4" w:rsidRDefault="00FC6CD0"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w:t>
            </w:r>
            <w:r w:rsidR="00307155" w:rsidRPr="00FC7BB4">
              <w:rPr>
                <w:rFonts w:ascii="Times New Roman" w:eastAsia="Times New Roman" w:hAnsi="Times New Roman" w:cs="Times New Roman"/>
                <w:kern w:val="0"/>
                <w:szCs w:val="20"/>
                <w14:ligatures w14:val="none"/>
              </w:rPr>
              <w:t>.32</w:t>
            </w:r>
          </w:p>
          <w:p w14:paraId="20B1313D" w14:textId="140442F9"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0.37</w:t>
            </w:r>
          </w:p>
          <w:p w14:paraId="48BAAFBA"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p w14:paraId="3CF43FBF"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p w14:paraId="013E5FAD" w14:textId="52F15F5B"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w:t>
            </w:r>
            <w:r w:rsidR="00A37C85" w:rsidRPr="00FC7BB4">
              <w:rPr>
                <w:rFonts w:ascii="Times New Roman" w:eastAsia="Times New Roman" w:hAnsi="Times New Roman" w:cs="Times New Roman"/>
                <w:kern w:val="0"/>
                <w:szCs w:val="20"/>
                <w14:ligatures w14:val="none"/>
              </w:rPr>
              <w:t xml:space="preserve"> </w:t>
            </w:r>
            <w:r w:rsidRPr="00FC7BB4">
              <w:rPr>
                <w:rFonts w:ascii="Times New Roman" w:eastAsia="Times New Roman" w:hAnsi="Times New Roman" w:cs="Times New Roman"/>
                <w:kern w:val="0"/>
                <w:szCs w:val="20"/>
                <w14:ligatures w14:val="none"/>
              </w:rPr>
              <w:t>0.28</w:t>
            </w:r>
          </w:p>
          <w:p w14:paraId="50E928CB" w14:textId="193277D0" w:rsidR="00307155" w:rsidRPr="00FC7BB4" w:rsidRDefault="00A37C8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w:t>
            </w:r>
            <w:r w:rsidR="00FC6CD0" w:rsidRPr="00FC7BB4">
              <w:rPr>
                <w:rFonts w:ascii="Times New Roman" w:eastAsia="Times New Roman" w:hAnsi="Times New Roman" w:cs="Times New Roman"/>
                <w:kern w:val="0"/>
                <w:szCs w:val="20"/>
                <w14:ligatures w14:val="none"/>
              </w:rPr>
              <w:t>0</w:t>
            </w:r>
            <w:r w:rsidR="00307155" w:rsidRPr="00FC7BB4">
              <w:rPr>
                <w:rFonts w:ascii="Times New Roman" w:eastAsia="Times New Roman" w:hAnsi="Times New Roman" w:cs="Times New Roman"/>
                <w:kern w:val="0"/>
                <w:szCs w:val="20"/>
                <w14:ligatures w14:val="none"/>
              </w:rPr>
              <w:t>.33</w:t>
            </w:r>
          </w:p>
        </w:tc>
        <w:tc>
          <w:tcPr>
            <w:tcW w:w="1186" w:type="dxa"/>
            <w:tcBorders>
              <w:left w:val="nil"/>
              <w:right w:val="nil"/>
            </w:tcBorders>
            <w:vAlign w:val="center"/>
          </w:tcPr>
          <w:p w14:paraId="1BCECF63"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0.33                 </w:t>
            </w:r>
          </w:p>
          <w:p w14:paraId="67F6CD86"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0.42</w:t>
            </w:r>
          </w:p>
          <w:p w14:paraId="02376F3E"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p w14:paraId="23B33DAB"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p w14:paraId="2E51A00B"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0.29</w:t>
            </w:r>
          </w:p>
          <w:p w14:paraId="0C758517"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 xml:space="preserve">       0.36</w:t>
            </w:r>
          </w:p>
        </w:tc>
        <w:tc>
          <w:tcPr>
            <w:tcW w:w="1188" w:type="dxa"/>
            <w:gridSpan w:val="3"/>
            <w:tcBorders>
              <w:left w:val="nil"/>
              <w:right w:val="nil"/>
            </w:tcBorders>
            <w:noWrap/>
            <w:vAlign w:val="bottom"/>
          </w:tcPr>
          <w:p w14:paraId="137F7496"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w:t>
            </w:r>
          </w:p>
          <w:p w14:paraId="1BA85EEF"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0.01</w:t>
            </w:r>
          </w:p>
          <w:p w14:paraId="254EB265"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p w14:paraId="571E8FAD"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p w14:paraId="4A7AC886"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w:t>
            </w:r>
          </w:p>
          <w:p w14:paraId="636B8D00"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0.01**</w:t>
            </w:r>
          </w:p>
        </w:tc>
        <w:tc>
          <w:tcPr>
            <w:tcW w:w="1038" w:type="dxa"/>
            <w:gridSpan w:val="2"/>
            <w:tcBorders>
              <w:left w:val="nil"/>
              <w:right w:val="nil"/>
            </w:tcBorders>
            <w:noWrap/>
            <w:vAlign w:val="bottom"/>
          </w:tcPr>
          <w:p w14:paraId="300D2E6A"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0.05**</w:t>
            </w:r>
          </w:p>
          <w:p w14:paraId="04BA6430"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p w14:paraId="7DA24A71"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p w14:paraId="560EDC6B"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w:t>
            </w:r>
          </w:p>
          <w:p w14:paraId="132AC905"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 xml:space="preserve">  0.05***</w:t>
            </w:r>
          </w:p>
        </w:tc>
        <w:tc>
          <w:tcPr>
            <w:tcW w:w="1229" w:type="dxa"/>
            <w:tcBorders>
              <w:left w:val="nil"/>
              <w:right w:val="nil"/>
            </w:tcBorders>
            <w:noWrap/>
            <w:vAlign w:val="bottom"/>
          </w:tcPr>
          <w:p w14:paraId="6B6E779E"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0.09***</w:t>
            </w:r>
          </w:p>
          <w:p w14:paraId="07EFC816"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p w14:paraId="14DBA5D3"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p w14:paraId="49753B1C"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p w14:paraId="31698880"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r w:rsidRPr="00FC7BB4">
              <w:rPr>
                <w:rFonts w:ascii="Times New Roman" w:eastAsia="Times New Roman" w:hAnsi="Times New Roman" w:cs="Times New Roman"/>
                <w:i/>
                <w:iCs/>
                <w:kern w:val="0"/>
                <w:szCs w:val="20"/>
                <w14:ligatures w14:val="none"/>
              </w:rPr>
              <w:t>0.07***</w:t>
            </w:r>
          </w:p>
        </w:tc>
      </w:tr>
      <w:tr w:rsidR="00307155" w:rsidRPr="00FC7BB4" w14:paraId="5C95F2B7" w14:textId="77777777" w:rsidTr="00F3101B">
        <w:trPr>
          <w:trHeight w:val="289"/>
          <w:jc w:val="center"/>
        </w:trPr>
        <w:tc>
          <w:tcPr>
            <w:tcW w:w="3865" w:type="dxa"/>
            <w:tcBorders>
              <w:left w:val="nil"/>
              <w:bottom w:val="single" w:sz="4" w:space="0" w:color="auto"/>
              <w:right w:val="nil"/>
            </w:tcBorders>
            <w:vAlign w:val="center"/>
          </w:tcPr>
          <w:p w14:paraId="6136CD8C"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754" w:type="dxa"/>
            <w:tcBorders>
              <w:left w:val="nil"/>
              <w:bottom w:val="single" w:sz="4" w:space="0" w:color="auto"/>
              <w:right w:val="nil"/>
            </w:tcBorders>
            <w:vAlign w:val="center"/>
          </w:tcPr>
          <w:p w14:paraId="0E785F29"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758" w:type="dxa"/>
            <w:tcBorders>
              <w:left w:val="nil"/>
              <w:bottom w:val="single" w:sz="4" w:space="0" w:color="auto"/>
              <w:right w:val="nil"/>
            </w:tcBorders>
            <w:vAlign w:val="center"/>
          </w:tcPr>
          <w:p w14:paraId="3AE75F91"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86" w:type="dxa"/>
            <w:tcBorders>
              <w:left w:val="nil"/>
              <w:bottom w:val="single" w:sz="4" w:space="0" w:color="auto"/>
              <w:right w:val="nil"/>
            </w:tcBorders>
            <w:vAlign w:val="center"/>
          </w:tcPr>
          <w:p w14:paraId="594A15F1" w14:textId="77777777" w:rsidR="00307155" w:rsidRPr="00FC7BB4" w:rsidRDefault="00307155" w:rsidP="00F3101B">
            <w:pPr>
              <w:spacing w:after="0" w:line="240" w:lineRule="auto"/>
              <w:ind w:right="27" w:firstLine="0"/>
              <w:rPr>
                <w:rFonts w:ascii="Times New Roman" w:eastAsia="Times New Roman" w:hAnsi="Times New Roman" w:cs="Times New Roman"/>
                <w:kern w:val="0"/>
                <w:szCs w:val="20"/>
                <w14:ligatures w14:val="none"/>
              </w:rPr>
            </w:pPr>
          </w:p>
        </w:tc>
        <w:tc>
          <w:tcPr>
            <w:tcW w:w="1188" w:type="dxa"/>
            <w:gridSpan w:val="3"/>
            <w:tcBorders>
              <w:left w:val="nil"/>
              <w:bottom w:val="single" w:sz="4" w:space="0" w:color="auto"/>
              <w:right w:val="nil"/>
            </w:tcBorders>
            <w:noWrap/>
            <w:vAlign w:val="bottom"/>
          </w:tcPr>
          <w:p w14:paraId="0A389758"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c>
          <w:tcPr>
            <w:tcW w:w="1038" w:type="dxa"/>
            <w:gridSpan w:val="2"/>
            <w:tcBorders>
              <w:left w:val="nil"/>
              <w:bottom w:val="single" w:sz="4" w:space="0" w:color="auto"/>
              <w:right w:val="nil"/>
            </w:tcBorders>
            <w:noWrap/>
            <w:vAlign w:val="bottom"/>
          </w:tcPr>
          <w:p w14:paraId="3812C7D0"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c>
          <w:tcPr>
            <w:tcW w:w="1229" w:type="dxa"/>
            <w:tcBorders>
              <w:left w:val="nil"/>
              <w:bottom w:val="single" w:sz="4" w:space="0" w:color="auto"/>
              <w:right w:val="nil"/>
            </w:tcBorders>
            <w:noWrap/>
            <w:vAlign w:val="bottom"/>
          </w:tcPr>
          <w:p w14:paraId="43883CEC"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kern w:val="0"/>
                <w:szCs w:val="20"/>
                <w14:ligatures w14:val="none"/>
              </w:rPr>
            </w:pPr>
          </w:p>
        </w:tc>
      </w:tr>
      <w:tr w:rsidR="00307155" w:rsidRPr="00FC7BB4" w14:paraId="660AD0E4" w14:textId="77777777" w:rsidTr="00291B27">
        <w:trPr>
          <w:trHeight w:val="289"/>
          <w:jc w:val="center"/>
        </w:trPr>
        <w:tc>
          <w:tcPr>
            <w:tcW w:w="10018" w:type="dxa"/>
            <w:gridSpan w:val="10"/>
            <w:tcBorders>
              <w:top w:val="single" w:sz="4" w:space="0" w:color="auto"/>
              <w:left w:val="nil"/>
              <w:right w:val="nil"/>
            </w:tcBorders>
            <w:vAlign w:val="center"/>
          </w:tcPr>
          <w:p w14:paraId="7F8D2D2B" w14:textId="10A54077" w:rsidR="00307155" w:rsidRPr="00FC7BB4" w:rsidRDefault="00307155" w:rsidP="00F3101B">
            <w:pPr>
              <w:pStyle w:val="FootnoteText"/>
              <w:ind w:left="-113" w:right="27" w:firstLine="0"/>
              <w:rPr>
                <w:rFonts w:ascii="Times New Roman" w:hAnsi="Times New Roman" w:cs="Times New Roman"/>
                <w:sz w:val="18"/>
                <w:szCs w:val="18"/>
                <w:lang w:val="en-GB"/>
              </w:rPr>
            </w:pPr>
            <w:r w:rsidRPr="00FC7BB4">
              <w:rPr>
                <w:rFonts w:ascii="Times New Roman" w:hAnsi="Times New Roman" w:cs="Times New Roman"/>
                <w:sz w:val="18"/>
                <w:szCs w:val="18"/>
              </w:rPr>
              <w:t xml:space="preserve">Notes: These conditional probabilities are derived from the coefficient estimates shown in Table A5 and are evaluated at the specific inflation rates of 2%, 5% and 7%. </w:t>
            </w:r>
            <w:r w:rsidRPr="00FC7BB4">
              <w:rPr>
                <w:rFonts w:ascii="Times New Roman" w:eastAsia="Times New Roman" w:hAnsi="Times New Roman" w:cs="Times New Roman"/>
                <w:color w:val="auto"/>
                <w:kern w:val="0"/>
                <w:sz w:val="18"/>
                <w:szCs w:val="18"/>
                <w14:ligatures w14:val="none"/>
              </w:rPr>
              <w:t xml:space="preserve"> </w:t>
            </w:r>
            <w:bookmarkStart w:id="94" w:name="_Hlk210056297"/>
            <w:proofErr w:type="spellStart"/>
            <w:r w:rsidRPr="00FC7BB4">
              <w:rPr>
                <w:rFonts w:ascii="Times New Roman" w:hAnsi="Times New Roman" w:cs="Times New Roman"/>
                <w:sz w:val="18"/>
                <w:szCs w:val="18"/>
              </w:rPr>
              <w:t>Pr</w:t>
            </w:r>
            <w:proofErr w:type="spellEnd"/>
            <w:r w:rsidRPr="00FC7BB4">
              <w:rPr>
                <w:rFonts w:ascii="Times New Roman" w:hAnsi="Times New Roman" w:cs="Times New Roman"/>
                <w:sz w:val="18"/>
                <w:szCs w:val="18"/>
              </w:rPr>
              <w:t xml:space="preserve">=profitability, c=costs, d=demand, up=increase, </w:t>
            </w:r>
            <w:proofErr w:type="spellStart"/>
            <w:r w:rsidRPr="00FC7BB4">
              <w:rPr>
                <w:rFonts w:ascii="Times New Roman" w:hAnsi="Times New Roman" w:cs="Times New Roman"/>
                <w:sz w:val="18"/>
                <w:szCs w:val="18"/>
              </w:rPr>
              <w:t>nc</w:t>
            </w:r>
            <w:proofErr w:type="spellEnd"/>
            <w:r w:rsidRPr="00FC7BB4">
              <w:rPr>
                <w:rFonts w:ascii="Times New Roman" w:hAnsi="Times New Roman" w:cs="Times New Roman"/>
                <w:sz w:val="18"/>
                <w:szCs w:val="18"/>
              </w:rPr>
              <w:t xml:space="preserve">=no change, </w:t>
            </w:r>
            <w:proofErr w:type="spellStart"/>
            <w:r w:rsidRPr="00FC7BB4">
              <w:rPr>
                <w:rFonts w:ascii="Times New Roman" w:hAnsi="Times New Roman" w:cs="Times New Roman"/>
                <w:sz w:val="18"/>
                <w:szCs w:val="18"/>
              </w:rPr>
              <w:t>dn</w:t>
            </w:r>
            <w:proofErr w:type="spellEnd"/>
            <w:r w:rsidRPr="00FC7BB4">
              <w:rPr>
                <w:rFonts w:ascii="Times New Roman" w:hAnsi="Times New Roman" w:cs="Times New Roman"/>
                <w:sz w:val="18"/>
                <w:szCs w:val="18"/>
              </w:rPr>
              <w:t xml:space="preserve">=down; hence for example </w:t>
            </w:r>
            <w:proofErr w:type="spellStart"/>
            <w:r w:rsidRPr="00FC7BB4">
              <w:rPr>
                <w:rFonts w:ascii="Times New Roman" w:hAnsi="Times New Roman" w:cs="Times New Roman"/>
                <w:sz w:val="18"/>
                <w:szCs w:val="18"/>
              </w:rPr>
              <w:t>Prup</w:t>
            </w:r>
            <w:proofErr w:type="spellEnd"/>
            <w:r w:rsidRPr="00FC7BB4">
              <w:rPr>
                <w:rFonts w:ascii="Times New Roman" w:hAnsi="Times New Roman" w:cs="Times New Roman"/>
                <w:sz w:val="18"/>
                <w:szCs w:val="18"/>
              </w:rPr>
              <w:t>=Profitability up, and so on.</w:t>
            </w:r>
            <w:bookmarkEnd w:id="94"/>
            <w:r w:rsidRPr="00FC7BB4">
              <w:rPr>
                <w:rFonts w:ascii="Times New Roman" w:hAnsi="Times New Roman" w:cs="Times New Roman"/>
                <w:sz w:val="18"/>
                <w:szCs w:val="18"/>
              </w:rPr>
              <w:t xml:space="preserve"> </w:t>
            </w:r>
            <w:r w:rsidRPr="00FC7BB4">
              <w:rPr>
                <w:rFonts w:ascii="Times New Roman" w:eastAsia="Cambria" w:hAnsi="Times New Roman" w:cs="Times New Roman"/>
                <w:sz w:val="18"/>
                <w:szCs w:val="18"/>
              </w:rPr>
              <w:t xml:space="preserve">R=Recent and is the time contingent dummy variable which </w:t>
            </w:r>
            <w:r w:rsidRPr="00FC7BB4">
              <w:rPr>
                <w:rFonts w:ascii="Times New Roman" w:hAnsi="Times New Roman" w:cs="Times New Roman"/>
                <w:sz w:val="18"/>
                <w:szCs w:val="18"/>
              </w:rPr>
              <w:t>tak</w:t>
            </w:r>
            <w:r w:rsidRPr="00FC7BB4">
              <w:rPr>
                <w:rFonts w:ascii="Times New Roman" w:hAnsi="Times New Roman" w:cs="Times New Roman"/>
                <w:sz w:val="18"/>
                <w:szCs w:val="18"/>
                <w:shd w:val="clear" w:color="auto" w:fill="FFFFFF" w:themeFill="background1"/>
              </w:rPr>
              <w:t xml:space="preserve">es a value=1 from 2011Q2 and zero otherwise. </w:t>
            </w:r>
            <w:r w:rsidRPr="00FC7BB4">
              <w:rPr>
                <w:rFonts w:ascii="Times New Roman" w:eastAsia="Times New Roman" w:hAnsi="Times New Roman" w:cs="Times New Roman"/>
                <w:color w:val="auto"/>
                <w:kern w:val="0"/>
                <w:sz w:val="18"/>
                <w:szCs w:val="18"/>
                <w14:ligatures w14:val="none"/>
              </w:rPr>
              <w:t>Change (R=</w:t>
            </w:r>
            <w:proofErr w:type="gramStart"/>
            <w:r w:rsidRPr="00FC7BB4">
              <w:rPr>
                <w:rFonts w:ascii="Times New Roman" w:eastAsia="Times New Roman" w:hAnsi="Times New Roman" w:cs="Times New Roman"/>
                <w:color w:val="auto"/>
                <w:kern w:val="0"/>
                <w:sz w:val="18"/>
                <w:szCs w:val="18"/>
                <w14:ligatures w14:val="none"/>
              </w:rPr>
              <w:t>1)-(</w:t>
            </w:r>
            <w:proofErr w:type="gramEnd"/>
            <w:r w:rsidRPr="00FC7BB4">
              <w:rPr>
                <w:rFonts w:ascii="Times New Roman" w:eastAsia="Times New Roman" w:hAnsi="Times New Roman" w:cs="Times New Roman"/>
                <w:color w:val="auto"/>
                <w:kern w:val="0"/>
                <w:sz w:val="18"/>
                <w:szCs w:val="18"/>
                <w14:ligatures w14:val="none"/>
              </w:rPr>
              <w:t xml:space="preserve">R=0) is the absolute change in the estimated conditional probability of a </w:t>
            </w:r>
            <w:r w:rsidR="00B15BDF" w:rsidRPr="00FC7BB4">
              <w:rPr>
                <w:rFonts w:ascii="Times New Roman" w:eastAsia="Times New Roman" w:hAnsi="Times New Roman" w:cs="Times New Roman"/>
                <w:color w:val="auto"/>
                <w:kern w:val="0"/>
                <w:sz w:val="18"/>
                <w:szCs w:val="18"/>
                <w14:ligatures w14:val="none"/>
              </w:rPr>
              <w:t xml:space="preserve">profit </w:t>
            </w:r>
            <w:r w:rsidRPr="00FC7BB4">
              <w:rPr>
                <w:rFonts w:ascii="Times New Roman" w:eastAsia="Times New Roman" w:hAnsi="Times New Roman" w:cs="Times New Roman"/>
                <w:color w:val="auto"/>
                <w:kern w:val="0"/>
                <w:sz w:val="18"/>
                <w:szCs w:val="18"/>
                <w14:ligatures w14:val="none"/>
              </w:rPr>
              <w:t>change (under the equivalent cost and demand conditions) between Pre- and Post-2011Q2. Statistical significance is evaluated using the Delta method by applying the “margins” command in Stata and is denoted by asterisks: *** denotes p &lt;0.01; ** p &lt;0.05; * p &lt;0.10. Small differences between the recorded “Change (R=</w:t>
            </w:r>
            <w:proofErr w:type="gramStart"/>
            <w:r w:rsidRPr="00FC7BB4">
              <w:rPr>
                <w:rFonts w:ascii="Times New Roman" w:eastAsia="Times New Roman" w:hAnsi="Times New Roman" w:cs="Times New Roman"/>
                <w:color w:val="auto"/>
                <w:kern w:val="0"/>
                <w:sz w:val="18"/>
                <w:szCs w:val="18"/>
                <w14:ligatures w14:val="none"/>
              </w:rPr>
              <w:t>1)-(</w:t>
            </w:r>
            <w:proofErr w:type="gramEnd"/>
            <w:r w:rsidRPr="00FC7BB4">
              <w:rPr>
                <w:rFonts w:ascii="Times New Roman" w:eastAsia="Times New Roman" w:hAnsi="Times New Roman" w:cs="Times New Roman"/>
                <w:color w:val="auto"/>
                <w:kern w:val="0"/>
                <w:sz w:val="18"/>
                <w:szCs w:val="18"/>
                <w14:ligatures w14:val="none"/>
              </w:rPr>
              <w:t>R=0)” and the respective recorded values of the reported conditional probabilities are due to rounding to the nearest digit at the second decimal point.</w:t>
            </w:r>
          </w:p>
        </w:tc>
      </w:tr>
    </w:tbl>
    <w:p w14:paraId="51D8D7CE" w14:textId="77777777" w:rsidR="002F030E" w:rsidRPr="00FC7BB4" w:rsidRDefault="002F030E" w:rsidP="002F030E">
      <w:pPr>
        <w:spacing w:after="0" w:line="331" w:lineRule="auto"/>
        <w:ind w:left="-17" w:right="27"/>
        <w:rPr>
          <w:rFonts w:ascii="Times New Roman" w:hAnsi="Times New Roman" w:cs="Times New Roman"/>
          <w:sz w:val="24"/>
        </w:rPr>
      </w:pPr>
      <w:bookmarkStart w:id="95" w:name="_Hlk213336167"/>
      <w:bookmarkEnd w:id="93"/>
    </w:p>
    <w:p w14:paraId="5E8D41D8" w14:textId="214C573D" w:rsidR="002F030E" w:rsidRPr="00FC7BB4" w:rsidRDefault="002F030E" w:rsidP="002F030E">
      <w:pPr>
        <w:spacing w:after="0" w:line="331" w:lineRule="auto"/>
        <w:ind w:left="-17" w:right="27"/>
        <w:rPr>
          <w:rFonts w:ascii="Times New Roman" w:hAnsi="Times New Roman" w:cs="Times New Roman"/>
          <w:sz w:val="24"/>
        </w:rPr>
      </w:pPr>
      <w:r w:rsidRPr="00FC7BB4">
        <w:rPr>
          <w:rFonts w:ascii="Times New Roman" w:hAnsi="Times New Roman" w:cs="Times New Roman"/>
          <w:sz w:val="24"/>
        </w:rPr>
        <w:t>If firms have exploited consumer inattention or confusion during the recent high inflation, this should manifest in profit margins increasing as inflation rises. One test of this using the data available for this study is to evaluate changes in the conditional probability of profits increasing when costs and demand are unchanged (that is, under conditions where there is no change in the desired relative price).</w:t>
      </w:r>
      <w:r w:rsidRPr="00FC7BB4">
        <w:rPr>
          <w:rStyle w:val="FootnoteReference"/>
          <w:rFonts w:ascii="Times New Roman" w:hAnsi="Times New Roman" w:cs="Times New Roman"/>
          <w:sz w:val="24"/>
        </w:rPr>
        <w:footnoteReference w:id="39"/>
      </w:r>
      <w:r w:rsidRPr="00FC7BB4">
        <w:rPr>
          <w:rFonts w:ascii="Times New Roman" w:hAnsi="Times New Roman" w:cs="Times New Roman"/>
          <w:sz w:val="24"/>
        </w:rPr>
        <w:t xml:space="preserve"> The top panel of Table 5 shows the results for all firms. It is evident that there has been a significant change in the conditional probability of profits increasing as inflation rises. In the earlier decades, while the probability of an increase in profitability is positive, there is no discernible change as inflation rises. In the </w:t>
      </w:r>
      <w:proofErr w:type="gramStart"/>
      <w:r w:rsidRPr="00FC7BB4">
        <w:rPr>
          <w:rFonts w:ascii="Times New Roman" w:hAnsi="Times New Roman" w:cs="Times New Roman"/>
          <w:sz w:val="24"/>
        </w:rPr>
        <w:t>Post-2011Q2</w:t>
      </w:r>
      <w:proofErr w:type="gramEnd"/>
      <w:r w:rsidRPr="00FC7BB4">
        <w:rPr>
          <w:rFonts w:ascii="Times New Roman" w:hAnsi="Times New Roman" w:cs="Times New Roman"/>
          <w:sz w:val="24"/>
        </w:rPr>
        <w:t xml:space="preserve"> period there is a systematic and significant rise in the probability of a rise in profitability as inflation increases. The changes between the Pre- and Post-2011Q2 periods </w:t>
      </w:r>
      <w:r w:rsidRPr="00FC7BB4">
        <w:rPr>
          <w:rFonts w:ascii="Times New Roman" w:hAnsi="Times New Roman" w:cs="Times New Roman"/>
          <w:sz w:val="24"/>
        </w:rPr>
        <w:lastRenderedPageBreak/>
        <w:t>are statistically significant and consistent with the idea firms may be more inclined in recent years to exploit consumer confusion or inattention (or both).</w:t>
      </w:r>
      <w:r w:rsidR="00FD26EA" w:rsidRPr="00FC7BB4">
        <w:rPr>
          <w:rStyle w:val="FootnoteReference"/>
          <w:rFonts w:ascii="Times New Roman" w:hAnsi="Times New Roman" w:cs="Times New Roman"/>
          <w:sz w:val="24"/>
        </w:rPr>
        <w:footnoteReference w:id="40"/>
      </w:r>
    </w:p>
    <w:p w14:paraId="22C5AD2E" w14:textId="6C23E544" w:rsidR="008C01FD" w:rsidRPr="00FC7BB4" w:rsidRDefault="00194B70" w:rsidP="00F3101B">
      <w:pPr>
        <w:spacing w:after="0" w:line="360" w:lineRule="auto"/>
        <w:ind w:left="-6" w:right="28" w:firstLine="278"/>
        <w:rPr>
          <w:rFonts w:ascii="Times New Roman" w:hAnsi="Times New Roman" w:cs="Times New Roman"/>
          <w:sz w:val="24"/>
        </w:rPr>
      </w:pPr>
      <w:r w:rsidRPr="00FC7BB4">
        <w:rPr>
          <w:rFonts w:ascii="Times New Roman" w:hAnsi="Times New Roman" w:cs="Times New Roman"/>
          <w:sz w:val="24"/>
        </w:rPr>
        <w:t xml:space="preserve">The other panels in Table 5 show the results for different types of firms. They reveal a significant difference in behaviour by firm type. For Merchant and Service firms there has been a significant increase during the </w:t>
      </w:r>
      <w:proofErr w:type="gramStart"/>
      <w:r w:rsidR="00C9023D" w:rsidRPr="00FC7BB4">
        <w:rPr>
          <w:rFonts w:ascii="Times New Roman" w:hAnsi="Times New Roman" w:cs="Times New Roman"/>
          <w:sz w:val="24"/>
        </w:rPr>
        <w:t>P</w:t>
      </w:r>
      <w:r w:rsidRPr="00FC7BB4">
        <w:rPr>
          <w:rFonts w:ascii="Times New Roman" w:hAnsi="Times New Roman" w:cs="Times New Roman"/>
          <w:sz w:val="24"/>
        </w:rPr>
        <w:t>ost-2011Q2</w:t>
      </w:r>
      <w:proofErr w:type="gramEnd"/>
      <w:r w:rsidRPr="00FC7BB4">
        <w:rPr>
          <w:rFonts w:ascii="Times New Roman" w:hAnsi="Times New Roman" w:cs="Times New Roman"/>
          <w:sz w:val="24"/>
        </w:rPr>
        <w:t xml:space="preserve"> period in the probability that profits increase</w:t>
      </w:r>
      <w:r w:rsidR="00C9023D" w:rsidRPr="00FC7BB4">
        <w:rPr>
          <w:rFonts w:ascii="Times New Roman" w:hAnsi="Times New Roman" w:cs="Times New Roman"/>
          <w:sz w:val="24"/>
        </w:rPr>
        <w:t xml:space="preserve"> </w:t>
      </w:r>
      <w:r w:rsidRPr="00FC7BB4">
        <w:rPr>
          <w:rFonts w:ascii="Times New Roman" w:hAnsi="Times New Roman" w:cs="Times New Roman"/>
          <w:sz w:val="24"/>
        </w:rPr>
        <w:t>as inflation rises. There is no significant change by Builders and Manufacturers.</w:t>
      </w:r>
      <w:r w:rsidR="00A37C85" w:rsidRPr="00FC7BB4">
        <w:rPr>
          <w:rFonts w:ascii="Times New Roman" w:hAnsi="Times New Roman" w:cs="Times New Roman"/>
          <w:sz w:val="24"/>
        </w:rPr>
        <w:t xml:space="preserve"> </w:t>
      </w:r>
      <w:r w:rsidRPr="00FC7BB4">
        <w:rPr>
          <w:rFonts w:ascii="Times New Roman" w:hAnsi="Times New Roman" w:cs="Times New Roman"/>
          <w:sz w:val="24"/>
        </w:rPr>
        <w:t xml:space="preserve">The significant effect observed in the Merchant and Service sectors may arise because transactions in these sectors are typically smaller and </w:t>
      </w:r>
      <w:r w:rsidR="00C9023D" w:rsidRPr="00FC7BB4">
        <w:rPr>
          <w:rFonts w:ascii="Times New Roman" w:hAnsi="Times New Roman" w:cs="Times New Roman"/>
          <w:sz w:val="24"/>
        </w:rPr>
        <w:t>involve</w:t>
      </w:r>
      <w:r w:rsidRPr="00FC7BB4">
        <w:rPr>
          <w:rFonts w:ascii="Times New Roman" w:hAnsi="Times New Roman" w:cs="Times New Roman"/>
          <w:sz w:val="24"/>
        </w:rPr>
        <w:t xml:space="preserve"> a large variety of products, reducing consumers’ incentive and ability to assess relative prices carefully</w:t>
      </w:r>
      <w:r w:rsidR="006B5068" w:rsidRPr="00FC7BB4">
        <w:rPr>
          <w:rFonts w:ascii="Times New Roman" w:hAnsi="Times New Roman" w:cs="Times New Roman"/>
          <w:sz w:val="24"/>
        </w:rPr>
        <w:t xml:space="preserve"> and be attentive to </w:t>
      </w:r>
      <w:r w:rsidR="0013451C" w:rsidRPr="00FC7BB4">
        <w:rPr>
          <w:rFonts w:ascii="Times New Roman" w:hAnsi="Times New Roman" w:cs="Times New Roman"/>
          <w:sz w:val="24"/>
        </w:rPr>
        <w:t>price changes</w:t>
      </w:r>
      <w:r w:rsidRPr="00FC7BB4">
        <w:rPr>
          <w:rFonts w:ascii="Times New Roman" w:hAnsi="Times New Roman" w:cs="Times New Roman"/>
          <w:sz w:val="24"/>
        </w:rPr>
        <w:t xml:space="preserve">. In contrast, the larger transactions typical of Building and Manufacturing sectors encourage customers and firms to gather the necessary information to </w:t>
      </w:r>
      <w:r w:rsidR="00BA58ED" w:rsidRPr="00FC7BB4">
        <w:rPr>
          <w:rFonts w:ascii="Times New Roman" w:hAnsi="Times New Roman" w:cs="Times New Roman"/>
          <w:sz w:val="24"/>
        </w:rPr>
        <w:t>monitor prices carefully</w:t>
      </w:r>
      <w:r w:rsidRPr="00FC7BB4">
        <w:rPr>
          <w:rFonts w:ascii="Times New Roman" w:hAnsi="Times New Roman" w:cs="Times New Roman"/>
          <w:sz w:val="24"/>
        </w:rPr>
        <w:t>.</w:t>
      </w:r>
    </w:p>
    <w:p w14:paraId="7E1F25A8" w14:textId="30A251AC" w:rsidR="00CB2569" w:rsidRPr="00FC7BB4" w:rsidRDefault="00F43B09" w:rsidP="00F3101B">
      <w:pPr>
        <w:spacing w:after="120" w:line="360" w:lineRule="auto"/>
        <w:ind w:left="-6" w:right="27" w:firstLine="278"/>
        <w:rPr>
          <w:rFonts w:ascii="Times New Roman" w:hAnsi="Times New Roman" w:cs="Times New Roman"/>
          <w:sz w:val="24"/>
        </w:rPr>
      </w:pPr>
      <w:r w:rsidRPr="00FC7BB4">
        <w:rPr>
          <w:rFonts w:ascii="Times New Roman" w:hAnsi="Times New Roman" w:cs="Times New Roman"/>
          <w:sz w:val="24"/>
        </w:rPr>
        <w:t xml:space="preserve">Institutional changes to monetary policy have taken place during the recent decades which might also be a factor contributing the changes </w:t>
      </w:r>
      <w:r w:rsidR="0099106E" w:rsidRPr="00FC7BB4">
        <w:rPr>
          <w:rFonts w:ascii="Times New Roman" w:hAnsi="Times New Roman" w:cs="Times New Roman"/>
          <w:sz w:val="24"/>
        </w:rPr>
        <w:t xml:space="preserve">in price adjustment </w:t>
      </w:r>
      <w:r w:rsidRPr="00FC7BB4">
        <w:rPr>
          <w:rFonts w:ascii="Times New Roman" w:hAnsi="Times New Roman" w:cs="Times New Roman"/>
          <w:sz w:val="24"/>
        </w:rPr>
        <w:t>behaviour that has been observed</w:t>
      </w:r>
      <w:r w:rsidR="00FD3EF6" w:rsidRPr="00FC7BB4">
        <w:rPr>
          <w:rFonts w:ascii="Times New Roman" w:hAnsi="Times New Roman" w:cs="Times New Roman"/>
          <w:sz w:val="24"/>
        </w:rPr>
        <w:t>.</w:t>
      </w:r>
      <w:r w:rsidR="00A37C85" w:rsidRPr="00FC7BB4">
        <w:rPr>
          <w:rFonts w:ascii="Times New Roman" w:hAnsi="Times New Roman" w:cs="Times New Roman"/>
          <w:sz w:val="24"/>
        </w:rPr>
        <w:t xml:space="preserve"> </w:t>
      </w:r>
      <w:r w:rsidR="003E1E69" w:rsidRPr="00FC7BB4">
        <w:rPr>
          <w:rFonts w:ascii="Times New Roman" w:hAnsi="Times New Roman" w:cs="Times New Roman"/>
          <w:sz w:val="24"/>
        </w:rPr>
        <w:t>Figure 2 showed a change in the relationship</w:t>
      </w:r>
      <w:r w:rsidR="00AE64B9" w:rsidRPr="00FC7BB4">
        <w:rPr>
          <w:rFonts w:ascii="Times New Roman" w:hAnsi="Times New Roman" w:cs="Times New Roman"/>
          <w:sz w:val="24"/>
        </w:rPr>
        <w:t>, in the aggregate,</w:t>
      </w:r>
      <w:r w:rsidR="003E1E69" w:rsidRPr="00FC7BB4">
        <w:rPr>
          <w:rFonts w:ascii="Times New Roman" w:hAnsi="Times New Roman" w:cs="Times New Roman"/>
          <w:sz w:val="24"/>
        </w:rPr>
        <w:t xml:space="preserve"> between</w:t>
      </w:r>
      <w:r w:rsidR="00AE64B9" w:rsidRPr="00FC7BB4">
        <w:rPr>
          <w:rFonts w:ascii="Times New Roman" w:hAnsi="Times New Roman" w:cs="Times New Roman"/>
          <w:sz w:val="24"/>
        </w:rPr>
        <w:t xml:space="preserve"> the proportion of firms changing prices and inflation </w:t>
      </w:r>
      <w:r w:rsidR="008E4894" w:rsidRPr="00FC7BB4">
        <w:rPr>
          <w:rFonts w:ascii="Times New Roman" w:hAnsi="Times New Roman" w:cs="Times New Roman"/>
          <w:sz w:val="24"/>
        </w:rPr>
        <w:t>since</w:t>
      </w:r>
      <w:r w:rsidR="00AE64B9" w:rsidRPr="00FC7BB4">
        <w:rPr>
          <w:rFonts w:ascii="Times New Roman" w:hAnsi="Times New Roman" w:cs="Times New Roman"/>
          <w:sz w:val="24"/>
        </w:rPr>
        <w:t xml:space="preserve"> the </w:t>
      </w:r>
      <w:r w:rsidRPr="00FC7BB4">
        <w:rPr>
          <w:rFonts w:ascii="Times New Roman" w:hAnsi="Times New Roman" w:cs="Times New Roman"/>
          <w:sz w:val="24"/>
        </w:rPr>
        <w:t>early</w:t>
      </w:r>
      <w:r w:rsidR="008E4894" w:rsidRPr="00FC7BB4">
        <w:rPr>
          <w:rFonts w:ascii="Times New Roman" w:hAnsi="Times New Roman" w:cs="Times New Roman"/>
          <w:sz w:val="24"/>
        </w:rPr>
        <w:t xml:space="preserve"> </w:t>
      </w:r>
      <w:r w:rsidR="00AE64B9" w:rsidRPr="00FC7BB4">
        <w:rPr>
          <w:rFonts w:ascii="Times New Roman" w:hAnsi="Times New Roman" w:cs="Times New Roman"/>
          <w:sz w:val="24"/>
        </w:rPr>
        <w:t>1990s.</w:t>
      </w:r>
      <w:r w:rsidR="00A37C85" w:rsidRPr="00FC7BB4">
        <w:rPr>
          <w:rFonts w:ascii="Times New Roman" w:hAnsi="Times New Roman" w:cs="Times New Roman"/>
          <w:sz w:val="24"/>
        </w:rPr>
        <w:t xml:space="preserve"> </w:t>
      </w:r>
      <w:r w:rsidR="00AE64B9" w:rsidRPr="00FC7BB4">
        <w:rPr>
          <w:rFonts w:ascii="Times New Roman" w:hAnsi="Times New Roman" w:cs="Times New Roman"/>
          <w:sz w:val="24"/>
        </w:rPr>
        <w:t xml:space="preserve">New Zealand </w:t>
      </w:r>
      <w:r w:rsidRPr="00FC7BB4">
        <w:rPr>
          <w:rFonts w:ascii="Times New Roman" w:hAnsi="Times New Roman" w:cs="Times New Roman"/>
          <w:sz w:val="24"/>
        </w:rPr>
        <w:t>implemented</w:t>
      </w:r>
      <w:r w:rsidR="00AE64B9" w:rsidRPr="00FC7BB4">
        <w:rPr>
          <w:rFonts w:ascii="Times New Roman" w:hAnsi="Times New Roman" w:cs="Times New Roman"/>
          <w:sz w:val="24"/>
        </w:rPr>
        <w:t xml:space="preserve"> formal inflation targeting and central bank </w:t>
      </w:r>
      <w:r w:rsidRPr="00FC7BB4">
        <w:rPr>
          <w:rFonts w:ascii="Times New Roman" w:hAnsi="Times New Roman" w:cs="Times New Roman"/>
          <w:sz w:val="24"/>
        </w:rPr>
        <w:t xml:space="preserve">operational </w:t>
      </w:r>
      <w:r w:rsidR="00AE64B9" w:rsidRPr="00FC7BB4">
        <w:rPr>
          <w:rFonts w:ascii="Times New Roman" w:hAnsi="Times New Roman" w:cs="Times New Roman"/>
          <w:sz w:val="24"/>
        </w:rPr>
        <w:t>independence in</w:t>
      </w:r>
      <w:r w:rsidRPr="00FC7BB4">
        <w:rPr>
          <w:rFonts w:ascii="Times New Roman" w:hAnsi="Times New Roman" w:cs="Times New Roman"/>
          <w:sz w:val="24"/>
        </w:rPr>
        <w:t xml:space="preserve"> 1989</w:t>
      </w:r>
      <w:r w:rsidR="00D7760C" w:rsidRPr="00FC7BB4">
        <w:rPr>
          <w:rFonts w:ascii="Times New Roman" w:hAnsi="Times New Roman" w:cs="Times New Roman"/>
          <w:sz w:val="24"/>
        </w:rPr>
        <w:t xml:space="preserve">. </w:t>
      </w:r>
      <w:r w:rsidR="00CD5FB3" w:rsidRPr="00FC7BB4">
        <w:rPr>
          <w:rFonts w:ascii="Times New Roman" w:hAnsi="Times New Roman" w:cs="Times New Roman"/>
          <w:sz w:val="24"/>
        </w:rPr>
        <w:t>If</w:t>
      </w:r>
      <w:r w:rsidR="00B8240C" w:rsidRPr="00FC7BB4">
        <w:rPr>
          <w:rFonts w:ascii="Times New Roman" w:hAnsi="Times New Roman" w:cs="Times New Roman"/>
          <w:sz w:val="24"/>
        </w:rPr>
        <w:t xml:space="preserve"> inflation targeting and central bank independence has </w:t>
      </w:r>
      <w:r w:rsidR="00566894" w:rsidRPr="00FC7BB4">
        <w:rPr>
          <w:rFonts w:ascii="Times New Roman" w:hAnsi="Times New Roman" w:cs="Times New Roman"/>
          <w:sz w:val="24"/>
        </w:rPr>
        <w:t xml:space="preserve">better </w:t>
      </w:r>
      <w:r w:rsidR="00B8240C" w:rsidRPr="00FC7BB4">
        <w:rPr>
          <w:rFonts w:ascii="Times New Roman" w:hAnsi="Times New Roman" w:cs="Times New Roman"/>
          <w:sz w:val="24"/>
        </w:rPr>
        <w:t>anchored inflation expectations</w:t>
      </w:r>
      <w:r w:rsidR="00061E9D" w:rsidRPr="00FC7BB4">
        <w:rPr>
          <w:rFonts w:ascii="Times New Roman" w:hAnsi="Times New Roman" w:cs="Times New Roman"/>
          <w:sz w:val="24"/>
        </w:rPr>
        <w:t>,</w:t>
      </w:r>
      <w:r w:rsidR="00D7760C" w:rsidRPr="00FC7BB4">
        <w:rPr>
          <w:rFonts w:ascii="Times New Roman" w:hAnsi="Times New Roman" w:cs="Times New Roman"/>
          <w:sz w:val="24"/>
        </w:rPr>
        <w:t xml:space="preserve"> </w:t>
      </w:r>
      <w:r w:rsidR="00D07BEB" w:rsidRPr="00FC7BB4">
        <w:rPr>
          <w:rFonts w:ascii="Times New Roman" w:hAnsi="Times New Roman" w:cs="Times New Roman"/>
          <w:sz w:val="24"/>
        </w:rPr>
        <w:t>this means</w:t>
      </w:r>
      <w:r w:rsidRPr="00FC7BB4">
        <w:rPr>
          <w:rFonts w:ascii="Times New Roman" w:hAnsi="Times New Roman" w:cs="Times New Roman"/>
          <w:sz w:val="24"/>
        </w:rPr>
        <w:t xml:space="preserve"> that</w:t>
      </w:r>
      <w:r w:rsidR="00D07BEB" w:rsidRPr="00FC7BB4">
        <w:rPr>
          <w:rFonts w:ascii="Times New Roman" w:hAnsi="Times New Roman" w:cs="Times New Roman"/>
          <w:sz w:val="24"/>
        </w:rPr>
        <w:t xml:space="preserve"> </w:t>
      </w:r>
      <w:r w:rsidR="002C20A9" w:rsidRPr="00FC7BB4">
        <w:rPr>
          <w:rFonts w:ascii="Times New Roman" w:hAnsi="Times New Roman" w:cs="Times New Roman"/>
          <w:sz w:val="24"/>
        </w:rPr>
        <w:t>in the ev</w:t>
      </w:r>
      <w:r w:rsidR="00747B12" w:rsidRPr="00FC7BB4">
        <w:rPr>
          <w:rFonts w:ascii="Times New Roman" w:hAnsi="Times New Roman" w:cs="Times New Roman"/>
          <w:sz w:val="24"/>
        </w:rPr>
        <w:t xml:space="preserve">ent of a negative shock to relative prices, firms are less likely to expect general inflation </w:t>
      </w:r>
      <w:r w:rsidR="00DF6D18" w:rsidRPr="00FC7BB4">
        <w:rPr>
          <w:rFonts w:ascii="Times New Roman" w:hAnsi="Times New Roman" w:cs="Times New Roman"/>
          <w:sz w:val="24"/>
        </w:rPr>
        <w:t>to eventually restore</w:t>
      </w:r>
      <w:r w:rsidR="00947F43" w:rsidRPr="00FC7BB4">
        <w:rPr>
          <w:rFonts w:ascii="Times New Roman" w:hAnsi="Times New Roman" w:cs="Times New Roman"/>
          <w:sz w:val="24"/>
        </w:rPr>
        <w:t xml:space="preserve"> the prevailing relative</w:t>
      </w:r>
      <w:r w:rsidR="00DF6D18" w:rsidRPr="00FC7BB4">
        <w:rPr>
          <w:rFonts w:ascii="Times New Roman" w:hAnsi="Times New Roman" w:cs="Times New Roman"/>
          <w:sz w:val="24"/>
        </w:rPr>
        <w:t xml:space="preserve"> </w:t>
      </w:r>
      <w:r w:rsidR="0026549A" w:rsidRPr="00FC7BB4">
        <w:rPr>
          <w:rFonts w:ascii="Times New Roman" w:hAnsi="Times New Roman" w:cs="Times New Roman"/>
          <w:sz w:val="24"/>
        </w:rPr>
        <w:t xml:space="preserve">price to </w:t>
      </w:r>
      <w:r w:rsidR="00DF6D18" w:rsidRPr="00FC7BB4">
        <w:rPr>
          <w:rFonts w:ascii="Times New Roman" w:hAnsi="Times New Roman" w:cs="Times New Roman"/>
          <w:sz w:val="24"/>
        </w:rPr>
        <w:t>the</w:t>
      </w:r>
      <w:r w:rsidR="0026549A" w:rsidRPr="00FC7BB4">
        <w:rPr>
          <w:rFonts w:ascii="Times New Roman" w:hAnsi="Times New Roman" w:cs="Times New Roman"/>
          <w:sz w:val="24"/>
        </w:rPr>
        <w:t>ir</w:t>
      </w:r>
      <w:r w:rsidR="00DF6D18" w:rsidRPr="00FC7BB4">
        <w:rPr>
          <w:rFonts w:ascii="Times New Roman" w:hAnsi="Times New Roman" w:cs="Times New Roman"/>
          <w:sz w:val="24"/>
        </w:rPr>
        <w:t xml:space="preserve"> desired</w:t>
      </w:r>
      <w:r w:rsidR="00B52680" w:rsidRPr="00FC7BB4">
        <w:rPr>
          <w:rFonts w:ascii="Times New Roman" w:hAnsi="Times New Roman" w:cs="Times New Roman"/>
          <w:sz w:val="24"/>
        </w:rPr>
        <w:t xml:space="preserve"> lower</w:t>
      </w:r>
      <w:r w:rsidR="00DF6D18" w:rsidRPr="00FC7BB4">
        <w:rPr>
          <w:rFonts w:ascii="Times New Roman" w:hAnsi="Times New Roman" w:cs="Times New Roman"/>
          <w:sz w:val="24"/>
        </w:rPr>
        <w:t xml:space="preserve"> relative price</w:t>
      </w:r>
      <w:r w:rsidR="00F27B0C" w:rsidRPr="00FC7BB4">
        <w:rPr>
          <w:rFonts w:ascii="Times New Roman" w:hAnsi="Times New Roman" w:cs="Times New Roman"/>
          <w:sz w:val="24"/>
        </w:rPr>
        <w:t>. This means firms</w:t>
      </w:r>
      <w:r w:rsidR="00762ACD" w:rsidRPr="00FC7BB4">
        <w:rPr>
          <w:rFonts w:ascii="Times New Roman" w:hAnsi="Times New Roman" w:cs="Times New Roman"/>
          <w:sz w:val="24"/>
        </w:rPr>
        <w:t xml:space="preserve"> are more likely to act and </w:t>
      </w:r>
      <w:r w:rsidR="00F27B0C" w:rsidRPr="00FC7BB4">
        <w:rPr>
          <w:rFonts w:ascii="Times New Roman" w:hAnsi="Times New Roman" w:cs="Times New Roman"/>
          <w:sz w:val="24"/>
        </w:rPr>
        <w:t>lower their relative</w:t>
      </w:r>
      <w:r w:rsidR="00762ACD" w:rsidRPr="00FC7BB4">
        <w:rPr>
          <w:rFonts w:ascii="Times New Roman" w:hAnsi="Times New Roman" w:cs="Times New Roman"/>
          <w:sz w:val="24"/>
        </w:rPr>
        <w:t xml:space="preserve"> prices themselves. </w:t>
      </w:r>
      <w:r w:rsidR="007A5FCC" w:rsidRPr="00FC7BB4">
        <w:rPr>
          <w:rFonts w:ascii="Times New Roman" w:hAnsi="Times New Roman" w:cs="Times New Roman"/>
          <w:sz w:val="24"/>
        </w:rPr>
        <w:t xml:space="preserve">If this reasoning is correct, inflation targeting and central bank independence should mean </w:t>
      </w:r>
      <w:r w:rsidR="001C116F" w:rsidRPr="00FC7BB4">
        <w:rPr>
          <w:rFonts w:ascii="Times New Roman" w:hAnsi="Times New Roman" w:cs="Times New Roman"/>
          <w:sz w:val="24"/>
        </w:rPr>
        <w:t xml:space="preserve">firm prices are </w:t>
      </w:r>
      <w:r w:rsidR="000230BC" w:rsidRPr="00FC7BB4">
        <w:rPr>
          <w:rFonts w:ascii="Times New Roman" w:hAnsi="Times New Roman" w:cs="Times New Roman"/>
          <w:sz w:val="24"/>
        </w:rPr>
        <w:t>more flexible in a downwards direction not less.</w:t>
      </w:r>
      <w:r w:rsidR="003E1E69" w:rsidRPr="00FC7BB4">
        <w:rPr>
          <w:rFonts w:ascii="Times New Roman" w:hAnsi="Times New Roman" w:cs="Times New Roman"/>
          <w:sz w:val="24"/>
        </w:rPr>
        <w:t xml:space="preserve"> </w:t>
      </w:r>
      <w:r w:rsidR="001C116F" w:rsidRPr="00FC7BB4">
        <w:rPr>
          <w:rFonts w:ascii="Times New Roman" w:hAnsi="Times New Roman" w:cs="Times New Roman"/>
          <w:sz w:val="24"/>
        </w:rPr>
        <w:t>This is not what we observe</w:t>
      </w:r>
      <w:r w:rsidR="00670E7C" w:rsidRPr="00FC7BB4">
        <w:rPr>
          <w:rFonts w:ascii="Times New Roman" w:hAnsi="Times New Roman" w:cs="Times New Roman"/>
          <w:sz w:val="24"/>
        </w:rPr>
        <w:t>.</w:t>
      </w:r>
    </w:p>
    <w:bookmarkEnd w:id="95"/>
    <w:p w14:paraId="6B82EED9" w14:textId="77777777" w:rsidR="00307155" w:rsidRPr="00FC7BB4" w:rsidRDefault="00307155" w:rsidP="005D65C5">
      <w:pPr>
        <w:spacing w:before="120" w:after="120" w:line="259" w:lineRule="auto"/>
        <w:ind w:left="-6" w:right="28" w:hanging="11"/>
        <w:jc w:val="left"/>
        <w:rPr>
          <w:rFonts w:ascii="Times New Roman" w:hAnsi="Times New Roman" w:cs="Times New Roman"/>
          <w:b/>
          <w:bCs/>
          <w:sz w:val="24"/>
        </w:rPr>
      </w:pPr>
      <w:r w:rsidRPr="00FC7BB4">
        <w:rPr>
          <w:rFonts w:ascii="Times New Roman" w:hAnsi="Times New Roman" w:cs="Times New Roman"/>
          <w:b/>
          <w:bCs/>
          <w:sz w:val="24"/>
        </w:rPr>
        <w:t>8. Conclusion</w:t>
      </w:r>
    </w:p>
    <w:p w14:paraId="1911D9C5" w14:textId="2A82E8D2" w:rsidR="00307155" w:rsidRPr="00FC7BB4" w:rsidRDefault="00307155" w:rsidP="00F3101B">
      <w:pPr>
        <w:spacing w:after="0" w:line="331" w:lineRule="auto"/>
        <w:ind w:left="-17" w:right="27" w:firstLine="0"/>
        <w:rPr>
          <w:rFonts w:ascii="Times New Roman" w:hAnsi="Times New Roman" w:cs="Times New Roman"/>
          <w:sz w:val="24"/>
        </w:rPr>
      </w:pPr>
      <w:bookmarkStart w:id="96" w:name="_Hlk213336199"/>
      <w:r w:rsidRPr="00FC7BB4">
        <w:rPr>
          <w:rFonts w:ascii="Times New Roman" w:hAnsi="Times New Roman" w:cs="Times New Roman"/>
          <w:sz w:val="24"/>
        </w:rPr>
        <w:t>The frequency with which firms change prices has a critical influence on inflation dynamics. Using a unique database of micro firm-level information, this paper contributes new insights to the literature on price change in three important ways: (</w:t>
      </w:r>
      <w:proofErr w:type="spellStart"/>
      <w:r w:rsidRPr="00FC7BB4">
        <w:rPr>
          <w:rFonts w:ascii="Times New Roman" w:hAnsi="Times New Roman" w:cs="Times New Roman"/>
          <w:sz w:val="24"/>
        </w:rPr>
        <w:t>i</w:t>
      </w:r>
      <w:proofErr w:type="spellEnd"/>
      <w:r w:rsidRPr="00FC7BB4">
        <w:rPr>
          <w:rFonts w:ascii="Times New Roman" w:hAnsi="Times New Roman" w:cs="Times New Roman"/>
          <w:sz w:val="24"/>
        </w:rPr>
        <w:t xml:space="preserve">) it reveals that the conditional probability of price change in response to cost and demand changes has changed </w:t>
      </w:r>
      <w:r w:rsidR="008E4894" w:rsidRPr="00FC7BB4">
        <w:rPr>
          <w:rFonts w:ascii="Times New Roman" w:hAnsi="Times New Roman" w:cs="Times New Roman"/>
          <w:sz w:val="24"/>
        </w:rPr>
        <w:t>in recent years</w:t>
      </w:r>
      <w:r w:rsidRPr="00FC7BB4">
        <w:rPr>
          <w:rFonts w:ascii="Times New Roman" w:hAnsi="Times New Roman" w:cs="Times New Roman"/>
          <w:sz w:val="24"/>
        </w:rPr>
        <w:t xml:space="preserve">; (ii) it documents that in the COVID inflation episode, firms changed their prices more often but by a smaller magnitude compared to previous comparable high inflation episodes; and (iii) it confirms prior findings of asymmetric pricing behaviour, but also finds that </w:t>
      </w:r>
      <w:r w:rsidR="008E4894" w:rsidRPr="00FC7BB4">
        <w:rPr>
          <w:rFonts w:ascii="Times New Roman" w:hAnsi="Times New Roman" w:cs="Times New Roman"/>
          <w:sz w:val="24"/>
        </w:rPr>
        <w:t xml:space="preserve">the </w:t>
      </w:r>
      <w:r w:rsidRPr="00FC7BB4">
        <w:rPr>
          <w:rFonts w:ascii="Times New Roman" w:hAnsi="Times New Roman" w:cs="Times New Roman"/>
          <w:sz w:val="24"/>
        </w:rPr>
        <w:t xml:space="preserve">asymmetric behaviour of the frequency of price changes has become more acute as inflation increases. </w:t>
      </w:r>
    </w:p>
    <w:p w14:paraId="5CDC1370" w14:textId="35708511" w:rsidR="00307155" w:rsidRPr="00FC7BB4" w:rsidRDefault="00307155" w:rsidP="00F3101B">
      <w:pPr>
        <w:ind w:left="-15" w:right="27"/>
        <w:rPr>
          <w:rFonts w:ascii="Times New Roman" w:hAnsi="Times New Roman" w:cs="Times New Roman"/>
          <w:sz w:val="24"/>
        </w:rPr>
      </w:pPr>
      <w:r w:rsidRPr="00FC7BB4">
        <w:rPr>
          <w:rFonts w:ascii="Times New Roman" w:hAnsi="Times New Roman" w:cs="Times New Roman"/>
          <w:sz w:val="24"/>
        </w:rPr>
        <w:t xml:space="preserve">Time-series analysis reveals there has been an increase in the correlation between inflation and the </w:t>
      </w:r>
      <w:r w:rsidR="00021183" w:rsidRPr="00FC7BB4">
        <w:rPr>
          <w:rFonts w:ascii="Times New Roman" w:hAnsi="Times New Roman" w:cs="Times New Roman"/>
          <w:sz w:val="24"/>
        </w:rPr>
        <w:t xml:space="preserve">proportion </w:t>
      </w:r>
      <w:r w:rsidRPr="00FC7BB4">
        <w:rPr>
          <w:rFonts w:ascii="Times New Roman" w:hAnsi="Times New Roman" w:cs="Times New Roman"/>
          <w:sz w:val="24"/>
        </w:rPr>
        <w:t>of</w:t>
      </w:r>
      <w:r w:rsidR="00D175BD" w:rsidRPr="00FC7BB4">
        <w:rPr>
          <w:rFonts w:ascii="Times New Roman" w:hAnsi="Times New Roman" w:cs="Times New Roman"/>
          <w:sz w:val="24"/>
        </w:rPr>
        <w:t xml:space="preserve"> firms </w:t>
      </w:r>
      <w:r w:rsidRPr="00FC7BB4">
        <w:rPr>
          <w:rFonts w:ascii="Times New Roman" w:hAnsi="Times New Roman" w:cs="Times New Roman"/>
          <w:sz w:val="24"/>
        </w:rPr>
        <w:t>chang</w:t>
      </w:r>
      <w:r w:rsidR="00D175BD" w:rsidRPr="00FC7BB4">
        <w:rPr>
          <w:rFonts w:ascii="Times New Roman" w:hAnsi="Times New Roman" w:cs="Times New Roman"/>
          <w:sz w:val="24"/>
        </w:rPr>
        <w:t>ing prices</w:t>
      </w:r>
      <w:r w:rsidRPr="00FC7BB4">
        <w:rPr>
          <w:rFonts w:ascii="Times New Roman" w:hAnsi="Times New Roman" w:cs="Times New Roman"/>
          <w:sz w:val="24"/>
        </w:rPr>
        <w:t xml:space="preserve"> since the early 1990s. This change has been masked by the long period of low inflation </w:t>
      </w:r>
      <w:r w:rsidRPr="00FC7BB4">
        <w:rPr>
          <w:rFonts w:ascii="Times New Roman" w:hAnsi="Times New Roman" w:cs="Times New Roman"/>
          <w:sz w:val="24"/>
        </w:rPr>
        <w:lastRenderedPageBreak/>
        <w:t xml:space="preserve">after the early 1990s. This </w:t>
      </w:r>
      <w:r w:rsidR="00B15BDF" w:rsidRPr="00FC7BB4">
        <w:rPr>
          <w:rFonts w:ascii="Times New Roman" w:hAnsi="Times New Roman" w:cs="Times New Roman"/>
          <w:sz w:val="24"/>
        </w:rPr>
        <w:t xml:space="preserve">increased correlation is </w:t>
      </w:r>
      <w:r w:rsidRPr="00FC7BB4">
        <w:rPr>
          <w:rFonts w:ascii="Times New Roman" w:hAnsi="Times New Roman" w:cs="Times New Roman"/>
          <w:sz w:val="24"/>
        </w:rPr>
        <w:t xml:space="preserve">particularly evident when comparing behaviour during the COVID inflation era with behaviour during the high inflation episodes in the 1970s and 1980s. </w:t>
      </w:r>
      <w:r w:rsidR="00D175BD" w:rsidRPr="00FC7BB4">
        <w:rPr>
          <w:rFonts w:ascii="Times New Roman" w:hAnsi="Times New Roman" w:cs="Times New Roman"/>
          <w:sz w:val="24"/>
        </w:rPr>
        <w:t xml:space="preserve">The proportion of firms changing prices </w:t>
      </w:r>
      <w:r w:rsidR="009C6E64" w:rsidRPr="00FC7BB4">
        <w:rPr>
          <w:rFonts w:ascii="Times New Roman" w:hAnsi="Times New Roman" w:cs="Times New Roman"/>
          <w:sz w:val="24"/>
        </w:rPr>
        <w:t xml:space="preserve">during </w:t>
      </w:r>
      <w:r w:rsidRPr="00FC7BB4">
        <w:rPr>
          <w:rFonts w:ascii="Times New Roman" w:hAnsi="Times New Roman" w:cs="Times New Roman"/>
          <w:sz w:val="24"/>
        </w:rPr>
        <w:t xml:space="preserve">the COVID inflation episode was much higher than during earlier decades with similar average inflation rates and as high as the </w:t>
      </w:r>
      <w:r w:rsidR="009C6E64" w:rsidRPr="00FC7BB4">
        <w:rPr>
          <w:rFonts w:ascii="Times New Roman" w:hAnsi="Times New Roman" w:cs="Times New Roman"/>
          <w:sz w:val="24"/>
        </w:rPr>
        <w:t xml:space="preserve">proportions </w:t>
      </w:r>
      <w:r w:rsidRPr="00FC7BB4">
        <w:rPr>
          <w:rFonts w:ascii="Times New Roman" w:hAnsi="Times New Roman" w:cs="Times New Roman"/>
          <w:sz w:val="24"/>
        </w:rPr>
        <w:t xml:space="preserve">observed during periods of much higher inflation </w:t>
      </w:r>
      <w:r w:rsidR="008E4894" w:rsidRPr="00FC7BB4">
        <w:rPr>
          <w:rFonts w:ascii="Times New Roman" w:hAnsi="Times New Roman" w:cs="Times New Roman"/>
          <w:sz w:val="24"/>
        </w:rPr>
        <w:t xml:space="preserve">during </w:t>
      </w:r>
      <w:r w:rsidRPr="00FC7BB4">
        <w:rPr>
          <w:rFonts w:ascii="Times New Roman" w:hAnsi="Times New Roman" w:cs="Times New Roman"/>
          <w:sz w:val="24"/>
        </w:rPr>
        <w:t xml:space="preserve">the 1970s and 1980s. This is especially evident with price increases, though a similar (inverse) pattern is evident with price decreases. </w:t>
      </w:r>
      <w:r w:rsidR="008A7A47" w:rsidRPr="00FC7BB4">
        <w:rPr>
          <w:rFonts w:ascii="Times New Roman" w:hAnsi="Times New Roman" w:cs="Times New Roman"/>
          <w:sz w:val="24"/>
        </w:rPr>
        <w:t xml:space="preserve">The tighter correlation between </w:t>
      </w:r>
      <w:r w:rsidR="00902A5E" w:rsidRPr="00FC7BB4">
        <w:rPr>
          <w:rFonts w:ascii="Times New Roman" w:hAnsi="Times New Roman" w:cs="Times New Roman"/>
          <w:sz w:val="24"/>
        </w:rPr>
        <w:t>the propensity of firms to</w:t>
      </w:r>
      <w:r w:rsidR="008A7A47" w:rsidRPr="00FC7BB4">
        <w:rPr>
          <w:rFonts w:ascii="Times New Roman" w:hAnsi="Times New Roman" w:cs="Times New Roman"/>
          <w:sz w:val="24"/>
        </w:rPr>
        <w:t xml:space="preserve"> </w:t>
      </w:r>
      <w:r w:rsidR="005A2854" w:rsidRPr="00FC7BB4">
        <w:rPr>
          <w:rFonts w:ascii="Times New Roman" w:hAnsi="Times New Roman" w:cs="Times New Roman"/>
          <w:sz w:val="24"/>
        </w:rPr>
        <w:t>change</w:t>
      </w:r>
      <w:r w:rsidR="00902A5E" w:rsidRPr="00FC7BB4">
        <w:rPr>
          <w:rFonts w:ascii="Times New Roman" w:hAnsi="Times New Roman" w:cs="Times New Roman"/>
          <w:sz w:val="24"/>
        </w:rPr>
        <w:t xml:space="preserve"> prices</w:t>
      </w:r>
      <w:r w:rsidR="005A2854" w:rsidRPr="00FC7BB4">
        <w:rPr>
          <w:rFonts w:ascii="Times New Roman" w:hAnsi="Times New Roman" w:cs="Times New Roman"/>
          <w:sz w:val="24"/>
        </w:rPr>
        <w:t xml:space="preserve"> and inflation suggests the </w:t>
      </w:r>
      <w:r w:rsidR="00965856" w:rsidRPr="00FC7BB4">
        <w:rPr>
          <w:rFonts w:ascii="Times New Roman" w:hAnsi="Times New Roman" w:cs="Times New Roman"/>
          <w:sz w:val="24"/>
        </w:rPr>
        <w:t>“inflation accelerator”</w:t>
      </w:r>
      <w:r w:rsidR="005A2854" w:rsidRPr="00FC7BB4">
        <w:rPr>
          <w:rFonts w:ascii="Times New Roman" w:hAnsi="Times New Roman" w:cs="Times New Roman"/>
          <w:sz w:val="24"/>
        </w:rPr>
        <w:t xml:space="preserve"> is operating more strong</w:t>
      </w:r>
      <w:r w:rsidR="008E4894" w:rsidRPr="00FC7BB4">
        <w:rPr>
          <w:rFonts w:ascii="Times New Roman" w:hAnsi="Times New Roman" w:cs="Times New Roman"/>
          <w:sz w:val="24"/>
        </w:rPr>
        <w:t xml:space="preserve">ly </w:t>
      </w:r>
      <w:r w:rsidR="00F62E45" w:rsidRPr="00FC7BB4">
        <w:rPr>
          <w:rFonts w:ascii="Times New Roman" w:hAnsi="Times New Roman" w:cs="Times New Roman"/>
          <w:sz w:val="24"/>
        </w:rPr>
        <w:t>than in the past</w:t>
      </w:r>
      <w:r w:rsidR="005A2854" w:rsidRPr="00FC7BB4">
        <w:rPr>
          <w:rFonts w:ascii="Times New Roman" w:hAnsi="Times New Roman" w:cs="Times New Roman"/>
          <w:sz w:val="24"/>
        </w:rPr>
        <w:t xml:space="preserve"> and the Phillips curve has become more nonlinear at higher levels of inflation</w:t>
      </w:r>
      <w:r w:rsidR="00965856" w:rsidRPr="00FC7BB4">
        <w:rPr>
          <w:rFonts w:ascii="Times New Roman" w:hAnsi="Times New Roman" w:cs="Times New Roman"/>
          <w:sz w:val="24"/>
        </w:rPr>
        <w:t xml:space="preserve">.  </w:t>
      </w:r>
    </w:p>
    <w:p w14:paraId="01E2845C" w14:textId="546F0A5C" w:rsidR="00307155" w:rsidRPr="00FC7BB4" w:rsidRDefault="00307155" w:rsidP="00F3101B">
      <w:pPr>
        <w:ind w:left="-15" w:right="27"/>
        <w:rPr>
          <w:rFonts w:ascii="Times New Roman" w:hAnsi="Times New Roman" w:cs="Times New Roman"/>
          <w:sz w:val="24"/>
        </w:rPr>
      </w:pPr>
      <w:r w:rsidRPr="00FC7BB4">
        <w:rPr>
          <w:rFonts w:ascii="Times New Roman" w:hAnsi="Times New Roman" w:cs="Times New Roman"/>
          <w:sz w:val="24"/>
        </w:rPr>
        <w:t>Furthermore, the COVID era of inflation was not associated with a significant sustained rise in the magnitude of each price adjustment.</w:t>
      </w:r>
      <w:r w:rsidR="00EF4B28" w:rsidRPr="00FC7BB4">
        <w:rPr>
          <w:rFonts w:ascii="Times New Roman" w:hAnsi="Times New Roman" w:cs="Times New Roman"/>
          <w:sz w:val="24"/>
        </w:rPr>
        <w:t xml:space="preserve"> </w:t>
      </w:r>
      <w:r w:rsidRPr="00FC7BB4">
        <w:rPr>
          <w:rFonts w:ascii="Times New Roman" w:hAnsi="Times New Roman" w:cs="Times New Roman"/>
          <w:sz w:val="24"/>
        </w:rPr>
        <w:t xml:space="preserve">The magnitude of price adjustments was on average, substantially smaller than occurred during earlier periods of high inflation. They were closer in magnitude to price adjustments during the low inflation of the “Great Moderation.” This finding aligns with recent studies of the relative importance of the frequency and magnitude of individual price changes </w:t>
      </w:r>
      <w:r w:rsidR="008E4894" w:rsidRPr="00FC7BB4">
        <w:rPr>
          <w:rFonts w:ascii="Times New Roman" w:hAnsi="Times New Roman" w:cs="Times New Roman"/>
          <w:sz w:val="24"/>
        </w:rPr>
        <w:t xml:space="preserve">during </w:t>
      </w:r>
      <w:r w:rsidRPr="00FC7BB4">
        <w:rPr>
          <w:rFonts w:ascii="Times New Roman" w:hAnsi="Times New Roman" w:cs="Times New Roman"/>
          <w:sz w:val="24"/>
        </w:rPr>
        <w:t>the</w:t>
      </w:r>
      <w:r w:rsidR="00F13252" w:rsidRPr="00FC7BB4">
        <w:rPr>
          <w:rFonts w:ascii="Times New Roman" w:hAnsi="Times New Roman" w:cs="Times New Roman"/>
          <w:sz w:val="24"/>
        </w:rPr>
        <w:t xml:space="preserve"> inflation experienced by the</w:t>
      </w:r>
      <w:r w:rsidRPr="00FC7BB4">
        <w:rPr>
          <w:rFonts w:ascii="Times New Roman" w:hAnsi="Times New Roman" w:cs="Times New Roman"/>
          <w:sz w:val="24"/>
        </w:rPr>
        <w:t xml:space="preserve"> USA </w:t>
      </w:r>
      <w:r w:rsidR="008E4894" w:rsidRPr="00FC7BB4">
        <w:rPr>
          <w:rFonts w:ascii="Times New Roman" w:hAnsi="Times New Roman" w:cs="Times New Roman"/>
          <w:sz w:val="24"/>
        </w:rPr>
        <w:t>in</w:t>
      </w:r>
      <w:r w:rsidRPr="00FC7BB4">
        <w:rPr>
          <w:rFonts w:ascii="Times New Roman" w:hAnsi="Times New Roman" w:cs="Times New Roman"/>
          <w:sz w:val="24"/>
        </w:rPr>
        <w:t xml:space="preserve"> the COVID era.</w:t>
      </w:r>
    </w:p>
    <w:p w14:paraId="69FC7AA3" w14:textId="5D1FD57E" w:rsidR="00307155" w:rsidRPr="00FC7BB4" w:rsidRDefault="00307155" w:rsidP="00F3101B">
      <w:pPr>
        <w:ind w:left="-15" w:right="27"/>
        <w:rPr>
          <w:rFonts w:ascii="Times New Roman" w:hAnsi="Times New Roman" w:cs="Times New Roman"/>
          <w:sz w:val="24"/>
        </w:rPr>
      </w:pPr>
      <w:r w:rsidRPr="00FC7BB4">
        <w:rPr>
          <w:rFonts w:ascii="Times New Roman" w:hAnsi="Times New Roman" w:cs="Times New Roman"/>
          <w:sz w:val="24"/>
        </w:rPr>
        <w:t xml:space="preserve">Ordered probit model estimates provide deeper insights into the reasons for these changes. There is a clear pattern whereby the probability of a price </w:t>
      </w:r>
      <w:r w:rsidR="00C83F9A" w:rsidRPr="00FC7BB4">
        <w:rPr>
          <w:rFonts w:ascii="Times New Roman" w:hAnsi="Times New Roman" w:cs="Times New Roman"/>
          <w:sz w:val="24"/>
        </w:rPr>
        <w:t xml:space="preserve">increase </w:t>
      </w:r>
      <w:r w:rsidRPr="00FC7BB4">
        <w:rPr>
          <w:rFonts w:ascii="Times New Roman" w:hAnsi="Times New Roman" w:cs="Times New Roman"/>
          <w:sz w:val="24"/>
        </w:rPr>
        <w:t xml:space="preserve">conditional on costs increasing (for any demand condition) rises as inflation rises. Moreover, the conditional probabilities are significantly higher in recent years, as inflation rises above 2 per cent. In the event of cost decreases, conditional probabilities of price decreases (for any change in demand) have fallen. </w:t>
      </w:r>
      <w:r w:rsidR="00072766" w:rsidRPr="00FC7BB4">
        <w:rPr>
          <w:rFonts w:ascii="Times New Roman" w:hAnsi="Times New Roman" w:cs="Times New Roman"/>
          <w:sz w:val="24"/>
        </w:rPr>
        <w:t>T</w:t>
      </w:r>
      <w:r w:rsidRPr="00FC7BB4">
        <w:rPr>
          <w:rFonts w:ascii="Times New Roman" w:hAnsi="Times New Roman" w:cs="Times New Roman"/>
          <w:sz w:val="24"/>
        </w:rPr>
        <w:t xml:space="preserve">his paper </w:t>
      </w:r>
      <w:r w:rsidR="00072766" w:rsidRPr="00FC7BB4">
        <w:rPr>
          <w:rFonts w:ascii="Times New Roman" w:hAnsi="Times New Roman" w:cs="Times New Roman"/>
          <w:sz w:val="24"/>
        </w:rPr>
        <w:t xml:space="preserve">therefore </w:t>
      </w:r>
      <w:r w:rsidRPr="00FC7BB4">
        <w:rPr>
          <w:rFonts w:ascii="Times New Roman" w:hAnsi="Times New Roman" w:cs="Times New Roman"/>
          <w:sz w:val="24"/>
        </w:rPr>
        <w:t xml:space="preserve">reveals that pricing asymmetry has become more acute in recent </w:t>
      </w:r>
      <w:proofErr w:type="gramStart"/>
      <w:r w:rsidRPr="00FC7BB4">
        <w:rPr>
          <w:rFonts w:ascii="Times New Roman" w:hAnsi="Times New Roman" w:cs="Times New Roman"/>
          <w:sz w:val="24"/>
        </w:rPr>
        <w:t>years</w:t>
      </w:r>
      <w:proofErr w:type="gramEnd"/>
      <w:r w:rsidRPr="00FC7BB4">
        <w:rPr>
          <w:rFonts w:ascii="Times New Roman" w:hAnsi="Times New Roman" w:cs="Times New Roman"/>
          <w:sz w:val="24"/>
        </w:rPr>
        <w:t xml:space="preserve"> and this is especially evident during the COVID inflation era. </w:t>
      </w:r>
    </w:p>
    <w:p w14:paraId="15F9A86B" w14:textId="42ED60D6" w:rsidR="00307155" w:rsidRPr="00FC7BB4" w:rsidRDefault="00307155" w:rsidP="00F3101B">
      <w:pPr>
        <w:ind w:left="-15" w:right="27"/>
        <w:rPr>
          <w:rFonts w:ascii="Times New Roman" w:hAnsi="Times New Roman" w:cs="Times New Roman"/>
          <w:sz w:val="24"/>
        </w:rPr>
      </w:pPr>
      <w:r w:rsidRPr="00FC7BB4">
        <w:rPr>
          <w:rFonts w:ascii="Times New Roman" w:hAnsi="Times New Roman" w:cs="Times New Roman"/>
          <w:sz w:val="24"/>
        </w:rPr>
        <w:t>There are significant differences across industrial sectors and between small and large firms in the propensity to change prices.</w:t>
      </w:r>
      <w:r w:rsidR="00EF4B28" w:rsidRPr="00FC7BB4">
        <w:rPr>
          <w:rFonts w:ascii="Times New Roman" w:hAnsi="Times New Roman" w:cs="Times New Roman"/>
          <w:sz w:val="24"/>
        </w:rPr>
        <w:t xml:space="preserve"> </w:t>
      </w:r>
      <w:r w:rsidRPr="00FC7BB4">
        <w:rPr>
          <w:rFonts w:ascii="Times New Roman" w:hAnsi="Times New Roman" w:cs="Times New Roman"/>
          <w:sz w:val="24"/>
        </w:rPr>
        <w:t xml:space="preserve">The rise in the conditional probability of price increases during the COVID inflation era compared to earlier episodes of similar inflation </w:t>
      </w:r>
      <w:r w:rsidR="008E4894" w:rsidRPr="00FC7BB4">
        <w:rPr>
          <w:rFonts w:ascii="Times New Roman" w:hAnsi="Times New Roman" w:cs="Times New Roman"/>
          <w:sz w:val="24"/>
        </w:rPr>
        <w:t xml:space="preserve">rates </w:t>
      </w:r>
      <w:r w:rsidRPr="00FC7BB4">
        <w:rPr>
          <w:rFonts w:ascii="Times New Roman" w:hAnsi="Times New Roman" w:cs="Times New Roman"/>
          <w:sz w:val="24"/>
        </w:rPr>
        <w:t xml:space="preserve">was much stronger among Services sector firms than for firms in other sectors. </w:t>
      </w:r>
      <w:r w:rsidR="007B2CCD" w:rsidRPr="00FC7BB4">
        <w:rPr>
          <w:rFonts w:ascii="Times New Roman" w:hAnsi="Times New Roman" w:cs="Times New Roman"/>
          <w:sz w:val="24"/>
        </w:rPr>
        <w:t>T</w:t>
      </w:r>
      <w:r w:rsidRPr="00FC7BB4">
        <w:rPr>
          <w:rFonts w:ascii="Times New Roman" w:hAnsi="Times New Roman" w:cs="Times New Roman"/>
          <w:sz w:val="24"/>
        </w:rPr>
        <w:t>his tendency</w:t>
      </w:r>
      <w:r w:rsidR="007B2CCD" w:rsidRPr="00FC7BB4">
        <w:rPr>
          <w:rFonts w:ascii="Times New Roman" w:hAnsi="Times New Roman" w:cs="Times New Roman"/>
          <w:sz w:val="24"/>
        </w:rPr>
        <w:t xml:space="preserve"> to increase </w:t>
      </w:r>
      <w:r w:rsidR="00A65161" w:rsidRPr="00FC7BB4">
        <w:rPr>
          <w:rFonts w:ascii="Times New Roman" w:hAnsi="Times New Roman" w:cs="Times New Roman"/>
          <w:sz w:val="24"/>
        </w:rPr>
        <w:t>prices</w:t>
      </w:r>
      <w:r w:rsidRPr="00FC7BB4">
        <w:rPr>
          <w:rFonts w:ascii="Times New Roman" w:hAnsi="Times New Roman" w:cs="Times New Roman"/>
          <w:sz w:val="24"/>
        </w:rPr>
        <w:t xml:space="preserve"> has increased for both small and large firms in the Services sector</w:t>
      </w:r>
      <w:r w:rsidR="00A8366A" w:rsidRPr="00FC7BB4">
        <w:rPr>
          <w:rFonts w:ascii="Times New Roman" w:hAnsi="Times New Roman" w:cs="Times New Roman"/>
          <w:sz w:val="24"/>
        </w:rPr>
        <w:t xml:space="preserve"> and</w:t>
      </w:r>
      <w:r w:rsidRPr="00FC7BB4">
        <w:rPr>
          <w:rFonts w:ascii="Times New Roman" w:hAnsi="Times New Roman" w:cs="Times New Roman"/>
          <w:sz w:val="24"/>
        </w:rPr>
        <w:t xml:space="preserve"> for larger firms in the Merchant and Manufacturing sectors. The conditional probability of firms decreasing prices in response to decreases in costs has fallen in the Services sector for small and large firms, and for small firms in the Merchants sector</w:t>
      </w:r>
      <w:r w:rsidR="00C1695F" w:rsidRPr="00FC7BB4">
        <w:rPr>
          <w:rFonts w:ascii="Times New Roman" w:hAnsi="Times New Roman" w:cs="Times New Roman"/>
          <w:sz w:val="24"/>
        </w:rPr>
        <w:t xml:space="preserve">; this </w:t>
      </w:r>
      <w:r w:rsidR="00E35B11" w:rsidRPr="00FC7BB4">
        <w:rPr>
          <w:rFonts w:ascii="Times New Roman" w:hAnsi="Times New Roman" w:cs="Times New Roman"/>
          <w:sz w:val="24"/>
        </w:rPr>
        <w:t>change is more</w:t>
      </w:r>
      <w:r w:rsidRPr="00FC7BB4">
        <w:rPr>
          <w:rFonts w:ascii="Times New Roman" w:hAnsi="Times New Roman" w:cs="Times New Roman"/>
          <w:sz w:val="24"/>
        </w:rPr>
        <w:t xml:space="preserve"> evident a</w:t>
      </w:r>
      <w:r w:rsidR="00E35B11" w:rsidRPr="00FC7BB4">
        <w:rPr>
          <w:rFonts w:ascii="Times New Roman" w:hAnsi="Times New Roman" w:cs="Times New Roman"/>
          <w:sz w:val="24"/>
        </w:rPr>
        <w:t>t higher levels of</w:t>
      </w:r>
      <w:r w:rsidRPr="00FC7BB4">
        <w:rPr>
          <w:rFonts w:ascii="Times New Roman" w:hAnsi="Times New Roman" w:cs="Times New Roman"/>
          <w:sz w:val="24"/>
        </w:rPr>
        <w:t xml:space="preserve"> inflation. </w:t>
      </w:r>
      <w:r w:rsidR="00D336E5" w:rsidRPr="00FC7BB4">
        <w:rPr>
          <w:rFonts w:ascii="Times New Roman" w:hAnsi="Times New Roman" w:cs="Times New Roman"/>
          <w:sz w:val="24"/>
        </w:rPr>
        <w:t>T</w:t>
      </w:r>
      <w:r w:rsidRPr="00FC7BB4">
        <w:rPr>
          <w:rFonts w:ascii="Times New Roman" w:hAnsi="Times New Roman" w:cs="Times New Roman"/>
          <w:sz w:val="24"/>
        </w:rPr>
        <w:t>he firm-level behavioural changes identified in this paper are most pronounced in the Services sector. Combined with the increasing prominence of Services in the overall economy, these changes have led to substantial shifts in aggregate pricing behaviour.</w:t>
      </w:r>
    </w:p>
    <w:p w14:paraId="261452C0" w14:textId="0A37453A" w:rsidR="00307155" w:rsidRPr="00FC7BB4" w:rsidRDefault="00307155" w:rsidP="00F3101B">
      <w:pPr>
        <w:ind w:left="-15" w:right="27"/>
        <w:rPr>
          <w:rFonts w:ascii="Times New Roman" w:hAnsi="Times New Roman" w:cs="Times New Roman"/>
          <w:sz w:val="24"/>
        </w:rPr>
      </w:pPr>
      <w:r w:rsidRPr="00FC7BB4">
        <w:rPr>
          <w:rFonts w:ascii="Times New Roman" w:hAnsi="Times New Roman" w:cs="Times New Roman"/>
          <w:sz w:val="24"/>
        </w:rPr>
        <w:t>The rise in the conditional probability to increase prices is consistent with the idea that changes in information technology have the potential to both reduce the</w:t>
      </w:r>
      <w:r w:rsidR="00515738" w:rsidRPr="00FC7BB4">
        <w:rPr>
          <w:rFonts w:ascii="Times New Roman" w:hAnsi="Times New Roman" w:cs="Times New Roman"/>
          <w:sz w:val="24"/>
        </w:rPr>
        <w:t xml:space="preserve"> costs</w:t>
      </w:r>
      <w:r w:rsidRPr="00FC7BB4">
        <w:rPr>
          <w:rFonts w:ascii="Times New Roman" w:hAnsi="Times New Roman" w:cs="Times New Roman"/>
          <w:sz w:val="24"/>
        </w:rPr>
        <w:t xml:space="preserve"> of price adjustment</w:t>
      </w:r>
      <w:r w:rsidR="00515738" w:rsidRPr="00FC7BB4">
        <w:rPr>
          <w:rFonts w:ascii="Times New Roman" w:hAnsi="Times New Roman" w:cs="Times New Roman"/>
          <w:sz w:val="24"/>
        </w:rPr>
        <w:t xml:space="preserve"> (both menu costs and price review costs</w:t>
      </w:r>
      <w:r w:rsidR="008E4894" w:rsidRPr="00FC7BB4">
        <w:rPr>
          <w:rFonts w:ascii="Times New Roman" w:hAnsi="Times New Roman" w:cs="Times New Roman"/>
          <w:sz w:val="24"/>
        </w:rPr>
        <w:t>) and</w:t>
      </w:r>
      <w:r w:rsidRPr="00FC7BB4">
        <w:rPr>
          <w:rFonts w:ascii="Times New Roman" w:hAnsi="Times New Roman" w:cs="Times New Roman"/>
          <w:sz w:val="24"/>
        </w:rPr>
        <w:t xml:space="preserve"> reduce </w:t>
      </w:r>
      <w:r w:rsidR="00C8702C" w:rsidRPr="00FC7BB4">
        <w:rPr>
          <w:rFonts w:ascii="Times New Roman" w:hAnsi="Times New Roman" w:cs="Times New Roman"/>
          <w:sz w:val="24"/>
        </w:rPr>
        <w:t xml:space="preserve">firms’ </w:t>
      </w:r>
      <w:r w:rsidRPr="00FC7BB4">
        <w:rPr>
          <w:rFonts w:ascii="Times New Roman" w:hAnsi="Times New Roman" w:cs="Times New Roman"/>
          <w:sz w:val="24"/>
        </w:rPr>
        <w:t>propensity to ‘wait and see’ when considering price adjustment by improving the timeliness and quality of cost and demand information. The</w:t>
      </w:r>
      <w:r w:rsidR="008E4894" w:rsidRPr="00FC7BB4">
        <w:rPr>
          <w:rFonts w:ascii="Times New Roman" w:hAnsi="Times New Roman" w:cs="Times New Roman"/>
          <w:sz w:val="24"/>
        </w:rPr>
        <w:t xml:space="preserve"> changes in pricing behaviour</w:t>
      </w:r>
      <w:r w:rsidRPr="00FC7BB4">
        <w:rPr>
          <w:rFonts w:ascii="Times New Roman" w:hAnsi="Times New Roman" w:cs="Times New Roman"/>
          <w:sz w:val="24"/>
        </w:rPr>
        <w:t xml:space="preserve"> are also consistent with the growing body of evidence that online selling generates competitive pressures that result in more flexible prices </w:t>
      </w:r>
      <w:r w:rsidRPr="00FC7BB4">
        <w:rPr>
          <w:rFonts w:ascii="Times New Roman" w:hAnsi="Times New Roman" w:cs="Times New Roman"/>
          <w:sz w:val="24"/>
        </w:rPr>
        <w:lastRenderedPageBreak/>
        <w:t>and greater pass-through of costs. These technologically based explanations, however, also predict that the conditional probability to decrease prices when cost and demand conditions warrant, should have increased.</w:t>
      </w:r>
      <w:r w:rsidR="008E4894" w:rsidRPr="00FC7BB4">
        <w:rPr>
          <w:rFonts w:ascii="Times New Roman" w:hAnsi="Times New Roman" w:cs="Times New Roman"/>
          <w:sz w:val="24"/>
        </w:rPr>
        <w:t xml:space="preserve"> </w:t>
      </w:r>
      <w:r w:rsidR="00DC2458" w:rsidRPr="00FC7BB4">
        <w:rPr>
          <w:rFonts w:ascii="Times New Roman" w:hAnsi="Times New Roman" w:cs="Times New Roman"/>
          <w:sz w:val="24"/>
        </w:rPr>
        <w:t xml:space="preserve">That is, prices should have </w:t>
      </w:r>
      <w:r w:rsidR="008E4894" w:rsidRPr="00FC7BB4">
        <w:rPr>
          <w:rFonts w:ascii="Times New Roman" w:hAnsi="Times New Roman" w:cs="Times New Roman"/>
          <w:sz w:val="24"/>
        </w:rPr>
        <w:t xml:space="preserve">also </w:t>
      </w:r>
      <w:r w:rsidR="00DC2458" w:rsidRPr="00FC7BB4">
        <w:rPr>
          <w:rFonts w:ascii="Times New Roman" w:hAnsi="Times New Roman" w:cs="Times New Roman"/>
          <w:sz w:val="24"/>
        </w:rPr>
        <w:t xml:space="preserve">become more flexible downwards. </w:t>
      </w:r>
      <w:r w:rsidRPr="00FC7BB4">
        <w:rPr>
          <w:rFonts w:ascii="Times New Roman" w:hAnsi="Times New Roman" w:cs="Times New Roman"/>
          <w:sz w:val="24"/>
        </w:rPr>
        <w:t>We do not observe this.</w:t>
      </w:r>
      <w:r w:rsidR="00F06375" w:rsidRPr="00FC7BB4">
        <w:rPr>
          <w:rFonts w:ascii="Times New Roman" w:hAnsi="Times New Roman" w:cs="Times New Roman"/>
          <w:sz w:val="24"/>
        </w:rPr>
        <w:t xml:space="preserve"> This decreased downward flexibility, and the increased use of </w:t>
      </w:r>
      <w:r w:rsidR="007568DD" w:rsidRPr="00FC7BB4">
        <w:rPr>
          <w:rFonts w:ascii="Times New Roman" w:hAnsi="Times New Roman" w:cs="Times New Roman"/>
          <w:sz w:val="24"/>
        </w:rPr>
        <w:t>smaller, but more frequent, price increases</w:t>
      </w:r>
      <w:r w:rsidR="001D558C" w:rsidRPr="00FC7BB4">
        <w:rPr>
          <w:rFonts w:ascii="Times New Roman" w:hAnsi="Times New Roman" w:cs="Times New Roman"/>
          <w:sz w:val="24"/>
        </w:rPr>
        <w:t xml:space="preserve"> by firms</w:t>
      </w:r>
      <w:r w:rsidR="007568DD" w:rsidRPr="00FC7BB4">
        <w:rPr>
          <w:rFonts w:ascii="Times New Roman" w:hAnsi="Times New Roman" w:cs="Times New Roman"/>
          <w:sz w:val="24"/>
        </w:rPr>
        <w:t xml:space="preserve"> is consistent</w:t>
      </w:r>
      <w:r w:rsidR="00D22621" w:rsidRPr="00FC7BB4">
        <w:rPr>
          <w:rFonts w:ascii="Times New Roman" w:hAnsi="Times New Roman" w:cs="Times New Roman"/>
          <w:sz w:val="24"/>
        </w:rPr>
        <w:t>, however,</w:t>
      </w:r>
      <w:r w:rsidR="00AF1002" w:rsidRPr="00FC7BB4">
        <w:rPr>
          <w:rFonts w:ascii="Times New Roman" w:hAnsi="Times New Roman" w:cs="Times New Roman"/>
          <w:sz w:val="24"/>
        </w:rPr>
        <w:t xml:space="preserve"> with </w:t>
      </w:r>
      <w:r w:rsidR="00CF1F2F" w:rsidRPr="00FC7BB4">
        <w:rPr>
          <w:rFonts w:ascii="Times New Roman" w:hAnsi="Times New Roman" w:cs="Times New Roman"/>
          <w:sz w:val="24"/>
        </w:rPr>
        <w:t>a lower elasti</w:t>
      </w:r>
      <w:r w:rsidR="00E22550" w:rsidRPr="00FC7BB4">
        <w:rPr>
          <w:rFonts w:ascii="Times New Roman" w:hAnsi="Times New Roman" w:cs="Times New Roman"/>
          <w:sz w:val="24"/>
        </w:rPr>
        <w:t>city of demand</w:t>
      </w:r>
      <w:r w:rsidR="00DA6A25" w:rsidRPr="00FC7BB4">
        <w:rPr>
          <w:rFonts w:ascii="Times New Roman" w:hAnsi="Times New Roman" w:cs="Times New Roman"/>
          <w:sz w:val="24"/>
        </w:rPr>
        <w:t xml:space="preserve"> to price chan</w:t>
      </w:r>
      <w:r w:rsidR="00C91FDA" w:rsidRPr="00FC7BB4">
        <w:rPr>
          <w:rFonts w:ascii="Times New Roman" w:hAnsi="Times New Roman" w:cs="Times New Roman"/>
          <w:sz w:val="24"/>
        </w:rPr>
        <w:t>g</w:t>
      </w:r>
      <w:r w:rsidR="00DA6A25" w:rsidRPr="00FC7BB4">
        <w:rPr>
          <w:rFonts w:ascii="Times New Roman" w:hAnsi="Times New Roman" w:cs="Times New Roman"/>
          <w:sz w:val="24"/>
        </w:rPr>
        <w:t>es</w:t>
      </w:r>
      <w:r w:rsidR="00E22550" w:rsidRPr="00FC7BB4">
        <w:rPr>
          <w:rFonts w:ascii="Times New Roman" w:hAnsi="Times New Roman" w:cs="Times New Roman"/>
          <w:sz w:val="24"/>
        </w:rPr>
        <w:t>.</w:t>
      </w:r>
      <w:r w:rsidR="008E4894" w:rsidRPr="00FC7BB4">
        <w:rPr>
          <w:rFonts w:ascii="Times New Roman" w:hAnsi="Times New Roman" w:cs="Times New Roman"/>
          <w:sz w:val="24"/>
        </w:rPr>
        <w:t xml:space="preserve"> </w:t>
      </w:r>
      <w:r w:rsidR="0052354A" w:rsidRPr="00FC7BB4">
        <w:rPr>
          <w:rFonts w:ascii="Times New Roman" w:hAnsi="Times New Roman" w:cs="Times New Roman"/>
          <w:sz w:val="24"/>
        </w:rPr>
        <w:t xml:space="preserve">This lower elasticity of demand may reflect greater consumer inattention to </w:t>
      </w:r>
      <w:r w:rsidR="008E4894" w:rsidRPr="00FC7BB4">
        <w:rPr>
          <w:rFonts w:ascii="Times New Roman" w:hAnsi="Times New Roman" w:cs="Times New Roman"/>
          <w:sz w:val="24"/>
        </w:rPr>
        <w:t xml:space="preserve">small </w:t>
      </w:r>
      <w:r w:rsidR="0052354A" w:rsidRPr="00FC7BB4">
        <w:rPr>
          <w:rFonts w:ascii="Times New Roman" w:hAnsi="Times New Roman" w:cs="Times New Roman"/>
          <w:sz w:val="24"/>
        </w:rPr>
        <w:t xml:space="preserve">price changes, </w:t>
      </w:r>
      <w:r w:rsidR="00670E7C" w:rsidRPr="00FC7BB4">
        <w:rPr>
          <w:rFonts w:ascii="Times New Roman" w:hAnsi="Times New Roman" w:cs="Times New Roman"/>
          <w:sz w:val="24"/>
        </w:rPr>
        <w:t>because of</w:t>
      </w:r>
      <w:r w:rsidR="0052354A" w:rsidRPr="00FC7BB4">
        <w:rPr>
          <w:rFonts w:ascii="Times New Roman" w:hAnsi="Times New Roman" w:cs="Times New Roman"/>
          <w:sz w:val="24"/>
        </w:rPr>
        <w:t xml:space="preserve"> higher labour force participation and, consequently, more time-constrained households.</w:t>
      </w:r>
      <w:r w:rsidR="005E783F" w:rsidRPr="00FC7BB4">
        <w:rPr>
          <w:rFonts w:ascii="Times New Roman" w:hAnsi="Times New Roman" w:cs="Times New Roman"/>
          <w:sz w:val="24"/>
        </w:rPr>
        <w:t xml:space="preserve"> </w:t>
      </w:r>
      <w:r w:rsidRPr="00FC7BB4">
        <w:rPr>
          <w:rFonts w:ascii="Times New Roman" w:hAnsi="Times New Roman" w:cs="Times New Roman"/>
          <w:sz w:val="24"/>
        </w:rPr>
        <w:t xml:space="preserve">The paper </w:t>
      </w:r>
      <w:r w:rsidR="005E783F" w:rsidRPr="00FC7BB4">
        <w:rPr>
          <w:rFonts w:ascii="Times New Roman" w:hAnsi="Times New Roman" w:cs="Times New Roman"/>
          <w:sz w:val="24"/>
        </w:rPr>
        <w:t xml:space="preserve">also </w:t>
      </w:r>
      <w:r w:rsidRPr="00FC7BB4">
        <w:rPr>
          <w:rFonts w:ascii="Times New Roman" w:hAnsi="Times New Roman" w:cs="Times New Roman"/>
          <w:sz w:val="24"/>
        </w:rPr>
        <w:t>reports a significant increase during recent years in the propensity for firms to increase profit margins as inflation increases</w:t>
      </w:r>
      <w:r w:rsidR="00321A21" w:rsidRPr="00FC7BB4">
        <w:rPr>
          <w:rFonts w:ascii="Times New Roman" w:hAnsi="Times New Roman" w:cs="Times New Roman"/>
          <w:sz w:val="24"/>
        </w:rPr>
        <w:t xml:space="preserve"> under conditions when costs and demand do not change and therefore </w:t>
      </w:r>
      <w:r w:rsidR="00544D17" w:rsidRPr="00FC7BB4">
        <w:rPr>
          <w:rFonts w:ascii="Times New Roman" w:hAnsi="Times New Roman" w:cs="Times New Roman"/>
          <w:sz w:val="24"/>
        </w:rPr>
        <w:t xml:space="preserve">when </w:t>
      </w:r>
      <w:r w:rsidR="00524F7F" w:rsidRPr="00FC7BB4">
        <w:rPr>
          <w:rFonts w:ascii="Times New Roman" w:hAnsi="Times New Roman" w:cs="Times New Roman"/>
          <w:sz w:val="24"/>
        </w:rPr>
        <w:t xml:space="preserve">there should be no change to </w:t>
      </w:r>
      <w:proofErr w:type="gramStart"/>
      <w:r w:rsidR="00524F7F" w:rsidRPr="00FC7BB4">
        <w:rPr>
          <w:rFonts w:ascii="Times New Roman" w:hAnsi="Times New Roman" w:cs="Times New Roman"/>
          <w:sz w:val="24"/>
        </w:rPr>
        <w:t>firm</w:t>
      </w:r>
      <w:r w:rsidR="00544D17" w:rsidRPr="00FC7BB4">
        <w:rPr>
          <w:rFonts w:ascii="Times New Roman" w:hAnsi="Times New Roman" w:cs="Times New Roman"/>
          <w:sz w:val="24"/>
        </w:rPr>
        <w:t>s’</w:t>
      </w:r>
      <w:proofErr w:type="gramEnd"/>
      <w:r w:rsidR="00524F7F" w:rsidRPr="00FC7BB4">
        <w:rPr>
          <w:rFonts w:ascii="Times New Roman" w:hAnsi="Times New Roman" w:cs="Times New Roman"/>
          <w:sz w:val="24"/>
        </w:rPr>
        <w:t xml:space="preserve"> desired relative price</w:t>
      </w:r>
      <w:r w:rsidR="00544D17" w:rsidRPr="00FC7BB4">
        <w:rPr>
          <w:rFonts w:ascii="Times New Roman" w:hAnsi="Times New Roman" w:cs="Times New Roman"/>
          <w:sz w:val="24"/>
        </w:rPr>
        <w:t>s</w:t>
      </w:r>
      <w:r w:rsidRPr="00FC7BB4">
        <w:rPr>
          <w:rFonts w:ascii="Times New Roman" w:hAnsi="Times New Roman" w:cs="Times New Roman"/>
          <w:sz w:val="24"/>
        </w:rPr>
        <w:t xml:space="preserve">. This result is consistent with firms taking advantage of consumer relative and absolute price confusion </w:t>
      </w:r>
      <w:r w:rsidR="00F878BF" w:rsidRPr="00FC7BB4">
        <w:rPr>
          <w:rFonts w:ascii="Times New Roman" w:hAnsi="Times New Roman" w:cs="Times New Roman"/>
          <w:sz w:val="24"/>
        </w:rPr>
        <w:t xml:space="preserve">or inattention (or both) </w:t>
      </w:r>
      <w:r w:rsidRPr="00FC7BB4">
        <w:rPr>
          <w:rFonts w:ascii="Times New Roman" w:hAnsi="Times New Roman" w:cs="Times New Roman"/>
          <w:sz w:val="24"/>
        </w:rPr>
        <w:t xml:space="preserve">to restore profits after COVID-19 related ‘shelter-in-place’ orders were lifted. </w:t>
      </w:r>
      <w:r w:rsidR="00D91D86" w:rsidRPr="00FC7BB4">
        <w:rPr>
          <w:rFonts w:ascii="Times New Roman" w:hAnsi="Times New Roman" w:cs="Times New Roman"/>
          <w:sz w:val="24"/>
        </w:rPr>
        <w:t xml:space="preserve"> </w:t>
      </w:r>
      <w:r w:rsidRPr="00FC7BB4">
        <w:rPr>
          <w:rFonts w:ascii="Times New Roman" w:hAnsi="Times New Roman" w:cs="Times New Roman"/>
          <w:sz w:val="24"/>
        </w:rPr>
        <w:t xml:space="preserve"> </w:t>
      </w:r>
    </w:p>
    <w:p w14:paraId="74B75EDF" w14:textId="69751E5B" w:rsidR="00307155" w:rsidRPr="00FC7BB4" w:rsidRDefault="00307155" w:rsidP="00F3101B">
      <w:pPr>
        <w:spacing w:after="120" w:line="331" w:lineRule="auto"/>
        <w:ind w:left="-17" w:right="27"/>
        <w:rPr>
          <w:rFonts w:ascii="Times New Roman" w:hAnsi="Times New Roman" w:cs="Times New Roman"/>
          <w:sz w:val="24"/>
        </w:rPr>
      </w:pPr>
      <w:r w:rsidRPr="00FC7BB4">
        <w:rPr>
          <w:rFonts w:ascii="Times New Roman" w:hAnsi="Times New Roman" w:cs="Times New Roman"/>
          <w:sz w:val="24"/>
        </w:rPr>
        <w:t xml:space="preserve">The results reported in this paper imply that inflation dynamics today, and certainly during the COVID inflation episode, are different to the dynamics of earlier decades. In view of the importance of price change frequency for understanding inflation dynamics, it would seem important that macroeconomic models, methods of forecasting of inflation, and the decision-making processes of central bank monetary policy committees recognise </w:t>
      </w:r>
      <w:r w:rsidR="00C83016" w:rsidRPr="00FC7BB4">
        <w:rPr>
          <w:rFonts w:ascii="Times New Roman" w:hAnsi="Times New Roman" w:cs="Times New Roman"/>
          <w:sz w:val="24"/>
        </w:rPr>
        <w:t xml:space="preserve">and adapt to </w:t>
      </w:r>
      <w:r w:rsidRPr="00FC7BB4">
        <w:rPr>
          <w:rFonts w:ascii="Times New Roman" w:hAnsi="Times New Roman" w:cs="Times New Roman"/>
          <w:sz w:val="24"/>
        </w:rPr>
        <w:t xml:space="preserve">these changes in pricing behaviour. </w:t>
      </w:r>
    </w:p>
    <w:bookmarkEnd w:id="96"/>
    <w:p w14:paraId="66CA4887" w14:textId="77777777" w:rsidR="00F3101B" w:rsidRPr="00FC7BB4" w:rsidRDefault="00F3101B" w:rsidP="00F3101B">
      <w:pPr>
        <w:spacing w:after="160" w:line="278" w:lineRule="auto"/>
        <w:ind w:right="27" w:firstLine="0"/>
        <w:jc w:val="left"/>
        <w:rPr>
          <w:rFonts w:ascii="Times New Roman" w:hAnsi="Times New Roman" w:cs="Times New Roman"/>
          <w:b/>
          <w:bCs/>
          <w:sz w:val="24"/>
        </w:rPr>
      </w:pPr>
    </w:p>
    <w:p w14:paraId="265B96CA" w14:textId="77777777" w:rsidR="00F3101B" w:rsidRPr="00FC7BB4" w:rsidRDefault="00F3101B" w:rsidP="00F3101B">
      <w:pPr>
        <w:spacing w:after="160" w:line="278" w:lineRule="auto"/>
        <w:ind w:right="27" w:firstLine="0"/>
        <w:jc w:val="left"/>
        <w:rPr>
          <w:rFonts w:ascii="Times New Roman" w:hAnsi="Times New Roman" w:cs="Times New Roman"/>
          <w:b/>
          <w:bCs/>
          <w:sz w:val="24"/>
        </w:rPr>
      </w:pPr>
    </w:p>
    <w:p w14:paraId="01C79602" w14:textId="77777777" w:rsidR="00F3101B" w:rsidRPr="00FC7BB4" w:rsidRDefault="00F3101B" w:rsidP="00F3101B">
      <w:pPr>
        <w:spacing w:after="160" w:line="278" w:lineRule="auto"/>
        <w:ind w:right="27" w:firstLine="0"/>
        <w:jc w:val="left"/>
        <w:rPr>
          <w:rFonts w:ascii="Times New Roman" w:hAnsi="Times New Roman" w:cs="Times New Roman"/>
          <w:b/>
          <w:bCs/>
          <w:sz w:val="24"/>
        </w:rPr>
      </w:pPr>
    </w:p>
    <w:p w14:paraId="086E097B" w14:textId="77777777" w:rsidR="00F3101B" w:rsidRPr="00FC7BB4" w:rsidRDefault="00F3101B" w:rsidP="00F3101B">
      <w:pPr>
        <w:spacing w:after="160" w:line="278" w:lineRule="auto"/>
        <w:ind w:right="27" w:firstLine="0"/>
        <w:jc w:val="left"/>
        <w:rPr>
          <w:rFonts w:ascii="Times New Roman" w:hAnsi="Times New Roman" w:cs="Times New Roman"/>
          <w:b/>
          <w:bCs/>
          <w:sz w:val="24"/>
        </w:rPr>
      </w:pPr>
    </w:p>
    <w:p w14:paraId="25059240" w14:textId="77777777" w:rsidR="00F3101B" w:rsidRPr="00FC7BB4" w:rsidRDefault="00F3101B" w:rsidP="00F3101B">
      <w:pPr>
        <w:spacing w:after="160" w:line="278" w:lineRule="auto"/>
        <w:ind w:right="27" w:firstLine="0"/>
        <w:jc w:val="left"/>
        <w:rPr>
          <w:rFonts w:ascii="Times New Roman" w:hAnsi="Times New Roman" w:cs="Times New Roman"/>
          <w:b/>
          <w:bCs/>
          <w:sz w:val="24"/>
        </w:rPr>
      </w:pPr>
    </w:p>
    <w:p w14:paraId="6243E8BE" w14:textId="77777777" w:rsidR="00F3101B" w:rsidRPr="00FC7BB4" w:rsidRDefault="00F3101B" w:rsidP="00F3101B">
      <w:pPr>
        <w:spacing w:after="160" w:line="278" w:lineRule="auto"/>
        <w:ind w:right="27" w:firstLine="0"/>
        <w:jc w:val="left"/>
        <w:rPr>
          <w:rFonts w:ascii="Times New Roman" w:hAnsi="Times New Roman" w:cs="Times New Roman"/>
          <w:b/>
          <w:bCs/>
          <w:sz w:val="24"/>
        </w:rPr>
      </w:pPr>
    </w:p>
    <w:p w14:paraId="01E3C930" w14:textId="77777777" w:rsidR="00F3101B" w:rsidRDefault="00F3101B" w:rsidP="00F3101B">
      <w:pPr>
        <w:spacing w:after="160" w:line="278" w:lineRule="auto"/>
        <w:ind w:right="27" w:firstLine="0"/>
        <w:jc w:val="left"/>
        <w:rPr>
          <w:rFonts w:ascii="Times New Roman" w:hAnsi="Times New Roman" w:cs="Times New Roman"/>
          <w:b/>
          <w:bCs/>
          <w:sz w:val="24"/>
        </w:rPr>
      </w:pPr>
    </w:p>
    <w:p w14:paraId="5FEF3435" w14:textId="77777777" w:rsidR="00717BD6" w:rsidRDefault="00717BD6" w:rsidP="00F3101B">
      <w:pPr>
        <w:spacing w:after="160" w:line="278" w:lineRule="auto"/>
        <w:ind w:right="27" w:firstLine="0"/>
        <w:jc w:val="left"/>
        <w:rPr>
          <w:rFonts w:ascii="Times New Roman" w:hAnsi="Times New Roman" w:cs="Times New Roman"/>
          <w:b/>
          <w:bCs/>
          <w:sz w:val="24"/>
        </w:rPr>
      </w:pPr>
    </w:p>
    <w:p w14:paraId="40EB3245" w14:textId="77777777" w:rsidR="00717BD6" w:rsidRDefault="00717BD6" w:rsidP="00F3101B">
      <w:pPr>
        <w:spacing w:after="160" w:line="278" w:lineRule="auto"/>
        <w:ind w:right="27" w:firstLine="0"/>
        <w:jc w:val="left"/>
        <w:rPr>
          <w:rFonts w:ascii="Times New Roman" w:hAnsi="Times New Roman" w:cs="Times New Roman"/>
          <w:b/>
          <w:bCs/>
          <w:sz w:val="24"/>
        </w:rPr>
      </w:pPr>
    </w:p>
    <w:p w14:paraId="4CE05882" w14:textId="77777777" w:rsidR="00717BD6" w:rsidRDefault="00717BD6" w:rsidP="00F3101B">
      <w:pPr>
        <w:spacing w:after="160" w:line="278" w:lineRule="auto"/>
        <w:ind w:right="27" w:firstLine="0"/>
        <w:jc w:val="left"/>
        <w:rPr>
          <w:rFonts w:ascii="Times New Roman" w:hAnsi="Times New Roman" w:cs="Times New Roman"/>
          <w:b/>
          <w:bCs/>
          <w:sz w:val="24"/>
        </w:rPr>
      </w:pPr>
    </w:p>
    <w:p w14:paraId="6608282D" w14:textId="77777777" w:rsidR="00717BD6" w:rsidRDefault="00717BD6" w:rsidP="00F3101B">
      <w:pPr>
        <w:spacing w:after="160" w:line="278" w:lineRule="auto"/>
        <w:ind w:right="27" w:firstLine="0"/>
        <w:jc w:val="left"/>
        <w:rPr>
          <w:rFonts w:ascii="Times New Roman" w:hAnsi="Times New Roman" w:cs="Times New Roman"/>
          <w:b/>
          <w:bCs/>
          <w:sz w:val="24"/>
        </w:rPr>
      </w:pPr>
    </w:p>
    <w:p w14:paraId="55E509C3" w14:textId="77777777" w:rsidR="00717BD6" w:rsidRDefault="00717BD6" w:rsidP="00F3101B">
      <w:pPr>
        <w:spacing w:after="160" w:line="278" w:lineRule="auto"/>
        <w:ind w:right="27" w:firstLine="0"/>
        <w:jc w:val="left"/>
        <w:rPr>
          <w:rFonts w:ascii="Times New Roman" w:hAnsi="Times New Roman" w:cs="Times New Roman"/>
          <w:b/>
          <w:bCs/>
          <w:sz w:val="24"/>
        </w:rPr>
      </w:pPr>
    </w:p>
    <w:p w14:paraId="7732C447" w14:textId="77777777" w:rsidR="00717BD6" w:rsidRDefault="00717BD6" w:rsidP="00F3101B">
      <w:pPr>
        <w:spacing w:after="160" w:line="278" w:lineRule="auto"/>
        <w:ind w:right="27" w:firstLine="0"/>
        <w:jc w:val="left"/>
        <w:rPr>
          <w:rFonts w:ascii="Times New Roman" w:hAnsi="Times New Roman" w:cs="Times New Roman"/>
          <w:b/>
          <w:bCs/>
          <w:sz w:val="24"/>
        </w:rPr>
      </w:pPr>
    </w:p>
    <w:p w14:paraId="407A3B2E" w14:textId="77777777" w:rsidR="00717BD6" w:rsidRDefault="00717BD6" w:rsidP="00F3101B">
      <w:pPr>
        <w:spacing w:after="160" w:line="278" w:lineRule="auto"/>
        <w:ind w:right="27" w:firstLine="0"/>
        <w:jc w:val="left"/>
        <w:rPr>
          <w:rFonts w:ascii="Times New Roman" w:hAnsi="Times New Roman" w:cs="Times New Roman"/>
          <w:b/>
          <w:bCs/>
          <w:sz w:val="24"/>
        </w:rPr>
      </w:pPr>
    </w:p>
    <w:p w14:paraId="41AD5008" w14:textId="77777777" w:rsidR="00717BD6" w:rsidRPr="00FC7BB4" w:rsidRDefault="00717BD6" w:rsidP="00F3101B">
      <w:pPr>
        <w:spacing w:after="160" w:line="278" w:lineRule="auto"/>
        <w:ind w:right="27" w:firstLine="0"/>
        <w:jc w:val="left"/>
        <w:rPr>
          <w:rFonts w:ascii="Times New Roman" w:hAnsi="Times New Roman" w:cs="Times New Roman"/>
          <w:b/>
          <w:bCs/>
          <w:sz w:val="24"/>
        </w:rPr>
      </w:pPr>
    </w:p>
    <w:p w14:paraId="39BF8A06" w14:textId="64E0BEBB" w:rsidR="00307155" w:rsidRPr="00FC7BB4" w:rsidRDefault="00307155" w:rsidP="00F3101B">
      <w:pPr>
        <w:spacing w:after="160" w:line="278" w:lineRule="auto"/>
        <w:ind w:right="27" w:firstLine="0"/>
        <w:jc w:val="left"/>
        <w:rPr>
          <w:rFonts w:ascii="Times New Roman" w:hAnsi="Times New Roman" w:cs="Times New Roman"/>
          <w:b/>
          <w:bCs/>
          <w:sz w:val="24"/>
        </w:rPr>
      </w:pPr>
      <w:r w:rsidRPr="00FC7BB4">
        <w:rPr>
          <w:rFonts w:ascii="Times New Roman" w:hAnsi="Times New Roman" w:cs="Times New Roman"/>
          <w:b/>
          <w:bCs/>
          <w:sz w:val="24"/>
        </w:rPr>
        <w:lastRenderedPageBreak/>
        <w:t>References</w:t>
      </w:r>
    </w:p>
    <w:p w14:paraId="6459D28F" w14:textId="6EA82F4F" w:rsidR="00CA4523" w:rsidRPr="00FC7BB4" w:rsidRDefault="00814E8D" w:rsidP="0008355B">
      <w:pPr>
        <w:spacing w:after="120" w:line="240" w:lineRule="auto"/>
        <w:ind w:right="0" w:firstLine="0"/>
        <w:rPr>
          <w:rFonts w:ascii="Times New Roman" w:eastAsia="Times New Roman" w:hAnsi="Times New Roman" w:cs="Times New Roman"/>
          <w:color w:val="auto"/>
          <w:kern w:val="0"/>
          <w:sz w:val="24"/>
          <w14:ligatures w14:val="none"/>
        </w:rPr>
      </w:pPr>
      <w:bookmarkStart w:id="97" w:name="_Hlk213336251"/>
      <w:bookmarkStart w:id="98" w:name="_Hlk213336284"/>
      <w:r w:rsidRPr="00FC7BB4">
        <w:rPr>
          <w:rFonts w:ascii="Times New Roman" w:hAnsi="Times New Roman" w:cs="Times New Roman"/>
          <w:sz w:val="24"/>
        </w:rPr>
        <w:t xml:space="preserve">Abrardi, L., C. </w:t>
      </w:r>
      <w:proofErr w:type="spellStart"/>
      <w:r w:rsidRPr="00FC7BB4">
        <w:rPr>
          <w:rFonts w:ascii="Times New Roman" w:hAnsi="Times New Roman" w:cs="Times New Roman"/>
          <w:sz w:val="24"/>
        </w:rPr>
        <w:t>Cambini</w:t>
      </w:r>
      <w:proofErr w:type="spellEnd"/>
      <w:r w:rsidRPr="00FC7BB4">
        <w:rPr>
          <w:rFonts w:ascii="Times New Roman" w:hAnsi="Times New Roman" w:cs="Times New Roman"/>
          <w:sz w:val="24"/>
        </w:rPr>
        <w:t xml:space="preserve">, and L. Rondi (2022) Artificial intelligence, firms and consumer </w:t>
      </w:r>
      <w:proofErr w:type="spellStart"/>
      <w:r w:rsidRPr="00FC7BB4">
        <w:rPr>
          <w:rFonts w:ascii="Times New Roman" w:hAnsi="Times New Roman" w:cs="Times New Roman"/>
          <w:sz w:val="24"/>
        </w:rPr>
        <w:t>behavior</w:t>
      </w:r>
      <w:proofErr w:type="spellEnd"/>
      <w:r w:rsidRPr="00FC7BB4">
        <w:rPr>
          <w:rFonts w:ascii="Times New Roman" w:hAnsi="Times New Roman" w:cs="Times New Roman"/>
          <w:sz w:val="24"/>
        </w:rPr>
        <w:t>: A survey. </w:t>
      </w:r>
      <w:r w:rsidRPr="00FC7BB4">
        <w:rPr>
          <w:rFonts w:ascii="Times New Roman" w:hAnsi="Times New Roman" w:cs="Times New Roman"/>
          <w:i/>
          <w:iCs/>
          <w:sz w:val="24"/>
        </w:rPr>
        <w:t>Journal of Economic Surveys</w:t>
      </w:r>
      <w:r w:rsidRPr="00FC7BB4">
        <w:rPr>
          <w:rFonts w:ascii="Times New Roman" w:hAnsi="Times New Roman" w:cs="Times New Roman"/>
          <w:sz w:val="24"/>
        </w:rPr>
        <w:t>, </w:t>
      </w:r>
      <w:r w:rsidRPr="00FC7BB4">
        <w:rPr>
          <w:rFonts w:ascii="Times New Roman" w:hAnsi="Times New Roman" w:cs="Times New Roman"/>
          <w:i/>
          <w:iCs/>
          <w:sz w:val="24"/>
        </w:rPr>
        <w:t>36</w:t>
      </w:r>
      <w:r w:rsidRPr="00FC7BB4">
        <w:rPr>
          <w:rFonts w:ascii="Times New Roman" w:hAnsi="Times New Roman" w:cs="Times New Roman"/>
          <w:sz w:val="24"/>
        </w:rPr>
        <w:t>(4), 969-991</w:t>
      </w:r>
      <w:r w:rsidRPr="00FC7BB4">
        <w:rPr>
          <w:rFonts w:ascii="Times New Roman" w:hAnsi="Times New Roman" w:cs="Times New Roman"/>
          <w:color w:val="auto"/>
          <w:sz w:val="24"/>
        </w:rPr>
        <w:t>.</w:t>
      </w:r>
      <w:r w:rsidR="00CA4523" w:rsidRPr="00FC7BB4">
        <w:rPr>
          <w:rFonts w:ascii="Times New Roman" w:hAnsi="Times New Roman" w:cs="Times New Roman"/>
          <w:color w:val="auto"/>
          <w:sz w:val="24"/>
        </w:rPr>
        <w:t xml:space="preserve"> </w:t>
      </w:r>
      <w:r w:rsidR="00CA4523" w:rsidRPr="00FC7BB4">
        <w:rPr>
          <w:rFonts w:ascii="Times New Roman" w:eastAsia="Times New Roman" w:hAnsi="Times New Roman" w:cs="Times New Roman"/>
          <w:color w:val="auto"/>
          <w:kern w:val="0"/>
          <w:sz w:val="24"/>
          <w:shd w:val="clear" w:color="auto" w:fill="FFFFFF"/>
          <w14:ligatures w14:val="none"/>
        </w:rPr>
        <w:t> </w:t>
      </w:r>
      <w:hyperlink r:id="rId19" w:history="1">
        <w:r w:rsidR="00CA4523" w:rsidRPr="00FC7BB4">
          <w:rPr>
            <w:rStyle w:val="Hyperlink"/>
            <w:rFonts w:ascii="Times New Roman" w:eastAsia="Times New Roman" w:hAnsi="Times New Roman" w:cs="Times New Roman"/>
            <w:color w:val="auto"/>
            <w:kern w:val="0"/>
            <w:sz w:val="24"/>
            <w:u w:val="none"/>
            <w14:ligatures w14:val="none"/>
          </w:rPr>
          <w:t>https://doi.org/10.1111/joes.12455</w:t>
        </w:r>
      </w:hyperlink>
    </w:p>
    <w:p w14:paraId="27A9C182" w14:textId="4764D30B" w:rsidR="00382FF8" w:rsidRPr="00FC7BB4" w:rsidRDefault="00307155" w:rsidP="00F3101B">
      <w:pPr>
        <w:spacing w:after="120" w:line="276" w:lineRule="auto"/>
        <w:ind w:left="181" w:right="27" w:hanging="198"/>
        <w:rPr>
          <w:rFonts w:ascii="Times New Roman" w:hAnsi="Times New Roman" w:cs="Times New Roman"/>
        </w:rPr>
      </w:pPr>
      <w:r w:rsidRPr="00FC7BB4">
        <w:rPr>
          <w:rFonts w:ascii="Times New Roman" w:hAnsi="Times New Roman" w:cs="Times New Roman"/>
          <w:sz w:val="24"/>
        </w:rPr>
        <w:t xml:space="preserve">Allen, J., and P. O’Connor (2011) </w:t>
      </w:r>
      <w:r w:rsidRPr="00FC7BB4">
        <w:rPr>
          <w:rFonts w:ascii="Times New Roman" w:hAnsi="Times New Roman" w:cs="Times New Roman"/>
          <w:i/>
          <w:iCs/>
          <w:sz w:val="24"/>
        </w:rPr>
        <w:t>A brief history of the QSBO: 1961-2011</w:t>
      </w:r>
      <w:r w:rsidRPr="00FC7BB4">
        <w:rPr>
          <w:rFonts w:ascii="Times New Roman" w:hAnsi="Times New Roman" w:cs="Times New Roman"/>
          <w:sz w:val="24"/>
        </w:rPr>
        <w:t xml:space="preserve">. Working Paper 2011/2, New Zealand </w:t>
      </w:r>
      <w:r w:rsidRPr="00FC7BB4">
        <w:rPr>
          <w:rFonts w:ascii="Times New Roman" w:hAnsi="Times New Roman" w:cs="Times New Roman"/>
          <w:color w:val="auto"/>
          <w:sz w:val="24"/>
        </w:rPr>
        <w:t xml:space="preserve">Institute of Economic Research, Wellington. </w:t>
      </w:r>
      <w:r w:rsidR="004D0AAB" w:rsidRPr="00FC7BB4">
        <w:rPr>
          <w:rFonts w:ascii="Times New Roman" w:hAnsi="Times New Roman" w:cs="Times New Roman"/>
          <w:color w:val="auto"/>
          <w:sz w:val="24"/>
        </w:rPr>
        <w:t>https://www.nzier.org.nz/publications/a-brief-history-of-the-qsbo-1961-2011</w:t>
      </w:r>
    </w:p>
    <w:p w14:paraId="2C17566D" w14:textId="4D065856" w:rsidR="00307155" w:rsidRPr="00FC7BB4" w:rsidRDefault="00307155" w:rsidP="00F3101B">
      <w:pPr>
        <w:spacing w:after="120" w:line="276" w:lineRule="auto"/>
        <w:ind w:left="181" w:right="27" w:hanging="198"/>
        <w:rPr>
          <w:rFonts w:ascii="Times New Roman" w:hAnsi="Times New Roman" w:cs="Times New Roman"/>
        </w:rPr>
      </w:pPr>
      <w:r w:rsidRPr="00FC7BB4">
        <w:rPr>
          <w:rFonts w:ascii="Times New Roman" w:hAnsi="Times New Roman" w:cs="Times New Roman"/>
          <w:sz w:val="24"/>
        </w:rPr>
        <w:t xml:space="preserve">Altig, D., J. M. Barrero, N. Bloom, S. J. Davis, B. H. Meyer, and N. Parker (2022) Surveying business uncertainty. </w:t>
      </w:r>
      <w:r w:rsidRPr="00FC7BB4">
        <w:rPr>
          <w:rFonts w:ascii="Times New Roman" w:hAnsi="Times New Roman" w:cs="Times New Roman"/>
          <w:i/>
          <w:iCs/>
          <w:sz w:val="24"/>
        </w:rPr>
        <w:t>Journal of Econometrics</w:t>
      </w:r>
      <w:r w:rsidRPr="00FC7BB4">
        <w:rPr>
          <w:rFonts w:ascii="Times New Roman" w:hAnsi="Times New Roman" w:cs="Times New Roman"/>
          <w:sz w:val="24"/>
        </w:rPr>
        <w:t>, 231(1): 282-</w:t>
      </w:r>
      <w:r w:rsidRPr="00FC7BB4">
        <w:rPr>
          <w:rFonts w:ascii="Times New Roman" w:hAnsi="Times New Roman" w:cs="Times New Roman"/>
          <w:color w:val="auto"/>
          <w:sz w:val="24"/>
        </w:rPr>
        <w:t>303.</w:t>
      </w:r>
      <w:r w:rsidR="00382FF8" w:rsidRPr="00FC7BB4">
        <w:rPr>
          <w:rFonts w:ascii="Times New Roman" w:hAnsi="Times New Roman" w:cs="Times New Roman"/>
          <w:color w:val="auto"/>
          <w:sz w:val="24"/>
        </w:rPr>
        <w:t xml:space="preserve"> </w:t>
      </w:r>
      <w:hyperlink r:id="rId20" w:tgtFrame="_blank" w:tooltip="Persistent link using digital object identifier" w:history="1">
        <w:r w:rsidR="00382FF8" w:rsidRPr="00FC7BB4">
          <w:rPr>
            <w:rStyle w:val="anchor-text"/>
            <w:rFonts w:ascii="Times New Roman" w:hAnsi="Times New Roman" w:cs="Times New Roman"/>
            <w:color w:val="auto"/>
            <w:sz w:val="24"/>
          </w:rPr>
          <w:t>https://doi.org/10.1016/j.jeconom.2020.03.021</w:t>
        </w:r>
      </w:hyperlink>
    </w:p>
    <w:p w14:paraId="0AB60448" w14:textId="728A0D08" w:rsidR="0024200A" w:rsidRPr="00FC7BB4" w:rsidRDefault="0024200A" w:rsidP="00F3101B">
      <w:pPr>
        <w:spacing w:after="120" w:line="276" w:lineRule="auto"/>
        <w:ind w:left="181" w:right="27" w:hanging="198"/>
        <w:rPr>
          <w:rFonts w:ascii="Times New Roman" w:hAnsi="Times New Roman" w:cs="Times New Roman"/>
          <w:sz w:val="24"/>
        </w:rPr>
      </w:pPr>
      <w:r w:rsidRPr="00FC7BB4">
        <w:rPr>
          <w:rFonts w:ascii="Times New Roman" w:hAnsi="Times New Roman" w:cs="Times New Roman"/>
          <w:sz w:val="24"/>
        </w:rPr>
        <w:t xml:space="preserve">Alvarez, F. E., </w:t>
      </w:r>
      <w:r w:rsidR="00670E7C" w:rsidRPr="00FC7BB4">
        <w:rPr>
          <w:rFonts w:ascii="Times New Roman" w:hAnsi="Times New Roman" w:cs="Times New Roman"/>
          <w:sz w:val="24"/>
        </w:rPr>
        <w:t xml:space="preserve">F. </w:t>
      </w:r>
      <w:r w:rsidRPr="00FC7BB4">
        <w:rPr>
          <w:rFonts w:ascii="Times New Roman" w:hAnsi="Times New Roman" w:cs="Times New Roman"/>
          <w:sz w:val="24"/>
        </w:rPr>
        <w:t>Lippi,</w:t>
      </w:r>
      <w:r w:rsidR="00670E7C" w:rsidRPr="00FC7BB4">
        <w:rPr>
          <w:rFonts w:ascii="Times New Roman" w:hAnsi="Times New Roman" w:cs="Times New Roman"/>
          <w:sz w:val="24"/>
        </w:rPr>
        <w:t xml:space="preserve"> and</w:t>
      </w:r>
      <w:r w:rsidRPr="00FC7BB4">
        <w:rPr>
          <w:rFonts w:ascii="Times New Roman" w:hAnsi="Times New Roman" w:cs="Times New Roman"/>
          <w:sz w:val="24"/>
        </w:rPr>
        <w:t xml:space="preserve"> </w:t>
      </w:r>
      <w:r w:rsidR="00670E7C" w:rsidRPr="00FC7BB4">
        <w:rPr>
          <w:rFonts w:ascii="Times New Roman" w:hAnsi="Times New Roman" w:cs="Times New Roman"/>
          <w:sz w:val="24"/>
        </w:rPr>
        <w:t xml:space="preserve">L. </w:t>
      </w:r>
      <w:r w:rsidRPr="00FC7BB4">
        <w:rPr>
          <w:rFonts w:ascii="Times New Roman" w:hAnsi="Times New Roman" w:cs="Times New Roman"/>
          <w:sz w:val="24"/>
        </w:rPr>
        <w:t>Paciello (2011). Optimal price setting with observation and menu costs. </w:t>
      </w:r>
      <w:r w:rsidRPr="00FC7BB4">
        <w:rPr>
          <w:rFonts w:ascii="Times New Roman" w:hAnsi="Times New Roman" w:cs="Times New Roman"/>
          <w:i/>
          <w:iCs/>
          <w:sz w:val="24"/>
        </w:rPr>
        <w:t>The Quarterly Journal of Economics</w:t>
      </w:r>
      <w:r w:rsidRPr="00FC7BB4">
        <w:rPr>
          <w:rFonts w:ascii="Times New Roman" w:hAnsi="Times New Roman" w:cs="Times New Roman"/>
          <w:sz w:val="24"/>
        </w:rPr>
        <w:t>, 126(4), 19</w:t>
      </w:r>
      <w:r w:rsidRPr="00FC7BB4">
        <w:rPr>
          <w:rFonts w:ascii="Times New Roman" w:hAnsi="Times New Roman" w:cs="Times New Roman"/>
          <w:color w:val="auto"/>
          <w:sz w:val="24"/>
        </w:rPr>
        <w:t>09-1960.</w:t>
      </w:r>
      <w:r w:rsidR="00794465" w:rsidRPr="00FC7BB4">
        <w:rPr>
          <w:rFonts w:ascii="Times New Roman" w:hAnsi="Times New Roman" w:cs="Times New Roman"/>
          <w:color w:val="auto"/>
          <w:sz w:val="24"/>
        </w:rPr>
        <w:t xml:space="preserve"> </w:t>
      </w:r>
      <w:hyperlink r:id="rId21" w:tgtFrame="_blank" w:history="1">
        <w:r w:rsidR="00794465" w:rsidRPr="00FC7BB4">
          <w:rPr>
            <w:rStyle w:val="Hyperlink"/>
            <w:rFonts w:ascii="Times New Roman" w:hAnsi="Times New Roman" w:cs="Times New Roman"/>
            <w:color w:val="auto"/>
            <w:sz w:val="24"/>
            <w:u w:val="none"/>
          </w:rPr>
          <w:t>https://doi.org/10.1093/qje/qjr043 </w:t>
        </w:r>
      </w:hyperlink>
    </w:p>
    <w:p w14:paraId="165B601A" w14:textId="5E9E176D" w:rsidR="00307155" w:rsidRPr="00FC7BB4" w:rsidRDefault="00307155" w:rsidP="00F3101B">
      <w:pPr>
        <w:spacing w:after="120" w:line="276" w:lineRule="auto"/>
        <w:ind w:left="181" w:right="27" w:hanging="198"/>
        <w:rPr>
          <w:rFonts w:ascii="Times New Roman" w:hAnsi="Times New Roman" w:cs="Times New Roman"/>
          <w:sz w:val="24"/>
        </w:rPr>
      </w:pPr>
      <w:r w:rsidRPr="00FC7BB4">
        <w:rPr>
          <w:rFonts w:ascii="Times New Roman" w:hAnsi="Times New Roman" w:cs="Times New Roman"/>
          <w:sz w:val="24"/>
        </w:rPr>
        <w:t xml:space="preserve">Alvarez, F., </w:t>
      </w:r>
      <w:r w:rsidR="00670E7C" w:rsidRPr="00FC7BB4">
        <w:rPr>
          <w:rFonts w:ascii="Times New Roman" w:hAnsi="Times New Roman" w:cs="Times New Roman"/>
          <w:sz w:val="24"/>
        </w:rPr>
        <w:t xml:space="preserve">M. </w:t>
      </w:r>
      <w:proofErr w:type="spellStart"/>
      <w:r w:rsidRPr="00FC7BB4">
        <w:rPr>
          <w:rFonts w:ascii="Times New Roman" w:hAnsi="Times New Roman" w:cs="Times New Roman"/>
          <w:sz w:val="24"/>
        </w:rPr>
        <w:t>Beraja</w:t>
      </w:r>
      <w:proofErr w:type="spellEnd"/>
      <w:r w:rsidRPr="00FC7BB4">
        <w:rPr>
          <w:rFonts w:ascii="Times New Roman" w:hAnsi="Times New Roman" w:cs="Times New Roman"/>
          <w:sz w:val="24"/>
        </w:rPr>
        <w:t>,</w:t>
      </w:r>
      <w:r w:rsidR="00670E7C" w:rsidRPr="00FC7BB4">
        <w:rPr>
          <w:rFonts w:ascii="Times New Roman" w:hAnsi="Times New Roman" w:cs="Times New Roman"/>
          <w:sz w:val="24"/>
        </w:rPr>
        <w:t xml:space="preserve"> M.</w:t>
      </w:r>
      <w:r w:rsidRPr="00FC7BB4">
        <w:rPr>
          <w:rFonts w:ascii="Times New Roman" w:hAnsi="Times New Roman" w:cs="Times New Roman"/>
          <w:sz w:val="24"/>
        </w:rPr>
        <w:t xml:space="preserve"> Gonzalez-Rozada, and</w:t>
      </w:r>
      <w:r w:rsidR="00670E7C" w:rsidRPr="00FC7BB4">
        <w:rPr>
          <w:rFonts w:ascii="Times New Roman" w:hAnsi="Times New Roman" w:cs="Times New Roman"/>
          <w:sz w:val="24"/>
        </w:rPr>
        <w:t xml:space="preserve"> P. A.</w:t>
      </w:r>
      <w:r w:rsidRPr="00FC7BB4">
        <w:rPr>
          <w:rFonts w:ascii="Times New Roman" w:hAnsi="Times New Roman" w:cs="Times New Roman"/>
          <w:sz w:val="24"/>
        </w:rPr>
        <w:t xml:space="preserve"> Neumeyer (2018) From hyperinflation to stable prices: Argentina’s evidence on menu cost models. </w:t>
      </w:r>
      <w:r w:rsidRPr="00FC7BB4">
        <w:rPr>
          <w:rFonts w:ascii="Times New Roman" w:hAnsi="Times New Roman" w:cs="Times New Roman"/>
          <w:i/>
          <w:iCs/>
          <w:sz w:val="24"/>
        </w:rPr>
        <w:t>The Quarterly Journal of Economics</w:t>
      </w:r>
      <w:r w:rsidRPr="00FC7BB4">
        <w:rPr>
          <w:rFonts w:ascii="Times New Roman" w:hAnsi="Times New Roman" w:cs="Times New Roman"/>
          <w:sz w:val="24"/>
        </w:rPr>
        <w:t>, 134:</w:t>
      </w:r>
      <w:r w:rsidR="004E75F3" w:rsidRPr="00FC7BB4">
        <w:rPr>
          <w:rFonts w:ascii="Times New Roman" w:hAnsi="Times New Roman" w:cs="Times New Roman"/>
          <w:sz w:val="24"/>
        </w:rPr>
        <w:t xml:space="preserve"> </w:t>
      </w:r>
      <w:r w:rsidRPr="00FC7BB4">
        <w:rPr>
          <w:rFonts w:ascii="Times New Roman" w:hAnsi="Times New Roman" w:cs="Times New Roman"/>
          <w:sz w:val="24"/>
        </w:rPr>
        <w:t>451-505.</w:t>
      </w:r>
      <w:r w:rsidR="004E75F3" w:rsidRPr="00FC7BB4">
        <w:rPr>
          <w:rFonts w:ascii="Times New Roman" w:hAnsi="Times New Roman" w:cs="Times New Roman"/>
          <w:sz w:val="24"/>
        </w:rPr>
        <w:t xml:space="preserve"> </w:t>
      </w:r>
      <w:hyperlink r:id="rId22" w:history="1">
        <w:r w:rsidR="004E75F3" w:rsidRPr="00FC7BB4">
          <w:rPr>
            <w:rFonts w:ascii="Times New Roman" w:hAnsi="Times New Roman" w:cs="Times New Roman"/>
            <w:color w:val="auto"/>
            <w:sz w:val="24"/>
            <w:bdr w:val="none" w:sz="0" w:space="0" w:color="auto" w:frame="1"/>
            <w:shd w:val="clear" w:color="auto" w:fill="FFFFFF"/>
          </w:rPr>
          <w:t>https://doi.org/10.1093/qje/qjy022</w:t>
        </w:r>
      </w:hyperlink>
    </w:p>
    <w:p w14:paraId="4A828A61" w14:textId="5DA558ED" w:rsidR="00307155" w:rsidRPr="00FC7BB4" w:rsidRDefault="00307155" w:rsidP="00F3101B">
      <w:pPr>
        <w:spacing w:after="120" w:line="276" w:lineRule="auto"/>
        <w:ind w:left="181" w:right="27" w:hanging="198"/>
        <w:rPr>
          <w:rFonts w:ascii="Times New Roman" w:hAnsi="Times New Roman" w:cs="Times New Roman"/>
          <w:color w:val="auto"/>
          <w:sz w:val="24"/>
        </w:rPr>
      </w:pPr>
      <w:r w:rsidRPr="00FC7BB4">
        <w:rPr>
          <w:rFonts w:ascii="Times New Roman" w:hAnsi="Times New Roman" w:cs="Times New Roman"/>
          <w:sz w:val="24"/>
        </w:rPr>
        <w:t>Amirault, D. C., C. Kwan, a</w:t>
      </w:r>
      <w:r w:rsidRPr="00FC7BB4">
        <w:rPr>
          <w:rFonts w:ascii="Times New Roman" w:hAnsi="Times New Roman" w:cs="Times New Roman"/>
          <w:color w:val="auto"/>
          <w:sz w:val="24"/>
        </w:rPr>
        <w:t xml:space="preserve">nd G. Wilkinson (2004) A survey of the price-setting behaviour of Canadian companies. </w:t>
      </w:r>
      <w:r w:rsidRPr="00FC7BB4">
        <w:rPr>
          <w:rFonts w:ascii="Times New Roman" w:hAnsi="Times New Roman" w:cs="Times New Roman"/>
          <w:i/>
          <w:iCs/>
          <w:color w:val="auto"/>
          <w:sz w:val="24"/>
        </w:rPr>
        <w:t>Bank of Canada Review</w:t>
      </w:r>
      <w:r w:rsidRPr="00FC7BB4">
        <w:rPr>
          <w:rFonts w:ascii="Times New Roman" w:hAnsi="Times New Roman" w:cs="Times New Roman"/>
          <w:color w:val="auto"/>
          <w:sz w:val="24"/>
        </w:rPr>
        <w:t>, Winter: 29-40.</w:t>
      </w:r>
      <w:r w:rsidR="005D65C5">
        <w:rPr>
          <w:rFonts w:ascii="Times New Roman" w:hAnsi="Times New Roman" w:cs="Times New Roman"/>
          <w:color w:val="auto"/>
          <w:sz w:val="24"/>
        </w:rPr>
        <w:t xml:space="preserve"> </w:t>
      </w:r>
      <w:r w:rsidR="00EF4B28" w:rsidRPr="00FC7BB4">
        <w:rPr>
          <w:rFonts w:ascii="Times New Roman" w:hAnsi="Times New Roman" w:cs="Times New Roman"/>
          <w:color w:val="auto"/>
          <w:sz w:val="24"/>
        </w:rPr>
        <w:t>https://www.bankofcanada.ca/wp-content/uploads/2010/06/kwan.pdf</w:t>
      </w:r>
    </w:p>
    <w:p w14:paraId="0D038947" w14:textId="672A48F8" w:rsidR="00307155" w:rsidRPr="00FC7BB4" w:rsidRDefault="00307155" w:rsidP="00F3101B">
      <w:pPr>
        <w:spacing w:after="120" w:line="276" w:lineRule="auto"/>
        <w:ind w:left="181" w:right="27" w:hanging="198"/>
        <w:rPr>
          <w:rFonts w:ascii="Times New Roman" w:hAnsi="Times New Roman" w:cs="Times New Roman"/>
          <w:sz w:val="24"/>
        </w:rPr>
      </w:pPr>
      <w:proofErr w:type="spellStart"/>
      <w:r w:rsidRPr="00FC7BB4">
        <w:rPr>
          <w:rFonts w:ascii="Times New Roman" w:hAnsi="Times New Roman" w:cs="Times New Roman"/>
          <w:sz w:val="24"/>
        </w:rPr>
        <w:t>Antwis</w:t>
      </w:r>
      <w:proofErr w:type="spellEnd"/>
      <w:r w:rsidRPr="00FC7BB4">
        <w:rPr>
          <w:rFonts w:ascii="Times New Roman" w:hAnsi="Times New Roman" w:cs="Times New Roman"/>
          <w:sz w:val="24"/>
        </w:rPr>
        <w:t xml:space="preserve">, J. (2024) </w:t>
      </w:r>
      <w:r w:rsidRPr="00FC7BB4">
        <w:rPr>
          <w:rFonts w:ascii="Times New Roman" w:hAnsi="Times New Roman" w:cs="Times New Roman"/>
          <w:i/>
          <w:iCs/>
          <w:sz w:val="24"/>
        </w:rPr>
        <w:t>Comparing services inflation in New Zealand and abroad</w:t>
      </w:r>
      <w:r w:rsidRPr="00FC7BB4">
        <w:rPr>
          <w:rFonts w:ascii="Times New Roman" w:hAnsi="Times New Roman" w:cs="Times New Roman"/>
          <w:sz w:val="24"/>
        </w:rPr>
        <w:t>. Reserve Bank of New Zealand Analytical Notes, June, AN2024/04.</w:t>
      </w:r>
      <w:r w:rsidR="004E75F3" w:rsidRPr="00FC7BB4">
        <w:rPr>
          <w:rFonts w:ascii="Times New Roman" w:hAnsi="Times New Roman" w:cs="Times New Roman"/>
          <w:sz w:val="24"/>
        </w:rPr>
        <w:t xml:space="preserve"> </w:t>
      </w:r>
      <w:hyperlink r:id="rId23" w:history="1">
        <w:r w:rsidR="004E75F3" w:rsidRPr="00FC7BB4">
          <w:rPr>
            <w:rStyle w:val="Hyperlink"/>
            <w:rFonts w:ascii="Times New Roman" w:hAnsi="Times New Roman" w:cs="Times New Roman"/>
            <w:color w:val="auto"/>
            <w:sz w:val="24"/>
            <w:u w:val="none"/>
          </w:rPr>
          <w:t>https://www.rbnz.govt.nz/hub/publications/analytical-note/2024/comparing-services-inflation-in-new-zealand-to-abroad</w:t>
        </w:r>
      </w:hyperlink>
      <w:r w:rsidR="004E75F3" w:rsidRPr="00FC7BB4">
        <w:rPr>
          <w:rFonts w:ascii="Times New Roman" w:hAnsi="Times New Roman" w:cs="Times New Roman"/>
          <w:color w:val="auto"/>
          <w:sz w:val="24"/>
        </w:rPr>
        <w:t xml:space="preserve">. </w:t>
      </w:r>
    </w:p>
    <w:p w14:paraId="5BB61AB2" w14:textId="34A639BF" w:rsidR="00307155" w:rsidRPr="00FC7BB4" w:rsidRDefault="00307155" w:rsidP="00F3101B">
      <w:pPr>
        <w:spacing w:after="120" w:line="276" w:lineRule="auto"/>
        <w:ind w:left="181" w:right="27" w:hanging="198"/>
        <w:rPr>
          <w:rFonts w:ascii="Times New Roman" w:hAnsi="Times New Roman" w:cs="Times New Roman"/>
          <w:sz w:val="24"/>
        </w:rPr>
      </w:pPr>
      <w:proofErr w:type="spellStart"/>
      <w:r w:rsidRPr="00FC7BB4">
        <w:rPr>
          <w:rFonts w:ascii="Times New Roman" w:hAnsi="Times New Roman" w:cs="Times New Roman"/>
          <w:sz w:val="24"/>
        </w:rPr>
        <w:t>Baharad</w:t>
      </w:r>
      <w:proofErr w:type="spellEnd"/>
      <w:r w:rsidRPr="00FC7BB4">
        <w:rPr>
          <w:rFonts w:ascii="Times New Roman" w:hAnsi="Times New Roman" w:cs="Times New Roman"/>
          <w:sz w:val="24"/>
        </w:rPr>
        <w:t xml:space="preserve">, E., and B. Eden (2004) Price rigidity and price dispersion: Evidence from micro data. </w:t>
      </w:r>
      <w:r w:rsidRPr="00FC7BB4">
        <w:rPr>
          <w:rFonts w:ascii="Times New Roman" w:hAnsi="Times New Roman" w:cs="Times New Roman"/>
          <w:i/>
          <w:iCs/>
          <w:sz w:val="24"/>
        </w:rPr>
        <w:t>Review of Economic Dynamics</w:t>
      </w:r>
      <w:r w:rsidRPr="00FC7BB4">
        <w:rPr>
          <w:rFonts w:ascii="Times New Roman" w:hAnsi="Times New Roman" w:cs="Times New Roman"/>
          <w:sz w:val="24"/>
        </w:rPr>
        <w:t>, 7: 613-641</w:t>
      </w:r>
      <w:r w:rsidRPr="00FC7BB4">
        <w:rPr>
          <w:rFonts w:ascii="Times New Roman" w:hAnsi="Times New Roman" w:cs="Times New Roman"/>
          <w:color w:val="000000" w:themeColor="text1"/>
          <w:sz w:val="24"/>
        </w:rPr>
        <w:t xml:space="preserve">. </w:t>
      </w:r>
      <w:hyperlink r:id="rId24" w:tgtFrame="_blank" w:tooltip="Persistent link using digital object identifier" w:history="1">
        <w:r w:rsidR="004E75F3" w:rsidRPr="00FC7BB4">
          <w:rPr>
            <w:rStyle w:val="anchor-text"/>
            <w:rFonts w:ascii="Times New Roman" w:hAnsi="Times New Roman" w:cs="Times New Roman"/>
            <w:color w:val="000000" w:themeColor="text1"/>
            <w:sz w:val="24"/>
          </w:rPr>
          <w:t>https://doi.org/10.1016/j.red.2004.01.004</w:t>
        </w:r>
      </w:hyperlink>
    </w:p>
    <w:p w14:paraId="742AF774" w14:textId="0876C22D" w:rsidR="00307155" w:rsidRPr="00FC7BB4" w:rsidRDefault="00307155" w:rsidP="00F3101B">
      <w:pPr>
        <w:spacing w:after="156" w:line="276" w:lineRule="auto"/>
        <w:ind w:left="184" w:right="27" w:hanging="199"/>
        <w:rPr>
          <w:rFonts w:ascii="Times New Roman" w:hAnsi="Times New Roman" w:cs="Times New Roman"/>
          <w:color w:val="000000" w:themeColor="text1"/>
          <w:sz w:val="24"/>
        </w:rPr>
      </w:pPr>
      <w:r w:rsidRPr="00FC7BB4">
        <w:rPr>
          <w:rFonts w:ascii="Times New Roman" w:hAnsi="Times New Roman" w:cs="Times New Roman"/>
          <w:sz w:val="24"/>
        </w:rPr>
        <w:t>Bhaduri, A.</w:t>
      </w:r>
      <w:r w:rsidR="00670E7C" w:rsidRPr="00FC7BB4">
        <w:rPr>
          <w:rFonts w:ascii="Times New Roman" w:hAnsi="Times New Roman" w:cs="Times New Roman"/>
          <w:sz w:val="24"/>
        </w:rPr>
        <w:t>,</w:t>
      </w:r>
      <w:r w:rsidRPr="00FC7BB4">
        <w:rPr>
          <w:rFonts w:ascii="Times New Roman" w:hAnsi="Times New Roman" w:cs="Times New Roman"/>
          <w:sz w:val="24"/>
        </w:rPr>
        <w:t xml:space="preserve"> and J. </w:t>
      </w:r>
      <w:proofErr w:type="spellStart"/>
      <w:r w:rsidRPr="00FC7BB4">
        <w:rPr>
          <w:rFonts w:ascii="Times New Roman" w:hAnsi="Times New Roman" w:cs="Times New Roman"/>
          <w:sz w:val="24"/>
        </w:rPr>
        <w:t>Falkinger</w:t>
      </w:r>
      <w:proofErr w:type="spellEnd"/>
      <w:r w:rsidRPr="00FC7BB4">
        <w:rPr>
          <w:rFonts w:ascii="Times New Roman" w:hAnsi="Times New Roman" w:cs="Times New Roman"/>
          <w:sz w:val="24"/>
        </w:rPr>
        <w:t xml:space="preserve"> (1990). Optimal price adjustment under imperfect information. </w:t>
      </w:r>
      <w:r w:rsidRPr="00FC7BB4">
        <w:rPr>
          <w:rFonts w:ascii="Times New Roman" w:hAnsi="Times New Roman" w:cs="Times New Roman"/>
          <w:i/>
          <w:sz w:val="24"/>
        </w:rPr>
        <w:t xml:space="preserve">European Economic </w:t>
      </w:r>
      <w:r w:rsidRPr="00FC7BB4">
        <w:rPr>
          <w:rFonts w:ascii="Times New Roman" w:hAnsi="Times New Roman" w:cs="Times New Roman"/>
          <w:i/>
          <w:color w:val="000000" w:themeColor="text1"/>
          <w:sz w:val="24"/>
        </w:rPr>
        <w:t>Review, 34</w:t>
      </w:r>
      <w:r w:rsidRPr="00FC7BB4">
        <w:rPr>
          <w:rFonts w:ascii="Times New Roman" w:hAnsi="Times New Roman" w:cs="Times New Roman"/>
          <w:color w:val="000000" w:themeColor="text1"/>
          <w:sz w:val="24"/>
        </w:rPr>
        <w:t>(5): 941–952.</w:t>
      </w:r>
      <w:r w:rsidR="00FE3687" w:rsidRPr="00FC7BB4">
        <w:rPr>
          <w:rFonts w:ascii="Times New Roman" w:hAnsi="Times New Roman" w:cs="Times New Roman"/>
          <w:color w:val="000000" w:themeColor="text1"/>
          <w:sz w:val="24"/>
        </w:rPr>
        <w:t xml:space="preserve"> </w:t>
      </w:r>
      <w:hyperlink r:id="rId25" w:tgtFrame="_blank" w:tooltip="Persistent link using digital object identifier" w:history="1">
        <w:r w:rsidR="00FE3687" w:rsidRPr="00FC7BB4">
          <w:rPr>
            <w:rStyle w:val="anchor-text"/>
            <w:rFonts w:ascii="Times New Roman" w:hAnsi="Times New Roman" w:cs="Times New Roman"/>
            <w:color w:val="000000" w:themeColor="text1"/>
            <w:sz w:val="24"/>
          </w:rPr>
          <w:t>https://doi.org/10.1016/0014-2921(90)90016-R</w:t>
        </w:r>
      </w:hyperlink>
    </w:p>
    <w:p w14:paraId="2F640059" w14:textId="36B3B392" w:rsidR="00307155" w:rsidRPr="00FC7BB4" w:rsidRDefault="00307155" w:rsidP="00F3101B">
      <w:pPr>
        <w:spacing w:after="156" w:line="276" w:lineRule="auto"/>
        <w:ind w:left="184" w:right="27" w:hanging="199"/>
        <w:rPr>
          <w:rFonts w:ascii="Times New Roman" w:hAnsi="Times New Roman" w:cs="Times New Roman"/>
          <w:color w:val="990000"/>
          <w:spacing w:val="-5"/>
          <w:sz w:val="24"/>
        </w:rPr>
      </w:pPr>
      <w:r w:rsidRPr="00FC7BB4">
        <w:rPr>
          <w:rFonts w:ascii="Times New Roman" w:hAnsi="Times New Roman" w:cs="Times New Roman"/>
          <w:sz w:val="24"/>
        </w:rPr>
        <w:t>Ball, L., and N. G. Mankiw (1994</w:t>
      </w:r>
      <w:r w:rsidR="00A2224F" w:rsidRPr="00FC7BB4">
        <w:rPr>
          <w:rFonts w:ascii="Times New Roman" w:hAnsi="Times New Roman" w:cs="Times New Roman"/>
          <w:sz w:val="24"/>
        </w:rPr>
        <w:t>a</w:t>
      </w:r>
      <w:r w:rsidRPr="00FC7BB4">
        <w:rPr>
          <w:rFonts w:ascii="Times New Roman" w:hAnsi="Times New Roman" w:cs="Times New Roman"/>
          <w:sz w:val="24"/>
        </w:rPr>
        <w:t xml:space="preserve">) Asymmetric price adjustment and economic fluctuations. </w:t>
      </w:r>
      <w:r w:rsidRPr="00FC7BB4">
        <w:rPr>
          <w:rFonts w:ascii="Times New Roman" w:hAnsi="Times New Roman" w:cs="Times New Roman"/>
          <w:i/>
          <w:iCs/>
          <w:sz w:val="24"/>
        </w:rPr>
        <w:t>The Economic Journal</w:t>
      </w:r>
      <w:r w:rsidRPr="00FC7BB4">
        <w:rPr>
          <w:rFonts w:ascii="Times New Roman" w:hAnsi="Times New Roman" w:cs="Times New Roman"/>
          <w:sz w:val="24"/>
        </w:rPr>
        <w:t>, 104(423): 247-261.</w:t>
      </w:r>
      <w:r w:rsidR="00FE3687" w:rsidRPr="00FC7BB4">
        <w:rPr>
          <w:rFonts w:ascii="Times New Roman" w:hAnsi="Times New Roman" w:cs="Times New Roman"/>
          <w:sz w:val="24"/>
        </w:rPr>
        <w:t xml:space="preserve"> </w:t>
      </w:r>
      <w:hyperlink r:id="rId26" w:history="1">
        <w:r w:rsidR="00A2224F" w:rsidRPr="00FC7BB4">
          <w:rPr>
            <w:rStyle w:val="Hyperlink"/>
            <w:rFonts w:ascii="Times New Roman" w:hAnsi="Times New Roman" w:cs="Times New Roman"/>
            <w:color w:val="auto"/>
            <w:spacing w:val="-5"/>
            <w:sz w:val="24"/>
            <w:u w:val="none"/>
          </w:rPr>
          <w:t>https://doi.org/10.2307/2234746</w:t>
        </w:r>
      </w:hyperlink>
    </w:p>
    <w:p w14:paraId="4670B4FC" w14:textId="75A9E6E3" w:rsidR="00125BC2" w:rsidRPr="00FC7BB4" w:rsidRDefault="00125BC2" w:rsidP="00F3101B">
      <w:pPr>
        <w:spacing w:after="156" w:line="276" w:lineRule="auto"/>
        <w:ind w:left="184" w:right="27" w:hanging="199"/>
        <w:rPr>
          <w:rFonts w:ascii="Times New Roman" w:hAnsi="Times New Roman" w:cs="Times New Roman"/>
          <w:sz w:val="24"/>
        </w:rPr>
      </w:pPr>
      <w:r w:rsidRPr="00FC7BB4">
        <w:rPr>
          <w:rFonts w:ascii="Times New Roman" w:hAnsi="Times New Roman" w:cs="Times New Roman"/>
          <w:sz w:val="24"/>
        </w:rPr>
        <w:t xml:space="preserve">Ball, L., </w:t>
      </w:r>
      <w:r w:rsidR="00670E7C" w:rsidRPr="00FC7BB4">
        <w:rPr>
          <w:rFonts w:ascii="Times New Roman" w:hAnsi="Times New Roman" w:cs="Times New Roman"/>
          <w:sz w:val="24"/>
        </w:rPr>
        <w:t>and N. G.</w:t>
      </w:r>
      <w:r w:rsidRPr="00FC7BB4">
        <w:rPr>
          <w:rFonts w:ascii="Times New Roman" w:hAnsi="Times New Roman" w:cs="Times New Roman"/>
          <w:sz w:val="24"/>
        </w:rPr>
        <w:t xml:space="preserve"> Mankiw (1994b). A sticky-price manifesto. </w:t>
      </w:r>
      <w:r w:rsidRPr="00FC7BB4">
        <w:rPr>
          <w:rFonts w:ascii="Times New Roman" w:hAnsi="Times New Roman" w:cs="Times New Roman"/>
          <w:i/>
          <w:iCs/>
          <w:sz w:val="24"/>
        </w:rPr>
        <w:t>Carnegie-Rochester Conference Series on Public Policy,</w:t>
      </w:r>
      <w:r w:rsidRPr="00FC7BB4">
        <w:rPr>
          <w:rFonts w:ascii="Times New Roman" w:hAnsi="Times New Roman" w:cs="Times New Roman"/>
          <w:sz w:val="24"/>
        </w:rPr>
        <w:t xml:space="preserve"> 41, 127–151. https://doi.org/10.1016/0167-2231(94)00016-6</w:t>
      </w:r>
    </w:p>
    <w:p w14:paraId="5D4F7B48" w14:textId="120B98AA" w:rsidR="00307155" w:rsidRPr="00FC7BB4" w:rsidRDefault="00307155" w:rsidP="00F3101B">
      <w:pPr>
        <w:spacing w:after="156" w:line="276" w:lineRule="auto"/>
        <w:ind w:left="184" w:right="27" w:hanging="199"/>
        <w:rPr>
          <w:rFonts w:ascii="Times New Roman" w:hAnsi="Times New Roman" w:cs="Times New Roman"/>
          <w:bCs/>
          <w:sz w:val="24"/>
        </w:rPr>
      </w:pPr>
      <w:r w:rsidRPr="00FC7BB4">
        <w:rPr>
          <w:rFonts w:ascii="Times New Roman" w:hAnsi="Times New Roman" w:cs="Times New Roman"/>
          <w:bCs/>
          <w:sz w:val="24"/>
        </w:rPr>
        <w:t xml:space="preserve">Bils, M., and </w:t>
      </w:r>
      <w:r w:rsidR="00670E7C" w:rsidRPr="00FC7BB4">
        <w:rPr>
          <w:rFonts w:ascii="Times New Roman" w:hAnsi="Times New Roman" w:cs="Times New Roman"/>
          <w:bCs/>
          <w:sz w:val="24"/>
        </w:rPr>
        <w:t xml:space="preserve">P. J. </w:t>
      </w:r>
      <w:r w:rsidRPr="00FC7BB4">
        <w:rPr>
          <w:rFonts w:ascii="Times New Roman" w:hAnsi="Times New Roman" w:cs="Times New Roman"/>
          <w:bCs/>
          <w:sz w:val="24"/>
        </w:rPr>
        <w:t xml:space="preserve">Klenow (2004) Some evidence on the importance of sticky prices. </w:t>
      </w:r>
      <w:r w:rsidRPr="00FC7BB4">
        <w:rPr>
          <w:rFonts w:ascii="Times New Roman" w:hAnsi="Times New Roman" w:cs="Times New Roman"/>
          <w:bCs/>
          <w:i/>
          <w:iCs/>
          <w:sz w:val="24"/>
        </w:rPr>
        <w:t>Journal of Political Economy</w:t>
      </w:r>
      <w:r w:rsidRPr="00FC7BB4">
        <w:rPr>
          <w:rFonts w:ascii="Times New Roman" w:hAnsi="Times New Roman" w:cs="Times New Roman"/>
          <w:bCs/>
          <w:sz w:val="24"/>
        </w:rPr>
        <w:t xml:space="preserve">, 112: 947-985. </w:t>
      </w:r>
      <w:r w:rsidR="00B12B44" w:rsidRPr="00FC7BB4">
        <w:rPr>
          <w:rFonts w:ascii="Times New Roman" w:hAnsi="Times New Roman" w:cs="Times New Roman"/>
          <w:sz w:val="24"/>
          <w:shd w:val="clear" w:color="auto" w:fill="FFFFFF"/>
        </w:rPr>
        <w:t>http://dx.doi.org/10.1086/422559</w:t>
      </w:r>
    </w:p>
    <w:p w14:paraId="2AB917BE" w14:textId="6E92E819" w:rsidR="00307155" w:rsidRPr="00FC7BB4" w:rsidRDefault="00307155" w:rsidP="00F3101B">
      <w:pPr>
        <w:spacing w:after="156" w:line="276" w:lineRule="auto"/>
        <w:ind w:left="184" w:right="27" w:hanging="199"/>
        <w:rPr>
          <w:rFonts w:ascii="Times New Roman" w:hAnsi="Times New Roman" w:cs="Times New Roman"/>
          <w:sz w:val="24"/>
        </w:rPr>
      </w:pPr>
      <w:r w:rsidRPr="00FC7BB4">
        <w:rPr>
          <w:rFonts w:ascii="Times New Roman" w:hAnsi="Times New Roman" w:cs="Times New Roman"/>
          <w:sz w:val="24"/>
        </w:rPr>
        <w:t xml:space="preserve">Bilyk, O., M. Khan, and O. </w:t>
      </w:r>
      <w:proofErr w:type="spellStart"/>
      <w:r w:rsidRPr="00FC7BB4">
        <w:rPr>
          <w:rFonts w:ascii="Times New Roman" w:hAnsi="Times New Roman" w:cs="Times New Roman"/>
          <w:sz w:val="24"/>
        </w:rPr>
        <w:t>Kostyshyna</w:t>
      </w:r>
      <w:proofErr w:type="spellEnd"/>
      <w:r w:rsidRPr="00FC7BB4">
        <w:rPr>
          <w:rFonts w:ascii="Times New Roman" w:hAnsi="Times New Roman" w:cs="Times New Roman"/>
          <w:sz w:val="24"/>
        </w:rPr>
        <w:t xml:space="preserve"> (2024). </w:t>
      </w:r>
      <w:r w:rsidRPr="00FC7BB4">
        <w:rPr>
          <w:rFonts w:ascii="Times New Roman" w:hAnsi="Times New Roman" w:cs="Times New Roman"/>
          <w:i/>
          <w:iCs/>
          <w:sz w:val="24"/>
        </w:rPr>
        <w:t xml:space="preserve">Pricing behaviour and inflation during the COVID-19 pandemic: </w:t>
      </w:r>
      <w:r w:rsidRPr="00FC7BB4">
        <w:rPr>
          <w:rFonts w:ascii="Times New Roman" w:hAnsi="Times New Roman" w:cs="Times New Roman"/>
          <w:i/>
          <w:iCs/>
          <w:color w:val="auto"/>
          <w:sz w:val="24"/>
        </w:rPr>
        <w:t>Insights from consumer prices microdata</w:t>
      </w:r>
      <w:r w:rsidRPr="00FC7BB4">
        <w:rPr>
          <w:rFonts w:ascii="Times New Roman" w:hAnsi="Times New Roman" w:cs="Times New Roman"/>
          <w:color w:val="auto"/>
          <w:sz w:val="24"/>
        </w:rPr>
        <w:t>. Staff Analytical Note 2024-6, Bank of Canada.</w:t>
      </w:r>
      <w:r w:rsidR="00B12B44" w:rsidRPr="00FC7BB4">
        <w:rPr>
          <w:rFonts w:ascii="Times New Roman" w:hAnsi="Times New Roman" w:cs="Times New Roman"/>
          <w:color w:val="auto"/>
          <w:sz w:val="24"/>
        </w:rPr>
        <w:t xml:space="preserve"> </w:t>
      </w:r>
      <w:r w:rsidR="00842790" w:rsidRPr="00FC7BB4">
        <w:rPr>
          <w:rFonts w:ascii="Times New Roman" w:hAnsi="Times New Roman" w:cs="Times New Roman"/>
          <w:color w:val="auto"/>
          <w:sz w:val="24"/>
        </w:rPr>
        <w:t>https://www.bankofcanada.ca/2024/04/staff-analytical-note-2024-6/</w:t>
      </w:r>
      <w:r w:rsidR="00842790" w:rsidRPr="00FC7BB4" w:rsidDel="00842790">
        <w:rPr>
          <w:rFonts w:ascii="Times New Roman" w:hAnsi="Times New Roman" w:cs="Times New Roman"/>
          <w:color w:val="auto"/>
          <w:sz w:val="24"/>
        </w:rPr>
        <w:t xml:space="preserve"> </w:t>
      </w:r>
    </w:p>
    <w:p w14:paraId="19D09AAF" w14:textId="77777777" w:rsidR="00307155" w:rsidRPr="00FC7BB4" w:rsidRDefault="00307155" w:rsidP="00F3101B">
      <w:pPr>
        <w:spacing w:after="156" w:line="276" w:lineRule="auto"/>
        <w:ind w:left="184" w:right="27" w:hanging="199"/>
        <w:rPr>
          <w:rFonts w:ascii="Times New Roman" w:hAnsi="Times New Roman" w:cs="Times New Roman"/>
          <w:color w:val="auto"/>
          <w:sz w:val="24"/>
        </w:rPr>
      </w:pPr>
      <w:r w:rsidRPr="00FC7BB4">
        <w:rPr>
          <w:rFonts w:ascii="Times New Roman" w:hAnsi="Times New Roman" w:cs="Times New Roman"/>
          <w:sz w:val="24"/>
        </w:rPr>
        <w:t xml:space="preserve">Blanco, A., C. Boar, C. J. Jones, and V. </w:t>
      </w:r>
      <w:proofErr w:type="spellStart"/>
      <w:r w:rsidRPr="00FC7BB4">
        <w:rPr>
          <w:rFonts w:ascii="Times New Roman" w:hAnsi="Times New Roman" w:cs="Times New Roman"/>
          <w:sz w:val="24"/>
        </w:rPr>
        <w:t>Midrigan</w:t>
      </w:r>
      <w:proofErr w:type="spellEnd"/>
      <w:r w:rsidRPr="00FC7BB4">
        <w:rPr>
          <w:rFonts w:ascii="Times New Roman" w:hAnsi="Times New Roman" w:cs="Times New Roman"/>
          <w:sz w:val="24"/>
        </w:rPr>
        <w:t xml:space="preserve"> (2024a). </w:t>
      </w:r>
      <w:r w:rsidRPr="00FC7BB4">
        <w:rPr>
          <w:rFonts w:ascii="Times New Roman" w:hAnsi="Times New Roman" w:cs="Times New Roman"/>
          <w:i/>
          <w:iCs/>
          <w:sz w:val="24"/>
        </w:rPr>
        <w:t xml:space="preserve">The inflation accelerator. </w:t>
      </w:r>
      <w:r w:rsidRPr="00FC7BB4">
        <w:rPr>
          <w:rStyle w:val="cf01"/>
          <w:rFonts w:ascii="Times New Roman" w:hAnsi="Times New Roman" w:cs="Times New Roman"/>
          <w:color w:val="auto"/>
          <w:sz w:val="24"/>
        </w:rPr>
        <w:t>NBER Working Paper 32531</w:t>
      </w:r>
      <w:r w:rsidRPr="00FC7BB4">
        <w:rPr>
          <w:rFonts w:ascii="Times New Roman" w:hAnsi="Times New Roman" w:cs="Times New Roman"/>
          <w:sz w:val="24"/>
        </w:rPr>
        <w:t>,</w:t>
      </w:r>
      <w:r w:rsidRPr="00FC7BB4">
        <w:rPr>
          <w:rFonts w:ascii="Times New Roman" w:hAnsi="Times New Roman" w:cs="Times New Roman"/>
          <w:szCs w:val="20"/>
          <w:shd w:val="clear" w:color="auto" w:fill="FFFFFF"/>
        </w:rPr>
        <w:t xml:space="preserve"> </w:t>
      </w:r>
      <w:r w:rsidRPr="00FC7BB4">
        <w:rPr>
          <w:rFonts w:ascii="Times New Roman" w:hAnsi="Times New Roman" w:cs="Times New Roman"/>
          <w:sz w:val="24"/>
        </w:rPr>
        <w:t xml:space="preserve">March. </w:t>
      </w:r>
      <w:hyperlink r:id="rId27" w:history="1">
        <w:r w:rsidRPr="00FC7BB4">
          <w:rPr>
            <w:rStyle w:val="Hyperlink"/>
            <w:rFonts w:ascii="Times New Roman" w:hAnsi="Times New Roman" w:cs="Times New Roman"/>
            <w:color w:val="auto"/>
            <w:sz w:val="24"/>
            <w:u w:val="none"/>
          </w:rPr>
          <w:t>http://www.nber.org/papers/w32531</w:t>
        </w:r>
      </w:hyperlink>
      <w:r w:rsidRPr="00FC7BB4">
        <w:rPr>
          <w:rFonts w:ascii="Times New Roman" w:hAnsi="Times New Roman" w:cs="Times New Roman"/>
          <w:color w:val="auto"/>
          <w:sz w:val="24"/>
        </w:rPr>
        <w:t>.</w:t>
      </w:r>
    </w:p>
    <w:p w14:paraId="72CAEA10" w14:textId="77777777" w:rsidR="00307155" w:rsidRPr="00FC7BB4" w:rsidRDefault="00307155" w:rsidP="00F3101B">
      <w:pPr>
        <w:spacing w:after="120" w:line="276" w:lineRule="auto"/>
        <w:ind w:left="184" w:right="27" w:hanging="198"/>
        <w:rPr>
          <w:rFonts w:ascii="Times New Roman" w:hAnsi="Times New Roman" w:cs="Times New Roman"/>
          <w:color w:val="auto"/>
          <w:sz w:val="24"/>
        </w:rPr>
      </w:pPr>
      <w:r w:rsidRPr="00FC7BB4">
        <w:rPr>
          <w:rFonts w:ascii="Times New Roman" w:hAnsi="Times New Roman" w:cs="Times New Roman"/>
          <w:color w:val="auto"/>
          <w:sz w:val="24"/>
        </w:rPr>
        <w:lastRenderedPageBreak/>
        <w:t xml:space="preserve">Blanco, A., C. Boar, C. J. Jones, and V. </w:t>
      </w:r>
      <w:proofErr w:type="spellStart"/>
      <w:r w:rsidRPr="00FC7BB4">
        <w:rPr>
          <w:rFonts w:ascii="Times New Roman" w:hAnsi="Times New Roman" w:cs="Times New Roman"/>
          <w:color w:val="auto"/>
          <w:sz w:val="24"/>
        </w:rPr>
        <w:t>Midrigan</w:t>
      </w:r>
      <w:proofErr w:type="spellEnd"/>
      <w:r w:rsidRPr="00FC7BB4">
        <w:rPr>
          <w:rFonts w:ascii="Times New Roman" w:hAnsi="Times New Roman" w:cs="Times New Roman"/>
          <w:color w:val="auto"/>
          <w:sz w:val="24"/>
        </w:rPr>
        <w:t xml:space="preserve"> (2024b). </w:t>
      </w:r>
      <w:r w:rsidRPr="00FC7BB4">
        <w:rPr>
          <w:rFonts w:ascii="Times New Roman" w:hAnsi="Times New Roman" w:cs="Times New Roman"/>
          <w:i/>
          <w:iCs/>
          <w:color w:val="auto"/>
          <w:sz w:val="24"/>
        </w:rPr>
        <w:t>Non-linear inflation dynamics in menu cost economies</w:t>
      </w:r>
      <w:r w:rsidRPr="00FC7BB4">
        <w:rPr>
          <w:rFonts w:ascii="Times New Roman" w:hAnsi="Times New Roman" w:cs="Times New Roman"/>
          <w:color w:val="auto"/>
          <w:sz w:val="24"/>
        </w:rPr>
        <w:t xml:space="preserve">. </w:t>
      </w:r>
      <w:r w:rsidRPr="00FC7BB4">
        <w:rPr>
          <w:rStyle w:val="cf01"/>
          <w:rFonts w:ascii="Times New Roman" w:hAnsi="Times New Roman" w:cs="Times New Roman"/>
          <w:color w:val="auto"/>
          <w:sz w:val="24"/>
        </w:rPr>
        <w:t xml:space="preserve">NBER Working Paper 32094, </w:t>
      </w:r>
      <w:r w:rsidRPr="00FC7BB4">
        <w:rPr>
          <w:rFonts w:ascii="Times New Roman" w:hAnsi="Times New Roman" w:cs="Times New Roman"/>
          <w:color w:val="auto"/>
          <w:sz w:val="24"/>
        </w:rPr>
        <w:t xml:space="preserve">January. </w:t>
      </w:r>
      <w:hyperlink r:id="rId28" w:history="1">
        <w:r w:rsidRPr="00FC7BB4">
          <w:rPr>
            <w:rStyle w:val="Hyperlink"/>
            <w:rFonts w:ascii="Times New Roman" w:hAnsi="Times New Roman" w:cs="Times New Roman"/>
            <w:color w:val="auto"/>
            <w:sz w:val="24"/>
            <w:u w:val="none"/>
          </w:rPr>
          <w:t>http://www.nber.org/papers/w32094</w:t>
        </w:r>
      </w:hyperlink>
      <w:r w:rsidRPr="00FC7BB4">
        <w:rPr>
          <w:rFonts w:ascii="Times New Roman" w:hAnsi="Times New Roman" w:cs="Times New Roman"/>
          <w:color w:val="auto"/>
          <w:sz w:val="24"/>
        </w:rPr>
        <w:t>.</w:t>
      </w:r>
    </w:p>
    <w:p w14:paraId="6D825462" w14:textId="4F04A494" w:rsidR="00307155" w:rsidRPr="00FC7BB4" w:rsidRDefault="00307155" w:rsidP="00F3101B">
      <w:pPr>
        <w:pStyle w:val="PlainText"/>
        <w:spacing w:after="120"/>
        <w:ind w:left="142" w:right="27" w:hanging="142"/>
        <w:rPr>
          <w:rFonts w:ascii="Times New Roman" w:hAnsi="Times New Roman" w:cs="Times New Roman"/>
          <w:bCs/>
          <w:sz w:val="24"/>
          <w:szCs w:val="24"/>
        </w:rPr>
      </w:pPr>
      <w:r w:rsidRPr="00FC7BB4">
        <w:rPr>
          <w:rFonts w:ascii="Times New Roman" w:hAnsi="Times New Roman" w:cs="Times New Roman"/>
          <w:sz w:val="24"/>
        </w:rPr>
        <w:t xml:space="preserve">Blinder, A. (1994) On sticky prices: Academic theories meet the real world. </w:t>
      </w:r>
      <w:r w:rsidRPr="00FC7BB4">
        <w:rPr>
          <w:rFonts w:ascii="Times New Roman" w:hAnsi="Times New Roman" w:cs="Times New Roman"/>
          <w:bCs/>
          <w:sz w:val="24"/>
          <w:szCs w:val="24"/>
        </w:rPr>
        <w:t xml:space="preserve">In Mankiw, N. G. (Editor), </w:t>
      </w:r>
      <w:r w:rsidRPr="00FC7BB4">
        <w:rPr>
          <w:rFonts w:ascii="Times New Roman" w:hAnsi="Times New Roman" w:cs="Times New Roman"/>
          <w:bCs/>
          <w:i/>
          <w:iCs/>
          <w:sz w:val="24"/>
          <w:szCs w:val="24"/>
        </w:rPr>
        <w:t>Monetary Policy</w:t>
      </w:r>
      <w:r w:rsidRPr="00FC7BB4">
        <w:rPr>
          <w:rFonts w:ascii="Times New Roman" w:hAnsi="Times New Roman" w:cs="Times New Roman"/>
          <w:bCs/>
          <w:sz w:val="24"/>
          <w:szCs w:val="24"/>
        </w:rPr>
        <w:t>, Chapter 4, 117-114. MA: NBER.</w:t>
      </w:r>
      <w:r w:rsidR="009544FA" w:rsidRPr="00FC7BB4">
        <w:rPr>
          <w:rFonts w:ascii="Times New Roman" w:hAnsi="Times New Roman" w:cs="Times New Roman"/>
          <w:bCs/>
          <w:sz w:val="24"/>
          <w:szCs w:val="24"/>
        </w:rPr>
        <w:t xml:space="preserve"> https://www.nber.org/system/files/chapters/c8331/c8331.pdf</w:t>
      </w:r>
    </w:p>
    <w:p w14:paraId="3BEC1515" w14:textId="6DFA41C6" w:rsidR="00307155" w:rsidRPr="00FC7BB4" w:rsidRDefault="00307155" w:rsidP="00F3101B">
      <w:pPr>
        <w:pStyle w:val="PlainText"/>
        <w:spacing w:after="120"/>
        <w:ind w:left="142" w:right="27" w:hanging="142"/>
        <w:rPr>
          <w:rFonts w:ascii="Times New Roman" w:hAnsi="Times New Roman" w:cs="Times New Roman"/>
          <w:sz w:val="24"/>
        </w:rPr>
      </w:pPr>
      <w:r w:rsidRPr="00FC7BB4">
        <w:rPr>
          <w:rFonts w:ascii="Times New Roman" w:hAnsi="Times New Roman" w:cs="Times New Roman"/>
          <w:sz w:val="24"/>
        </w:rPr>
        <w:t xml:space="preserve">Brown, Z. Y., and A. MacKay (2023) Competition in pricing algorithms. </w:t>
      </w:r>
      <w:r w:rsidRPr="00FC7BB4">
        <w:rPr>
          <w:rFonts w:ascii="Times New Roman" w:hAnsi="Times New Roman" w:cs="Times New Roman"/>
          <w:i/>
          <w:iCs/>
          <w:sz w:val="24"/>
        </w:rPr>
        <w:t>American Economic Journal: Microeconomics</w:t>
      </w:r>
      <w:r w:rsidRPr="00FC7BB4">
        <w:rPr>
          <w:rFonts w:ascii="Times New Roman" w:hAnsi="Times New Roman" w:cs="Times New Roman"/>
          <w:sz w:val="24"/>
        </w:rPr>
        <w:t>, 15(2): 109-15</w:t>
      </w:r>
      <w:r w:rsidRPr="00FC7BB4">
        <w:rPr>
          <w:rFonts w:ascii="Times New Roman" w:hAnsi="Times New Roman" w:cs="Times New Roman"/>
          <w:color w:val="000000" w:themeColor="text1"/>
          <w:sz w:val="24"/>
          <w:szCs w:val="24"/>
        </w:rPr>
        <w:t>6.</w:t>
      </w:r>
      <w:r w:rsidR="009544FA" w:rsidRPr="00FC7BB4">
        <w:rPr>
          <w:rFonts w:ascii="Times New Roman" w:hAnsi="Times New Roman" w:cs="Times New Roman"/>
          <w:color w:val="000000" w:themeColor="text1"/>
          <w:sz w:val="24"/>
          <w:szCs w:val="24"/>
        </w:rPr>
        <w:t xml:space="preserve"> https://doi.org/10.1257/mic.20210158</w:t>
      </w:r>
    </w:p>
    <w:p w14:paraId="6AF1AC9B" w14:textId="5CBBC3B5" w:rsidR="00307155" w:rsidRPr="00FC7BB4" w:rsidRDefault="00307155" w:rsidP="00F3101B">
      <w:pPr>
        <w:spacing w:after="120" w:line="276" w:lineRule="auto"/>
        <w:ind w:left="198" w:right="27" w:hanging="198"/>
        <w:rPr>
          <w:rFonts w:ascii="Times New Roman" w:hAnsi="Times New Roman" w:cs="Times New Roman"/>
          <w:sz w:val="24"/>
        </w:rPr>
      </w:pPr>
      <w:r w:rsidRPr="00FC7BB4">
        <w:rPr>
          <w:rFonts w:ascii="Times New Roman" w:hAnsi="Times New Roman" w:cs="Times New Roman"/>
          <w:sz w:val="24"/>
        </w:rPr>
        <w:t xml:space="preserve">Buckle, R.A., and J. A. Carlson (1998) Inflation and asymmetric output adjustments by firms. </w:t>
      </w:r>
      <w:r w:rsidRPr="00FC7BB4">
        <w:rPr>
          <w:rFonts w:ascii="Times New Roman" w:hAnsi="Times New Roman" w:cs="Times New Roman"/>
          <w:i/>
          <w:iCs/>
          <w:sz w:val="24"/>
        </w:rPr>
        <w:t>Economic Inquiry</w:t>
      </w:r>
      <w:r w:rsidRPr="00FC7BB4">
        <w:rPr>
          <w:rFonts w:ascii="Times New Roman" w:hAnsi="Times New Roman" w:cs="Times New Roman"/>
          <w:sz w:val="24"/>
        </w:rPr>
        <w:t xml:space="preserve">, </w:t>
      </w:r>
      <w:r w:rsidRPr="00FC7BB4">
        <w:rPr>
          <w:rFonts w:ascii="Times New Roman" w:hAnsi="Times New Roman" w:cs="Times New Roman"/>
          <w:bCs/>
          <w:sz w:val="24"/>
        </w:rPr>
        <w:t>36</w:t>
      </w:r>
      <w:r w:rsidRPr="00FC7BB4">
        <w:rPr>
          <w:rFonts w:ascii="Times New Roman" w:hAnsi="Times New Roman" w:cs="Times New Roman"/>
          <w:sz w:val="24"/>
        </w:rPr>
        <w:t>: 215-228</w:t>
      </w:r>
      <w:r w:rsidRPr="00FC7BB4">
        <w:rPr>
          <w:rFonts w:ascii="Times New Roman" w:hAnsi="Times New Roman" w:cs="Times New Roman"/>
          <w:color w:val="auto"/>
          <w:sz w:val="24"/>
        </w:rPr>
        <w:t>.</w:t>
      </w:r>
      <w:r w:rsidR="009544FA" w:rsidRPr="00FC7BB4">
        <w:rPr>
          <w:rFonts w:ascii="Times New Roman" w:hAnsi="Times New Roman" w:cs="Times New Roman"/>
          <w:color w:val="auto"/>
          <w:sz w:val="24"/>
        </w:rPr>
        <w:t xml:space="preserve"> </w:t>
      </w:r>
      <w:hyperlink r:id="rId29" w:history="1">
        <w:r w:rsidR="009544FA" w:rsidRPr="00FC7BB4">
          <w:rPr>
            <w:rFonts w:ascii="Times New Roman" w:hAnsi="Times New Roman" w:cs="Times New Roman"/>
            <w:color w:val="auto"/>
            <w:sz w:val="24"/>
            <w:shd w:val="clear" w:color="auto" w:fill="FFFFFF"/>
          </w:rPr>
          <w:t>https://doi.org/10.1111/j.1465-7295.1998.tb01708.x</w:t>
        </w:r>
      </w:hyperlink>
    </w:p>
    <w:p w14:paraId="19E70028" w14:textId="2B63042B" w:rsidR="009544FA" w:rsidRPr="00FC7BB4" w:rsidRDefault="00307155" w:rsidP="00F3101B">
      <w:pPr>
        <w:spacing w:after="120" w:line="240" w:lineRule="atLeast"/>
        <w:ind w:right="27" w:firstLine="0"/>
        <w:jc w:val="left"/>
        <w:rPr>
          <w:rFonts w:ascii="Times New Roman" w:eastAsia="Times New Roman" w:hAnsi="Times New Roman" w:cs="Times New Roman"/>
          <w:color w:val="343332"/>
          <w:spacing w:val="-5"/>
          <w:kern w:val="0"/>
          <w:sz w:val="24"/>
          <w14:ligatures w14:val="none"/>
        </w:rPr>
      </w:pPr>
      <w:r w:rsidRPr="00FC7BB4">
        <w:rPr>
          <w:rFonts w:ascii="Times New Roman" w:hAnsi="Times New Roman" w:cs="Times New Roman"/>
          <w:sz w:val="24"/>
        </w:rPr>
        <w:t xml:space="preserve">Buckle, R. A. and J. A. Carlson (2000a). Inflation and asymmetric price adjustment. </w:t>
      </w:r>
      <w:r w:rsidRPr="00FC7BB4">
        <w:rPr>
          <w:rFonts w:ascii="Times New Roman" w:hAnsi="Times New Roman" w:cs="Times New Roman"/>
          <w:i/>
          <w:sz w:val="24"/>
        </w:rPr>
        <w:t>Review of Economics and Statistics, 82</w:t>
      </w:r>
      <w:r w:rsidRPr="00FC7BB4">
        <w:rPr>
          <w:rFonts w:ascii="Times New Roman" w:hAnsi="Times New Roman" w:cs="Times New Roman"/>
          <w:sz w:val="24"/>
        </w:rPr>
        <w:t>(1): 157–160</w:t>
      </w:r>
      <w:r w:rsidRPr="00FC7BB4">
        <w:rPr>
          <w:rFonts w:ascii="Times New Roman" w:hAnsi="Times New Roman" w:cs="Times New Roman"/>
          <w:color w:val="auto"/>
          <w:sz w:val="24"/>
        </w:rPr>
        <w:t>.</w:t>
      </w:r>
      <w:r w:rsidR="009544FA" w:rsidRPr="00FC7BB4">
        <w:rPr>
          <w:rFonts w:ascii="Times New Roman" w:hAnsi="Times New Roman" w:cs="Times New Roman"/>
          <w:color w:val="auto"/>
          <w:sz w:val="24"/>
        </w:rPr>
        <w:t xml:space="preserve"> </w:t>
      </w:r>
      <w:hyperlink r:id="rId30" w:history="1">
        <w:r w:rsidR="009544FA" w:rsidRPr="00FC7BB4">
          <w:rPr>
            <w:rStyle w:val="Hyperlink"/>
            <w:rFonts w:ascii="Times New Roman" w:eastAsia="Times New Roman" w:hAnsi="Times New Roman" w:cs="Times New Roman"/>
            <w:color w:val="auto"/>
            <w:spacing w:val="-5"/>
            <w:kern w:val="0"/>
            <w:sz w:val="24"/>
            <w:u w:val="none"/>
            <w14:ligatures w14:val="none"/>
          </w:rPr>
          <w:t>https://www.jstor.org/stable/2646681</w:t>
        </w:r>
      </w:hyperlink>
    </w:p>
    <w:p w14:paraId="0B1B2562" w14:textId="0134511C" w:rsidR="00307155" w:rsidRPr="00FC7BB4" w:rsidRDefault="00307155" w:rsidP="00F3101B">
      <w:pPr>
        <w:spacing w:after="120" w:line="276" w:lineRule="auto"/>
        <w:ind w:left="181" w:right="27" w:hanging="198"/>
        <w:rPr>
          <w:rFonts w:ascii="Times New Roman" w:hAnsi="Times New Roman" w:cs="Times New Roman"/>
          <w:sz w:val="24"/>
        </w:rPr>
      </w:pPr>
      <w:r w:rsidRPr="00FC7BB4">
        <w:rPr>
          <w:rFonts w:ascii="Times New Roman" w:hAnsi="Times New Roman" w:cs="Times New Roman"/>
          <w:sz w:val="24"/>
        </w:rPr>
        <w:t xml:space="preserve">Buckle, R. A. and J. A. Carlson (2000b). Menu costs, firm size and price rigidity. </w:t>
      </w:r>
      <w:r w:rsidRPr="00FC7BB4">
        <w:rPr>
          <w:rFonts w:ascii="Times New Roman" w:hAnsi="Times New Roman" w:cs="Times New Roman"/>
          <w:i/>
          <w:sz w:val="24"/>
        </w:rPr>
        <w:t>Economics Letters, 66</w:t>
      </w:r>
      <w:r w:rsidRPr="00FC7BB4">
        <w:rPr>
          <w:rFonts w:ascii="Times New Roman" w:hAnsi="Times New Roman" w:cs="Times New Roman"/>
          <w:sz w:val="24"/>
        </w:rPr>
        <w:t>(1): 59–63.</w:t>
      </w:r>
      <w:r w:rsidR="004A1CAE" w:rsidRPr="00FC7BB4">
        <w:rPr>
          <w:rFonts w:ascii="Times New Roman" w:hAnsi="Times New Roman" w:cs="Times New Roman"/>
          <w:sz w:val="24"/>
        </w:rPr>
        <w:t xml:space="preserve"> </w:t>
      </w:r>
      <w:hyperlink r:id="rId31" w:tgtFrame="_blank" w:tooltip="Persistent link using digital object identifier" w:history="1">
        <w:r w:rsidR="004A1CAE" w:rsidRPr="00FC7BB4">
          <w:rPr>
            <w:rStyle w:val="anchor-text"/>
            <w:rFonts w:ascii="Times New Roman" w:hAnsi="Times New Roman" w:cs="Times New Roman"/>
            <w:color w:val="auto"/>
            <w:sz w:val="24"/>
          </w:rPr>
          <w:t>https://doi.org/10.1016/S0165-1765(99)00188-3</w:t>
        </w:r>
      </w:hyperlink>
    </w:p>
    <w:p w14:paraId="2B75DECB" w14:textId="77777777" w:rsidR="00307155" w:rsidRPr="00FC7BB4" w:rsidRDefault="00307155" w:rsidP="00F3101B">
      <w:pPr>
        <w:spacing w:after="120" w:line="276" w:lineRule="auto"/>
        <w:ind w:left="198" w:right="27" w:hanging="198"/>
        <w:jc w:val="left"/>
        <w:rPr>
          <w:rFonts w:ascii="Times New Roman" w:eastAsia="Times New Roman" w:hAnsi="Times New Roman" w:cs="Times New Roman"/>
          <w:color w:val="auto"/>
          <w:kern w:val="0"/>
          <w:sz w:val="24"/>
          <w14:ligatures w14:val="none"/>
        </w:rPr>
      </w:pPr>
      <w:r w:rsidRPr="00FC7BB4">
        <w:rPr>
          <w:rFonts w:ascii="Times New Roman" w:eastAsia="Times New Roman" w:hAnsi="Times New Roman" w:cs="Times New Roman"/>
          <w:color w:val="auto"/>
          <w:kern w:val="0"/>
          <w:sz w:val="24"/>
          <w:shd w:val="clear" w:color="auto" w:fill="FFFFFF"/>
          <w14:ligatures w14:val="none"/>
        </w:rPr>
        <w:t xml:space="preserve">Bunn, P., L. Anayi, N. Bloom, P. Mizen, G. Thwaites, I. </w:t>
      </w:r>
      <w:proofErr w:type="spellStart"/>
      <w:r w:rsidRPr="00FC7BB4">
        <w:rPr>
          <w:rFonts w:ascii="Times New Roman" w:eastAsia="Times New Roman" w:hAnsi="Times New Roman" w:cs="Times New Roman"/>
          <w:color w:val="auto"/>
          <w:kern w:val="0"/>
          <w:sz w:val="24"/>
          <w:shd w:val="clear" w:color="auto" w:fill="FFFFFF"/>
          <w14:ligatures w14:val="none"/>
        </w:rPr>
        <w:t>Yotzov</w:t>
      </w:r>
      <w:proofErr w:type="spellEnd"/>
      <w:r w:rsidRPr="00FC7BB4">
        <w:rPr>
          <w:rFonts w:ascii="Times New Roman" w:eastAsia="Times New Roman" w:hAnsi="Times New Roman" w:cs="Times New Roman"/>
          <w:color w:val="auto"/>
          <w:kern w:val="0"/>
          <w:sz w:val="24"/>
          <w:shd w:val="clear" w:color="auto" w:fill="FFFFFF"/>
          <w14:ligatures w14:val="none"/>
        </w:rPr>
        <w:t xml:space="preserve"> (2024) </w:t>
      </w:r>
      <w:r w:rsidRPr="00FC7BB4">
        <w:rPr>
          <w:rFonts w:ascii="Times New Roman" w:eastAsia="Times New Roman" w:hAnsi="Times New Roman" w:cs="Times New Roman"/>
          <w:i/>
          <w:iCs/>
          <w:color w:val="auto"/>
          <w:kern w:val="0"/>
          <w:sz w:val="24"/>
          <w:shd w:val="clear" w:color="auto" w:fill="FFFFFF"/>
          <w14:ligatures w14:val="none"/>
        </w:rPr>
        <w:t xml:space="preserve">How Curvy is the Phillips Curve? </w:t>
      </w:r>
      <w:r w:rsidRPr="00FC7BB4">
        <w:rPr>
          <w:rFonts w:ascii="Times New Roman" w:eastAsia="Times New Roman" w:hAnsi="Times New Roman" w:cs="Times New Roman"/>
          <w:color w:val="auto"/>
          <w:kern w:val="0"/>
          <w:sz w:val="24"/>
          <w:shd w:val="clear" w:color="auto" w:fill="FFFFFF"/>
          <w14:ligatures w14:val="none"/>
        </w:rPr>
        <w:t>NBER Working Paper 33234. </w:t>
      </w:r>
      <w:hyperlink r:id="rId32" w:history="1">
        <w:r w:rsidRPr="00FC7BB4">
          <w:rPr>
            <w:rFonts w:ascii="Times New Roman" w:eastAsia="Times New Roman" w:hAnsi="Times New Roman" w:cs="Times New Roman"/>
            <w:color w:val="auto"/>
            <w:kern w:val="0"/>
            <w:sz w:val="24"/>
            <w:shd w:val="clear" w:color="auto" w:fill="FFFFFF"/>
            <w14:ligatures w14:val="none"/>
          </w:rPr>
          <w:t>https://ssrn.com/abstract=5048607</w:t>
        </w:r>
      </w:hyperlink>
      <w:r w:rsidRPr="00FC7BB4">
        <w:rPr>
          <w:rFonts w:ascii="Times New Roman" w:eastAsia="Times New Roman" w:hAnsi="Times New Roman" w:cs="Times New Roman"/>
          <w:color w:val="auto"/>
          <w:kern w:val="0"/>
          <w:sz w:val="24"/>
          <w14:ligatures w14:val="none"/>
        </w:rPr>
        <w:t xml:space="preserve"> </w:t>
      </w:r>
    </w:p>
    <w:p w14:paraId="63F0E271" w14:textId="46CBEB42" w:rsidR="00307155" w:rsidRPr="00FC7BB4" w:rsidRDefault="00307155" w:rsidP="00F3101B">
      <w:pPr>
        <w:pStyle w:val="PlainText"/>
        <w:spacing w:after="120"/>
        <w:ind w:left="142" w:right="27" w:hanging="142"/>
        <w:rPr>
          <w:rFonts w:ascii="Times New Roman" w:hAnsi="Times New Roman" w:cs="Times New Roman"/>
          <w:bCs/>
          <w:sz w:val="24"/>
          <w:szCs w:val="24"/>
        </w:rPr>
      </w:pPr>
      <w:r w:rsidRPr="00FC7BB4">
        <w:rPr>
          <w:rFonts w:ascii="Times New Roman" w:hAnsi="Times New Roman" w:cs="Times New Roman"/>
          <w:bCs/>
          <w:sz w:val="24"/>
          <w:szCs w:val="24"/>
        </w:rPr>
        <w:t xml:space="preserve">Candia, B., </w:t>
      </w:r>
      <w:r w:rsidR="00670E7C" w:rsidRPr="00FC7BB4">
        <w:rPr>
          <w:rFonts w:ascii="Times New Roman" w:hAnsi="Times New Roman" w:cs="Times New Roman"/>
          <w:bCs/>
          <w:sz w:val="24"/>
          <w:szCs w:val="24"/>
        </w:rPr>
        <w:t xml:space="preserve">O. </w:t>
      </w:r>
      <w:proofErr w:type="spellStart"/>
      <w:r w:rsidRPr="00FC7BB4">
        <w:rPr>
          <w:rFonts w:ascii="Times New Roman" w:hAnsi="Times New Roman" w:cs="Times New Roman"/>
          <w:bCs/>
          <w:sz w:val="24"/>
          <w:szCs w:val="24"/>
        </w:rPr>
        <w:t>Coibion</w:t>
      </w:r>
      <w:proofErr w:type="spellEnd"/>
      <w:r w:rsidRPr="00FC7BB4">
        <w:rPr>
          <w:rFonts w:ascii="Times New Roman" w:hAnsi="Times New Roman" w:cs="Times New Roman"/>
          <w:bCs/>
          <w:sz w:val="24"/>
          <w:szCs w:val="24"/>
        </w:rPr>
        <w:t>, and</w:t>
      </w:r>
      <w:r w:rsidR="00670E7C" w:rsidRPr="00FC7BB4">
        <w:rPr>
          <w:rFonts w:ascii="Times New Roman" w:hAnsi="Times New Roman" w:cs="Times New Roman"/>
          <w:bCs/>
          <w:sz w:val="24"/>
          <w:szCs w:val="24"/>
        </w:rPr>
        <w:t xml:space="preserve"> Y.</w:t>
      </w:r>
      <w:r w:rsidRPr="00FC7BB4">
        <w:rPr>
          <w:rFonts w:ascii="Times New Roman" w:hAnsi="Times New Roman" w:cs="Times New Roman"/>
          <w:bCs/>
          <w:sz w:val="24"/>
          <w:szCs w:val="24"/>
        </w:rPr>
        <w:t xml:space="preserve"> </w:t>
      </w:r>
      <w:proofErr w:type="spellStart"/>
      <w:r w:rsidRPr="00FC7BB4">
        <w:rPr>
          <w:rFonts w:ascii="Times New Roman" w:hAnsi="Times New Roman" w:cs="Times New Roman"/>
          <w:bCs/>
          <w:sz w:val="24"/>
          <w:szCs w:val="24"/>
        </w:rPr>
        <w:t>Gorodnichenko</w:t>
      </w:r>
      <w:proofErr w:type="spellEnd"/>
      <w:r w:rsidRPr="00FC7BB4">
        <w:rPr>
          <w:rFonts w:ascii="Times New Roman" w:hAnsi="Times New Roman" w:cs="Times New Roman"/>
          <w:bCs/>
          <w:sz w:val="24"/>
          <w:szCs w:val="24"/>
        </w:rPr>
        <w:t xml:space="preserve"> (2023) The macroeconomic expectations of firms. In Bachmann, R., Topa, G., and van der </w:t>
      </w:r>
      <w:proofErr w:type="spellStart"/>
      <w:r w:rsidRPr="00FC7BB4">
        <w:rPr>
          <w:rFonts w:ascii="Times New Roman" w:hAnsi="Times New Roman" w:cs="Times New Roman"/>
          <w:bCs/>
          <w:sz w:val="24"/>
          <w:szCs w:val="24"/>
        </w:rPr>
        <w:t>Klauw</w:t>
      </w:r>
      <w:proofErr w:type="spellEnd"/>
      <w:r w:rsidRPr="00FC7BB4">
        <w:rPr>
          <w:rFonts w:ascii="Times New Roman" w:hAnsi="Times New Roman" w:cs="Times New Roman"/>
          <w:bCs/>
          <w:sz w:val="24"/>
          <w:szCs w:val="24"/>
        </w:rPr>
        <w:t xml:space="preserve">, W. (Editors), </w:t>
      </w:r>
      <w:r w:rsidRPr="00FC7BB4">
        <w:rPr>
          <w:rFonts w:ascii="Times New Roman" w:hAnsi="Times New Roman" w:cs="Times New Roman"/>
          <w:bCs/>
          <w:i/>
          <w:iCs/>
          <w:sz w:val="24"/>
          <w:szCs w:val="24"/>
        </w:rPr>
        <w:t>Handbook of Economic Expectations</w:t>
      </w:r>
      <w:r w:rsidRPr="00FC7BB4">
        <w:rPr>
          <w:rFonts w:ascii="Times New Roman" w:hAnsi="Times New Roman" w:cs="Times New Roman"/>
          <w:bCs/>
          <w:sz w:val="24"/>
          <w:szCs w:val="24"/>
        </w:rPr>
        <w:t xml:space="preserve">, Chapter 11, 321-353. Elsevier. </w:t>
      </w:r>
      <w:hyperlink r:id="rId33" w:tgtFrame="_blank" w:tooltip="Persistent link using digital object identifier" w:history="1">
        <w:r w:rsidR="004A1CAE" w:rsidRPr="00FC7BB4">
          <w:rPr>
            <w:rStyle w:val="anchor-text"/>
            <w:rFonts w:ascii="Times New Roman" w:hAnsi="Times New Roman" w:cs="Times New Roman"/>
            <w:color w:val="000000" w:themeColor="text1"/>
            <w:sz w:val="24"/>
            <w:szCs w:val="24"/>
          </w:rPr>
          <w:t>https://doi.org/10.1016/B978-0-12-822927-9.00018-5</w:t>
        </w:r>
      </w:hyperlink>
    </w:p>
    <w:p w14:paraId="2B2BFAF2" w14:textId="77777777" w:rsidR="00307155" w:rsidRPr="00FC7BB4" w:rsidRDefault="00307155" w:rsidP="00F3101B">
      <w:pPr>
        <w:spacing w:after="120" w:line="276" w:lineRule="auto"/>
        <w:ind w:left="181" w:right="27" w:hanging="198"/>
        <w:rPr>
          <w:rStyle w:val="cf01"/>
          <w:rFonts w:ascii="Times New Roman" w:eastAsia="Times New Roman" w:hAnsi="Times New Roman" w:cs="Times New Roman"/>
          <w:color w:val="auto"/>
          <w:kern w:val="0"/>
          <w:sz w:val="24"/>
          <w:lang w:eastAsia="en-US"/>
          <w14:ligatures w14:val="none"/>
        </w:rPr>
      </w:pPr>
      <w:r w:rsidRPr="00FC7BB4">
        <w:rPr>
          <w:rStyle w:val="cf01"/>
          <w:rFonts w:ascii="Times New Roman" w:hAnsi="Times New Roman" w:cs="Times New Roman"/>
          <w:sz w:val="24"/>
        </w:rPr>
        <w:t xml:space="preserve">Cavallo, A. (2018) </w:t>
      </w:r>
      <w:r w:rsidRPr="00FC7BB4">
        <w:rPr>
          <w:rStyle w:val="cf01"/>
          <w:rFonts w:ascii="Times New Roman" w:hAnsi="Times New Roman" w:cs="Times New Roman"/>
          <w:i/>
          <w:iCs/>
          <w:sz w:val="24"/>
        </w:rPr>
        <w:t xml:space="preserve">More </w:t>
      </w:r>
      <w:r w:rsidRPr="00FC7BB4">
        <w:rPr>
          <w:rStyle w:val="cf01"/>
          <w:rFonts w:ascii="Times New Roman" w:hAnsi="Times New Roman" w:cs="Times New Roman"/>
          <w:i/>
          <w:iCs/>
          <w:color w:val="auto"/>
          <w:sz w:val="24"/>
        </w:rPr>
        <w:t>Amazon effects: Online competition and pricing behaviours</w:t>
      </w:r>
      <w:r w:rsidRPr="00FC7BB4">
        <w:rPr>
          <w:rStyle w:val="cf01"/>
          <w:rFonts w:ascii="Times New Roman" w:hAnsi="Times New Roman" w:cs="Times New Roman"/>
          <w:color w:val="auto"/>
          <w:sz w:val="24"/>
        </w:rPr>
        <w:t xml:space="preserve">. NBER Working Paper 25138, October. </w:t>
      </w:r>
      <w:hyperlink r:id="rId34" w:history="1">
        <w:r w:rsidRPr="00FC7BB4">
          <w:rPr>
            <w:rStyle w:val="cf21"/>
            <w:rFonts w:ascii="Times New Roman" w:hAnsi="Times New Roman" w:cs="Times New Roman"/>
            <w:color w:val="auto"/>
            <w:sz w:val="24"/>
          </w:rPr>
          <w:t>http://www.nber.org/papers/w25138</w:t>
        </w:r>
      </w:hyperlink>
      <w:r w:rsidRPr="00FC7BB4">
        <w:rPr>
          <w:rStyle w:val="cf01"/>
          <w:rFonts w:ascii="Times New Roman" w:hAnsi="Times New Roman" w:cs="Times New Roman"/>
          <w:color w:val="auto"/>
          <w:sz w:val="24"/>
        </w:rPr>
        <w:t xml:space="preserve"> </w:t>
      </w:r>
    </w:p>
    <w:p w14:paraId="5146CCFC" w14:textId="007ECD03" w:rsidR="00307155" w:rsidRPr="00FC7BB4" w:rsidRDefault="00307155" w:rsidP="00F3101B">
      <w:pPr>
        <w:spacing w:after="120" w:line="276" w:lineRule="auto"/>
        <w:ind w:left="181" w:right="27" w:hanging="198"/>
        <w:rPr>
          <w:rFonts w:ascii="Times New Roman" w:hAnsi="Times New Roman" w:cs="Times New Roman"/>
          <w:color w:val="auto"/>
          <w:sz w:val="24"/>
        </w:rPr>
      </w:pPr>
      <w:r w:rsidRPr="00FC7BB4">
        <w:rPr>
          <w:rFonts w:ascii="Times New Roman" w:hAnsi="Times New Roman" w:cs="Times New Roman"/>
          <w:color w:val="auto"/>
          <w:sz w:val="24"/>
        </w:rPr>
        <w:t xml:space="preserve">Cavallo, A., F. Lippi, and K. Miyahara (2024). Large shocks travel fast. </w:t>
      </w:r>
      <w:r w:rsidRPr="00FC7BB4">
        <w:rPr>
          <w:rFonts w:ascii="Times New Roman" w:hAnsi="Times New Roman" w:cs="Times New Roman"/>
          <w:i/>
          <w:iCs/>
          <w:color w:val="auto"/>
          <w:sz w:val="24"/>
        </w:rPr>
        <w:t>American Economic Review: Insights</w:t>
      </w:r>
      <w:r w:rsidRPr="00FC7BB4">
        <w:rPr>
          <w:rFonts w:ascii="Times New Roman" w:hAnsi="Times New Roman" w:cs="Times New Roman"/>
          <w:color w:val="auto"/>
          <w:sz w:val="24"/>
        </w:rPr>
        <w:t>, 6(4): 558-574.</w:t>
      </w:r>
      <w:r w:rsidR="004A1CAE" w:rsidRPr="00FC7BB4">
        <w:rPr>
          <w:rFonts w:ascii="Times New Roman" w:hAnsi="Times New Roman" w:cs="Times New Roman"/>
          <w:color w:val="000000" w:themeColor="text1"/>
          <w:sz w:val="24"/>
          <w:shd w:val="clear" w:color="auto" w:fill="FFFFFF"/>
        </w:rPr>
        <w:t xml:space="preserve"> DOI: 10.1257/aeri.20230454</w:t>
      </w:r>
    </w:p>
    <w:bookmarkEnd w:id="97"/>
    <w:p w14:paraId="2432CCCB" w14:textId="16E2CEF8" w:rsidR="00307155" w:rsidRPr="00FC7BB4" w:rsidRDefault="00307155" w:rsidP="00F3101B">
      <w:pPr>
        <w:spacing w:after="120" w:line="276" w:lineRule="auto"/>
        <w:ind w:left="181" w:right="27" w:hanging="198"/>
        <w:rPr>
          <w:rFonts w:ascii="Times New Roman" w:hAnsi="Times New Roman" w:cs="Times New Roman"/>
          <w:color w:val="auto"/>
          <w:sz w:val="24"/>
        </w:rPr>
      </w:pPr>
      <w:r w:rsidRPr="00FC7BB4">
        <w:rPr>
          <w:rFonts w:ascii="Times New Roman" w:hAnsi="Times New Roman" w:cs="Times New Roman"/>
          <w:color w:val="auto"/>
          <w:sz w:val="24"/>
        </w:rPr>
        <w:t xml:space="preserve">Cecchetti, S. G. (1986) The frequency of price adjustment: A study of the newsstand prices of magazines. </w:t>
      </w:r>
      <w:r w:rsidRPr="00FC7BB4">
        <w:rPr>
          <w:rFonts w:ascii="Times New Roman" w:hAnsi="Times New Roman" w:cs="Times New Roman"/>
          <w:i/>
          <w:iCs/>
          <w:color w:val="auto"/>
          <w:sz w:val="24"/>
        </w:rPr>
        <w:t>Journal of Econometrics</w:t>
      </w:r>
      <w:r w:rsidRPr="00FC7BB4">
        <w:rPr>
          <w:rFonts w:ascii="Times New Roman" w:hAnsi="Times New Roman" w:cs="Times New Roman"/>
          <w:color w:val="auto"/>
          <w:sz w:val="24"/>
        </w:rPr>
        <w:t>, 31: 255-</w:t>
      </w:r>
      <w:r w:rsidRPr="00FC7BB4">
        <w:rPr>
          <w:rFonts w:ascii="Times New Roman" w:hAnsi="Times New Roman" w:cs="Times New Roman"/>
          <w:color w:val="000000" w:themeColor="text1"/>
          <w:sz w:val="24"/>
        </w:rPr>
        <w:t>274.</w:t>
      </w:r>
      <w:r w:rsidR="004A1CAE" w:rsidRPr="00FC7BB4">
        <w:rPr>
          <w:rFonts w:ascii="Times New Roman" w:hAnsi="Times New Roman" w:cs="Times New Roman"/>
          <w:color w:val="000000" w:themeColor="text1"/>
          <w:sz w:val="24"/>
        </w:rPr>
        <w:t xml:space="preserve"> </w:t>
      </w:r>
      <w:hyperlink r:id="rId35" w:tgtFrame="_blank" w:tooltip="Persistent link using digital object identifier" w:history="1">
        <w:r w:rsidR="004A1CAE" w:rsidRPr="00FC7BB4">
          <w:rPr>
            <w:rStyle w:val="anchor-text"/>
            <w:rFonts w:ascii="Times New Roman" w:hAnsi="Times New Roman" w:cs="Times New Roman"/>
            <w:color w:val="000000" w:themeColor="text1"/>
            <w:sz w:val="24"/>
          </w:rPr>
          <w:t>https://doi.org/10.1016/0304-4076(86)90061-8</w:t>
        </w:r>
      </w:hyperlink>
    </w:p>
    <w:p w14:paraId="4BE75B24" w14:textId="2B515BC8" w:rsidR="00307155" w:rsidRPr="00FC7BB4" w:rsidRDefault="00307155" w:rsidP="00F3101B">
      <w:pPr>
        <w:spacing w:after="120" w:line="276" w:lineRule="auto"/>
        <w:ind w:left="181" w:right="27" w:hanging="198"/>
        <w:rPr>
          <w:rFonts w:ascii="Times New Roman" w:hAnsi="Times New Roman" w:cs="Times New Roman"/>
          <w:color w:val="auto"/>
          <w:sz w:val="24"/>
        </w:rPr>
      </w:pPr>
      <w:r w:rsidRPr="00FC7BB4">
        <w:rPr>
          <w:rFonts w:ascii="Times New Roman" w:hAnsi="Times New Roman" w:cs="Times New Roman"/>
          <w:color w:val="auto"/>
          <w:sz w:val="24"/>
        </w:rPr>
        <w:t xml:space="preserve">Chen, H. A., </w:t>
      </w:r>
      <w:r w:rsidR="00670E7C" w:rsidRPr="00FC7BB4">
        <w:rPr>
          <w:rFonts w:ascii="Times New Roman" w:hAnsi="Times New Roman" w:cs="Times New Roman"/>
          <w:color w:val="auto"/>
          <w:sz w:val="24"/>
        </w:rPr>
        <w:t xml:space="preserve">D. </w:t>
      </w:r>
      <w:r w:rsidRPr="00FC7BB4">
        <w:rPr>
          <w:rFonts w:ascii="Times New Roman" w:hAnsi="Times New Roman" w:cs="Times New Roman"/>
          <w:color w:val="auto"/>
          <w:sz w:val="24"/>
        </w:rPr>
        <w:t>Levy,</w:t>
      </w:r>
      <w:r w:rsidR="00950DFF" w:rsidRPr="00FC7BB4">
        <w:rPr>
          <w:rFonts w:ascii="Times New Roman" w:hAnsi="Times New Roman" w:cs="Times New Roman"/>
          <w:color w:val="auto"/>
          <w:sz w:val="24"/>
        </w:rPr>
        <w:t xml:space="preserve"> S.</w:t>
      </w:r>
      <w:r w:rsidRPr="00FC7BB4">
        <w:rPr>
          <w:rFonts w:ascii="Times New Roman" w:hAnsi="Times New Roman" w:cs="Times New Roman"/>
          <w:color w:val="auto"/>
          <w:sz w:val="24"/>
        </w:rPr>
        <w:t xml:space="preserve"> Ray,</w:t>
      </w:r>
      <w:r w:rsidR="005D65C5">
        <w:rPr>
          <w:rFonts w:ascii="Times New Roman" w:hAnsi="Times New Roman" w:cs="Times New Roman"/>
          <w:color w:val="auto"/>
          <w:sz w:val="24"/>
        </w:rPr>
        <w:t xml:space="preserve"> </w:t>
      </w:r>
      <w:r w:rsidR="00950DFF" w:rsidRPr="00FC7BB4">
        <w:rPr>
          <w:rFonts w:ascii="Times New Roman" w:hAnsi="Times New Roman" w:cs="Times New Roman"/>
          <w:color w:val="auto"/>
          <w:sz w:val="24"/>
        </w:rPr>
        <w:t>and M.</w:t>
      </w:r>
      <w:r w:rsidRPr="00FC7BB4">
        <w:rPr>
          <w:rFonts w:ascii="Times New Roman" w:hAnsi="Times New Roman" w:cs="Times New Roman"/>
          <w:color w:val="auto"/>
          <w:sz w:val="24"/>
        </w:rPr>
        <w:t xml:space="preserve"> Bergen (2008). Asymmetric price adjustment in the small. </w:t>
      </w:r>
      <w:r w:rsidRPr="00FC7BB4">
        <w:rPr>
          <w:rFonts w:ascii="Times New Roman" w:hAnsi="Times New Roman" w:cs="Times New Roman"/>
          <w:i/>
          <w:iCs/>
          <w:color w:val="auto"/>
          <w:sz w:val="24"/>
        </w:rPr>
        <w:t>Journal of Monetary Economics</w:t>
      </w:r>
      <w:r w:rsidRPr="00FC7BB4">
        <w:rPr>
          <w:rFonts w:ascii="Times New Roman" w:hAnsi="Times New Roman" w:cs="Times New Roman"/>
          <w:color w:val="auto"/>
          <w:sz w:val="24"/>
        </w:rPr>
        <w:t>, 55(4), 728-737.</w:t>
      </w:r>
      <w:r w:rsidR="004A1CAE" w:rsidRPr="00FC7BB4">
        <w:rPr>
          <w:rFonts w:ascii="Times New Roman" w:hAnsi="Times New Roman" w:cs="Times New Roman"/>
          <w:color w:val="auto"/>
          <w:sz w:val="24"/>
        </w:rPr>
        <w:t xml:space="preserve"> </w:t>
      </w:r>
      <w:hyperlink r:id="rId36" w:tgtFrame="_blank" w:tooltip="Persistent link using digital object identifier" w:history="1">
        <w:r w:rsidR="004A1CAE" w:rsidRPr="00FC7BB4">
          <w:rPr>
            <w:rStyle w:val="anchor-text"/>
            <w:rFonts w:ascii="Times New Roman" w:hAnsi="Times New Roman" w:cs="Times New Roman"/>
            <w:color w:val="auto"/>
            <w:sz w:val="24"/>
          </w:rPr>
          <w:t>https://doi.org/10.1016/j.jmoneco.2008.05.002</w:t>
        </w:r>
      </w:hyperlink>
    </w:p>
    <w:p w14:paraId="05A0544A" w14:textId="101A37DF" w:rsidR="00307155" w:rsidRPr="00FC7BB4" w:rsidRDefault="00307155" w:rsidP="00F3101B">
      <w:pPr>
        <w:spacing w:after="120" w:line="276" w:lineRule="auto"/>
        <w:ind w:left="184" w:right="27" w:hanging="199"/>
        <w:rPr>
          <w:rFonts w:ascii="Times New Roman" w:hAnsi="Times New Roman" w:cs="Times New Roman"/>
          <w:color w:val="auto"/>
          <w:sz w:val="24"/>
        </w:rPr>
      </w:pPr>
      <w:r w:rsidRPr="00FC7BB4">
        <w:rPr>
          <w:rFonts w:ascii="Times New Roman" w:hAnsi="Times New Roman" w:cs="Times New Roman"/>
          <w:color w:val="auto"/>
          <w:sz w:val="24"/>
        </w:rPr>
        <w:t xml:space="preserve">Coleman, A., and B. Silverstone (2007) Price changes by firms in New Zealand – some evidence from the Quarterly Survey of Business Opinion. Reserve Bank of New Zealand </w:t>
      </w:r>
      <w:r w:rsidRPr="00FC7BB4">
        <w:rPr>
          <w:rFonts w:ascii="Times New Roman" w:hAnsi="Times New Roman" w:cs="Times New Roman"/>
          <w:i/>
          <w:iCs/>
          <w:color w:val="auto"/>
          <w:sz w:val="24"/>
        </w:rPr>
        <w:t>Bulletin</w:t>
      </w:r>
      <w:r w:rsidRPr="00FC7BB4">
        <w:rPr>
          <w:rFonts w:ascii="Times New Roman" w:hAnsi="Times New Roman" w:cs="Times New Roman"/>
          <w:color w:val="auto"/>
          <w:sz w:val="24"/>
        </w:rPr>
        <w:t xml:space="preserve">, 70(3): 18-30. </w:t>
      </w:r>
      <w:r w:rsidR="00B0784C" w:rsidRPr="00FC7BB4">
        <w:rPr>
          <w:rFonts w:ascii="Times New Roman" w:hAnsi="Times New Roman" w:cs="Times New Roman"/>
          <w:color w:val="auto"/>
          <w:sz w:val="24"/>
        </w:rPr>
        <w:t>https://www.rbnz.govt.nz/-/media/project/sites/rbnz/files/publications/bulletins/2007/2007sep70-3colemansilverstone.pdf</w:t>
      </w:r>
    </w:p>
    <w:p w14:paraId="72CE570C" w14:textId="6C751FE8" w:rsidR="00307155" w:rsidRPr="00FC7BB4" w:rsidRDefault="00307155" w:rsidP="00F3101B">
      <w:pPr>
        <w:spacing w:after="120" w:line="276" w:lineRule="auto"/>
        <w:ind w:left="184" w:right="27" w:hanging="199"/>
        <w:rPr>
          <w:rFonts w:ascii="Times New Roman" w:hAnsi="Times New Roman" w:cs="Times New Roman"/>
          <w:color w:val="auto"/>
          <w:sz w:val="24"/>
        </w:rPr>
      </w:pPr>
      <w:r w:rsidRPr="00FC7BB4">
        <w:rPr>
          <w:rFonts w:ascii="Times New Roman" w:hAnsi="Times New Roman" w:cs="Times New Roman"/>
          <w:color w:val="auto"/>
          <w:sz w:val="24"/>
        </w:rPr>
        <w:t xml:space="preserve">Eden, B. (2001) Inflation and price adjustment: An analysis of micro data. </w:t>
      </w:r>
      <w:r w:rsidRPr="00FC7BB4">
        <w:rPr>
          <w:rFonts w:ascii="Times New Roman" w:hAnsi="Times New Roman" w:cs="Times New Roman"/>
          <w:i/>
          <w:iCs/>
          <w:color w:val="auto"/>
          <w:sz w:val="24"/>
        </w:rPr>
        <w:t>Review of Economic Dynamics</w:t>
      </w:r>
      <w:r w:rsidRPr="00FC7BB4">
        <w:rPr>
          <w:rFonts w:ascii="Times New Roman" w:hAnsi="Times New Roman" w:cs="Times New Roman"/>
          <w:color w:val="auto"/>
          <w:sz w:val="24"/>
        </w:rPr>
        <w:t>, 4: 607-636.</w:t>
      </w:r>
      <w:r w:rsidR="00B0784C" w:rsidRPr="00FC7BB4">
        <w:rPr>
          <w:rFonts w:ascii="Times New Roman" w:hAnsi="Times New Roman" w:cs="Times New Roman"/>
          <w:color w:val="auto"/>
          <w:sz w:val="24"/>
        </w:rPr>
        <w:t xml:space="preserve"> </w:t>
      </w:r>
      <w:hyperlink r:id="rId37" w:tgtFrame="_blank" w:tooltip="Persistent link using digital object identifier" w:history="1">
        <w:r w:rsidR="00B0784C" w:rsidRPr="00FC7BB4">
          <w:rPr>
            <w:rStyle w:val="anchor-text"/>
            <w:rFonts w:ascii="Times New Roman" w:hAnsi="Times New Roman" w:cs="Times New Roman"/>
            <w:color w:val="auto"/>
            <w:sz w:val="24"/>
          </w:rPr>
          <w:t>https://doi.org/10.1006/redy.2000.0126</w:t>
        </w:r>
      </w:hyperlink>
    </w:p>
    <w:p w14:paraId="70EE6217" w14:textId="4F641BCF" w:rsidR="00307155" w:rsidRPr="00FC7BB4" w:rsidRDefault="00307155" w:rsidP="00F3101B">
      <w:pPr>
        <w:spacing w:after="120" w:line="276" w:lineRule="auto"/>
        <w:ind w:left="181" w:right="27" w:hanging="198"/>
        <w:rPr>
          <w:rFonts w:ascii="Times New Roman" w:hAnsi="Times New Roman" w:cs="Times New Roman"/>
          <w:color w:val="auto"/>
          <w:sz w:val="24"/>
        </w:rPr>
      </w:pPr>
      <w:r w:rsidRPr="00FC7BB4">
        <w:rPr>
          <w:rFonts w:ascii="Times New Roman" w:hAnsi="Times New Roman" w:cs="Times New Roman"/>
          <w:color w:val="auto"/>
          <w:sz w:val="24"/>
        </w:rPr>
        <w:t xml:space="preserve">Gagnon, E. (2009). Price setting during low and high inflation: Evidence from Mexico. </w:t>
      </w:r>
      <w:r w:rsidRPr="00FC7BB4">
        <w:rPr>
          <w:rFonts w:ascii="Times New Roman" w:hAnsi="Times New Roman" w:cs="Times New Roman"/>
          <w:i/>
          <w:color w:val="auto"/>
          <w:sz w:val="24"/>
        </w:rPr>
        <w:t>The Quarterly Journal of Economics, 124</w:t>
      </w:r>
      <w:r w:rsidRPr="00FC7BB4">
        <w:rPr>
          <w:rFonts w:ascii="Times New Roman" w:hAnsi="Times New Roman" w:cs="Times New Roman"/>
          <w:color w:val="auto"/>
          <w:sz w:val="24"/>
        </w:rPr>
        <w:t>(3): 1221–126</w:t>
      </w:r>
      <w:r w:rsidRPr="00FC7BB4">
        <w:rPr>
          <w:rFonts w:ascii="Times New Roman" w:hAnsi="Times New Roman" w:cs="Times New Roman"/>
          <w:color w:val="000000" w:themeColor="text1"/>
          <w:sz w:val="24"/>
        </w:rPr>
        <w:t>3.</w:t>
      </w:r>
      <w:r w:rsidR="00B0784C" w:rsidRPr="00FC7BB4">
        <w:rPr>
          <w:rFonts w:ascii="Times New Roman" w:hAnsi="Times New Roman" w:cs="Times New Roman"/>
          <w:color w:val="000000" w:themeColor="text1"/>
          <w:sz w:val="24"/>
        </w:rPr>
        <w:t xml:space="preserve"> </w:t>
      </w:r>
      <w:hyperlink r:id="rId38" w:history="1">
        <w:r w:rsidR="00B0784C" w:rsidRPr="00FC7BB4">
          <w:rPr>
            <w:rFonts w:ascii="Times New Roman" w:hAnsi="Times New Roman" w:cs="Times New Roman"/>
            <w:color w:val="000000" w:themeColor="text1"/>
            <w:sz w:val="24"/>
            <w:bdr w:val="none" w:sz="0" w:space="0" w:color="auto" w:frame="1"/>
            <w:shd w:val="clear" w:color="auto" w:fill="FFFFFF"/>
          </w:rPr>
          <w:t>https://doi.org/10.1162/qjec.2009.124.3.1221</w:t>
        </w:r>
      </w:hyperlink>
    </w:p>
    <w:p w14:paraId="0435FA94" w14:textId="481DA285" w:rsidR="00307155" w:rsidRPr="00FC7BB4" w:rsidRDefault="00307155" w:rsidP="00F3101B">
      <w:pPr>
        <w:spacing w:after="120" w:line="276" w:lineRule="auto"/>
        <w:ind w:left="181" w:right="27" w:hanging="198"/>
        <w:rPr>
          <w:rStyle w:val="pages"/>
          <w:rFonts w:ascii="Times New Roman" w:hAnsi="Times New Roman" w:cs="Times New Roman"/>
          <w:color w:val="auto"/>
          <w:sz w:val="24"/>
          <w:bdr w:val="none" w:sz="0" w:space="0" w:color="auto" w:frame="1"/>
          <w:shd w:val="clear" w:color="auto" w:fill="FFFFFF"/>
        </w:rPr>
      </w:pPr>
      <w:r w:rsidRPr="00FC7BB4">
        <w:rPr>
          <w:rFonts w:ascii="Times New Roman" w:hAnsi="Times New Roman" w:cs="Times New Roman"/>
          <w:color w:val="auto"/>
          <w:sz w:val="24"/>
          <w:bdr w:val="none" w:sz="0" w:space="0" w:color="auto" w:frame="1"/>
          <w:shd w:val="clear" w:color="auto" w:fill="FFFFFF"/>
        </w:rPr>
        <w:t xml:space="preserve">Gautier, E., C. </w:t>
      </w:r>
      <w:proofErr w:type="spellStart"/>
      <w:r w:rsidRPr="00FC7BB4">
        <w:rPr>
          <w:rFonts w:ascii="Times New Roman" w:hAnsi="Times New Roman" w:cs="Times New Roman"/>
          <w:color w:val="auto"/>
          <w:sz w:val="24"/>
          <w:bdr w:val="none" w:sz="0" w:space="0" w:color="auto" w:frame="1"/>
          <w:shd w:val="clear" w:color="auto" w:fill="FFFFFF"/>
        </w:rPr>
        <w:t>Conflitti</w:t>
      </w:r>
      <w:proofErr w:type="spellEnd"/>
      <w:r w:rsidRPr="00FC7BB4">
        <w:rPr>
          <w:rFonts w:ascii="Times New Roman" w:hAnsi="Times New Roman" w:cs="Times New Roman"/>
          <w:color w:val="auto"/>
          <w:sz w:val="24"/>
          <w:bdr w:val="none" w:sz="0" w:space="0" w:color="auto" w:frame="1"/>
          <w:shd w:val="clear" w:color="auto" w:fill="FFFFFF"/>
        </w:rPr>
        <w:t xml:space="preserve">, R. P. Faber, B. Fabo, L. Fadejeva, V. </w:t>
      </w:r>
      <w:proofErr w:type="spellStart"/>
      <w:r w:rsidRPr="00FC7BB4">
        <w:rPr>
          <w:rFonts w:ascii="Times New Roman" w:hAnsi="Times New Roman" w:cs="Times New Roman"/>
          <w:color w:val="auto"/>
          <w:sz w:val="24"/>
          <w:bdr w:val="none" w:sz="0" w:space="0" w:color="auto" w:frame="1"/>
          <w:shd w:val="clear" w:color="auto" w:fill="FFFFFF"/>
        </w:rPr>
        <w:t>Jouvanceau</w:t>
      </w:r>
      <w:proofErr w:type="spellEnd"/>
      <w:r w:rsidRPr="00FC7BB4">
        <w:rPr>
          <w:rFonts w:ascii="Times New Roman" w:hAnsi="Times New Roman" w:cs="Times New Roman"/>
          <w:color w:val="auto"/>
          <w:sz w:val="24"/>
          <w:bdr w:val="none" w:sz="0" w:space="0" w:color="auto" w:frame="1"/>
          <w:shd w:val="clear" w:color="auto" w:fill="FFFFFF"/>
        </w:rPr>
        <w:t xml:space="preserve">, J-O. Menz, T. Messner, P. </w:t>
      </w:r>
      <w:proofErr w:type="spellStart"/>
      <w:r w:rsidRPr="00FC7BB4">
        <w:rPr>
          <w:rFonts w:ascii="Times New Roman" w:hAnsi="Times New Roman" w:cs="Times New Roman"/>
          <w:color w:val="auto"/>
          <w:sz w:val="24"/>
          <w:bdr w:val="none" w:sz="0" w:space="0" w:color="auto" w:frame="1"/>
          <w:shd w:val="clear" w:color="auto" w:fill="FFFFFF"/>
        </w:rPr>
        <w:t>Petroulas</w:t>
      </w:r>
      <w:proofErr w:type="spellEnd"/>
      <w:r w:rsidRPr="00FC7BB4">
        <w:rPr>
          <w:rFonts w:ascii="Times New Roman" w:hAnsi="Times New Roman" w:cs="Times New Roman"/>
          <w:color w:val="auto"/>
          <w:sz w:val="24"/>
          <w:bdr w:val="none" w:sz="0" w:space="0" w:color="auto" w:frame="1"/>
          <w:shd w:val="clear" w:color="auto" w:fill="FFFFFF"/>
        </w:rPr>
        <w:t>, P. Roldan-Blanco, F. Rumler, S. Santoro, E. Wieland, and H. Zimmer (</w:t>
      </w:r>
      <w:r w:rsidRPr="00FC7BB4">
        <w:rPr>
          <w:rStyle w:val="year"/>
          <w:rFonts w:ascii="Times New Roman" w:hAnsi="Times New Roman" w:cs="Times New Roman"/>
          <w:color w:val="auto"/>
          <w:sz w:val="24"/>
          <w:bdr w:val="none" w:sz="0" w:space="0" w:color="auto" w:frame="1"/>
          <w:shd w:val="clear" w:color="auto" w:fill="FFFFFF"/>
        </w:rPr>
        <w:t>2024).</w:t>
      </w:r>
      <w:r w:rsidRPr="00FC7BB4">
        <w:rPr>
          <w:rFonts w:ascii="Times New Roman" w:hAnsi="Times New Roman" w:cs="Times New Roman"/>
          <w:color w:val="auto"/>
          <w:sz w:val="24"/>
          <w:shd w:val="clear" w:color="auto" w:fill="FFFFFF"/>
        </w:rPr>
        <w:t> </w:t>
      </w:r>
      <w:r w:rsidRPr="00FC7BB4">
        <w:rPr>
          <w:rStyle w:val="Title1"/>
          <w:rFonts w:ascii="Times New Roman" w:hAnsi="Times New Roman" w:cs="Times New Roman"/>
          <w:color w:val="auto"/>
          <w:sz w:val="24"/>
          <w:bdr w:val="none" w:sz="0" w:space="0" w:color="auto" w:frame="1"/>
          <w:shd w:val="clear" w:color="auto" w:fill="FFFFFF"/>
        </w:rPr>
        <w:t xml:space="preserve">New facts on consumer price </w:t>
      </w:r>
      <w:r w:rsidRPr="00FC7BB4">
        <w:rPr>
          <w:rStyle w:val="Title1"/>
          <w:rFonts w:ascii="Times New Roman" w:hAnsi="Times New Roman" w:cs="Times New Roman"/>
          <w:color w:val="auto"/>
          <w:sz w:val="24"/>
          <w:bdr w:val="none" w:sz="0" w:space="0" w:color="auto" w:frame="1"/>
          <w:shd w:val="clear" w:color="auto" w:fill="FFFFFF"/>
        </w:rPr>
        <w:lastRenderedPageBreak/>
        <w:t>rigidity in the Euro Area.</w:t>
      </w:r>
      <w:r w:rsidRPr="00FC7BB4">
        <w:rPr>
          <w:rFonts w:ascii="Times New Roman" w:hAnsi="Times New Roman" w:cs="Times New Roman"/>
          <w:color w:val="auto"/>
          <w:sz w:val="24"/>
          <w:shd w:val="clear" w:color="auto" w:fill="FFFFFF"/>
        </w:rPr>
        <w:t> </w:t>
      </w:r>
      <w:r w:rsidRPr="00FC7BB4">
        <w:rPr>
          <w:rStyle w:val="journal"/>
          <w:rFonts w:ascii="Times New Roman" w:hAnsi="Times New Roman" w:cs="Times New Roman"/>
          <w:i/>
          <w:iCs/>
          <w:color w:val="auto"/>
          <w:sz w:val="24"/>
          <w:bdr w:val="none" w:sz="0" w:space="0" w:color="auto" w:frame="1"/>
          <w:shd w:val="clear" w:color="auto" w:fill="FFFFFF"/>
        </w:rPr>
        <w:t>American Economic Journal: Macroeconomics</w:t>
      </w:r>
      <w:r w:rsidRPr="00FC7BB4">
        <w:rPr>
          <w:rFonts w:ascii="Times New Roman" w:hAnsi="Times New Roman" w:cs="Times New Roman"/>
          <w:color w:val="auto"/>
          <w:sz w:val="24"/>
          <w:shd w:val="clear" w:color="auto" w:fill="FFFFFF"/>
        </w:rPr>
        <w:t>, </w:t>
      </w:r>
      <w:r w:rsidRPr="00FC7BB4">
        <w:rPr>
          <w:rStyle w:val="vol"/>
          <w:rFonts w:ascii="Times New Roman" w:hAnsi="Times New Roman" w:cs="Times New Roman"/>
          <w:color w:val="auto"/>
          <w:sz w:val="24"/>
          <w:bdr w:val="none" w:sz="0" w:space="0" w:color="auto" w:frame="1"/>
          <w:shd w:val="clear" w:color="auto" w:fill="FFFFFF"/>
        </w:rPr>
        <w:t>16 (4): 386–431</w:t>
      </w:r>
      <w:r w:rsidRPr="00FC7BB4">
        <w:rPr>
          <w:rStyle w:val="pages"/>
          <w:rFonts w:ascii="Times New Roman" w:hAnsi="Times New Roman" w:cs="Times New Roman"/>
          <w:color w:val="auto"/>
          <w:sz w:val="24"/>
          <w:bdr w:val="none" w:sz="0" w:space="0" w:color="auto" w:frame="1"/>
          <w:shd w:val="clear" w:color="auto" w:fill="FFFFFF"/>
        </w:rPr>
        <w:t>.</w:t>
      </w:r>
      <w:r w:rsidR="00B0784C" w:rsidRPr="00FC7BB4">
        <w:rPr>
          <w:rStyle w:val="pages"/>
          <w:rFonts w:ascii="Times New Roman" w:hAnsi="Times New Roman" w:cs="Times New Roman"/>
          <w:color w:val="auto"/>
          <w:sz w:val="24"/>
          <w:bdr w:val="none" w:sz="0" w:space="0" w:color="auto" w:frame="1"/>
          <w:shd w:val="clear" w:color="auto" w:fill="FFFFFF"/>
        </w:rPr>
        <w:t xml:space="preserve"> </w:t>
      </w:r>
      <w:r w:rsidR="00B0784C" w:rsidRPr="00FC7BB4">
        <w:rPr>
          <w:rFonts w:ascii="Times New Roman" w:hAnsi="Times New Roman" w:cs="Times New Roman"/>
          <w:color w:val="000000" w:themeColor="text1"/>
          <w:sz w:val="24"/>
        </w:rPr>
        <w:t>https://doi.org/10.1257/mac.20220289</w:t>
      </w:r>
    </w:p>
    <w:p w14:paraId="25DABABC" w14:textId="3515FA0F" w:rsidR="00307155" w:rsidRPr="00FC7BB4" w:rsidRDefault="00307155" w:rsidP="00F3101B">
      <w:pPr>
        <w:spacing w:after="120" w:line="276" w:lineRule="auto"/>
        <w:ind w:left="181" w:right="27" w:hanging="198"/>
        <w:rPr>
          <w:rStyle w:val="pages"/>
          <w:rFonts w:ascii="Times New Roman" w:hAnsi="Times New Roman" w:cs="Times New Roman"/>
          <w:color w:val="auto"/>
          <w:sz w:val="24"/>
          <w:bdr w:val="none" w:sz="0" w:space="0" w:color="auto" w:frame="1"/>
          <w:shd w:val="clear" w:color="auto" w:fill="FFFFFF"/>
        </w:rPr>
      </w:pPr>
      <w:r w:rsidRPr="00FC7BB4">
        <w:rPr>
          <w:rStyle w:val="pages"/>
          <w:rFonts w:ascii="Times New Roman" w:hAnsi="Times New Roman" w:cs="Times New Roman"/>
          <w:color w:val="auto"/>
          <w:sz w:val="24"/>
          <w:bdr w:val="none" w:sz="0" w:space="0" w:color="auto" w:frame="1"/>
          <w:shd w:val="clear" w:color="auto" w:fill="FFFFFF"/>
        </w:rPr>
        <w:t xml:space="preserve">Gillion, C. G. (1964) New Zealand Institute of Economic Research surveys of business opinion. </w:t>
      </w:r>
      <w:r w:rsidRPr="00FC7BB4">
        <w:rPr>
          <w:rStyle w:val="pages"/>
          <w:rFonts w:ascii="Times New Roman" w:hAnsi="Times New Roman" w:cs="Times New Roman"/>
          <w:i/>
          <w:iCs/>
          <w:color w:val="auto"/>
          <w:sz w:val="24"/>
          <w:bdr w:val="none" w:sz="0" w:space="0" w:color="auto" w:frame="1"/>
          <w:shd w:val="clear" w:color="auto" w:fill="FFFFFF"/>
        </w:rPr>
        <w:t>Economic Record</w:t>
      </w:r>
      <w:r w:rsidRPr="00FC7BB4">
        <w:rPr>
          <w:rStyle w:val="pages"/>
          <w:rFonts w:ascii="Times New Roman" w:hAnsi="Times New Roman" w:cs="Times New Roman"/>
          <w:color w:val="auto"/>
          <w:sz w:val="24"/>
          <w:bdr w:val="none" w:sz="0" w:space="0" w:color="auto" w:frame="1"/>
          <w:shd w:val="clear" w:color="auto" w:fill="FFFFFF"/>
        </w:rPr>
        <w:t>, 40(89): 58</w:t>
      </w:r>
      <w:r w:rsidRPr="00FC7BB4">
        <w:rPr>
          <w:rStyle w:val="pages"/>
          <w:rFonts w:ascii="Times New Roman" w:hAnsi="Times New Roman" w:cs="Times New Roman"/>
          <w:color w:val="000000" w:themeColor="text1"/>
          <w:sz w:val="24"/>
          <w:bdr w:val="none" w:sz="0" w:space="0" w:color="auto" w:frame="1"/>
          <w:shd w:val="clear" w:color="auto" w:fill="FFFFFF"/>
        </w:rPr>
        <w:t>-77.</w:t>
      </w:r>
      <w:r w:rsidR="00B0784C" w:rsidRPr="00FC7BB4">
        <w:rPr>
          <w:rStyle w:val="pages"/>
          <w:rFonts w:ascii="Times New Roman" w:hAnsi="Times New Roman" w:cs="Times New Roman"/>
          <w:color w:val="000000" w:themeColor="text1"/>
          <w:sz w:val="24"/>
          <w:bdr w:val="none" w:sz="0" w:space="0" w:color="auto" w:frame="1"/>
          <w:shd w:val="clear" w:color="auto" w:fill="FFFFFF"/>
        </w:rPr>
        <w:t xml:space="preserve"> </w:t>
      </w:r>
      <w:hyperlink r:id="rId39" w:history="1">
        <w:r w:rsidR="00B0784C" w:rsidRPr="00FC7BB4">
          <w:rPr>
            <w:rFonts w:ascii="Times New Roman" w:hAnsi="Times New Roman" w:cs="Times New Roman"/>
            <w:color w:val="000000" w:themeColor="text1"/>
            <w:sz w:val="24"/>
            <w:shd w:val="clear" w:color="auto" w:fill="FFFFFF"/>
          </w:rPr>
          <w:t>https://doi.org/10.1111/j.1475-4932.1964.tb02132.x</w:t>
        </w:r>
      </w:hyperlink>
    </w:p>
    <w:p w14:paraId="533A9643" w14:textId="6B3ADFC5" w:rsidR="00307155" w:rsidRPr="00FC7BB4" w:rsidRDefault="00307155" w:rsidP="00F3101B">
      <w:pPr>
        <w:spacing w:after="120" w:line="276" w:lineRule="auto"/>
        <w:ind w:left="181" w:right="27" w:hanging="198"/>
        <w:rPr>
          <w:rStyle w:val="pages"/>
          <w:rFonts w:ascii="Times New Roman" w:hAnsi="Times New Roman" w:cs="Times New Roman"/>
          <w:color w:val="auto"/>
          <w:sz w:val="24"/>
          <w:bdr w:val="none" w:sz="0" w:space="0" w:color="auto" w:frame="1"/>
          <w:shd w:val="clear" w:color="auto" w:fill="FFFFFF"/>
        </w:rPr>
      </w:pPr>
      <w:r w:rsidRPr="00FC7BB4">
        <w:rPr>
          <w:rStyle w:val="pages"/>
          <w:rFonts w:ascii="Times New Roman" w:hAnsi="Times New Roman" w:cs="Times New Roman"/>
          <w:color w:val="auto"/>
          <w:sz w:val="24"/>
          <w:bdr w:val="none" w:sz="0" w:space="0" w:color="auto" w:frame="1"/>
          <w:shd w:val="clear" w:color="auto" w:fill="FFFFFF"/>
        </w:rPr>
        <w:t xml:space="preserve">Glover, A., </w:t>
      </w:r>
      <w:r w:rsidR="00950DFF" w:rsidRPr="00FC7BB4">
        <w:rPr>
          <w:rStyle w:val="pages"/>
          <w:rFonts w:ascii="Times New Roman" w:hAnsi="Times New Roman" w:cs="Times New Roman"/>
          <w:color w:val="auto"/>
          <w:sz w:val="24"/>
          <w:bdr w:val="none" w:sz="0" w:space="0" w:color="auto" w:frame="1"/>
          <w:shd w:val="clear" w:color="auto" w:fill="FFFFFF"/>
        </w:rPr>
        <w:t xml:space="preserve">J. </w:t>
      </w:r>
      <w:proofErr w:type="spellStart"/>
      <w:r w:rsidRPr="00FC7BB4">
        <w:rPr>
          <w:rStyle w:val="pages"/>
          <w:rFonts w:ascii="Times New Roman" w:hAnsi="Times New Roman" w:cs="Times New Roman"/>
          <w:color w:val="auto"/>
          <w:sz w:val="24"/>
          <w:bdr w:val="none" w:sz="0" w:space="0" w:color="auto" w:frame="1"/>
          <w:shd w:val="clear" w:color="auto" w:fill="FFFFFF"/>
        </w:rPr>
        <w:t>Mustre</w:t>
      </w:r>
      <w:proofErr w:type="spellEnd"/>
      <w:r w:rsidRPr="00FC7BB4">
        <w:rPr>
          <w:rStyle w:val="pages"/>
          <w:rFonts w:ascii="Times New Roman" w:hAnsi="Times New Roman" w:cs="Times New Roman"/>
          <w:color w:val="auto"/>
          <w:sz w:val="24"/>
          <w:bdr w:val="none" w:sz="0" w:space="0" w:color="auto" w:frame="1"/>
          <w:shd w:val="clear" w:color="auto" w:fill="FFFFFF"/>
        </w:rPr>
        <w:t xml:space="preserve">-del-Río, and </w:t>
      </w:r>
      <w:r w:rsidR="00950DFF" w:rsidRPr="00FC7BB4">
        <w:rPr>
          <w:rStyle w:val="pages"/>
          <w:rFonts w:ascii="Times New Roman" w:hAnsi="Times New Roman" w:cs="Times New Roman"/>
          <w:color w:val="auto"/>
          <w:sz w:val="24"/>
          <w:bdr w:val="none" w:sz="0" w:space="0" w:color="auto" w:frame="1"/>
          <w:shd w:val="clear" w:color="auto" w:fill="FFFFFF"/>
        </w:rPr>
        <w:t xml:space="preserve">A. </w:t>
      </w:r>
      <w:r w:rsidRPr="00FC7BB4">
        <w:rPr>
          <w:rStyle w:val="pages"/>
          <w:rFonts w:ascii="Times New Roman" w:hAnsi="Times New Roman" w:cs="Times New Roman"/>
          <w:color w:val="auto"/>
          <w:sz w:val="24"/>
          <w:bdr w:val="none" w:sz="0" w:space="0" w:color="auto" w:frame="1"/>
          <w:shd w:val="clear" w:color="auto" w:fill="FFFFFF"/>
        </w:rPr>
        <w:t xml:space="preserve">van Ende-Becker (2023) How much have recorded corporate profits contributed to recent inflation? </w:t>
      </w:r>
      <w:r w:rsidRPr="00FC7BB4">
        <w:rPr>
          <w:rStyle w:val="pages"/>
          <w:rFonts w:ascii="Times New Roman" w:hAnsi="Times New Roman" w:cs="Times New Roman"/>
          <w:i/>
          <w:iCs/>
          <w:color w:val="auto"/>
          <w:sz w:val="24"/>
          <w:bdr w:val="none" w:sz="0" w:space="0" w:color="auto" w:frame="1"/>
          <w:shd w:val="clear" w:color="auto" w:fill="FFFFFF"/>
        </w:rPr>
        <w:t>Feder</w:t>
      </w:r>
      <w:r w:rsidR="005D65C5">
        <w:rPr>
          <w:rStyle w:val="pages"/>
          <w:rFonts w:ascii="Times New Roman" w:hAnsi="Times New Roman" w:cs="Times New Roman"/>
          <w:i/>
          <w:iCs/>
          <w:color w:val="auto"/>
          <w:sz w:val="24"/>
          <w:bdr w:val="none" w:sz="0" w:space="0" w:color="auto" w:frame="1"/>
          <w:shd w:val="clear" w:color="auto" w:fill="FFFFFF"/>
        </w:rPr>
        <w:t>a</w:t>
      </w:r>
      <w:r w:rsidRPr="00FC7BB4">
        <w:rPr>
          <w:rStyle w:val="pages"/>
          <w:rFonts w:ascii="Times New Roman" w:hAnsi="Times New Roman" w:cs="Times New Roman"/>
          <w:i/>
          <w:iCs/>
          <w:color w:val="auto"/>
          <w:sz w:val="24"/>
          <w:bdr w:val="none" w:sz="0" w:space="0" w:color="auto" w:frame="1"/>
          <w:shd w:val="clear" w:color="auto" w:fill="FFFFFF"/>
        </w:rPr>
        <w:t>l Reserve Bank of Kansas City Economic Review</w:t>
      </w:r>
      <w:r w:rsidRPr="00FC7BB4">
        <w:rPr>
          <w:rStyle w:val="pages"/>
          <w:rFonts w:ascii="Times New Roman" w:hAnsi="Times New Roman" w:cs="Times New Roman"/>
          <w:color w:val="auto"/>
          <w:sz w:val="24"/>
          <w:bdr w:val="none" w:sz="0" w:space="0" w:color="auto" w:frame="1"/>
          <w:shd w:val="clear" w:color="auto" w:fill="FFFFFF"/>
        </w:rPr>
        <w:t>, First Quarter: 23-35.</w:t>
      </w:r>
      <w:r w:rsidR="00B0784C" w:rsidRPr="00FC7BB4">
        <w:rPr>
          <w:rStyle w:val="pages"/>
          <w:rFonts w:ascii="Times New Roman" w:hAnsi="Times New Roman" w:cs="Times New Roman"/>
          <w:color w:val="auto"/>
          <w:sz w:val="24"/>
          <w:bdr w:val="none" w:sz="0" w:space="0" w:color="auto" w:frame="1"/>
          <w:shd w:val="clear" w:color="auto" w:fill="FFFFFF"/>
        </w:rPr>
        <w:t xml:space="preserve"> </w:t>
      </w:r>
      <w:r w:rsidR="00B0784C" w:rsidRPr="00FC7BB4">
        <w:rPr>
          <w:rStyle w:val="pages"/>
          <w:rFonts w:ascii="Times New Roman" w:hAnsi="Times New Roman" w:cs="Times New Roman"/>
          <w:color w:val="000000" w:themeColor="text1"/>
          <w:sz w:val="24"/>
          <w:bdr w:val="none" w:sz="0" w:space="0" w:color="auto" w:frame="1"/>
          <w:shd w:val="clear" w:color="auto" w:fill="FFFFFF"/>
        </w:rPr>
        <w:t>https://www.kansascityfed.org/Economic%20Review/documents/9329/EconomicReviewV108N1GloverMustredelRiovonEndeBecker.pdf</w:t>
      </w:r>
    </w:p>
    <w:p w14:paraId="09A36BA0" w14:textId="72A206E6" w:rsidR="00307155" w:rsidRPr="00FC7BB4" w:rsidRDefault="00307155" w:rsidP="00F3101B">
      <w:pPr>
        <w:spacing w:after="120" w:line="276" w:lineRule="auto"/>
        <w:ind w:left="181" w:right="27" w:hanging="198"/>
        <w:rPr>
          <w:rStyle w:val="pages"/>
          <w:rFonts w:ascii="Times New Roman" w:hAnsi="Times New Roman" w:cs="Times New Roman"/>
          <w:color w:val="auto"/>
          <w:sz w:val="24"/>
          <w:bdr w:val="none" w:sz="0" w:space="0" w:color="auto" w:frame="1"/>
          <w:shd w:val="clear" w:color="auto" w:fill="FFFFFF"/>
        </w:rPr>
      </w:pPr>
      <w:r w:rsidRPr="00FC7BB4">
        <w:rPr>
          <w:rStyle w:val="pages"/>
          <w:rFonts w:ascii="Times New Roman" w:hAnsi="Times New Roman" w:cs="Times New Roman"/>
          <w:color w:val="auto"/>
          <w:sz w:val="24"/>
          <w:bdr w:val="none" w:sz="0" w:space="0" w:color="auto" w:frame="1"/>
          <w:shd w:val="clear" w:color="auto" w:fill="FFFFFF"/>
        </w:rPr>
        <w:t xml:space="preserve">Golosov, M., and R. E. Lucas (2007) Menu costs and Phillips curves. </w:t>
      </w:r>
      <w:r w:rsidRPr="00FC7BB4">
        <w:rPr>
          <w:rStyle w:val="pages"/>
          <w:rFonts w:ascii="Times New Roman" w:hAnsi="Times New Roman" w:cs="Times New Roman"/>
          <w:i/>
          <w:iCs/>
          <w:color w:val="auto"/>
          <w:sz w:val="24"/>
          <w:bdr w:val="none" w:sz="0" w:space="0" w:color="auto" w:frame="1"/>
          <w:shd w:val="clear" w:color="auto" w:fill="FFFFFF"/>
        </w:rPr>
        <w:t>Journal of Political Economy</w:t>
      </w:r>
      <w:r w:rsidRPr="00FC7BB4">
        <w:rPr>
          <w:rStyle w:val="pages"/>
          <w:rFonts w:ascii="Times New Roman" w:hAnsi="Times New Roman" w:cs="Times New Roman"/>
          <w:color w:val="auto"/>
          <w:sz w:val="24"/>
          <w:bdr w:val="none" w:sz="0" w:space="0" w:color="auto" w:frame="1"/>
          <w:shd w:val="clear" w:color="auto" w:fill="FFFFFF"/>
        </w:rPr>
        <w:t>, 115: 171-199.</w:t>
      </w:r>
      <w:r w:rsidR="007D3AD4" w:rsidRPr="00FC7BB4">
        <w:rPr>
          <w:rStyle w:val="pages"/>
          <w:rFonts w:ascii="Times New Roman" w:hAnsi="Times New Roman" w:cs="Times New Roman"/>
          <w:color w:val="auto"/>
          <w:sz w:val="24"/>
          <w:bdr w:val="none" w:sz="0" w:space="0" w:color="auto" w:frame="1"/>
          <w:shd w:val="clear" w:color="auto" w:fill="FFFFFF"/>
        </w:rPr>
        <w:t xml:space="preserve"> </w:t>
      </w:r>
      <w:hyperlink r:id="rId40" w:tgtFrame="_blank" w:history="1">
        <w:r w:rsidR="007D3AD4" w:rsidRPr="00FC7BB4">
          <w:rPr>
            <w:rFonts w:ascii="Times New Roman" w:hAnsi="Times New Roman" w:cs="Times New Roman"/>
            <w:color w:val="000000" w:themeColor="text1"/>
            <w:sz w:val="24"/>
          </w:rPr>
          <w:t>https://doi.org/10.1086/512625</w:t>
        </w:r>
      </w:hyperlink>
    </w:p>
    <w:p w14:paraId="5D648016" w14:textId="0A804602" w:rsidR="00307155" w:rsidRPr="00FC7BB4" w:rsidRDefault="00307155" w:rsidP="00F3101B">
      <w:pPr>
        <w:pStyle w:val="PlainText"/>
        <w:spacing w:after="120" w:line="276" w:lineRule="auto"/>
        <w:ind w:left="142" w:right="27" w:hanging="142"/>
        <w:rPr>
          <w:rFonts w:ascii="Times New Roman" w:hAnsi="Times New Roman" w:cs="Times New Roman"/>
          <w:bCs/>
          <w:sz w:val="24"/>
          <w:szCs w:val="24"/>
        </w:rPr>
      </w:pPr>
      <w:r w:rsidRPr="00FC7BB4">
        <w:rPr>
          <w:rFonts w:ascii="Times New Roman" w:hAnsi="Times New Roman" w:cs="Times New Roman"/>
          <w:bCs/>
          <w:sz w:val="24"/>
          <w:szCs w:val="24"/>
        </w:rPr>
        <w:t xml:space="preserve">Gorodnichenko, Y., </w:t>
      </w:r>
      <w:r w:rsidR="00950DFF" w:rsidRPr="00FC7BB4">
        <w:rPr>
          <w:rFonts w:ascii="Times New Roman" w:hAnsi="Times New Roman" w:cs="Times New Roman"/>
          <w:bCs/>
          <w:sz w:val="24"/>
          <w:szCs w:val="24"/>
        </w:rPr>
        <w:t xml:space="preserve">V. </w:t>
      </w:r>
      <w:r w:rsidRPr="00FC7BB4">
        <w:rPr>
          <w:rFonts w:ascii="Times New Roman" w:hAnsi="Times New Roman" w:cs="Times New Roman"/>
          <w:bCs/>
          <w:sz w:val="24"/>
          <w:szCs w:val="24"/>
        </w:rPr>
        <w:t xml:space="preserve">Sheremirov, and </w:t>
      </w:r>
      <w:r w:rsidR="00950DFF" w:rsidRPr="00FC7BB4">
        <w:rPr>
          <w:rFonts w:ascii="Times New Roman" w:hAnsi="Times New Roman" w:cs="Times New Roman"/>
          <w:bCs/>
          <w:sz w:val="24"/>
          <w:szCs w:val="24"/>
        </w:rPr>
        <w:t xml:space="preserve">O. </w:t>
      </w:r>
      <w:r w:rsidRPr="00FC7BB4">
        <w:rPr>
          <w:rFonts w:ascii="Times New Roman" w:hAnsi="Times New Roman" w:cs="Times New Roman"/>
          <w:bCs/>
          <w:sz w:val="24"/>
          <w:szCs w:val="24"/>
        </w:rPr>
        <w:t xml:space="preserve">Talavera (2018) The response of internet retail prices to aggregate shocks: A high-frequency approach. </w:t>
      </w:r>
      <w:r w:rsidRPr="00FC7BB4">
        <w:rPr>
          <w:rFonts w:ascii="Times New Roman" w:hAnsi="Times New Roman" w:cs="Times New Roman"/>
          <w:bCs/>
          <w:i/>
          <w:iCs/>
          <w:sz w:val="24"/>
          <w:szCs w:val="24"/>
        </w:rPr>
        <w:t>Economics Letters</w:t>
      </w:r>
      <w:r w:rsidRPr="00FC7BB4">
        <w:rPr>
          <w:rFonts w:ascii="Times New Roman" w:hAnsi="Times New Roman" w:cs="Times New Roman"/>
          <w:bCs/>
          <w:sz w:val="24"/>
          <w:szCs w:val="24"/>
        </w:rPr>
        <w:t>, 164: 124-127.</w:t>
      </w:r>
      <w:r w:rsidR="00613076" w:rsidRPr="00FC7BB4">
        <w:rPr>
          <w:rFonts w:ascii="Times New Roman" w:hAnsi="Times New Roman" w:cs="Times New Roman"/>
          <w:bCs/>
          <w:sz w:val="24"/>
          <w:szCs w:val="24"/>
        </w:rPr>
        <w:t xml:space="preserve"> </w:t>
      </w:r>
      <w:hyperlink r:id="rId41" w:tgtFrame="_blank" w:tooltip="Persistent link using digital object identifier" w:history="1">
        <w:r w:rsidR="00613076" w:rsidRPr="00FC7BB4">
          <w:rPr>
            <w:rStyle w:val="anchor-text"/>
            <w:rFonts w:ascii="Times New Roman" w:hAnsi="Times New Roman" w:cs="Times New Roman"/>
            <w:color w:val="000000" w:themeColor="text1"/>
            <w:sz w:val="24"/>
            <w:szCs w:val="24"/>
          </w:rPr>
          <w:t>https://doi.org/10.1016/j.econlet.2018.01.014</w:t>
        </w:r>
      </w:hyperlink>
    </w:p>
    <w:p w14:paraId="5E8B900C" w14:textId="61E2F723" w:rsidR="00307155" w:rsidRPr="00FC7BB4" w:rsidRDefault="00307155" w:rsidP="00F3101B">
      <w:pPr>
        <w:spacing w:after="120" w:line="276" w:lineRule="auto"/>
        <w:ind w:left="181" w:right="27" w:hanging="198"/>
        <w:rPr>
          <w:rStyle w:val="cf01"/>
          <w:rFonts w:ascii="Times New Roman" w:eastAsiaTheme="minorHAnsi" w:hAnsi="Times New Roman" w:cs="Times New Roman"/>
          <w:color w:val="auto"/>
          <w:kern w:val="0"/>
          <w:sz w:val="24"/>
          <w:szCs w:val="24"/>
          <w:lang w:eastAsia="en-US"/>
          <w14:ligatures w14:val="none"/>
        </w:rPr>
      </w:pPr>
      <w:r w:rsidRPr="00FC7BB4">
        <w:rPr>
          <w:rStyle w:val="cf01"/>
          <w:rFonts w:ascii="Times New Roman" w:hAnsi="Times New Roman" w:cs="Times New Roman"/>
          <w:sz w:val="24"/>
          <w:szCs w:val="24"/>
        </w:rPr>
        <w:t xml:space="preserve">Gorodnichenko, Y., and O. Talavera, (2017) Price setting in on-line markets: Basic facts, international </w:t>
      </w:r>
      <w:r w:rsidRPr="00FC7BB4">
        <w:rPr>
          <w:rStyle w:val="cf01"/>
          <w:rFonts w:ascii="Times New Roman" w:hAnsi="Times New Roman" w:cs="Times New Roman"/>
          <w:color w:val="000000" w:themeColor="text1"/>
          <w:sz w:val="24"/>
          <w:szCs w:val="24"/>
        </w:rPr>
        <w:t xml:space="preserve">comparisons, and cross-border integration. </w:t>
      </w:r>
      <w:r w:rsidRPr="00FC7BB4">
        <w:rPr>
          <w:rStyle w:val="cf01"/>
          <w:rFonts w:ascii="Times New Roman" w:hAnsi="Times New Roman" w:cs="Times New Roman"/>
          <w:i/>
          <w:iCs/>
          <w:color w:val="000000" w:themeColor="text1"/>
          <w:sz w:val="24"/>
          <w:szCs w:val="24"/>
        </w:rPr>
        <w:t>American Economic Review</w:t>
      </w:r>
      <w:r w:rsidRPr="00FC7BB4">
        <w:rPr>
          <w:rStyle w:val="cf01"/>
          <w:rFonts w:ascii="Times New Roman" w:hAnsi="Times New Roman" w:cs="Times New Roman"/>
          <w:color w:val="000000" w:themeColor="text1"/>
          <w:sz w:val="24"/>
          <w:szCs w:val="24"/>
        </w:rPr>
        <w:t>, 107: 249-282.</w:t>
      </w:r>
      <w:r w:rsidR="00613076" w:rsidRPr="00FC7BB4">
        <w:rPr>
          <w:rStyle w:val="cf01"/>
          <w:rFonts w:ascii="Times New Roman" w:hAnsi="Times New Roman" w:cs="Times New Roman"/>
          <w:color w:val="000000" w:themeColor="text1"/>
          <w:sz w:val="24"/>
          <w:szCs w:val="24"/>
        </w:rPr>
        <w:t xml:space="preserve"> </w:t>
      </w:r>
      <w:r w:rsidR="00613076" w:rsidRPr="00FC7BB4">
        <w:rPr>
          <w:rFonts w:ascii="Times New Roman" w:hAnsi="Times New Roman" w:cs="Times New Roman"/>
          <w:color w:val="000000" w:themeColor="text1"/>
          <w:sz w:val="24"/>
        </w:rPr>
        <w:t>https://doi.org/10.1257/aer.20141127</w:t>
      </w:r>
    </w:p>
    <w:p w14:paraId="2B21F8E6" w14:textId="761C142A" w:rsidR="00307155" w:rsidRPr="00FC7BB4" w:rsidRDefault="00307155" w:rsidP="00F3101B">
      <w:pPr>
        <w:spacing w:after="120" w:line="276" w:lineRule="auto"/>
        <w:ind w:left="181" w:right="27" w:hanging="198"/>
        <w:rPr>
          <w:rStyle w:val="cf01"/>
          <w:rFonts w:ascii="Times New Roman" w:hAnsi="Times New Roman" w:cs="Times New Roman"/>
          <w:sz w:val="24"/>
          <w:szCs w:val="24"/>
        </w:rPr>
      </w:pPr>
      <w:proofErr w:type="spellStart"/>
      <w:r w:rsidRPr="00FC7BB4">
        <w:rPr>
          <w:rStyle w:val="cf01"/>
          <w:rFonts w:ascii="Times New Roman" w:hAnsi="Times New Roman" w:cs="Times New Roman"/>
          <w:sz w:val="24"/>
          <w:szCs w:val="24"/>
        </w:rPr>
        <w:t>Hakamada</w:t>
      </w:r>
      <w:proofErr w:type="spellEnd"/>
      <w:r w:rsidRPr="00FC7BB4">
        <w:rPr>
          <w:rStyle w:val="cf01"/>
          <w:rFonts w:ascii="Times New Roman" w:hAnsi="Times New Roman" w:cs="Times New Roman"/>
          <w:sz w:val="24"/>
          <w:szCs w:val="24"/>
        </w:rPr>
        <w:t>, M., and C. E. Walsh (202</w:t>
      </w:r>
      <w:r w:rsidR="00613076" w:rsidRPr="00FC7BB4">
        <w:rPr>
          <w:rStyle w:val="cf01"/>
          <w:rFonts w:ascii="Times New Roman" w:hAnsi="Times New Roman" w:cs="Times New Roman"/>
          <w:sz w:val="24"/>
          <w:szCs w:val="24"/>
        </w:rPr>
        <w:t>5</w:t>
      </w:r>
      <w:r w:rsidRPr="00FC7BB4">
        <w:rPr>
          <w:rStyle w:val="cf01"/>
          <w:rFonts w:ascii="Times New Roman" w:hAnsi="Times New Roman" w:cs="Times New Roman"/>
          <w:sz w:val="24"/>
          <w:szCs w:val="24"/>
        </w:rPr>
        <w:t xml:space="preserve">) </w:t>
      </w:r>
      <w:r w:rsidRPr="00FC7BB4">
        <w:rPr>
          <w:rStyle w:val="cf01"/>
          <w:rFonts w:ascii="Times New Roman" w:hAnsi="Times New Roman" w:cs="Times New Roman"/>
          <w:i/>
          <w:iCs/>
          <w:sz w:val="24"/>
          <w:szCs w:val="24"/>
        </w:rPr>
        <w:t>The consequences of falling behind the curve: Inflation shocks and policy delays under rational and behavioural expectations</w:t>
      </w:r>
      <w:r w:rsidRPr="00FC7BB4">
        <w:rPr>
          <w:rStyle w:val="cf01"/>
          <w:rFonts w:ascii="Times New Roman" w:hAnsi="Times New Roman" w:cs="Times New Roman"/>
          <w:sz w:val="24"/>
          <w:szCs w:val="24"/>
        </w:rPr>
        <w:t>. Washington, International Monetary Fund Working Paper WP/24/42</w:t>
      </w:r>
      <w:r w:rsidRPr="00FC7BB4">
        <w:rPr>
          <w:rStyle w:val="cf01"/>
          <w:rFonts w:ascii="Times New Roman" w:hAnsi="Times New Roman" w:cs="Times New Roman"/>
          <w:color w:val="auto"/>
          <w:sz w:val="24"/>
          <w:szCs w:val="24"/>
        </w:rPr>
        <w:t xml:space="preserve">, March. </w:t>
      </w:r>
      <w:hyperlink r:id="rId42" w:tgtFrame="_blank" w:history="1">
        <w:r w:rsidR="00613076" w:rsidRPr="00FC7BB4">
          <w:rPr>
            <w:rFonts w:ascii="Times New Roman" w:hAnsi="Times New Roman" w:cs="Times New Roman"/>
            <w:color w:val="auto"/>
            <w:sz w:val="24"/>
            <w:shd w:val="clear" w:color="auto" w:fill="FFFFFF"/>
          </w:rPr>
          <w:t>https://doi.org/10.5089/9798400269097.001</w:t>
        </w:r>
      </w:hyperlink>
    </w:p>
    <w:p w14:paraId="51564F8B" w14:textId="5276CB82" w:rsidR="00307155" w:rsidRPr="00FC7BB4" w:rsidRDefault="00307155" w:rsidP="00F3101B">
      <w:pPr>
        <w:spacing w:after="120" w:line="276" w:lineRule="auto"/>
        <w:ind w:left="181" w:right="27" w:hanging="198"/>
        <w:rPr>
          <w:rStyle w:val="cf01"/>
          <w:rFonts w:ascii="Times New Roman" w:hAnsi="Times New Roman" w:cs="Times New Roman"/>
          <w:sz w:val="24"/>
          <w:szCs w:val="24"/>
        </w:rPr>
      </w:pPr>
      <w:bookmarkStart w:id="99" w:name="_Hlk190787662"/>
      <w:r w:rsidRPr="00FC7BB4">
        <w:rPr>
          <w:rStyle w:val="cf01"/>
          <w:rFonts w:ascii="Times New Roman" w:hAnsi="Times New Roman" w:cs="Times New Roman"/>
          <w:sz w:val="24"/>
          <w:szCs w:val="24"/>
        </w:rPr>
        <w:t xml:space="preserve">Hillen, J., and S. Fedoseeva </w:t>
      </w:r>
      <w:bookmarkEnd w:id="99"/>
      <w:r w:rsidRPr="00FC7BB4">
        <w:rPr>
          <w:rStyle w:val="cf01"/>
          <w:rFonts w:ascii="Times New Roman" w:hAnsi="Times New Roman" w:cs="Times New Roman"/>
          <w:sz w:val="24"/>
          <w:szCs w:val="24"/>
        </w:rPr>
        <w:t xml:space="preserve">(2021) E-commerce and the end of price rigidity? </w:t>
      </w:r>
      <w:r w:rsidRPr="00FC7BB4">
        <w:rPr>
          <w:rStyle w:val="cf01"/>
          <w:rFonts w:ascii="Times New Roman" w:hAnsi="Times New Roman" w:cs="Times New Roman"/>
          <w:i/>
          <w:iCs/>
          <w:sz w:val="24"/>
          <w:szCs w:val="24"/>
        </w:rPr>
        <w:t>Journal of Business Research</w:t>
      </w:r>
      <w:r w:rsidRPr="00FC7BB4">
        <w:rPr>
          <w:rStyle w:val="cf01"/>
          <w:rFonts w:ascii="Times New Roman" w:hAnsi="Times New Roman" w:cs="Times New Roman"/>
          <w:sz w:val="24"/>
          <w:szCs w:val="24"/>
        </w:rPr>
        <w:t>, 125: 63-</w:t>
      </w:r>
      <w:r w:rsidRPr="00FC7BB4">
        <w:rPr>
          <w:rStyle w:val="cf01"/>
          <w:rFonts w:ascii="Times New Roman" w:hAnsi="Times New Roman" w:cs="Times New Roman"/>
          <w:color w:val="auto"/>
          <w:sz w:val="24"/>
          <w:szCs w:val="24"/>
        </w:rPr>
        <w:t>73.</w:t>
      </w:r>
      <w:r w:rsidR="00CF671C" w:rsidRPr="00FC7BB4">
        <w:rPr>
          <w:rStyle w:val="cf01"/>
          <w:rFonts w:ascii="Times New Roman" w:hAnsi="Times New Roman" w:cs="Times New Roman"/>
          <w:color w:val="auto"/>
          <w:sz w:val="24"/>
          <w:szCs w:val="24"/>
        </w:rPr>
        <w:t xml:space="preserve"> </w:t>
      </w:r>
      <w:hyperlink r:id="rId43" w:tgtFrame="_blank" w:tooltip="Persistent link using digital object identifier" w:history="1">
        <w:r w:rsidR="00CF671C" w:rsidRPr="00FC7BB4">
          <w:rPr>
            <w:rStyle w:val="anchor-text"/>
            <w:rFonts w:ascii="Times New Roman" w:hAnsi="Times New Roman" w:cs="Times New Roman"/>
            <w:color w:val="auto"/>
            <w:sz w:val="24"/>
          </w:rPr>
          <w:t>https://doi.org/10.1016/j.jbusres.2020.11.052</w:t>
        </w:r>
      </w:hyperlink>
    </w:p>
    <w:p w14:paraId="2F988C52" w14:textId="77777777" w:rsidR="00CF671C" w:rsidRPr="00FC7BB4" w:rsidRDefault="00307155" w:rsidP="00F3101B">
      <w:pPr>
        <w:spacing w:after="120" w:line="276" w:lineRule="auto"/>
        <w:ind w:left="181" w:right="27" w:hanging="198"/>
        <w:rPr>
          <w:rFonts w:ascii="Times New Roman" w:hAnsi="Times New Roman" w:cs="Times New Roman"/>
          <w:sz w:val="24"/>
        </w:rPr>
      </w:pPr>
      <w:r w:rsidRPr="00FC7BB4">
        <w:rPr>
          <w:rFonts w:ascii="Times New Roman" w:hAnsi="Times New Roman" w:cs="Times New Roman"/>
          <w:sz w:val="24"/>
        </w:rPr>
        <w:t xml:space="preserve">Karadi, P., A. Nakov, G. Nuno, E. Pasten, and D. Thaler (2024). </w:t>
      </w:r>
      <w:r w:rsidRPr="00FC7BB4">
        <w:rPr>
          <w:rFonts w:ascii="Times New Roman" w:hAnsi="Times New Roman" w:cs="Times New Roman"/>
          <w:i/>
          <w:iCs/>
          <w:sz w:val="24"/>
        </w:rPr>
        <w:t>Strike while the iron is hot: optimal monetary policy with a nonlinear Phillips curve</w:t>
      </w:r>
      <w:r w:rsidRPr="00FC7BB4">
        <w:rPr>
          <w:rFonts w:ascii="Times New Roman" w:hAnsi="Times New Roman" w:cs="Times New Roman"/>
          <w:sz w:val="24"/>
        </w:rPr>
        <w:t xml:space="preserve">. </w:t>
      </w:r>
      <w:proofErr w:type="spellStart"/>
      <w:r w:rsidRPr="00FC7BB4">
        <w:rPr>
          <w:rFonts w:ascii="Times New Roman" w:hAnsi="Times New Roman" w:cs="Times New Roman"/>
          <w:color w:val="000000" w:themeColor="text1"/>
          <w:sz w:val="24"/>
          <w:shd w:val="clear" w:color="auto" w:fill="FFFFFF"/>
        </w:rPr>
        <w:t>CESifo</w:t>
      </w:r>
      <w:proofErr w:type="spellEnd"/>
      <w:r w:rsidRPr="00FC7BB4">
        <w:rPr>
          <w:rFonts w:ascii="Times New Roman" w:hAnsi="Times New Roman" w:cs="Times New Roman"/>
          <w:color w:val="000000" w:themeColor="text1"/>
          <w:sz w:val="24"/>
          <w:shd w:val="clear" w:color="auto" w:fill="FFFFFF"/>
        </w:rPr>
        <w:t xml:space="preserve"> Working Paper No. 11372, pp68</w:t>
      </w:r>
      <w:r w:rsidR="00CF671C" w:rsidRPr="00FC7BB4">
        <w:rPr>
          <w:rFonts w:ascii="Times New Roman" w:hAnsi="Times New Roman" w:cs="Times New Roman"/>
          <w:color w:val="000000" w:themeColor="text1"/>
          <w:sz w:val="24"/>
          <w:shd w:val="clear" w:color="auto" w:fill="FFFFFF"/>
        </w:rPr>
        <w:t>,</w:t>
      </w:r>
      <w:r w:rsidRPr="00FC7BB4">
        <w:rPr>
          <w:rFonts w:ascii="Times New Roman" w:hAnsi="Times New Roman" w:cs="Times New Roman"/>
          <w:color w:val="000000" w:themeColor="text1"/>
          <w:sz w:val="24"/>
          <w:shd w:val="clear" w:color="auto" w:fill="FFFFFF"/>
        </w:rPr>
        <w:t xml:space="preserve"> </w:t>
      </w:r>
      <w:proofErr w:type="spellStart"/>
      <w:r w:rsidR="00CF671C" w:rsidRPr="00FC7BB4">
        <w:rPr>
          <w:rFonts w:ascii="Times New Roman" w:hAnsi="Times New Roman" w:cs="Times New Roman"/>
          <w:color w:val="000000" w:themeColor="text1"/>
          <w:sz w:val="24"/>
        </w:rPr>
        <w:t>CESifo</w:t>
      </w:r>
      <w:proofErr w:type="spellEnd"/>
      <w:r w:rsidR="00CF671C" w:rsidRPr="00FC7BB4">
        <w:rPr>
          <w:rFonts w:ascii="Times New Roman" w:hAnsi="Times New Roman" w:cs="Times New Roman"/>
          <w:color w:val="000000" w:themeColor="text1"/>
          <w:sz w:val="24"/>
        </w:rPr>
        <w:t xml:space="preserve"> GmbH, Munich.</w:t>
      </w:r>
      <w:r w:rsidR="00CF671C" w:rsidRPr="00FC7BB4">
        <w:rPr>
          <w:rFonts w:ascii="Times New Roman" w:hAnsi="Times New Roman" w:cs="Times New Roman"/>
          <w:color w:val="000000" w:themeColor="text1"/>
          <w:sz w:val="24"/>
          <w:shd w:val="clear" w:color="auto" w:fill="FFFFFF"/>
        </w:rPr>
        <w:t xml:space="preserve"> </w:t>
      </w:r>
      <w:r w:rsidRPr="00FC7BB4">
        <w:rPr>
          <w:rFonts w:ascii="Times New Roman" w:hAnsi="Times New Roman" w:cs="Times New Roman"/>
          <w:color w:val="000000" w:themeColor="text1"/>
          <w:sz w:val="24"/>
          <w:shd w:val="clear" w:color="auto" w:fill="FFFFFF"/>
        </w:rPr>
        <w:t>Available at SSRN: </w:t>
      </w:r>
      <w:hyperlink r:id="rId44" w:tgtFrame="_blank" w:history="1">
        <w:r w:rsidRPr="00FC7BB4">
          <w:rPr>
            <w:rFonts w:ascii="Times New Roman" w:hAnsi="Times New Roman" w:cs="Times New Roman"/>
            <w:color w:val="000000" w:themeColor="text1"/>
            <w:sz w:val="24"/>
            <w:shd w:val="clear" w:color="auto" w:fill="FFFFFF"/>
          </w:rPr>
          <w:t>https://ssrn.com/abstract=4991920</w:t>
        </w:r>
      </w:hyperlink>
      <w:r w:rsidRPr="00FC7BB4">
        <w:rPr>
          <w:rFonts w:ascii="Times New Roman" w:hAnsi="Times New Roman" w:cs="Times New Roman"/>
          <w:color w:val="000000" w:themeColor="text1"/>
          <w:sz w:val="24"/>
        </w:rPr>
        <w:t>.</w:t>
      </w:r>
      <w:r w:rsidR="00CF671C" w:rsidRPr="00FC7BB4">
        <w:rPr>
          <w:rFonts w:ascii="Times New Roman" w:hAnsi="Times New Roman" w:cs="Times New Roman"/>
          <w:color w:val="000000" w:themeColor="text1"/>
          <w:sz w:val="24"/>
        </w:rPr>
        <w:t xml:space="preserve"> </w:t>
      </w:r>
    </w:p>
    <w:p w14:paraId="7CF329E4" w14:textId="1C5BAC0E" w:rsidR="00307155" w:rsidRPr="00FC7BB4" w:rsidRDefault="00307155" w:rsidP="00F3101B">
      <w:pPr>
        <w:spacing w:after="120" w:line="276" w:lineRule="auto"/>
        <w:ind w:left="181" w:right="27" w:hanging="198"/>
        <w:rPr>
          <w:rFonts w:ascii="Times New Roman" w:hAnsi="Times New Roman" w:cs="Times New Roman"/>
          <w:sz w:val="24"/>
        </w:rPr>
      </w:pPr>
      <w:r w:rsidRPr="00FC7BB4">
        <w:rPr>
          <w:rFonts w:ascii="Times New Roman" w:hAnsi="Times New Roman" w:cs="Times New Roman"/>
          <w:sz w:val="24"/>
        </w:rPr>
        <w:t xml:space="preserve">Kennedy, P. (2011). </w:t>
      </w:r>
      <w:r w:rsidRPr="00FC7BB4">
        <w:rPr>
          <w:rFonts w:ascii="Times New Roman" w:hAnsi="Times New Roman" w:cs="Times New Roman"/>
          <w:i/>
          <w:sz w:val="24"/>
        </w:rPr>
        <w:t xml:space="preserve">A guide to econometrics </w:t>
      </w:r>
      <w:r w:rsidRPr="00FC7BB4">
        <w:rPr>
          <w:rFonts w:ascii="Times New Roman" w:hAnsi="Times New Roman" w:cs="Times New Roman"/>
          <w:sz w:val="24"/>
        </w:rPr>
        <w:t xml:space="preserve">(6th ed.). John Wiley &amp; </w:t>
      </w:r>
      <w:r w:rsidRPr="00FC7BB4">
        <w:rPr>
          <w:rFonts w:ascii="Times New Roman" w:hAnsi="Times New Roman" w:cs="Times New Roman"/>
          <w:color w:val="000000" w:themeColor="text1"/>
          <w:sz w:val="24"/>
        </w:rPr>
        <w:t>Sons.</w:t>
      </w:r>
      <w:r w:rsidR="00CF671C" w:rsidRPr="00FC7BB4">
        <w:rPr>
          <w:rFonts w:ascii="Times New Roman" w:hAnsi="Times New Roman" w:cs="Times New Roman"/>
          <w:color w:val="000000" w:themeColor="text1"/>
          <w:sz w:val="24"/>
        </w:rPr>
        <w:t xml:space="preserve"> </w:t>
      </w:r>
      <w:r w:rsidR="00CF671C" w:rsidRPr="00FC7BB4">
        <w:rPr>
          <w:rFonts w:ascii="Times New Roman" w:hAnsi="Times New Roman" w:cs="Times New Roman"/>
          <w:color w:val="000000" w:themeColor="text1"/>
          <w:spacing w:val="-4"/>
          <w:sz w:val="24"/>
          <w:shd w:val="clear" w:color="auto" w:fill="FFFFFF"/>
        </w:rPr>
        <w:t>ISBN: 978-1-405-18257-7</w:t>
      </w:r>
    </w:p>
    <w:p w14:paraId="179B1C9F" w14:textId="78F1DBD6" w:rsidR="00307155" w:rsidRPr="00FC7BB4" w:rsidRDefault="00307155" w:rsidP="00F3101B">
      <w:pPr>
        <w:spacing w:after="120" w:line="276" w:lineRule="auto"/>
        <w:ind w:left="181" w:right="27" w:hanging="198"/>
        <w:rPr>
          <w:rFonts w:ascii="Times New Roman" w:hAnsi="Times New Roman" w:cs="Times New Roman"/>
          <w:sz w:val="24"/>
        </w:rPr>
      </w:pPr>
      <w:r w:rsidRPr="00FC7BB4">
        <w:rPr>
          <w:rFonts w:ascii="Times New Roman" w:hAnsi="Times New Roman" w:cs="Times New Roman"/>
          <w:sz w:val="24"/>
        </w:rPr>
        <w:t xml:space="preserve">Klenow, P. J., and B. A. Malin (2010) “Microeconomic evidence on price-setting.” In: B. A. Malin and M. Woodford </w:t>
      </w:r>
      <w:r w:rsidRPr="00FC7BB4">
        <w:rPr>
          <w:rFonts w:ascii="Times New Roman" w:hAnsi="Times New Roman" w:cs="Times New Roman"/>
          <w:color w:val="auto"/>
          <w:sz w:val="24"/>
        </w:rPr>
        <w:t xml:space="preserve">(eds) </w:t>
      </w:r>
      <w:r w:rsidRPr="00FC7BB4">
        <w:rPr>
          <w:rFonts w:ascii="Times New Roman" w:hAnsi="Times New Roman" w:cs="Times New Roman"/>
          <w:i/>
          <w:iCs/>
          <w:color w:val="auto"/>
          <w:sz w:val="24"/>
        </w:rPr>
        <w:t>Handbook of Monetary Economics</w:t>
      </w:r>
      <w:r w:rsidRPr="00FC7BB4">
        <w:rPr>
          <w:rFonts w:ascii="Times New Roman" w:hAnsi="Times New Roman" w:cs="Times New Roman"/>
          <w:color w:val="auto"/>
          <w:sz w:val="24"/>
        </w:rPr>
        <w:t xml:space="preserve">, 3: 231-284. Amsterdam, Elsevier. </w:t>
      </w:r>
      <w:hyperlink r:id="rId45" w:tgtFrame="_blank" w:tooltip="Persistent link using digital object identifier" w:history="1">
        <w:r w:rsidR="008A3563" w:rsidRPr="00FC7BB4">
          <w:rPr>
            <w:rStyle w:val="anchor-text"/>
            <w:rFonts w:ascii="Times New Roman" w:hAnsi="Times New Roman" w:cs="Times New Roman"/>
            <w:color w:val="auto"/>
            <w:sz w:val="24"/>
          </w:rPr>
          <w:t>https://doi.org/10.1016/B978-0-444-53238-1.00006-5</w:t>
        </w:r>
      </w:hyperlink>
    </w:p>
    <w:p w14:paraId="34A5BEED" w14:textId="783998F7" w:rsidR="00307155" w:rsidRPr="00FC7BB4" w:rsidRDefault="00307155" w:rsidP="00F3101B">
      <w:pPr>
        <w:spacing w:after="120" w:line="276" w:lineRule="auto"/>
        <w:ind w:left="181" w:right="27" w:hanging="198"/>
        <w:rPr>
          <w:rFonts w:ascii="Times New Roman" w:hAnsi="Times New Roman" w:cs="Times New Roman"/>
          <w:sz w:val="24"/>
        </w:rPr>
      </w:pPr>
      <w:r w:rsidRPr="00FC7BB4">
        <w:rPr>
          <w:rFonts w:ascii="Times New Roman" w:hAnsi="Times New Roman" w:cs="Times New Roman"/>
          <w:sz w:val="24"/>
        </w:rPr>
        <w:t xml:space="preserve">Konieczny, J. D., and A. </w:t>
      </w:r>
      <w:proofErr w:type="spellStart"/>
      <w:r w:rsidRPr="00FC7BB4">
        <w:rPr>
          <w:rFonts w:ascii="Times New Roman" w:hAnsi="Times New Roman" w:cs="Times New Roman"/>
          <w:sz w:val="24"/>
        </w:rPr>
        <w:t>Skrzypacz</w:t>
      </w:r>
      <w:proofErr w:type="spellEnd"/>
      <w:r w:rsidRPr="00FC7BB4">
        <w:rPr>
          <w:rFonts w:ascii="Times New Roman" w:hAnsi="Times New Roman" w:cs="Times New Roman"/>
          <w:sz w:val="24"/>
        </w:rPr>
        <w:t xml:space="preserve"> (2005) Inflation and price setting in a natural experiment. </w:t>
      </w:r>
      <w:r w:rsidRPr="00FC7BB4">
        <w:rPr>
          <w:rFonts w:ascii="Times New Roman" w:hAnsi="Times New Roman" w:cs="Times New Roman"/>
          <w:i/>
          <w:iCs/>
          <w:sz w:val="24"/>
        </w:rPr>
        <w:t>Journal of Monetary Economics</w:t>
      </w:r>
      <w:r w:rsidRPr="00FC7BB4">
        <w:rPr>
          <w:rFonts w:ascii="Times New Roman" w:hAnsi="Times New Roman" w:cs="Times New Roman"/>
          <w:sz w:val="24"/>
        </w:rPr>
        <w:t>, 52: 621-</w:t>
      </w:r>
      <w:r w:rsidRPr="00FC7BB4">
        <w:rPr>
          <w:rFonts w:ascii="Times New Roman" w:hAnsi="Times New Roman" w:cs="Times New Roman"/>
          <w:color w:val="000000" w:themeColor="text1"/>
          <w:sz w:val="24"/>
        </w:rPr>
        <w:t>632.</w:t>
      </w:r>
      <w:r w:rsidR="008A3563" w:rsidRPr="00FC7BB4">
        <w:rPr>
          <w:rFonts w:ascii="Times New Roman" w:hAnsi="Times New Roman" w:cs="Times New Roman"/>
          <w:color w:val="000000" w:themeColor="text1"/>
          <w:sz w:val="24"/>
        </w:rPr>
        <w:t xml:space="preserve"> </w:t>
      </w:r>
      <w:hyperlink r:id="rId46" w:tgtFrame="_blank" w:tooltip="Persistent link using digital object identifier" w:history="1">
        <w:r w:rsidR="008A3563" w:rsidRPr="00FC7BB4">
          <w:rPr>
            <w:rStyle w:val="anchor-text"/>
            <w:rFonts w:ascii="Times New Roman" w:hAnsi="Times New Roman" w:cs="Times New Roman"/>
            <w:color w:val="000000" w:themeColor="text1"/>
            <w:sz w:val="24"/>
          </w:rPr>
          <w:t>https://doi.org/10.1016/j.jmoneco.2004.07.006</w:t>
        </w:r>
      </w:hyperlink>
    </w:p>
    <w:p w14:paraId="559A68A8" w14:textId="760A60F0" w:rsidR="00307155" w:rsidRPr="00FC7BB4" w:rsidRDefault="00307155" w:rsidP="00F3101B">
      <w:pPr>
        <w:pStyle w:val="PlainText"/>
        <w:spacing w:after="120"/>
        <w:ind w:left="142" w:right="27" w:hanging="142"/>
        <w:rPr>
          <w:rFonts w:ascii="Times New Roman" w:hAnsi="Times New Roman" w:cs="Times New Roman"/>
          <w:bCs/>
          <w:sz w:val="24"/>
          <w:szCs w:val="24"/>
        </w:rPr>
      </w:pPr>
      <w:r w:rsidRPr="00FC7BB4">
        <w:rPr>
          <w:rFonts w:ascii="Times New Roman" w:hAnsi="Times New Roman" w:cs="Times New Roman"/>
          <w:bCs/>
          <w:sz w:val="24"/>
          <w:szCs w:val="24"/>
        </w:rPr>
        <w:t xml:space="preserve">Kumar, S., and </w:t>
      </w:r>
      <w:r w:rsidR="00950DFF" w:rsidRPr="00FC7BB4">
        <w:rPr>
          <w:rFonts w:ascii="Times New Roman" w:hAnsi="Times New Roman" w:cs="Times New Roman"/>
          <w:bCs/>
          <w:sz w:val="24"/>
          <w:szCs w:val="24"/>
        </w:rPr>
        <w:t xml:space="preserve">D. </w:t>
      </w:r>
      <w:proofErr w:type="spellStart"/>
      <w:r w:rsidRPr="00FC7BB4">
        <w:rPr>
          <w:rFonts w:ascii="Times New Roman" w:hAnsi="Times New Roman" w:cs="Times New Roman"/>
          <w:bCs/>
          <w:sz w:val="24"/>
          <w:szCs w:val="24"/>
        </w:rPr>
        <w:t>Wesselbaum</w:t>
      </w:r>
      <w:proofErr w:type="spellEnd"/>
      <w:r w:rsidRPr="00FC7BB4">
        <w:rPr>
          <w:rFonts w:ascii="Times New Roman" w:hAnsi="Times New Roman" w:cs="Times New Roman"/>
          <w:bCs/>
          <w:sz w:val="24"/>
          <w:szCs w:val="24"/>
        </w:rPr>
        <w:t xml:space="preserve"> (2024) Contracts and firms’ inflation expectations. </w:t>
      </w:r>
      <w:r w:rsidRPr="00FC7BB4">
        <w:rPr>
          <w:rFonts w:ascii="Times New Roman" w:hAnsi="Times New Roman" w:cs="Times New Roman"/>
          <w:bCs/>
          <w:i/>
          <w:iCs/>
          <w:sz w:val="24"/>
          <w:szCs w:val="24"/>
        </w:rPr>
        <w:t>The Review of Economics and Statistics</w:t>
      </w:r>
      <w:r w:rsidRPr="00FC7BB4">
        <w:rPr>
          <w:rFonts w:ascii="Times New Roman" w:hAnsi="Times New Roman" w:cs="Times New Roman"/>
          <w:bCs/>
          <w:sz w:val="24"/>
          <w:szCs w:val="24"/>
        </w:rPr>
        <w:t xml:space="preserve">, 106(1): 246-255. </w:t>
      </w:r>
      <w:hyperlink r:id="rId47" w:tgtFrame="_blank" w:history="1">
        <w:r w:rsidR="008A3563" w:rsidRPr="00FC7BB4">
          <w:rPr>
            <w:rFonts w:ascii="Times New Roman" w:eastAsia="Calibri" w:hAnsi="Times New Roman" w:cs="Times New Roman"/>
            <w:kern w:val="2"/>
            <w:sz w:val="24"/>
            <w:szCs w:val="24"/>
            <w:bdr w:val="none" w:sz="0" w:space="0" w:color="auto" w:frame="1"/>
            <w:shd w:val="clear" w:color="auto" w:fill="FFFFFF"/>
            <w:lang w:eastAsia="en-NZ"/>
            <w14:ligatures w14:val="standardContextual"/>
          </w:rPr>
          <w:t>https://doi.org/10.1162/rest_a_01115</w:t>
        </w:r>
      </w:hyperlink>
    </w:p>
    <w:p w14:paraId="1FADD7B7" w14:textId="704AC913" w:rsidR="00307155" w:rsidRPr="00FC7BB4" w:rsidRDefault="00307155" w:rsidP="00F3101B">
      <w:pPr>
        <w:pStyle w:val="PlainText"/>
        <w:spacing w:after="120"/>
        <w:ind w:left="142" w:right="27" w:hanging="142"/>
        <w:rPr>
          <w:rFonts w:ascii="Times New Roman" w:hAnsi="Times New Roman" w:cs="Times New Roman"/>
          <w:bCs/>
          <w:sz w:val="24"/>
          <w:szCs w:val="24"/>
        </w:rPr>
      </w:pPr>
      <w:r w:rsidRPr="00FC7BB4">
        <w:rPr>
          <w:rFonts w:ascii="Times New Roman" w:hAnsi="Times New Roman" w:cs="Times New Roman"/>
          <w:sz w:val="24"/>
          <w:szCs w:val="24"/>
        </w:rPr>
        <w:t xml:space="preserve">Lach, S., and D. </w:t>
      </w:r>
      <w:proofErr w:type="spellStart"/>
      <w:r w:rsidRPr="00FC7BB4">
        <w:rPr>
          <w:rFonts w:ascii="Times New Roman" w:hAnsi="Times New Roman" w:cs="Times New Roman"/>
          <w:sz w:val="24"/>
          <w:szCs w:val="24"/>
        </w:rPr>
        <w:t>Tsiddon</w:t>
      </w:r>
      <w:proofErr w:type="spellEnd"/>
      <w:r w:rsidRPr="00FC7BB4">
        <w:rPr>
          <w:rFonts w:ascii="Times New Roman" w:hAnsi="Times New Roman" w:cs="Times New Roman"/>
          <w:sz w:val="24"/>
          <w:szCs w:val="24"/>
        </w:rPr>
        <w:t xml:space="preserve"> (1992) The behaviour of prices and inflation: An empirical analysis of disaggregated price data. </w:t>
      </w:r>
      <w:r w:rsidRPr="00FC7BB4">
        <w:rPr>
          <w:rFonts w:ascii="Times New Roman" w:hAnsi="Times New Roman" w:cs="Times New Roman"/>
          <w:i/>
          <w:iCs/>
          <w:sz w:val="24"/>
          <w:szCs w:val="24"/>
        </w:rPr>
        <w:t>Journal of Political Economy</w:t>
      </w:r>
      <w:r w:rsidRPr="00FC7BB4">
        <w:rPr>
          <w:rFonts w:ascii="Times New Roman" w:hAnsi="Times New Roman" w:cs="Times New Roman"/>
          <w:sz w:val="24"/>
          <w:szCs w:val="24"/>
        </w:rPr>
        <w:t>, 100: 34</w:t>
      </w:r>
      <w:r w:rsidRPr="00FC7BB4">
        <w:rPr>
          <w:rFonts w:ascii="Times New Roman" w:hAnsi="Times New Roman" w:cs="Times New Roman"/>
          <w:color w:val="000000" w:themeColor="text1"/>
          <w:sz w:val="24"/>
          <w:szCs w:val="24"/>
        </w:rPr>
        <w:t>9-389.</w:t>
      </w:r>
      <w:r w:rsidR="008A3563" w:rsidRPr="00FC7BB4">
        <w:rPr>
          <w:rFonts w:ascii="Times New Roman" w:hAnsi="Times New Roman" w:cs="Times New Roman"/>
          <w:color w:val="000000" w:themeColor="text1"/>
          <w:sz w:val="24"/>
          <w:szCs w:val="24"/>
        </w:rPr>
        <w:t xml:space="preserve"> </w:t>
      </w:r>
      <w:hyperlink r:id="rId48" w:tgtFrame="_blank" w:tooltip="Persistent link using digital object identifier" w:history="1">
        <w:r w:rsidR="008A3563" w:rsidRPr="00FC7BB4">
          <w:rPr>
            <w:rStyle w:val="anchor-text"/>
            <w:rFonts w:ascii="Times New Roman" w:hAnsi="Times New Roman" w:cs="Times New Roman"/>
            <w:color w:val="000000" w:themeColor="text1"/>
            <w:sz w:val="24"/>
            <w:szCs w:val="24"/>
          </w:rPr>
          <w:t>https://doi.org/10.1006/redy.2000.0126</w:t>
        </w:r>
      </w:hyperlink>
    </w:p>
    <w:p w14:paraId="6B39436C" w14:textId="77777777" w:rsidR="00307155" w:rsidRPr="00FC7BB4" w:rsidRDefault="00307155" w:rsidP="00F3101B">
      <w:pPr>
        <w:spacing w:after="120" w:line="276" w:lineRule="auto"/>
        <w:ind w:left="181" w:right="27" w:hanging="198"/>
        <w:rPr>
          <w:rFonts w:ascii="Times New Roman" w:hAnsi="Times New Roman" w:cs="Times New Roman"/>
        </w:rPr>
      </w:pPr>
      <w:r w:rsidRPr="00FC7BB4">
        <w:rPr>
          <w:rFonts w:ascii="Times New Roman" w:eastAsia="Times New Roman" w:hAnsi="Times New Roman" w:cs="Times New Roman"/>
          <w:color w:val="auto"/>
          <w:kern w:val="0"/>
          <w:sz w:val="24"/>
          <w14:ligatures w14:val="none"/>
        </w:rPr>
        <w:t>Leung, C., and P. Miller-Moore, (</w:t>
      </w:r>
      <w:r w:rsidRPr="00FC7BB4">
        <w:rPr>
          <w:rFonts w:ascii="Times New Roman" w:eastAsia="Times New Roman" w:hAnsi="Times New Roman" w:cs="Times New Roman"/>
          <w:color w:val="auto"/>
          <w:kern w:val="0"/>
          <w:sz w:val="24"/>
          <w:shd w:val="clear" w:color="auto" w:fill="FFFFFF"/>
          <w14:ligatures w14:val="none"/>
        </w:rPr>
        <w:t>2024</w:t>
      </w:r>
      <w:r w:rsidRPr="00FC7BB4">
        <w:rPr>
          <w:rFonts w:ascii="Times New Roman" w:eastAsia="Times New Roman" w:hAnsi="Times New Roman" w:cs="Times New Roman"/>
          <w:color w:val="auto"/>
          <w:kern w:val="0"/>
          <w:sz w:val="24"/>
          <w14:ligatures w14:val="none"/>
        </w:rPr>
        <w:t xml:space="preserve">). </w:t>
      </w:r>
      <w:r w:rsidRPr="00FC7BB4">
        <w:rPr>
          <w:rFonts w:ascii="Times New Roman" w:eastAsia="Times New Roman" w:hAnsi="Times New Roman" w:cs="Times New Roman"/>
          <w:i/>
          <w:iCs/>
          <w:color w:val="auto"/>
          <w:kern w:val="0"/>
          <w:sz w:val="24"/>
          <w14:ligatures w14:val="none"/>
        </w:rPr>
        <w:t>Accelerating Aotearoa businesses one technology generation forward</w:t>
      </w:r>
      <w:r w:rsidRPr="00FC7BB4">
        <w:rPr>
          <w:rFonts w:ascii="Times New Roman" w:eastAsia="Times New Roman" w:hAnsi="Times New Roman" w:cs="Times New Roman"/>
          <w:color w:val="auto"/>
          <w:kern w:val="0"/>
          <w:sz w:val="24"/>
          <w14:ligatures w14:val="none"/>
        </w:rPr>
        <w:t xml:space="preserve">. Spark New Zealand &amp; New Zealand Institute of Economic Research. </w:t>
      </w:r>
      <w:hyperlink r:id="rId49" w:history="1">
        <w:r w:rsidRPr="00FC7BB4">
          <w:rPr>
            <w:rFonts w:ascii="Times New Roman" w:eastAsia="Times New Roman" w:hAnsi="Times New Roman" w:cs="Times New Roman"/>
            <w:color w:val="auto"/>
            <w:kern w:val="0"/>
            <w:sz w:val="24"/>
            <w14:ligatures w14:val="none"/>
          </w:rPr>
          <w:t>https://www.spark.co.nz/online/large-business-govt/why-choose-spark/why-spark/one-tech-generation/nzier-report</w:t>
        </w:r>
      </w:hyperlink>
    </w:p>
    <w:p w14:paraId="0EDC6C11" w14:textId="29FD8586" w:rsidR="00307155" w:rsidRPr="00FC7BB4" w:rsidRDefault="00307155" w:rsidP="00F3101B">
      <w:pPr>
        <w:spacing w:after="120" w:line="276" w:lineRule="auto"/>
        <w:ind w:left="181" w:right="27" w:hanging="198"/>
        <w:rPr>
          <w:rFonts w:ascii="Times New Roman" w:hAnsi="Times New Roman" w:cs="Times New Roman"/>
          <w:sz w:val="24"/>
        </w:rPr>
      </w:pPr>
      <w:r w:rsidRPr="00FC7BB4">
        <w:rPr>
          <w:rStyle w:val="cf01"/>
          <w:rFonts w:ascii="Times New Roman" w:hAnsi="Times New Roman" w:cs="Times New Roman"/>
          <w:sz w:val="24"/>
        </w:rPr>
        <w:lastRenderedPageBreak/>
        <w:t>Levy, D., H. A. Chen,</w:t>
      </w:r>
      <w:r w:rsidRPr="00FC7BB4">
        <w:rPr>
          <w:rStyle w:val="cf01"/>
          <w:rFonts w:ascii="Times New Roman" w:hAnsi="Times New Roman" w:cs="Times New Roman"/>
          <w:color w:val="auto"/>
          <w:sz w:val="24"/>
        </w:rPr>
        <w:t xml:space="preserve"> S. Ray, E. Charette, X. Ling, W. Zhao, M. Bergen,</w:t>
      </w:r>
      <w:r w:rsidRPr="00FC7BB4">
        <w:rPr>
          <w:rStyle w:val="cf01"/>
          <w:rFonts w:ascii="Times New Roman" w:hAnsi="Times New Roman" w:cs="Times New Roman"/>
          <w:sz w:val="24"/>
        </w:rPr>
        <w:t xml:space="preserve"> and</w:t>
      </w:r>
      <w:r w:rsidRPr="00FC7BB4">
        <w:rPr>
          <w:rStyle w:val="cf01"/>
          <w:rFonts w:ascii="Times New Roman" w:hAnsi="Times New Roman" w:cs="Times New Roman"/>
          <w:color w:val="auto"/>
          <w:sz w:val="24"/>
        </w:rPr>
        <w:t xml:space="preserve"> A. </w:t>
      </w:r>
      <w:proofErr w:type="spellStart"/>
      <w:r w:rsidRPr="00FC7BB4">
        <w:rPr>
          <w:rStyle w:val="cf01"/>
          <w:rFonts w:ascii="Times New Roman" w:hAnsi="Times New Roman" w:cs="Times New Roman"/>
          <w:color w:val="auto"/>
          <w:sz w:val="24"/>
        </w:rPr>
        <w:t>Snir</w:t>
      </w:r>
      <w:proofErr w:type="spellEnd"/>
      <w:r w:rsidRPr="00FC7BB4">
        <w:rPr>
          <w:rStyle w:val="cf01"/>
          <w:rFonts w:ascii="Times New Roman" w:hAnsi="Times New Roman" w:cs="Times New Roman"/>
          <w:color w:val="auto"/>
          <w:sz w:val="24"/>
        </w:rPr>
        <w:t xml:space="preserve"> (2025) Asymmetric price adjustment over the business cycle. </w:t>
      </w:r>
      <w:r w:rsidRPr="00FC7BB4">
        <w:rPr>
          <w:rStyle w:val="cf01"/>
          <w:rFonts w:ascii="Times New Roman" w:hAnsi="Times New Roman" w:cs="Times New Roman"/>
          <w:i/>
          <w:iCs/>
          <w:color w:val="auto"/>
          <w:sz w:val="24"/>
        </w:rPr>
        <w:t>Economics Letters</w:t>
      </w:r>
      <w:r w:rsidRPr="00FC7BB4">
        <w:rPr>
          <w:rStyle w:val="cf01"/>
          <w:rFonts w:ascii="Times New Roman" w:hAnsi="Times New Roman" w:cs="Times New Roman"/>
          <w:sz w:val="24"/>
        </w:rPr>
        <w:t xml:space="preserve"> (Forthcoming).</w:t>
      </w:r>
      <w:r w:rsidR="008A3563" w:rsidRPr="00FC7BB4">
        <w:rPr>
          <w:rStyle w:val="cf01"/>
          <w:rFonts w:ascii="Times New Roman" w:hAnsi="Times New Roman" w:cs="Times New Roman"/>
          <w:sz w:val="24"/>
        </w:rPr>
        <w:t xml:space="preserve"> </w:t>
      </w:r>
      <w:r w:rsidR="008A3563" w:rsidRPr="00FC7BB4">
        <w:rPr>
          <w:rStyle w:val="cf01"/>
          <w:rFonts w:ascii="Times New Roman" w:hAnsi="Times New Roman" w:cs="Times New Roman"/>
          <w:color w:val="000000" w:themeColor="text1"/>
          <w:sz w:val="24"/>
        </w:rPr>
        <w:t>https://arxiv.org/pdf/2506.10640</w:t>
      </w:r>
    </w:p>
    <w:p w14:paraId="392A75F5" w14:textId="0766B73E" w:rsidR="00307155" w:rsidRPr="00FC7BB4" w:rsidRDefault="00307155" w:rsidP="00F3101B">
      <w:pPr>
        <w:spacing w:after="120" w:line="276" w:lineRule="auto"/>
        <w:ind w:left="181" w:right="27" w:hanging="198"/>
        <w:rPr>
          <w:rFonts w:ascii="Times New Roman" w:hAnsi="Times New Roman" w:cs="Times New Roman"/>
          <w:sz w:val="24"/>
        </w:rPr>
      </w:pPr>
      <w:r w:rsidRPr="00FC7BB4">
        <w:rPr>
          <w:rFonts w:ascii="Times New Roman" w:hAnsi="Times New Roman" w:cs="Times New Roman"/>
          <w:sz w:val="24"/>
        </w:rPr>
        <w:t xml:space="preserve">Mankiw, N. G. (1985) Small menu costs and large business cycles: A macroeconomic model of monopoly. </w:t>
      </w:r>
      <w:r w:rsidRPr="00FC7BB4">
        <w:rPr>
          <w:rFonts w:ascii="Times New Roman" w:hAnsi="Times New Roman" w:cs="Times New Roman"/>
          <w:i/>
          <w:iCs/>
          <w:sz w:val="24"/>
        </w:rPr>
        <w:t>The Quarterly Journal of Economics</w:t>
      </w:r>
      <w:r w:rsidRPr="00FC7BB4">
        <w:rPr>
          <w:rFonts w:ascii="Times New Roman" w:hAnsi="Times New Roman" w:cs="Times New Roman"/>
          <w:sz w:val="24"/>
        </w:rPr>
        <w:t>, 100(2): 529-538.</w:t>
      </w:r>
      <w:r w:rsidR="008A3563" w:rsidRPr="00FC7BB4">
        <w:rPr>
          <w:rFonts w:ascii="Times New Roman" w:hAnsi="Times New Roman" w:cs="Times New Roman"/>
          <w:sz w:val="24"/>
        </w:rPr>
        <w:t xml:space="preserve"> </w:t>
      </w:r>
      <w:hyperlink r:id="rId50" w:tgtFrame="_blank" w:history="1">
        <w:r w:rsidR="008A3563" w:rsidRPr="00FC7BB4">
          <w:rPr>
            <w:rFonts w:ascii="Times New Roman" w:hAnsi="Times New Roman" w:cs="Times New Roman"/>
            <w:color w:val="auto"/>
            <w:sz w:val="24"/>
          </w:rPr>
          <w:t>https://doi.org/10.2307/1885395</w:t>
        </w:r>
      </w:hyperlink>
    </w:p>
    <w:p w14:paraId="2CFC112C" w14:textId="4169A199" w:rsidR="00307155" w:rsidRPr="00FC7BB4" w:rsidRDefault="00307155" w:rsidP="00F3101B">
      <w:pPr>
        <w:spacing w:after="120" w:line="276" w:lineRule="auto"/>
        <w:ind w:left="181" w:right="27" w:hanging="198"/>
        <w:rPr>
          <w:rFonts w:ascii="Times New Roman" w:hAnsi="Times New Roman" w:cs="Times New Roman"/>
          <w:sz w:val="24"/>
        </w:rPr>
      </w:pPr>
      <w:r w:rsidRPr="00FC7BB4">
        <w:rPr>
          <w:rFonts w:ascii="Times New Roman" w:hAnsi="Times New Roman" w:cs="Times New Roman"/>
          <w:sz w:val="24"/>
        </w:rPr>
        <w:t xml:space="preserve">Montag, H., and D. Villar </w:t>
      </w:r>
      <w:proofErr w:type="spellStart"/>
      <w:r w:rsidRPr="00FC7BB4">
        <w:rPr>
          <w:rFonts w:ascii="Times New Roman" w:hAnsi="Times New Roman" w:cs="Times New Roman"/>
          <w:sz w:val="24"/>
        </w:rPr>
        <w:t>Vallenas</w:t>
      </w:r>
      <w:proofErr w:type="spellEnd"/>
      <w:r w:rsidRPr="00FC7BB4">
        <w:rPr>
          <w:rFonts w:ascii="Times New Roman" w:hAnsi="Times New Roman" w:cs="Times New Roman"/>
          <w:sz w:val="24"/>
        </w:rPr>
        <w:t xml:space="preserve"> (2023). Price-setting during the covid era. </w:t>
      </w:r>
      <w:r w:rsidRPr="00FC7BB4">
        <w:rPr>
          <w:rFonts w:ascii="Times New Roman" w:hAnsi="Times New Roman" w:cs="Times New Roman"/>
          <w:i/>
          <w:sz w:val="24"/>
        </w:rPr>
        <w:t xml:space="preserve">FEDS Notes, </w:t>
      </w:r>
      <w:r w:rsidRPr="00FC7BB4">
        <w:rPr>
          <w:rFonts w:ascii="Times New Roman" w:hAnsi="Times New Roman" w:cs="Times New Roman"/>
          <w:sz w:val="24"/>
        </w:rPr>
        <w:t>2023-08: 29.</w:t>
      </w:r>
      <w:r w:rsidR="00C32DFD" w:rsidRPr="00FC7BB4">
        <w:rPr>
          <w:rFonts w:ascii="Times New Roman" w:hAnsi="Times New Roman" w:cs="Times New Roman"/>
        </w:rPr>
        <w:t xml:space="preserve"> </w:t>
      </w:r>
      <w:r w:rsidR="00C32DFD" w:rsidRPr="00FC7BB4">
        <w:rPr>
          <w:rFonts w:ascii="Times New Roman" w:hAnsi="Times New Roman" w:cs="Times New Roman"/>
          <w:color w:val="auto"/>
          <w:sz w:val="24"/>
        </w:rPr>
        <w:t>https://www.federalreserve.gov/econres/notes/feds-notes/price-setting-during-the-covid-era-20230829.html</w:t>
      </w:r>
    </w:p>
    <w:p w14:paraId="6E100BBB" w14:textId="77777777" w:rsidR="00C32DFD" w:rsidRPr="00FC7BB4" w:rsidRDefault="00307155" w:rsidP="00F3101B">
      <w:pPr>
        <w:spacing w:after="120" w:line="276" w:lineRule="auto"/>
        <w:ind w:left="181" w:right="27" w:hanging="198"/>
        <w:rPr>
          <w:rFonts w:ascii="Times New Roman" w:hAnsi="Times New Roman" w:cs="Times New Roman"/>
        </w:rPr>
      </w:pPr>
      <w:r w:rsidRPr="00FC7BB4">
        <w:rPr>
          <w:rFonts w:ascii="Times New Roman" w:hAnsi="Times New Roman" w:cs="Times New Roman"/>
          <w:sz w:val="24"/>
        </w:rPr>
        <w:t xml:space="preserve">Nakamura, E., and J. Steinsson (2008). Five facts about prices: A </w:t>
      </w:r>
      <w:proofErr w:type="spellStart"/>
      <w:r w:rsidRPr="00FC7BB4">
        <w:rPr>
          <w:rFonts w:ascii="Times New Roman" w:hAnsi="Times New Roman" w:cs="Times New Roman"/>
          <w:sz w:val="24"/>
        </w:rPr>
        <w:t>reevaluation</w:t>
      </w:r>
      <w:proofErr w:type="spellEnd"/>
      <w:r w:rsidRPr="00FC7BB4">
        <w:rPr>
          <w:rFonts w:ascii="Times New Roman" w:hAnsi="Times New Roman" w:cs="Times New Roman"/>
          <w:sz w:val="24"/>
        </w:rPr>
        <w:t xml:space="preserve"> of menu cost models. </w:t>
      </w:r>
      <w:r w:rsidRPr="00FC7BB4">
        <w:rPr>
          <w:rFonts w:ascii="Times New Roman" w:hAnsi="Times New Roman" w:cs="Times New Roman"/>
          <w:i/>
          <w:sz w:val="24"/>
        </w:rPr>
        <w:t xml:space="preserve">The Quarterly Journal of Economics, </w:t>
      </w:r>
      <w:r w:rsidRPr="00FC7BB4">
        <w:rPr>
          <w:rFonts w:ascii="Times New Roman" w:hAnsi="Times New Roman" w:cs="Times New Roman"/>
          <w:iCs/>
          <w:sz w:val="24"/>
        </w:rPr>
        <w:t>123: 1415-1464</w:t>
      </w:r>
      <w:r w:rsidRPr="00FC7BB4">
        <w:rPr>
          <w:rFonts w:ascii="Times New Roman" w:hAnsi="Times New Roman" w:cs="Times New Roman"/>
          <w:sz w:val="24"/>
        </w:rPr>
        <w:t>.</w:t>
      </w:r>
      <w:r w:rsidR="00C32DFD" w:rsidRPr="00FC7BB4">
        <w:rPr>
          <w:rFonts w:ascii="Times New Roman" w:hAnsi="Times New Roman" w:cs="Times New Roman"/>
          <w:color w:val="000000" w:themeColor="text1"/>
          <w:sz w:val="24"/>
          <w:shd w:val="clear" w:color="auto" w:fill="FFFFFF"/>
        </w:rPr>
        <w:t xml:space="preserve"> </w:t>
      </w:r>
      <w:hyperlink r:id="rId51" w:history="1">
        <w:r w:rsidR="00C32DFD" w:rsidRPr="00FC7BB4">
          <w:rPr>
            <w:rFonts w:ascii="Times New Roman" w:hAnsi="Times New Roman" w:cs="Times New Roman"/>
            <w:color w:val="000000" w:themeColor="text1"/>
            <w:sz w:val="24"/>
            <w:bdr w:val="none" w:sz="0" w:space="0" w:color="auto" w:frame="1"/>
            <w:shd w:val="clear" w:color="auto" w:fill="FFFFFF"/>
          </w:rPr>
          <w:t>https://doi.org/10.1162/qjec.2008.123.4.1415</w:t>
        </w:r>
      </w:hyperlink>
    </w:p>
    <w:p w14:paraId="68994E73" w14:textId="233C2403" w:rsidR="00307155" w:rsidRPr="00FC7BB4" w:rsidRDefault="00307155" w:rsidP="00F3101B">
      <w:pPr>
        <w:spacing w:after="120" w:line="276" w:lineRule="auto"/>
        <w:ind w:left="181" w:right="27" w:hanging="198"/>
        <w:rPr>
          <w:rFonts w:ascii="Times New Roman" w:hAnsi="Times New Roman" w:cs="Times New Roman"/>
        </w:rPr>
      </w:pPr>
      <w:r w:rsidRPr="00FC7BB4">
        <w:rPr>
          <w:rFonts w:ascii="Times New Roman" w:hAnsi="Times New Roman" w:cs="Times New Roman"/>
          <w:sz w:val="24"/>
        </w:rPr>
        <w:t xml:space="preserve">Nakamura, E., J. Steinsson, P. Sun, and D. Villar (2018). The elusive costs of inflation: Price dispersion during the US great inflation. </w:t>
      </w:r>
      <w:r w:rsidRPr="00FC7BB4">
        <w:rPr>
          <w:rFonts w:ascii="Times New Roman" w:hAnsi="Times New Roman" w:cs="Times New Roman"/>
          <w:i/>
          <w:sz w:val="24"/>
        </w:rPr>
        <w:t xml:space="preserve">The Quarterly Journal of Economics, </w:t>
      </w:r>
      <w:r w:rsidRPr="00FC7BB4">
        <w:rPr>
          <w:rFonts w:ascii="Times New Roman" w:hAnsi="Times New Roman" w:cs="Times New Roman"/>
          <w:iCs/>
          <w:sz w:val="24"/>
        </w:rPr>
        <w:t>133:</w:t>
      </w:r>
      <w:r w:rsidRPr="00FC7BB4">
        <w:rPr>
          <w:rFonts w:ascii="Times New Roman" w:hAnsi="Times New Roman" w:cs="Times New Roman"/>
          <w:sz w:val="24"/>
        </w:rPr>
        <w:t xml:space="preserve"> 1933–1980.</w:t>
      </w:r>
      <w:r w:rsidR="00C32DFD" w:rsidRPr="00FC7BB4">
        <w:rPr>
          <w:rFonts w:ascii="Times New Roman" w:hAnsi="Times New Roman" w:cs="Times New Roman"/>
        </w:rPr>
        <w:t xml:space="preserve"> </w:t>
      </w:r>
      <w:hyperlink r:id="rId52" w:history="1">
        <w:r w:rsidR="00C32DFD" w:rsidRPr="00FC7BB4">
          <w:rPr>
            <w:rFonts w:ascii="Times New Roman" w:hAnsi="Times New Roman" w:cs="Times New Roman"/>
            <w:color w:val="000000" w:themeColor="text1"/>
            <w:sz w:val="24"/>
            <w:bdr w:val="none" w:sz="0" w:space="0" w:color="auto" w:frame="1"/>
            <w:shd w:val="clear" w:color="auto" w:fill="FFFFFF"/>
          </w:rPr>
          <w:t>https://doi.org/10.1093/qje/qjy017</w:t>
        </w:r>
      </w:hyperlink>
    </w:p>
    <w:p w14:paraId="5C6382FE" w14:textId="6FA2DE75" w:rsidR="00307155" w:rsidRPr="00FC7BB4" w:rsidRDefault="00307155" w:rsidP="00F3101B">
      <w:pPr>
        <w:spacing w:after="120" w:line="276" w:lineRule="auto"/>
        <w:ind w:left="184" w:right="27" w:hanging="199"/>
        <w:rPr>
          <w:rFonts w:ascii="Times New Roman" w:hAnsi="Times New Roman" w:cs="Times New Roman"/>
          <w:color w:val="auto"/>
          <w:sz w:val="24"/>
          <w:shd w:val="clear" w:color="auto" w:fill="FFFFFF"/>
        </w:rPr>
      </w:pPr>
      <w:r w:rsidRPr="00FC7BB4">
        <w:rPr>
          <w:rFonts w:ascii="Times New Roman" w:hAnsi="Times New Roman" w:cs="Times New Roman"/>
          <w:sz w:val="24"/>
        </w:rPr>
        <w:t xml:space="preserve">Pelzman, S. (2000) Prices rise faster than they fall. </w:t>
      </w:r>
      <w:r w:rsidRPr="00FC7BB4">
        <w:rPr>
          <w:rFonts w:ascii="Times New Roman" w:hAnsi="Times New Roman" w:cs="Times New Roman"/>
          <w:i/>
          <w:iCs/>
          <w:sz w:val="24"/>
        </w:rPr>
        <w:t>Journal of Political Economy</w:t>
      </w:r>
      <w:r w:rsidRPr="00FC7BB4">
        <w:rPr>
          <w:rFonts w:ascii="Times New Roman" w:hAnsi="Times New Roman" w:cs="Times New Roman"/>
          <w:sz w:val="24"/>
        </w:rPr>
        <w:t>, 108(3): 466-502.</w:t>
      </w:r>
      <w:r w:rsidR="00C32DFD" w:rsidRPr="00FC7BB4">
        <w:rPr>
          <w:rFonts w:ascii="Times New Roman" w:hAnsi="Times New Roman" w:cs="Times New Roman"/>
          <w:sz w:val="24"/>
        </w:rPr>
        <w:t xml:space="preserve"> </w:t>
      </w:r>
      <w:hyperlink r:id="rId53" w:history="1">
        <w:r w:rsidR="00D832BA" w:rsidRPr="00FC7BB4">
          <w:rPr>
            <w:rStyle w:val="Hyperlink"/>
            <w:rFonts w:ascii="Times New Roman" w:hAnsi="Times New Roman" w:cs="Times New Roman"/>
            <w:color w:val="auto"/>
            <w:sz w:val="24"/>
            <w:u w:val="none"/>
            <w:shd w:val="clear" w:color="auto" w:fill="FFFFFF"/>
          </w:rPr>
          <w:t>http://dx.doi.org/10.1086/262126</w:t>
        </w:r>
      </w:hyperlink>
    </w:p>
    <w:p w14:paraId="14EDBBA6" w14:textId="357E4121" w:rsidR="00D832BA" w:rsidRPr="00FC7BB4" w:rsidRDefault="00D832BA" w:rsidP="00F3101B">
      <w:pPr>
        <w:spacing w:after="120" w:line="276" w:lineRule="auto"/>
        <w:ind w:left="184" w:right="27" w:hanging="199"/>
        <w:rPr>
          <w:rFonts w:ascii="Times New Roman" w:hAnsi="Times New Roman" w:cs="Times New Roman"/>
          <w:sz w:val="24"/>
        </w:rPr>
      </w:pPr>
      <w:r w:rsidRPr="00FC7BB4">
        <w:rPr>
          <w:rFonts w:ascii="Times New Roman" w:hAnsi="Times New Roman" w:cs="Times New Roman"/>
          <w:sz w:val="24"/>
        </w:rPr>
        <w:t xml:space="preserve">Ryan, M., </w:t>
      </w:r>
      <w:r w:rsidR="00950DFF" w:rsidRPr="00FC7BB4">
        <w:rPr>
          <w:rFonts w:ascii="Times New Roman" w:hAnsi="Times New Roman" w:cs="Times New Roman"/>
          <w:sz w:val="24"/>
        </w:rPr>
        <w:t>and</w:t>
      </w:r>
      <w:r w:rsidRPr="00FC7BB4">
        <w:rPr>
          <w:rFonts w:ascii="Times New Roman" w:hAnsi="Times New Roman" w:cs="Times New Roman"/>
          <w:sz w:val="24"/>
        </w:rPr>
        <w:t xml:space="preserve"> </w:t>
      </w:r>
      <w:r w:rsidR="00950DFF" w:rsidRPr="00FC7BB4">
        <w:rPr>
          <w:rFonts w:ascii="Times New Roman" w:hAnsi="Times New Roman" w:cs="Times New Roman"/>
          <w:sz w:val="24"/>
        </w:rPr>
        <w:t xml:space="preserve">M. J. </w:t>
      </w:r>
      <w:r w:rsidRPr="00FC7BB4">
        <w:rPr>
          <w:rFonts w:ascii="Times New Roman" w:hAnsi="Times New Roman" w:cs="Times New Roman"/>
          <w:sz w:val="24"/>
        </w:rPr>
        <w:t>Holmes (2025). The effect of uncertainty on output: Instruments, identification, and the role of investment. </w:t>
      </w:r>
      <w:r w:rsidRPr="00FC7BB4">
        <w:rPr>
          <w:rFonts w:ascii="Times New Roman" w:hAnsi="Times New Roman" w:cs="Times New Roman"/>
          <w:i/>
          <w:iCs/>
          <w:sz w:val="24"/>
        </w:rPr>
        <w:t>Economic Modelling</w:t>
      </w:r>
      <w:r w:rsidRPr="00FC7BB4">
        <w:rPr>
          <w:rFonts w:ascii="Times New Roman" w:hAnsi="Times New Roman" w:cs="Times New Roman"/>
          <w:sz w:val="24"/>
        </w:rPr>
        <w:t>,</w:t>
      </w:r>
      <w:r w:rsidR="00B702DA" w:rsidRPr="00FC7BB4">
        <w:rPr>
          <w:rFonts w:ascii="Times New Roman" w:hAnsi="Times New Roman" w:cs="Times New Roman"/>
          <w:sz w:val="24"/>
        </w:rPr>
        <w:t xml:space="preserve"> 107294.</w:t>
      </w:r>
      <w:hyperlink r:id="rId54" w:tgtFrame="_blank" w:history="1">
        <w:r w:rsidRPr="00FC7BB4">
          <w:rPr>
            <w:rStyle w:val="Hyperlink"/>
            <w:rFonts w:ascii="Times New Roman" w:hAnsi="Times New Roman" w:cs="Times New Roman"/>
            <w:color w:val="auto"/>
            <w:sz w:val="24"/>
            <w:u w:val="none"/>
          </w:rPr>
          <w:t> https://doi.org/10.1016/j.econmod.2025.107294 </w:t>
        </w:r>
      </w:hyperlink>
    </w:p>
    <w:p w14:paraId="70A535B8" w14:textId="4C7E67FE" w:rsidR="00307155" w:rsidRPr="00FC7BB4" w:rsidRDefault="00307155" w:rsidP="00F3101B">
      <w:pPr>
        <w:spacing w:after="120" w:line="276" w:lineRule="auto"/>
        <w:ind w:left="184" w:right="27" w:hanging="199"/>
        <w:rPr>
          <w:rFonts w:ascii="Times New Roman" w:hAnsi="Times New Roman" w:cs="Times New Roman"/>
          <w:color w:val="000000" w:themeColor="text1"/>
          <w:sz w:val="24"/>
        </w:rPr>
      </w:pPr>
      <w:r w:rsidRPr="00FC7BB4">
        <w:rPr>
          <w:rFonts w:ascii="Times New Roman" w:hAnsi="Times New Roman" w:cs="Times New Roman"/>
          <w:color w:val="000000" w:themeColor="text1"/>
          <w:sz w:val="24"/>
        </w:rPr>
        <w:t xml:space="preserve">Scanlon, P. (2024). A model of greedflation. </w:t>
      </w:r>
      <w:r w:rsidRPr="00FC7BB4">
        <w:rPr>
          <w:rFonts w:ascii="Times New Roman" w:hAnsi="Times New Roman" w:cs="Times New Roman"/>
          <w:i/>
          <w:iCs/>
          <w:color w:val="000000" w:themeColor="text1"/>
          <w:sz w:val="24"/>
        </w:rPr>
        <w:t>Economics Letters</w:t>
      </w:r>
      <w:r w:rsidRPr="00FC7BB4">
        <w:rPr>
          <w:rFonts w:ascii="Times New Roman" w:hAnsi="Times New Roman" w:cs="Times New Roman"/>
          <w:color w:val="000000" w:themeColor="text1"/>
          <w:sz w:val="24"/>
        </w:rPr>
        <w:t xml:space="preserve">, </w:t>
      </w:r>
      <w:r w:rsidRPr="00FC7BB4">
        <w:rPr>
          <w:rFonts w:ascii="Times New Roman" w:hAnsi="Times New Roman" w:cs="Times New Roman"/>
          <w:i/>
          <w:iCs/>
          <w:color w:val="000000" w:themeColor="text1"/>
          <w:sz w:val="24"/>
        </w:rPr>
        <w:t>234</w:t>
      </w:r>
      <w:r w:rsidRPr="00FC7BB4">
        <w:rPr>
          <w:rFonts w:ascii="Times New Roman" w:hAnsi="Times New Roman" w:cs="Times New Roman"/>
          <w:color w:val="000000" w:themeColor="text1"/>
          <w:sz w:val="24"/>
        </w:rPr>
        <w:t>, 111452.</w:t>
      </w:r>
      <w:r w:rsidR="00C32DFD" w:rsidRPr="00FC7BB4">
        <w:rPr>
          <w:rFonts w:ascii="Times New Roman" w:hAnsi="Times New Roman" w:cs="Times New Roman"/>
          <w:color w:val="000000" w:themeColor="text1"/>
          <w:sz w:val="24"/>
        </w:rPr>
        <w:t xml:space="preserve"> </w:t>
      </w:r>
      <w:hyperlink r:id="rId55" w:tgtFrame="_blank" w:tooltip="Persistent link using digital object identifier" w:history="1">
        <w:r w:rsidR="00C32DFD" w:rsidRPr="00FC7BB4">
          <w:rPr>
            <w:rStyle w:val="anchor-text"/>
            <w:rFonts w:ascii="Times New Roman" w:hAnsi="Times New Roman" w:cs="Times New Roman"/>
            <w:color w:val="000000" w:themeColor="text1"/>
            <w:sz w:val="24"/>
          </w:rPr>
          <w:t>https://doi.org/10.1016/j.econlet.2023.111452</w:t>
        </w:r>
      </w:hyperlink>
    </w:p>
    <w:p w14:paraId="0D0ABFD2" w14:textId="0C4CD7CE" w:rsidR="00307155" w:rsidRPr="00FC7BB4" w:rsidRDefault="00307155" w:rsidP="00F3101B">
      <w:pPr>
        <w:spacing w:after="120" w:line="276" w:lineRule="auto"/>
        <w:ind w:left="184" w:right="27" w:hanging="199"/>
        <w:rPr>
          <w:rFonts w:ascii="Times New Roman" w:hAnsi="Times New Roman" w:cs="Times New Roman"/>
          <w:sz w:val="24"/>
        </w:rPr>
      </w:pPr>
      <w:r w:rsidRPr="00FC7BB4">
        <w:rPr>
          <w:rFonts w:ascii="Times New Roman" w:hAnsi="Times New Roman" w:cs="Times New Roman"/>
          <w:sz w:val="24"/>
        </w:rPr>
        <w:t xml:space="preserve">Sims, C. A. (2003). Implications of rational inattention. </w:t>
      </w:r>
      <w:r w:rsidRPr="00FC7BB4">
        <w:rPr>
          <w:rFonts w:ascii="Times New Roman" w:hAnsi="Times New Roman" w:cs="Times New Roman"/>
          <w:i/>
          <w:iCs/>
          <w:sz w:val="24"/>
        </w:rPr>
        <w:t>Journal of Monetary Economics</w:t>
      </w:r>
      <w:r w:rsidRPr="00FC7BB4">
        <w:rPr>
          <w:rFonts w:ascii="Times New Roman" w:hAnsi="Times New Roman" w:cs="Times New Roman"/>
          <w:sz w:val="24"/>
        </w:rPr>
        <w:t xml:space="preserve">, </w:t>
      </w:r>
      <w:r w:rsidRPr="00FC7BB4">
        <w:rPr>
          <w:rFonts w:ascii="Times New Roman" w:hAnsi="Times New Roman" w:cs="Times New Roman"/>
          <w:i/>
          <w:iCs/>
          <w:sz w:val="24"/>
        </w:rPr>
        <w:t>50</w:t>
      </w:r>
      <w:r w:rsidRPr="00FC7BB4">
        <w:rPr>
          <w:rFonts w:ascii="Times New Roman" w:hAnsi="Times New Roman" w:cs="Times New Roman"/>
          <w:sz w:val="24"/>
        </w:rPr>
        <w:t>(3), 665-690.</w:t>
      </w:r>
      <w:r w:rsidR="00C32DFD" w:rsidRPr="00FC7BB4">
        <w:rPr>
          <w:rFonts w:ascii="Times New Roman" w:hAnsi="Times New Roman" w:cs="Times New Roman"/>
        </w:rPr>
        <w:t xml:space="preserve"> </w:t>
      </w:r>
      <w:hyperlink r:id="rId56" w:tgtFrame="_blank" w:tooltip="Persistent link using digital object identifier" w:history="1">
        <w:r w:rsidR="00C32DFD" w:rsidRPr="00FC7BB4">
          <w:rPr>
            <w:rStyle w:val="anchor-text"/>
            <w:rFonts w:ascii="Times New Roman" w:hAnsi="Times New Roman" w:cs="Times New Roman"/>
            <w:color w:val="000000" w:themeColor="text1"/>
            <w:sz w:val="24"/>
          </w:rPr>
          <w:t>https://doi.org/10.1016/S0304-3932(03)00029-1</w:t>
        </w:r>
      </w:hyperlink>
    </w:p>
    <w:p w14:paraId="706D8506" w14:textId="3651E898" w:rsidR="00307155" w:rsidRPr="00FC7BB4" w:rsidRDefault="00307155" w:rsidP="00F3101B">
      <w:pPr>
        <w:spacing w:after="156" w:line="276" w:lineRule="auto"/>
        <w:ind w:left="184" w:right="27" w:hanging="199"/>
        <w:rPr>
          <w:rFonts w:ascii="Times New Roman" w:hAnsi="Times New Roman" w:cs="Times New Roman"/>
          <w:color w:val="auto"/>
          <w:sz w:val="24"/>
          <w:shd w:val="clear" w:color="auto" w:fill="FFFFFF"/>
        </w:rPr>
      </w:pPr>
      <w:r w:rsidRPr="00FC7BB4">
        <w:rPr>
          <w:rFonts w:ascii="Times New Roman" w:hAnsi="Times New Roman" w:cs="Times New Roman"/>
          <w:color w:val="auto"/>
          <w:sz w:val="24"/>
          <w:shd w:val="clear" w:color="auto" w:fill="FFFFFF"/>
        </w:rPr>
        <w:t xml:space="preserve">Theil, H. (1992). On the </w:t>
      </w:r>
      <w:r w:rsidR="004B6564" w:rsidRPr="00FC7BB4">
        <w:rPr>
          <w:rFonts w:ascii="Times New Roman" w:hAnsi="Times New Roman" w:cs="Times New Roman"/>
          <w:color w:val="auto"/>
          <w:sz w:val="24"/>
          <w:shd w:val="clear" w:color="auto" w:fill="FFFFFF"/>
        </w:rPr>
        <w:t>t</w:t>
      </w:r>
      <w:r w:rsidRPr="00FC7BB4">
        <w:rPr>
          <w:rFonts w:ascii="Times New Roman" w:hAnsi="Times New Roman" w:cs="Times New Roman"/>
          <w:color w:val="auto"/>
          <w:sz w:val="24"/>
          <w:shd w:val="clear" w:color="auto" w:fill="FFFFFF"/>
        </w:rPr>
        <w:t xml:space="preserve">ime </w:t>
      </w:r>
      <w:r w:rsidR="004B6564" w:rsidRPr="00FC7BB4">
        <w:rPr>
          <w:rFonts w:ascii="Times New Roman" w:hAnsi="Times New Roman" w:cs="Times New Roman"/>
          <w:color w:val="auto"/>
          <w:sz w:val="24"/>
          <w:shd w:val="clear" w:color="auto" w:fill="FFFFFF"/>
        </w:rPr>
        <w:t>s</w:t>
      </w:r>
      <w:r w:rsidRPr="00FC7BB4">
        <w:rPr>
          <w:rFonts w:ascii="Times New Roman" w:hAnsi="Times New Roman" w:cs="Times New Roman"/>
          <w:color w:val="auto"/>
          <w:sz w:val="24"/>
          <w:shd w:val="clear" w:color="auto" w:fill="FFFFFF"/>
        </w:rPr>
        <w:t xml:space="preserve">hape of </w:t>
      </w:r>
      <w:r w:rsidR="004B6564" w:rsidRPr="00FC7BB4">
        <w:rPr>
          <w:rFonts w:ascii="Times New Roman" w:hAnsi="Times New Roman" w:cs="Times New Roman"/>
          <w:color w:val="auto"/>
          <w:sz w:val="24"/>
          <w:shd w:val="clear" w:color="auto" w:fill="FFFFFF"/>
        </w:rPr>
        <w:t>e</w:t>
      </w:r>
      <w:r w:rsidRPr="00FC7BB4">
        <w:rPr>
          <w:rFonts w:ascii="Times New Roman" w:hAnsi="Times New Roman" w:cs="Times New Roman"/>
          <w:color w:val="auto"/>
          <w:sz w:val="24"/>
          <w:shd w:val="clear" w:color="auto" w:fill="FFFFFF"/>
        </w:rPr>
        <w:t xml:space="preserve">conomic </w:t>
      </w:r>
      <w:proofErr w:type="spellStart"/>
      <w:r w:rsidR="004B6564" w:rsidRPr="00FC7BB4">
        <w:rPr>
          <w:rFonts w:ascii="Times New Roman" w:hAnsi="Times New Roman" w:cs="Times New Roman"/>
          <w:color w:val="auto"/>
          <w:sz w:val="24"/>
          <w:shd w:val="clear" w:color="auto" w:fill="FFFFFF"/>
        </w:rPr>
        <w:t>m</w:t>
      </w:r>
      <w:r w:rsidRPr="00FC7BB4">
        <w:rPr>
          <w:rFonts w:ascii="Times New Roman" w:hAnsi="Times New Roman" w:cs="Times New Roman"/>
          <w:color w:val="auto"/>
          <w:sz w:val="24"/>
          <w:shd w:val="clear" w:color="auto" w:fill="FFFFFF"/>
        </w:rPr>
        <w:t>icrovariables</w:t>
      </w:r>
      <w:proofErr w:type="spellEnd"/>
      <w:r w:rsidRPr="00FC7BB4">
        <w:rPr>
          <w:rFonts w:ascii="Times New Roman" w:hAnsi="Times New Roman" w:cs="Times New Roman"/>
          <w:color w:val="auto"/>
          <w:sz w:val="24"/>
          <w:shd w:val="clear" w:color="auto" w:fill="FFFFFF"/>
        </w:rPr>
        <w:t xml:space="preserve"> and the Munich Business Test. In: Raj, B., and J. Koerts, (eds) </w:t>
      </w:r>
      <w:r w:rsidRPr="00FC7BB4">
        <w:rPr>
          <w:rFonts w:ascii="Times New Roman" w:hAnsi="Times New Roman" w:cs="Times New Roman"/>
          <w:i/>
          <w:iCs/>
          <w:color w:val="auto"/>
          <w:sz w:val="24"/>
          <w:shd w:val="clear" w:color="auto" w:fill="FFFFFF"/>
        </w:rPr>
        <w:t>Henri Theil’s Contributions to Economics and Econometrics</w:t>
      </w:r>
      <w:r w:rsidRPr="00FC7BB4">
        <w:rPr>
          <w:rFonts w:ascii="Times New Roman" w:hAnsi="Times New Roman" w:cs="Times New Roman"/>
          <w:color w:val="auto"/>
          <w:sz w:val="24"/>
          <w:shd w:val="clear" w:color="auto" w:fill="FFFFFF"/>
        </w:rPr>
        <w:t xml:space="preserve">. </w:t>
      </w:r>
      <w:r w:rsidRPr="00FC7BB4">
        <w:rPr>
          <w:rFonts w:ascii="Times New Roman" w:hAnsi="Times New Roman" w:cs="Times New Roman"/>
          <w:i/>
          <w:iCs/>
          <w:color w:val="auto"/>
          <w:sz w:val="24"/>
          <w:shd w:val="clear" w:color="auto" w:fill="FFFFFF"/>
        </w:rPr>
        <w:t>Advanced Studies in Theoretical and Applied Econometrics</w:t>
      </w:r>
      <w:r w:rsidRPr="00FC7BB4">
        <w:rPr>
          <w:rFonts w:ascii="Times New Roman" w:hAnsi="Times New Roman" w:cs="Times New Roman"/>
          <w:color w:val="auto"/>
          <w:sz w:val="24"/>
          <w:shd w:val="clear" w:color="auto" w:fill="FFFFFF"/>
        </w:rPr>
        <w:t>, 23. Dordrecht, Spri</w:t>
      </w:r>
      <w:r w:rsidRPr="00FC7BB4">
        <w:rPr>
          <w:rFonts w:ascii="Times New Roman" w:hAnsi="Times New Roman" w:cs="Times New Roman"/>
          <w:color w:val="000000" w:themeColor="text1"/>
          <w:sz w:val="24"/>
          <w:shd w:val="clear" w:color="auto" w:fill="FFFFFF"/>
        </w:rPr>
        <w:t xml:space="preserve">nger. </w:t>
      </w:r>
      <w:r w:rsidR="00A76066" w:rsidRPr="00FC7BB4">
        <w:rPr>
          <w:rFonts w:ascii="Times New Roman" w:hAnsi="Times New Roman" w:cs="Times New Roman"/>
          <w:color w:val="000000" w:themeColor="text1"/>
          <w:sz w:val="24"/>
          <w:shd w:val="clear" w:color="auto" w:fill="FFFFFF"/>
        </w:rPr>
        <w:t>https://doi.org/10.1007/978-94-011-2546-8_16</w:t>
      </w:r>
    </w:p>
    <w:p w14:paraId="349517B0" w14:textId="7C3F61DC" w:rsidR="00307155" w:rsidRPr="00FC7BB4" w:rsidRDefault="00307155" w:rsidP="00F3101B">
      <w:pPr>
        <w:spacing w:after="156" w:line="276" w:lineRule="auto"/>
        <w:ind w:left="184" w:right="27" w:hanging="199"/>
        <w:rPr>
          <w:rFonts w:ascii="Times New Roman" w:hAnsi="Times New Roman" w:cs="Times New Roman"/>
          <w:color w:val="000000" w:themeColor="text1"/>
          <w:spacing w:val="3"/>
          <w:sz w:val="24"/>
          <w:shd w:val="clear" w:color="auto" w:fill="FFFFFF"/>
        </w:rPr>
      </w:pPr>
      <w:r w:rsidRPr="00FC7BB4">
        <w:rPr>
          <w:rFonts w:ascii="Times New Roman" w:hAnsi="Times New Roman" w:cs="Times New Roman"/>
          <w:color w:val="000000" w:themeColor="text1"/>
          <w:sz w:val="24"/>
          <w:shd w:val="clear" w:color="auto" w:fill="FFFFFF"/>
        </w:rPr>
        <w:t>Wool</w:t>
      </w:r>
      <w:r w:rsidR="002F030E" w:rsidRPr="00FC7BB4">
        <w:rPr>
          <w:rFonts w:ascii="Times New Roman" w:hAnsi="Times New Roman" w:cs="Times New Roman"/>
          <w:color w:val="000000" w:themeColor="text1"/>
          <w:sz w:val="24"/>
          <w:shd w:val="clear" w:color="auto" w:fill="FFFFFF"/>
        </w:rPr>
        <w:t>d</w:t>
      </w:r>
      <w:r w:rsidRPr="00FC7BB4">
        <w:rPr>
          <w:rFonts w:ascii="Times New Roman" w:hAnsi="Times New Roman" w:cs="Times New Roman"/>
          <w:color w:val="000000" w:themeColor="text1"/>
          <w:sz w:val="24"/>
          <w:shd w:val="clear" w:color="auto" w:fill="FFFFFF"/>
        </w:rPr>
        <w:t xml:space="preserve">ridge, J. M. (2010) </w:t>
      </w:r>
      <w:r w:rsidRPr="00FC7BB4">
        <w:rPr>
          <w:rFonts w:ascii="Times New Roman" w:hAnsi="Times New Roman" w:cs="Times New Roman"/>
          <w:i/>
          <w:iCs/>
          <w:color w:val="000000" w:themeColor="text1"/>
          <w:sz w:val="24"/>
          <w:shd w:val="clear" w:color="auto" w:fill="FFFFFF"/>
        </w:rPr>
        <w:t>Econometric Analysis of Cross Section and Panel Data</w:t>
      </w:r>
      <w:r w:rsidRPr="00FC7BB4">
        <w:rPr>
          <w:rFonts w:ascii="Times New Roman" w:hAnsi="Times New Roman" w:cs="Times New Roman"/>
          <w:color w:val="000000" w:themeColor="text1"/>
          <w:sz w:val="24"/>
          <w:shd w:val="clear" w:color="auto" w:fill="FFFFFF"/>
        </w:rPr>
        <w:t>. Cambridge, MIT Press, 2</w:t>
      </w:r>
      <w:r w:rsidRPr="00FC7BB4">
        <w:rPr>
          <w:rFonts w:ascii="Times New Roman" w:hAnsi="Times New Roman" w:cs="Times New Roman"/>
          <w:color w:val="000000" w:themeColor="text1"/>
          <w:sz w:val="24"/>
          <w:shd w:val="clear" w:color="auto" w:fill="FFFFFF"/>
          <w:vertAlign w:val="superscript"/>
        </w:rPr>
        <w:t>nd</w:t>
      </w:r>
      <w:r w:rsidRPr="00FC7BB4">
        <w:rPr>
          <w:rFonts w:ascii="Times New Roman" w:hAnsi="Times New Roman" w:cs="Times New Roman"/>
          <w:color w:val="000000" w:themeColor="text1"/>
          <w:sz w:val="24"/>
          <w:shd w:val="clear" w:color="auto" w:fill="FFFFFF"/>
        </w:rPr>
        <w:t xml:space="preserve"> Edition. </w:t>
      </w:r>
      <w:r w:rsidR="00A76066" w:rsidRPr="00FC7BB4">
        <w:rPr>
          <w:rFonts w:ascii="Times New Roman" w:hAnsi="Times New Roman" w:cs="Times New Roman"/>
          <w:color w:val="000000" w:themeColor="text1"/>
          <w:spacing w:val="3"/>
          <w:sz w:val="24"/>
          <w:shd w:val="clear" w:color="auto" w:fill="FFFFFF"/>
        </w:rPr>
        <w:t>ISBN: 9780262232586</w:t>
      </w:r>
    </w:p>
    <w:p w14:paraId="0A36A0B5" w14:textId="0C8DE4F8" w:rsidR="004B6564" w:rsidRPr="00FC7BB4" w:rsidRDefault="004B6564" w:rsidP="00F3101B">
      <w:pPr>
        <w:spacing w:after="156" w:line="276" w:lineRule="auto"/>
        <w:ind w:left="184" w:right="27" w:hanging="199"/>
        <w:rPr>
          <w:rFonts w:ascii="Times New Roman" w:hAnsi="Times New Roman" w:cs="Times New Roman"/>
          <w:color w:val="auto"/>
          <w:sz w:val="24"/>
        </w:rPr>
      </w:pPr>
      <w:r w:rsidRPr="00FC7BB4">
        <w:rPr>
          <w:rFonts w:ascii="Times New Roman" w:hAnsi="Times New Roman" w:cs="Times New Roman"/>
          <w:color w:val="auto"/>
          <w:spacing w:val="3"/>
          <w:sz w:val="24"/>
          <w:shd w:val="clear" w:color="auto" w:fill="FFFFFF"/>
        </w:rPr>
        <w:t>Zimmermann, K. F. (199</w:t>
      </w:r>
      <w:r w:rsidR="006166F9" w:rsidRPr="00FC7BB4">
        <w:rPr>
          <w:rFonts w:ascii="Times New Roman" w:hAnsi="Times New Roman" w:cs="Times New Roman"/>
          <w:color w:val="auto"/>
          <w:spacing w:val="3"/>
          <w:sz w:val="24"/>
          <w:shd w:val="clear" w:color="auto" w:fill="FFFFFF"/>
        </w:rPr>
        <w:t>9</w:t>
      </w:r>
      <w:r w:rsidRPr="00FC7BB4">
        <w:rPr>
          <w:rFonts w:ascii="Times New Roman" w:hAnsi="Times New Roman" w:cs="Times New Roman"/>
          <w:color w:val="auto"/>
          <w:spacing w:val="3"/>
          <w:sz w:val="24"/>
          <w:shd w:val="clear" w:color="auto" w:fill="FFFFFF"/>
        </w:rPr>
        <w:t xml:space="preserve">) Analysis of business surveys. In: </w:t>
      </w:r>
      <w:proofErr w:type="spellStart"/>
      <w:r w:rsidRPr="00FC7BB4">
        <w:rPr>
          <w:rFonts w:ascii="Times New Roman" w:hAnsi="Times New Roman" w:cs="Times New Roman"/>
          <w:color w:val="auto"/>
          <w:spacing w:val="3"/>
          <w:sz w:val="24"/>
          <w:shd w:val="clear" w:color="auto" w:fill="FFFFFF"/>
        </w:rPr>
        <w:t>Pesaran</w:t>
      </w:r>
      <w:proofErr w:type="spellEnd"/>
      <w:r w:rsidRPr="00FC7BB4">
        <w:rPr>
          <w:rFonts w:ascii="Times New Roman" w:hAnsi="Times New Roman" w:cs="Times New Roman"/>
          <w:color w:val="auto"/>
          <w:spacing w:val="3"/>
          <w:sz w:val="24"/>
          <w:shd w:val="clear" w:color="auto" w:fill="FFFFFF"/>
        </w:rPr>
        <w:t xml:space="preserve">, H. M., and Schmidt, P. (eds), </w:t>
      </w:r>
      <w:r w:rsidRPr="00FC7BB4">
        <w:rPr>
          <w:rFonts w:ascii="Times New Roman" w:hAnsi="Times New Roman" w:cs="Times New Roman"/>
          <w:i/>
          <w:iCs/>
          <w:color w:val="auto"/>
          <w:spacing w:val="3"/>
          <w:sz w:val="24"/>
          <w:shd w:val="clear" w:color="auto" w:fill="FFFFFF"/>
        </w:rPr>
        <w:t>Handbook of Applied Econometrics, Vol II-Microeconomics</w:t>
      </w:r>
      <w:r w:rsidR="00BF299C" w:rsidRPr="00FC7BB4">
        <w:rPr>
          <w:rFonts w:ascii="Times New Roman" w:hAnsi="Times New Roman" w:cs="Times New Roman"/>
          <w:color w:val="auto"/>
          <w:spacing w:val="3"/>
          <w:sz w:val="24"/>
          <w:shd w:val="clear" w:color="auto" w:fill="FFFFFF"/>
        </w:rPr>
        <w:t>.</w:t>
      </w:r>
      <w:r w:rsidRPr="00FC7BB4">
        <w:rPr>
          <w:rFonts w:ascii="Times New Roman" w:hAnsi="Times New Roman" w:cs="Times New Roman"/>
          <w:color w:val="auto"/>
          <w:spacing w:val="3"/>
          <w:sz w:val="24"/>
          <w:shd w:val="clear" w:color="auto" w:fill="FFFFFF"/>
        </w:rPr>
        <w:t xml:space="preserve"> Basil Balckwell, Chapter 9: 407-441. </w:t>
      </w:r>
      <w:hyperlink r:id="rId57" w:history="1">
        <w:r w:rsidR="00BF299C" w:rsidRPr="00FC7BB4">
          <w:rPr>
            <w:rFonts w:ascii="Times New Roman" w:hAnsi="Times New Roman" w:cs="Times New Roman"/>
            <w:color w:val="auto"/>
            <w:sz w:val="24"/>
            <w:shd w:val="clear" w:color="auto" w:fill="FFFFFF"/>
          </w:rPr>
          <w:t>https://doi.org/10.1111/b.9780631216339.1999.00010.x</w:t>
        </w:r>
      </w:hyperlink>
    </w:p>
    <w:bookmarkEnd w:id="98"/>
    <w:p w14:paraId="3B095ABF" w14:textId="77777777" w:rsidR="00307155" w:rsidRPr="00FC7BB4" w:rsidRDefault="00307155" w:rsidP="00F3101B">
      <w:pPr>
        <w:spacing w:after="160" w:line="278" w:lineRule="auto"/>
        <w:ind w:right="27" w:firstLine="0"/>
        <w:jc w:val="left"/>
        <w:rPr>
          <w:rFonts w:ascii="Times New Roman" w:hAnsi="Times New Roman" w:cs="Times New Roman"/>
          <w:b/>
          <w:bCs/>
          <w:sz w:val="24"/>
        </w:rPr>
        <w:sectPr w:rsidR="00307155" w:rsidRPr="00FC7BB4" w:rsidSect="00307155">
          <w:headerReference w:type="default" r:id="rId58"/>
          <w:footerReference w:type="even" r:id="rId59"/>
          <w:footerReference w:type="first" r:id="rId60"/>
          <w:pgSz w:w="12240" w:h="15840"/>
          <w:pgMar w:top="720" w:right="720" w:bottom="720" w:left="720" w:header="720" w:footer="1134" w:gutter="0"/>
          <w:cols w:space="720"/>
          <w:docGrid w:linePitch="272"/>
        </w:sectPr>
      </w:pPr>
    </w:p>
    <w:p w14:paraId="70EB169E" w14:textId="77777777" w:rsidR="00307155" w:rsidRPr="00FC7BB4" w:rsidRDefault="00307155" w:rsidP="00F3101B">
      <w:pPr>
        <w:spacing w:after="23" w:line="259" w:lineRule="auto"/>
        <w:ind w:right="27" w:firstLine="0"/>
        <w:rPr>
          <w:rFonts w:ascii="Times New Roman" w:hAnsi="Times New Roman" w:cs="Times New Roman"/>
          <w:b/>
          <w:bCs/>
          <w:sz w:val="24"/>
        </w:rPr>
      </w:pPr>
      <w:r w:rsidRPr="00FC7BB4">
        <w:rPr>
          <w:rFonts w:ascii="Times New Roman" w:hAnsi="Times New Roman" w:cs="Times New Roman"/>
          <w:b/>
          <w:bCs/>
          <w:sz w:val="24"/>
        </w:rPr>
        <w:lastRenderedPageBreak/>
        <w:t>Appendix</w:t>
      </w:r>
    </w:p>
    <w:p w14:paraId="05CFA550" w14:textId="77777777" w:rsidR="00307155" w:rsidRPr="00FC7BB4" w:rsidRDefault="00307155" w:rsidP="00F3101B">
      <w:pPr>
        <w:spacing w:after="17" w:line="262" w:lineRule="auto"/>
        <w:ind w:right="27" w:hanging="10"/>
        <w:jc w:val="center"/>
        <w:rPr>
          <w:rFonts w:ascii="Times New Roman" w:hAnsi="Times New Roman" w:cs="Times New Roman"/>
          <w:b/>
          <w:bCs/>
          <w:sz w:val="24"/>
        </w:rPr>
      </w:pPr>
      <w:r w:rsidRPr="00FC7BB4">
        <w:rPr>
          <w:rFonts w:ascii="Times New Roman" w:hAnsi="Times New Roman" w:cs="Times New Roman"/>
          <w:b/>
          <w:bCs/>
          <w:sz w:val="24"/>
        </w:rPr>
        <w:t>Table A1: Firm survey response counts by price, cost and demand sets, 1963 to 2024</w:t>
      </w:r>
    </w:p>
    <w:p w14:paraId="0A058F8F" w14:textId="77777777" w:rsidR="00307155" w:rsidRPr="00FC7BB4" w:rsidRDefault="00307155" w:rsidP="00F3101B">
      <w:pPr>
        <w:spacing w:after="23" w:line="259" w:lineRule="auto"/>
        <w:ind w:right="27" w:firstLine="0"/>
        <w:jc w:val="center"/>
        <w:rPr>
          <w:rFonts w:ascii="Times New Roman" w:hAnsi="Times New Roman" w:cs="Times New Roman"/>
          <w:b/>
          <w:bCs/>
          <w:sz w:val="24"/>
        </w:rPr>
      </w:pPr>
    </w:p>
    <w:tbl>
      <w:tblPr>
        <w:tblW w:w="10915" w:type="dxa"/>
        <w:tblLook w:val="04A0" w:firstRow="1" w:lastRow="0" w:firstColumn="1" w:lastColumn="0" w:noHBand="0" w:noVBand="1"/>
      </w:tblPr>
      <w:tblGrid>
        <w:gridCol w:w="2410"/>
        <w:gridCol w:w="694"/>
        <w:gridCol w:w="776"/>
        <w:gridCol w:w="694"/>
        <w:gridCol w:w="781"/>
        <w:gridCol w:w="709"/>
        <w:gridCol w:w="776"/>
        <w:gridCol w:w="708"/>
        <w:gridCol w:w="709"/>
        <w:gridCol w:w="709"/>
        <w:gridCol w:w="776"/>
        <w:gridCol w:w="708"/>
        <w:gridCol w:w="784"/>
      </w:tblGrid>
      <w:tr w:rsidR="00307155" w:rsidRPr="00FC7BB4" w14:paraId="3D21204B" w14:textId="77777777" w:rsidTr="00291B27">
        <w:trPr>
          <w:trHeight w:val="285"/>
        </w:trPr>
        <w:tc>
          <w:tcPr>
            <w:tcW w:w="2410" w:type="dxa"/>
            <w:tcBorders>
              <w:top w:val="single" w:sz="4" w:space="0" w:color="auto"/>
              <w:left w:val="nil"/>
              <w:bottom w:val="nil"/>
              <w:right w:val="single" w:sz="4" w:space="0" w:color="auto"/>
            </w:tcBorders>
            <w:noWrap/>
            <w:vAlign w:val="bottom"/>
            <w:hideMark/>
          </w:tcPr>
          <w:p w14:paraId="12611BD9"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Period:</w:t>
            </w:r>
          </w:p>
        </w:tc>
        <w:tc>
          <w:tcPr>
            <w:tcW w:w="2835" w:type="dxa"/>
            <w:gridSpan w:val="4"/>
            <w:tcBorders>
              <w:top w:val="single" w:sz="4" w:space="0" w:color="auto"/>
              <w:left w:val="nil"/>
              <w:bottom w:val="nil"/>
              <w:right w:val="single" w:sz="4" w:space="0" w:color="000000"/>
            </w:tcBorders>
            <w:noWrap/>
            <w:vAlign w:val="bottom"/>
            <w:hideMark/>
          </w:tcPr>
          <w:p w14:paraId="3275FE78"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1963Q3 to 2010Q4 (R=0)</w:t>
            </w:r>
          </w:p>
        </w:tc>
        <w:tc>
          <w:tcPr>
            <w:tcW w:w="2835" w:type="dxa"/>
            <w:gridSpan w:val="4"/>
            <w:tcBorders>
              <w:top w:val="single" w:sz="4" w:space="0" w:color="auto"/>
              <w:left w:val="nil"/>
              <w:bottom w:val="nil"/>
              <w:right w:val="single" w:sz="4" w:space="0" w:color="000000"/>
            </w:tcBorders>
            <w:noWrap/>
            <w:vAlign w:val="bottom"/>
            <w:hideMark/>
          </w:tcPr>
          <w:p w14:paraId="73B002A1"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2011Q1 to 2024Q3 (R=1)</w:t>
            </w:r>
          </w:p>
        </w:tc>
        <w:tc>
          <w:tcPr>
            <w:tcW w:w="2835" w:type="dxa"/>
            <w:gridSpan w:val="4"/>
            <w:tcBorders>
              <w:top w:val="single" w:sz="4" w:space="0" w:color="auto"/>
              <w:left w:val="nil"/>
              <w:bottom w:val="nil"/>
              <w:right w:val="nil"/>
            </w:tcBorders>
            <w:noWrap/>
            <w:vAlign w:val="bottom"/>
            <w:hideMark/>
          </w:tcPr>
          <w:p w14:paraId="4261CDCE"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1963Q3 to 2024Q3</w:t>
            </w:r>
          </w:p>
        </w:tc>
      </w:tr>
      <w:tr w:rsidR="00307155" w:rsidRPr="00FC7BB4" w14:paraId="14E59AF2" w14:textId="77777777" w:rsidTr="00291B27">
        <w:trPr>
          <w:trHeight w:val="230"/>
        </w:trPr>
        <w:tc>
          <w:tcPr>
            <w:tcW w:w="2410" w:type="dxa"/>
            <w:tcBorders>
              <w:top w:val="nil"/>
              <w:left w:val="nil"/>
              <w:bottom w:val="nil"/>
              <w:right w:val="single" w:sz="4" w:space="0" w:color="auto"/>
            </w:tcBorders>
            <w:noWrap/>
            <w:vAlign w:val="bottom"/>
            <w:hideMark/>
          </w:tcPr>
          <w:p w14:paraId="3AE0A986"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Inflation band:</w:t>
            </w:r>
          </w:p>
        </w:tc>
        <w:tc>
          <w:tcPr>
            <w:tcW w:w="673" w:type="dxa"/>
            <w:tcBorders>
              <w:top w:val="nil"/>
              <w:left w:val="nil"/>
              <w:bottom w:val="nil"/>
              <w:right w:val="nil"/>
            </w:tcBorders>
            <w:noWrap/>
            <w:vAlign w:val="bottom"/>
            <w:hideMark/>
          </w:tcPr>
          <w:p w14:paraId="57D45012"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w:t>
            </w:r>
          </w:p>
        </w:tc>
        <w:tc>
          <w:tcPr>
            <w:tcW w:w="708" w:type="dxa"/>
            <w:tcBorders>
              <w:top w:val="nil"/>
              <w:left w:val="nil"/>
              <w:bottom w:val="nil"/>
              <w:right w:val="nil"/>
            </w:tcBorders>
            <w:noWrap/>
            <w:vAlign w:val="bottom"/>
            <w:hideMark/>
          </w:tcPr>
          <w:p w14:paraId="0710ACF1"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3&lt;%&lt;6</w:t>
            </w:r>
          </w:p>
        </w:tc>
        <w:tc>
          <w:tcPr>
            <w:tcW w:w="673" w:type="dxa"/>
            <w:tcBorders>
              <w:top w:val="nil"/>
              <w:left w:val="nil"/>
              <w:bottom w:val="nil"/>
              <w:right w:val="nil"/>
            </w:tcBorders>
            <w:noWrap/>
            <w:vAlign w:val="bottom"/>
            <w:hideMark/>
          </w:tcPr>
          <w:p w14:paraId="25C74A55"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w:t>
            </w:r>
          </w:p>
        </w:tc>
        <w:tc>
          <w:tcPr>
            <w:tcW w:w="781" w:type="dxa"/>
            <w:tcBorders>
              <w:top w:val="nil"/>
              <w:left w:val="nil"/>
              <w:bottom w:val="nil"/>
              <w:right w:val="single" w:sz="4" w:space="0" w:color="auto"/>
            </w:tcBorders>
            <w:noWrap/>
            <w:vAlign w:val="bottom"/>
            <w:hideMark/>
          </w:tcPr>
          <w:p w14:paraId="697B5BDE" w14:textId="77777777" w:rsidR="00307155" w:rsidRPr="00FC7BB4" w:rsidRDefault="00307155" w:rsidP="00F3101B">
            <w:pPr>
              <w:spacing w:after="0" w:line="240" w:lineRule="auto"/>
              <w:ind w:right="27" w:firstLine="0"/>
              <w:jc w:val="center"/>
              <w:rPr>
                <w:rFonts w:ascii="Times New Roman" w:eastAsia="Times New Roman" w:hAnsi="Times New Roman" w:cs="Times New Roman"/>
                <w:i/>
                <w:iCs/>
                <w:color w:val="auto"/>
                <w:kern w:val="0"/>
                <w:sz w:val="18"/>
                <w:szCs w:val="18"/>
                <w14:ligatures w14:val="none"/>
              </w:rPr>
            </w:pPr>
          </w:p>
          <w:p w14:paraId="3C804E4E" w14:textId="77777777" w:rsidR="00307155" w:rsidRPr="00FC7BB4" w:rsidRDefault="00307155" w:rsidP="00F3101B">
            <w:pPr>
              <w:spacing w:after="0" w:line="240" w:lineRule="auto"/>
              <w:ind w:right="27" w:firstLine="0"/>
              <w:jc w:val="center"/>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 xml:space="preserve"> Totals</w:t>
            </w:r>
          </w:p>
        </w:tc>
        <w:tc>
          <w:tcPr>
            <w:tcW w:w="709" w:type="dxa"/>
            <w:tcBorders>
              <w:top w:val="nil"/>
              <w:left w:val="nil"/>
              <w:bottom w:val="nil"/>
              <w:right w:val="nil"/>
            </w:tcBorders>
            <w:noWrap/>
            <w:vAlign w:val="bottom"/>
            <w:hideMark/>
          </w:tcPr>
          <w:p w14:paraId="2148ED71"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w:t>
            </w:r>
          </w:p>
        </w:tc>
        <w:tc>
          <w:tcPr>
            <w:tcW w:w="709" w:type="dxa"/>
            <w:tcBorders>
              <w:top w:val="nil"/>
              <w:left w:val="nil"/>
              <w:bottom w:val="nil"/>
              <w:right w:val="nil"/>
            </w:tcBorders>
            <w:noWrap/>
            <w:vAlign w:val="bottom"/>
            <w:hideMark/>
          </w:tcPr>
          <w:p w14:paraId="05C9B922"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3&lt;%&lt;6</w:t>
            </w:r>
          </w:p>
        </w:tc>
        <w:tc>
          <w:tcPr>
            <w:tcW w:w="708" w:type="dxa"/>
            <w:tcBorders>
              <w:top w:val="nil"/>
              <w:left w:val="nil"/>
              <w:bottom w:val="nil"/>
              <w:right w:val="nil"/>
            </w:tcBorders>
            <w:noWrap/>
            <w:vAlign w:val="bottom"/>
            <w:hideMark/>
          </w:tcPr>
          <w:p w14:paraId="26CFFFDB"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w:t>
            </w:r>
          </w:p>
        </w:tc>
        <w:tc>
          <w:tcPr>
            <w:tcW w:w="709" w:type="dxa"/>
            <w:tcBorders>
              <w:top w:val="nil"/>
              <w:left w:val="nil"/>
              <w:bottom w:val="nil"/>
              <w:right w:val="single" w:sz="4" w:space="0" w:color="auto"/>
            </w:tcBorders>
            <w:noWrap/>
            <w:vAlign w:val="bottom"/>
            <w:hideMark/>
          </w:tcPr>
          <w:p w14:paraId="1497385F" w14:textId="77777777" w:rsidR="00307155" w:rsidRPr="00FC7BB4" w:rsidRDefault="00307155" w:rsidP="00F3101B">
            <w:pPr>
              <w:spacing w:after="0" w:line="240" w:lineRule="auto"/>
              <w:ind w:right="27" w:firstLine="0"/>
              <w:jc w:val="center"/>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Totals</w:t>
            </w:r>
          </w:p>
        </w:tc>
        <w:tc>
          <w:tcPr>
            <w:tcW w:w="709" w:type="dxa"/>
            <w:tcBorders>
              <w:top w:val="nil"/>
              <w:left w:val="nil"/>
              <w:bottom w:val="nil"/>
              <w:right w:val="nil"/>
            </w:tcBorders>
            <w:noWrap/>
            <w:vAlign w:val="bottom"/>
            <w:hideMark/>
          </w:tcPr>
          <w:p w14:paraId="085A56C1"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w:t>
            </w:r>
          </w:p>
        </w:tc>
        <w:tc>
          <w:tcPr>
            <w:tcW w:w="709" w:type="dxa"/>
            <w:tcBorders>
              <w:top w:val="nil"/>
              <w:left w:val="nil"/>
              <w:bottom w:val="nil"/>
              <w:right w:val="nil"/>
            </w:tcBorders>
            <w:noWrap/>
            <w:vAlign w:val="bottom"/>
            <w:hideMark/>
          </w:tcPr>
          <w:p w14:paraId="0CBECD1C"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3&lt;%&lt;6</w:t>
            </w:r>
          </w:p>
        </w:tc>
        <w:tc>
          <w:tcPr>
            <w:tcW w:w="708" w:type="dxa"/>
            <w:tcBorders>
              <w:top w:val="nil"/>
              <w:left w:val="nil"/>
              <w:bottom w:val="nil"/>
              <w:right w:val="nil"/>
            </w:tcBorders>
            <w:noWrap/>
            <w:vAlign w:val="bottom"/>
            <w:hideMark/>
          </w:tcPr>
          <w:p w14:paraId="0ECF57FB"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w:t>
            </w:r>
          </w:p>
        </w:tc>
        <w:tc>
          <w:tcPr>
            <w:tcW w:w="709" w:type="dxa"/>
            <w:tcBorders>
              <w:top w:val="nil"/>
              <w:left w:val="nil"/>
              <w:bottom w:val="nil"/>
              <w:right w:val="nil"/>
            </w:tcBorders>
            <w:noWrap/>
            <w:vAlign w:val="bottom"/>
            <w:hideMark/>
          </w:tcPr>
          <w:p w14:paraId="436F037D" w14:textId="77777777" w:rsidR="00307155" w:rsidRPr="00FC7BB4" w:rsidRDefault="00307155" w:rsidP="00F3101B">
            <w:pPr>
              <w:spacing w:after="0" w:line="240" w:lineRule="auto"/>
              <w:ind w:right="27" w:firstLine="0"/>
              <w:jc w:val="center"/>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Totals</w:t>
            </w:r>
          </w:p>
        </w:tc>
      </w:tr>
      <w:tr w:rsidR="00307155" w:rsidRPr="00FC7BB4" w14:paraId="357D7758" w14:textId="77777777" w:rsidTr="00291B27">
        <w:trPr>
          <w:trHeight w:val="285"/>
        </w:trPr>
        <w:tc>
          <w:tcPr>
            <w:tcW w:w="2410" w:type="dxa"/>
            <w:tcBorders>
              <w:top w:val="nil"/>
              <w:left w:val="nil"/>
              <w:bottom w:val="single" w:sz="4" w:space="0" w:color="auto"/>
              <w:right w:val="single" w:sz="4" w:space="0" w:color="auto"/>
            </w:tcBorders>
            <w:noWrap/>
            <w:vAlign w:val="bottom"/>
            <w:hideMark/>
          </w:tcPr>
          <w:p w14:paraId="4775E2CC"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Price, cost, demand sets</w:t>
            </w:r>
          </w:p>
        </w:tc>
        <w:tc>
          <w:tcPr>
            <w:tcW w:w="673" w:type="dxa"/>
            <w:tcBorders>
              <w:top w:val="nil"/>
              <w:left w:val="nil"/>
              <w:bottom w:val="single" w:sz="4" w:space="0" w:color="auto"/>
              <w:right w:val="nil"/>
            </w:tcBorders>
            <w:noWrap/>
            <w:vAlign w:val="bottom"/>
            <w:hideMark/>
          </w:tcPr>
          <w:p w14:paraId="108A7E62"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p>
        </w:tc>
        <w:tc>
          <w:tcPr>
            <w:tcW w:w="708" w:type="dxa"/>
            <w:tcBorders>
              <w:top w:val="nil"/>
              <w:left w:val="nil"/>
              <w:bottom w:val="single" w:sz="4" w:space="0" w:color="auto"/>
              <w:right w:val="nil"/>
            </w:tcBorders>
            <w:noWrap/>
            <w:vAlign w:val="bottom"/>
            <w:hideMark/>
          </w:tcPr>
          <w:p w14:paraId="2C1F3A03"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p>
        </w:tc>
        <w:tc>
          <w:tcPr>
            <w:tcW w:w="673" w:type="dxa"/>
            <w:tcBorders>
              <w:top w:val="nil"/>
              <w:left w:val="nil"/>
              <w:bottom w:val="single" w:sz="4" w:space="0" w:color="auto"/>
              <w:right w:val="nil"/>
            </w:tcBorders>
            <w:noWrap/>
            <w:vAlign w:val="bottom"/>
            <w:hideMark/>
          </w:tcPr>
          <w:p w14:paraId="450158B6"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p>
        </w:tc>
        <w:tc>
          <w:tcPr>
            <w:tcW w:w="781" w:type="dxa"/>
            <w:tcBorders>
              <w:top w:val="nil"/>
              <w:left w:val="nil"/>
              <w:bottom w:val="single" w:sz="4" w:space="0" w:color="auto"/>
              <w:right w:val="single" w:sz="4" w:space="0" w:color="auto"/>
            </w:tcBorders>
            <w:noWrap/>
            <w:vAlign w:val="bottom"/>
            <w:hideMark/>
          </w:tcPr>
          <w:p w14:paraId="5FB50CDD" w14:textId="77777777" w:rsidR="00307155" w:rsidRPr="00FC7BB4" w:rsidRDefault="00307155" w:rsidP="00F3101B">
            <w:pPr>
              <w:spacing w:after="0" w:line="240" w:lineRule="auto"/>
              <w:ind w:right="27" w:firstLine="0"/>
              <w:jc w:val="center"/>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single" w:sz="4" w:space="0" w:color="auto"/>
              <w:right w:val="nil"/>
            </w:tcBorders>
            <w:noWrap/>
            <w:vAlign w:val="bottom"/>
            <w:hideMark/>
          </w:tcPr>
          <w:p w14:paraId="3FBB76D1"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p>
        </w:tc>
        <w:tc>
          <w:tcPr>
            <w:tcW w:w="709" w:type="dxa"/>
            <w:tcBorders>
              <w:top w:val="nil"/>
              <w:left w:val="nil"/>
              <w:bottom w:val="single" w:sz="4" w:space="0" w:color="auto"/>
              <w:right w:val="nil"/>
            </w:tcBorders>
            <w:noWrap/>
            <w:vAlign w:val="bottom"/>
            <w:hideMark/>
          </w:tcPr>
          <w:p w14:paraId="15CA056C"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p>
        </w:tc>
        <w:tc>
          <w:tcPr>
            <w:tcW w:w="708" w:type="dxa"/>
            <w:tcBorders>
              <w:top w:val="nil"/>
              <w:left w:val="nil"/>
              <w:bottom w:val="single" w:sz="4" w:space="0" w:color="auto"/>
              <w:right w:val="nil"/>
            </w:tcBorders>
            <w:noWrap/>
            <w:vAlign w:val="bottom"/>
            <w:hideMark/>
          </w:tcPr>
          <w:p w14:paraId="023EBD61"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p>
        </w:tc>
        <w:tc>
          <w:tcPr>
            <w:tcW w:w="709" w:type="dxa"/>
            <w:tcBorders>
              <w:top w:val="nil"/>
              <w:left w:val="nil"/>
              <w:bottom w:val="single" w:sz="4" w:space="0" w:color="auto"/>
              <w:right w:val="single" w:sz="4" w:space="0" w:color="auto"/>
            </w:tcBorders>
            <w:noWrap/>
            <w:vAlign w:val="bottom"/>
          </w:tcPr>
          <w:p w14:paraId="3BF3EE1B" w14:textId="77777777" w:rsidR="00307155" w:rsidRPr="00FC7BB4" w:rsidRDefault="00307155" w:rsidP="00F3101B">
            <w:pPr>
              <w:spacing w:after="0" w:line="240" w:lineRule="auto"/>
              <w:ind w:right="27" w:firstLine="0"/>
              <w:jc w:val="center"/>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single" w:sz="4" w:space="0" w:color="auto"/>
              <w:right w:val="nil"/>
            </w:tcBorders>
            <w:noWrap/>
            <w:vAlign w:val="bottom"/>
            <w:hideMark/>
          </w:tcPr>
          <w:p w14:paraId="180260AC"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p>
        </w:tc>
        <w:tc>
          <w:tcPr>
            <w:tcW w:w="709" w:type="dxa"/>
            <w:tcBorders>
              <w:top w:val="nil"/>
              <w:left w:val="nil"/>
              <w:bottom w:val="single" w:sz="4" w:space="0" w:color="auto"/>
              <w:right w:val="nil"/>
            </w:tcBorders>
            <w:noWrap/>
            <w:vAlign w:val="bottom"/>
            <w:hideMark/>
          </w:tcPr>
          <w:p w14:paraId="2E436F51"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p>
        </w:tc>
        <w:tc>
          <w:tcPr>
            <w:tcW w:w="708" w:type="dxa"/>
            <w:tcBorders>
              <w:top w:val="nil"/>
              <w:left w:val="nil"/>
              <w:bottom w:val="single" w:sz="4" w:space="0" w:color="auto"/>
              <w:right w:val="nil"/>
            </w:tcBorders>
            <w:noWrap/>
            <w:vAlign w:val="bottom"/>
            <w:hideMark/>
          </w:tcPr>
          <w:p w14:paraId="6C123F2E" w14:textId="77777777" w:rsidR="00307155" w:rsidRPr="00FC7BB4" w:rsidRDefault="00307155" w:rsidP="00F3101B">
            <w:pPr>
              <w:spacing w:after="0" w:line="240" w:lineRule="auto"/>
              <w:ind w:right="27" w:firstLine="0"/>
              <w:jc w:val="center"/>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 xml:space="preserve">          </w:t>
            </w:r>
          </w:p>
        </w:tc>
        <w:tc>
          <w:tcPr>
            <w:tcW w:w="709" w:type="dxa"/>
            <w:tcBorders>
              <w:top w:val="nil"/>
              <w:left w:val="nil"/>
              <w:bottom w:val="single" w:sz="4" w:space="0" w:color="auto"/>
              <w:right w:val="nil"/>
            </w:tcBorders>
            <w:noWrap/>
            <w:vAlign w:val="bottom"/>
            <w:hideMark/>
          </w:tcPr>
          <w:p w14:paraId="130EAFDD" w14:textId="77777777" w:rsidR="00307155" w:rsidRPr="00FC7BB4" w:rsidRDefault="00307155" w:rsidP="00F3101B">
            <w:pPr>
              <w:spacing w:after="0" w:line="240" w:lineRule="auto"/>
              <w:ind w:right="27" w:firstLine="0"/>
              <w:jc w:val="center"/>
              <w:rPr>
                <w:rFonts w:ascii="Times New Roman" w:eastAsia="Times New Roman" w:hAnsi="Times New Roman" w:cs="Times New Roman"/>
                <w:i/>
                <w:iCs/>
                <w:color w:val="auto"/>
                <w:kern w:val="0"/>
                <w:sz w:val="18"/>
                <w:szCs w:val="18"/>
                <w14:ligatures w14:val="none"/>
              </w:rPr>
            </w:pPr>
          </w:p>
        </w:tc>
      </w:tr>
      <w:tr w:rsidR="00307155" w:rsidRPr="00FC7BB4" w14:paraId="4DD1C0DF" w14:textId="77777777" w:rsidTr="00291B27">
        <w:trPr>
          <w:trHeight w:val="285"/>
        </w:trPr>
        <w:tc>
          <w:tcPr>
            <w:tcW w:w="2410" w:type="dxa"/>
            <w:tcBorders>
              <w:top w:val="nil"/>
              <w:left w:val="nil"/>
              <w:bottom w:val="nil"/>
              <w:right w:val="single" w:sz="4" w:space="0" w:color="auto"/>
            </w:tcBorders>
            <w:noWrap/>
            <w:vAlign w:val="bottom"/>
            <w:hideMark/>
          </w:tcPr>
          <w:p w14:paraId="29583E71"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Pup | Cup, Dup</w:t>
            </w:r>
          </w:p>
        </w:tc>
        <w:tc>
          <w:tcPr>
            <w:tcW w:w="673" w:type="dxa"/>
            <w:tcBorders>
              <w:top w:val="nil"/>
              <w:left w:val="nil"/>
              <w:bottom w:val="nil"/>
              <w:right w:val="nil"/>
            </w:tcBorders>
            <w:noWrap/>
            <w:vAlign w:val="bottom"/>
            <w:hideMark/>
          </w:tcPr>
          <w:p w14:paraId="396035D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1906</w:t>
            </w:r>
          </w:p>
        </w:tc>
        <w:tc>
          <w:tcPr>
            <w:tcW w:w="708" w:type="dxa"/>
            <w:tcBorders>
              <w:top w:val="nil"/>
              <w:left w:val="nil"/>
              <w:bottom w:val="nil"/>
              <w:right w:val="nil"/>
            </w:tcBorders>
            <w:noWrap/>
            <w:vAlign w:val="bottom"/>
            <w:hideMark/>
          </w:tcPr>
          <w:p w14:paraId="3AFF3DB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2095</w:t>
            </w:r>
          </w:p>
        </w:tc>
        <w:tc>
          <w:tcPr>
            <w:tcW w:w="673" w:type="dxa"/>
            <w:tcBorders>
              <w:top w:val="nil"/>
              <w:left w:val="nil"/>
              <w:bottom w:val="nil"/>
              <w:right w:val="nil"/>
            </w:tcBorders>
            <w:noWrap/>
            <w:vAlign w:val="bottom"/>
            <w:hideMark/>
          </w:tcPr>
          <w:p w14:paraId="6CEEAA68"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4822</w:t>
            </w:r>
          </w:p>
        </w:tc>
        <w:tc>
          <w:tcPr>
            <w:tcW w:w="781" w:type="dxa"/>
            <w:tcBorders>
              <w:top w:val="nil"/>
              <w:left w:val="nil"/>
              <w:bottom w:val="nil"/>
              <w:right w:val="single" w:sz="4" w:space="0" w:color="auto"/>
            </w:tcBorders>
            <w:noWrap/>
            <w:vAlign w:val="bottom"/>
            <w:hideMark/>
          </w:tcPr>
          <w:p w14:paraId="1B0C425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8823</w:t>
            </w:r>
          </w:p>
        </w:tc>
        <w:tc>
          <w:tcPr>
            <w:tcW w:w="709" w:type="dxa"/>
            <w:tcBorders>
              <w:top w:val="nil"/>
              <w:left w:val="nil"/>
              <w:bottom w:val="nil"/>
              <w:right w:val="nil"/>
            </w:tcBorders>
            <w:noWrap/>
            <w:vAlign w:val="bottom"/>
            <w:hideMark/>
          </w:tcPr>
          <w:p w14:paraId="405975B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1191</w:t>
            </w:r>
          </w:p>
        </w:tc>
        <w:tc>
          <w:tcPr>
            <w:tcW w:w="709" w:type="dxa"/>
            <w:tcBorders>
              <w:top w:val="nil"/>
              <w:left w:val="nil"/>
              <w:bottom w:val="nil"/>
              <w:right w:val="nil"/>
            </w:tcBorders>
            <w:noWrap/>
            <w:vAlign w:val="bottom"/>
            <w:hideMark/>
          </w:tcPr>
          <w:p w14:paraId="4306E31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568</w:t>
            </w:r>
          </w:p>
        </w:tc>
        <w:tc>
          <w:tcPr>
            <w:tcW w:w="708" w:type="dxa"/>
            <w:tcBorders>
              <w:top w:val="nil"/>
              <w:left w:val="nil"/>
              <w:bottom w:val="nil"/>
              <w:right w:val="nil"/>
            </w:tcBorders>
            <w:noWrap/>
            <w:vAlign w:val="bottom"/>
            <w:hideMark/>
          </w:tcPr>
          <w:p w14:paraId="7A421CB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429</w:t>
            </w:r>
          </w:p>
        </w:tc>
        <w:tc>
          <w:tcPr>
            <w:tcW w:w="709" w:type="dxa"/>
            <w:tcBorders>
              <w:top w:val="nil"/>
              <w:left w:val="nil"/>
              <w:bottom w:val="nil"/>
              <w:right w:val="single" w:sz="4" w:space="0" w:color="auto"/>
            </w:tcBorders>
            <w:noWrap/>
            <w:vAlign w:val="bottom"/>
            <w:hideMark/>
          </w:tcPr>
          <w:p w14:paraId="55540632"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2188</w:t>
            </w:r>
          </w:p>
        </w:tc>
        <w:tc>
          <w:tcPr>
            <w:tcW w:w="709" w:type="dxa"/>
            <w:tcBorders>
              <w:top w:val="nil"/>
              <w:left w:val="nil"/>
              <w:bottom w:val="nil"/>
              <w:right w:val="nil"/>
            </w:tcBorders>
            <w:noWrap/>
            <w:vAlign w:val="bottom"/>
            <w:hideMark/>
          </w:tcPr>
          <w:p w14:paraId="137EA01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3097</w:t>
            </w:r>
          </w:p>
        </w:tc>
        <w:tc>
          <w:tcPr>
            <w:tcW w:w="709" w:type="dxa"/>
            <w:tcBorders>
              <w:top w:val="nil"/>
              <w:left w:val="nil"/>
              <w:bottom w:val="nil"/>
              <w:right w:val="nil"/>
            </w:tcBorders>
            <w:noWrap/>
            <w:vAlign w:val="bottom"/>
            <w:hideMark/>
          </w:tcPr>
          <w:p w14:paraId="7BCFF907"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2663</w:t>
            </w:r>
          </w:p>
        </w:tc>
        <w:tc>
          <w:tcPr>
            <w:tcW w:w="708" w:type="dxa"/>
            <w:tcBorders>
              <w:top w:val="nil"/>
              <w:left w:val="nil"/>
              <w:bottom w:val="nil"/>
              <w:right w:val="nil"/>
            </w:tcBorders>
            <w:noWrap/>
            <w:vAlign w:val="bottom"/>
            <w:hideMark/>
          </w:tcPr>
          <w:p w14:paraId="7491729B"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5251</w:t>
            </w:r>
          </w:p>
        </w:tc>
        <w:tc>
          <w:tcPr>
            <w:tcW w:w="709" w:type="dxa"/>
            <w:tcBorders>
              <w:top w:val="nil"/>
              <w:left w:val="nil"/>
              <w:bottom w:val="nil"/>
              <w:right w:val="nil"/>
            </w:tcBorders>
            <w:noWrap/>
            <w:vAlign w:val="bottom"/>
            <w:hideMark/>
          </w:tcPr>
          <w:p w14:paraId="0AE6A84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11011</w:t>
            </w:r>
          </w:p>
        </w:tc>
      </w:tr>
      <w:tr w:rsidR="00307155" w:rsidRPr="00FC7BB4" w14:paraId="68FD8352" w14:textId="77777777" w:rsidTr="00291B27">
        <w:trPr>
          <w:trHeight w:val="285"/>
        </w:trPr>
        <w:tc>
          <w:tcPr>
            <w:tcW w:w="2410" w:type="dxa"/>
            <w:tcBorders>
              <w:top w:val="nil"/>
              <w:left w:val="nil"/>
              <w:bottom w:val="nil"/>
              <w:right w:val="single" w:sz="4" w:space="0" w:color="auto"/>
            </w:tcBorders>
            <w:noWrap/>
            <w:vAlign w:val="bottom"/>
            <w:hideMark/>
          </w:tcPr>
          <w:p w14:paraId="02E0FD23"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 xml:space="preserve">Pup | Cup, </w:t>
            </w:r>
            <w:proofErr w:type="spellStart"/>
            <w:r w:rsidRPr="00FC7BB4">
              <w:rPr>
                <w:rFonts w:ascii="Times New Roman" w:eastAsia="Times New Roman" w:hAnsi="Times New Roman" w:cs="Times New Roman"/>
                <w:color w:val="auto"/>
                <w:kern w:val="0"/>
                <w:sz w:val="18"/>
                <w:szCs w:val="18"/>
                <w14:ligatures w14:val="none"/>
              </w:rPr>
              <w:t>Dnc</w:t>
            </w:r>
            <w:proofErr w:type="spellEnd"/>
          </w:p>
        </w:tc>
        <w:tc>
          <w:tcPr>
            <w:tcW w:w="673" w:type="dxa"/>
            <w:tcBorders>
              <w:top w:val="nil"/>
              <w:left w:val="nil"/>
              <w:bottom w:val="nil"/>
              <w:right w:val="nil"/>
            </w:tcBorders>
            <w:noWrap/>
            <w:vAlign w:val="bottom"/>
            <w:hideMark/>
          </w:tcPr>
          <w:p w14:paraId="0C5BDE31"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2361</w:t>
            </w:r>
          </w:p>
        </w:tc>
        <w:tc>
          <w:tcPr>
            <w:tcW w:w="708" w:type="dxa"/>
            <w:tcBorders>
              <w:top w:val="nil"/>
              <w:left w:val="nil"/>
              <w:bottom w:val="nil"/>
              <w:right w:val="nil"/>
            </w:tcBorders>
            <w:noWrap/>
            <w:vAlign w:val="bottom"/>
            <w:hideMark/>
          </w:tcPr>
          <w:p w14:paraId="3B67B34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2531</w:t>
            </w:r>
          </w:p>
        </w:tc>
        <w:tc>
          <w:tcPr>
            <w:tcW w:w="673" w:type="dxa"/>
            <w:tcBorders>
              <w:top w:val="nil"/>
              <w:left w:val="nil"/>
              <w:bottom w:val="nil"/>
              <w:right w:val="nil"/>
            </w:tcBorders>
            <w:noWrap/>
            <w:vAlign w:val="bottom"/>
            <w:hideMark/>
          </w:tcPr>
          <w:p w14:paraId="145675F8"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6576</w:t>
            </w:r>
          </w:p>
        </w:tc>
        <w:tc>
          <w:tcPr>
            <w:tcW w:w="781" w:type="dxa"/>
            <w:tcBorders>
              <w:top w:val="nil"/>
              <w:left w:val="nil"/>
              <w:bottom w:val="nil"/>
              <w:right w:val="single" w:sz="4" w:space="0" w:color="auto"/>
            </w:tcBorders>
            <w:noWrap/>
            <w:vAlign w:val="bottom"/>
            <w:hideMark/>
          </w:tcPr>
          <w:p w14:paraId="53F86FF4"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11468</w:t>
            </w:r>
          </w:p>
        </w:tc>
        <w:tc>
          <w:tcPr>
            <w:tcW w:w="709" w:type="dxa"/>
            <w:tcBorders>
              <w:top w:val="nil"/>
              <w:left w:val="nil"/>
              <w:bottom w:val="nil"/>
              <w:right w:val="nil"/>
            </w:tcBorders>
            <w:noWrap/>
            <w:vAlign w:val="bottom"/>
            <w:hideMark/>
          </w:tcPr>
          <w:p w14:paraId="7CEBBAB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1667</w:t>
            </w:r>
          </w:p>
        </w:tc>
        <w:tc>
          <w:tcPr>
            <w:tcW w:w="709" w:type="dxa"/>
            <w:tcBorders>
              <w:top w:val="nil"/>
              <w:left w:val="nil"/>
              <w:bottom w:val="nil"/>
              <w:right w:val="nil"/>
            </w:tcBorders>
            <w:noWrap/>
            <w:vAlign w:val="bottom"/>
            <w:hideMark/>
          </w:tcPr>
          <w:p w14:paraId="7A668E2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1124</w:t>
            </w:r>
          </w:p>
        </w:tc>
        <w:tc>
          <w:tcPr>
            <w:tcW w:w="708" w:type="dxa"/>
            <w:tcBorders>
              <w:top w:val="nil"/>
              <w:left w:val="nil"/>
              <w:bottom w:val="nil"/>
              <w:right w:val="nil"/>
            </w:tcBorders>
            <w:noWrap/>
            <w:vAlign w:val="bottom"/>
            <w:hideMark/>
          </w:tcPr>
          <w:p w14:paraId="4B67D391"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1058</w:t>
            </w:r>
          </w:p>
        </w:tc>
        <w:tc>
          <w:tcPr>
            <w:tcW w:w="709" w:type="dxa"/>
            <w:tcBorders>
              <w:top w:val="nil"/>
              <w:left w:val="nil"/>
              <w:bottom w:val="nil"/>
              <w:right w:val="single" w:sz="4" w:space="0" w:color="auto"/>
            </w:tcBorders>
            <w:noWrap/>
            <w:vAlign w:val="bottom"/>
            <w:hideMark/>
          </w:tcPr>
          <w:p w14:paraId="692C4F72"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3849</w:t>
            </w:r>
          </w:p>
        </w:tc>
        <w:tc>
          <w:tcPr>
            <w:tcW w:w="709" w:type="dxa"/>
            <w:tcBorders>
              <w:top w:val="nil"/>
              <w:left w:val="nil"/>
              <w:bottom w:val="nil"/>
              <w:right w:val="nil"/>
            </w:tcBorders>
            <w:noWrap/>
            <w:vAlign w:val="bottom"/>
            <w:hideMark/>
          </w:tcPr>
          <w:p w14:paraId="63F0A63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4028</w:t>
            </w:r>
          </w:p>
        </w:tc>
        <w:tc>
          <w:tcPr>
            <w:tcW w:w="709" w:type="dxa"/>
            <w:tcBorders>
              <w:top w:val="nil"/>
              <w:left w:val="nil"/>
              <w:bottom w:val="nil"/>
              <w:right w:val="nil"/>
            </w:tcBorders>
            <w:noWrap/>
            <w:vAlign w:val="bottom"/>
            <w:hideMark/>
          </w:tcPr>
          <w:p w14:paraId="2225C26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3655</w:t>
            </w:r>
          </w:p>
        </w:tc>
        <w:tc>
          <w:tcPr>
            <w:tcW w:w="708" w:type="dxa"/>
            <w:tcBorders>
              <w:top w:val="nil"/>
              <w:left w:val="nil"/>
              <w:bottom w:val="nil"/>
              <w:right w:val="nil"/>
            </w:tcBorders>
            <w:noWrap/>
            <w:vAlign w:val="bottom"/>
            <w:hideMark/>
          </w:tcPr>
          <w:p w14:paraId="1DA0DB1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7634</w:t>
            </w:r>
          </w:p>
        </w:tc>
        <w:tc>
          <w:tcPr>
            <w:tcW w:w="709" w:type="dxa"/>
            <w:tcBorders>
              <w:top w:val="nil"/>
              <w:left w:val="nil"/>
              <w:bottom w:val="nil"/>
              <w:right w:val="nil"/>
            </w:tcBorders>
            <w:noWrap/>
            <w:vAlign w:val="bottom"/>
            <w:hideMark/>
          </w:tcPr>
          <w:p w14:paraId="3F02C99E"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15317</w:t>
            </w:r>
          </w:p>
        </w:tc>
      </w:tr>
      <w:tr w:rsidR="00307155" w:rsidRPr="00FC7BB4" w14:paraId="07509B33" w14:textId="77777777" w:rsidTr="00291B27">
        <w:trPr>
          <w:trHeight w:val="285"/>
        </w:trPr>
        <w:tc>
          <w:tcPr>
            <w:tcW w:w="2410" w:type="dxa"/>
            <w:tcBorders>
              <w:top w:val="nil"/>
              <w:left w:val="nil"/>
              <w:bottom w:val="nil"/>
              <w:right w:val="single" w:sz="4" w:space="0" w:color="auto"/>
            </w:tcBorders>
            <w:noWrap/>
            <w:vAlign w:val="bottom"/>
            <w:hideMark/>
          </w:tcPr>
          <w:p w14:paraId="60A3C138"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 xml:space="preserve">Pup | Cup, </w:t>
            </w:r>
            <w:proofErr w:type="spellStart"/>
            <w:r w:rsidRPr="00FC7BB4">
              <w:rPr>
                <w:rFonts w:ascii="Times New Roman" w:eastAsia="Times New Roman" w:hAnsi="Times New Roman" w:cs="Times New Roman"/>
                <w:color w:val="auto"/>
                <w:kern w:val="0"/>
                <w:sz w:val="18"/>
                <w:szCs w:val="18"/>
                <w14:ligatures w14:val="none"/>
              </w:rPr>
              <w:t>Ddn</w:t>
            </w:r>
            <w:proofErr w:type="spellEnd"/>
          </w:p>
        </w:tc>
        <w:tc>
          <w:tcPr>
            <w:tcW w:w="673" w:type="dxa"/>
            <w:tcBorders>
              <w:top w:val="nil"/>
              <w:left w:val="nil"/>
              <w:bottom w:val="nil"/>
              <w:right w:val="nil"/>
            </w:tcBorders>
            <w:noWrap/>
            <w:vAlign w:val="bottom"/>
            <w:hideMark/>
          </w:tcPr>
          <w:p w14:paraId="053878C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1263</w:t>
            </w:r>
          </w:p>
        </w:tc>
        <w:tc>
          <w:tcPr>
            <w:tcW w:w="708" w:type="dxa"/>
            <w:tcBorders>
              <w:top w:val="nil"/>
              <w:left w:val="nil"/>
              <w:bottom w:val="nil"/>
              <w:right w:val="nil"/>
            </w:tcBorders>
            <w:noWrap/>
            <w:vAlign w:val="bottom"/>
            <w:hideMark/>
          </w:tcPr>
          <w:p w14:paraId="627E58A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1340</w:t>
            </w:r>
          </w:p>
        </w:tc>
        <w:tc>
          <w:tcPr>
            <w:tcW w:w="673" w:type="dxa"/>
            <w:tcBorders>
              <w:top w:val="nil"/>
              <w:left w:val="nil"/>
              <w:bottom w:val="nil"/>
              <w:right w:val="nil"/>
            </w:tcBorders>
            <w:noWrap/>
            <w:vAlign w:val="bottom"/>
            <w:hideMark/>
          </w:tcPr>
          <w:p w14:paraId="241C3A97"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3893</w:t>
            </w:r>
          </w:p>
        </w:tc>
        <w:tc>
          <w:tcPr>
            <w:tcW w:w="781" w:type="dxa"/>
            <w:tcBorders>
              <w:top w:val="nil"/>
              <w:left w:val="nil"/>
              <w:bottom w:val="nil"/>
              <w:right w:val="single" w:sz="4" w:space="0" w:color="auto"/>
            </w:tcBorders>
            <w:noWrap/>
            <w:vAlign w:val="bottom"/>
            <w:hideMark/>
          </w:tcPr>
          <w:p w14:paraId="6A007B9C"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6496</w:t>
            </w:r>
          </w:p>
        </w:tc>
        <w:tc>
          <w:tcPr>
            <w:tcW w:w="709" w:type="dxa"/>
            <w:tcBorders>
              <w:top w:val="nil"/>
              <w:left w:val="nil"/>
              <w:bottom w:val="nil"/>
              <w:right w:val="nil"/>
            </w:tcBorders>
            <w:noWrap/>
            <w:vAlign w:val="bottom"/>
            <w:hideMark/>
          </w:tcPr>
          <w:p w14:paraId="2F92F7D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996</w:t>
            </w:r>
          </w:p>
        </w:tc>
        <w:tc>
          <w:tcPr>
            <w:tcW w:w="709" w:type="dxa"/>
            <w:tcBorders>
              <w:top w:val="nil"/>
              <w:left w:val="nil"/>
              <w:bottom w:val="nil"/>
              <w:right w:val="nil"/>
            </w:tcBorders>
            <w:noWrap/>
            <w:vAlign w:val="bottom"/>
            <w:hideMark/>
          </w:tcPr>
          <w:p w14:paraId="343A1F9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796</w:t>
            </w:r>
          </w:p>
        </w:tc>
        <w:tc>
          <w:tcPr>
            <w:tcW w:w="708" w:type="dxa"/>
            <w:tcBorders>
              <w:top w:val="nil"/>
              <w:left w:val="nil"/>
              <w:bottom w:val="nil"/>
              <w:right w:val="nil"/>
            </w:tcBorders>
            <w:noWrap/>
            <w:vAlign w:val="bottom"/>
            <w:hideMark/>
          </w:tcPr>
          <w:p w14:paraId="34D99CD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663</w:t>
            </w:r>
          </w:p>
        </w:tc>
        <w:tc>
          <w:tcPr>
            <w:tcW w:w="709" w:type="dxa"/>
            <w:tcBorders>
              <w:top w:val="nil"/>
              <w:left w:val="nil"/>
              <w:bottom w:val="nil"/>
              <w:right w:val="single" w:sz="4" w:space="0" w:color="auto"/>
            </w:tcBorders>
            <w:noWrap/>
            <w:vAlign w:val="bottom"/>
            <w:hideMark/>
          </w:tcPr>
          <w:p w14:paraId="1B62F9E4"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2455</w:t>
            </w:r>
          </w:p>
        </w:tc>
        <w:tc>
          <w:tcPr>
            <w:tcW w:w="709" w:type="dxa"/>
            <w:tcBorders>
              <w:top w:val="nil"/>
              <w:left w:val="nil"/>
              <w:bottom w:val="nil"/>
              <w:right w:val="nil"/>
            </w:tcBorders>
            <w:noWrap/>
            <w:vAlign w:val="bottom"/>
            <w:hideMark/>
          </w:tcPr>
          <w:p w14:paraId="3F19572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2259</w:t>
            </w:r>
          </w:p>
        </w:tc>
        <w:tc>
          <w:tcPr>
            <w:tcW w:w="709" w:type="dxa"/>
            <w:tcBorders>
              <w:top w:val="nil"/>
              <w:left w:val="nil"/>
              <w:bottom w:val="nil"/>
              <w:right w:val="nil"/>
            </w:tcBorders>
            <w:noWrap/>
            <w:vAlign w:val="bottom"/>
            <w:hideMark/>
          </w:tcPr>
          <w:p w14:paraId="4A30426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2136</w:t>
            </w:r>
          </w:p>
        </w:tc>
        <w:tc>
          <w:tcPr>
            <w:tcW w:w="708" w:type="dxa"/>
            <w:tcBorders>
              <w:top w:val="nil"/>
              <w:left w:val="nil"/>
              <w:bottom w:val="nil"/>
              <w:right w:val="nil"/>
            </w:tcBorders>
            <w:noWrap/>
            <w:vAlign w:val="bottom"/>
            <w:hideMark/>
          </w:tcPr>
          <w:p w14:paraId="3870A38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4556</w:t>
            </w:r>
          </w:p>
        </w:tc>
        <w:tc>
          <w:tcPr>
            <w:tcW w:w="709" w:type="dxa"/>
            <w:tcBorders>
              <w:top w:val="nil"/>
              <w:left w:val="nil"/>
              <w:bottom w:val="nil"/>
              <w:right w:val="nil"/>
            </w:tcBorders>
            <w:noWrap/>
            <w:vAlign w:val="bottom"/>
            <w:hideMark/>
          </w:tcPr>
          <w:p w14:paraId="543EC677"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8951</w:t>
            </w:r>
          </w:p>
        </w:tc>
      </w:tr>
      <w:tr w:rsidR="00307155" w:rsidRPr="00FC7BB4" w14:paraId="344B95C7" w14:textId="77777777" w:rsidTr="00291B27">
        <w:trPr>
          <w:trHeight w:val="285"/>
        </w:trPr>
        <w:tc>
          <w:tcPr>
            <w:tcW w:w="2410" w:type="dxa"/>
            <w:tcBorders>
              <w:top w:val="nil"/>
              <w:left w:val="nil"/>
              <w:bottom w:val="nil"/>
              <w:right w:val="single" w:sz="4" w:space="0" w:color="auto"/>
            </w:tcBorders>
            <w:noWrap/>
            <w:vAlign w:val="bottom"/>
            <w:hideMark/>
          </w:tcPr>
          <w:p w14:paraId="3A5EB072"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 xml:space="preserve">Pup | </w:t>
            </w:r>
            <w:proofErr w:type="spellStart"/>
            <w:r w:rsidRPr="00FC7BB4">
              <w:rPr>
                <w:rFonts w:ascii="Times New Roman" w:eastAsia="Times New Roman" w:hAnsi="Times New Roman" w:cs="Times New Roman"/>
                <w:color w:val="auto"/>
                <w:kern w:val="0"/>
                <w:sz w:val="18"/>
                <w:szCs w:val="18"/>
                <w14:ligatures w14:val="none"/>
              </w:rPr>
              <w:t>Cnc</w:t>
            </w:r>
            <w:proofErr w:type="spellEnd"/>
            <w:r w:rsidRPr="00FC7BB4">
              <w:rPr>
                <w:rFonts w:ascii="Times New Roman" w:eastAsia="Times New Roman" w:hAnsi="Times New Roman" w:cs="Times New Roman"/>
                <w:color w:val="auto"/>
                <w:kern w:val="0"/>
                <w:sz w:val="18"/>
                <w:szCs w:val="18"/>
                <w14:ligatures w14:val="none"/>
              </w:rPr>
              <w:t>, Dup</w:t>
            </w:r>
          </w:p>
        </w:tc>
        <w:tc>
          <w:tcPr>
            <w:tcW w:w="673" w:type="dxa"/>
            <w:tcBorders>
              <w:top w:val="nil"/>
              <w:left w:val="nil"/>
              <w:bottom w:val="nil"/>
              <w:right w:val="nil"/>
            </w:tcBorders>
            <w:noWrap/>
            <w:vAlign w:val="bottom"/>
            <w:hideMark/>
          </w:tcPr>
          <w:p w14:paraId="5DA3D2B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823</w:t>
            </w:r>
          </w:p>
        </w:tc>
        <w:tc>
          <w:tcPr>
            <w:tcW w:w="708" w:type="dxa"/>
            <w:tcBorders>
              <w:top w:val="nil"/>
              <w:left w:val="nil"/>
              <w:bottom w:val="nil"/>
              <w:right w:val="nil"/>
            </w:tcBorders>
            <w:noWrap/>
            <w:vAlign w:val="bottom"/>
            <w:hideMark/>
          </w:tcPr>
          <w:p w14:paraId="70D887E1"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396</w:t>
            </w:r>
          </w:p>
        </w:tc>
        <w:tc>
          <w:tcPr>
            <w:tcW w:w="673" w:type="dxa"/>
            <w:tcBorders>
              <w:top w:val="nil"/>
              <w:left w:val="nil"/>
              <w:bottom w:val="nil"/>
              <w:right w:val="nil"/>
            </w:tcBorders>
            <w:noWrap/>
            <w:vAlign w:val="bottom"/>
            <w:hideMark/>
          </w:tcPr>
          <w:p w14:paraId="3DE1C02B"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363</w:t>
            </w:r>
          </w:p>
        </w:tc>
        <w:tc>
          <w:tcPr>
            <w:tcW w:w="781" w:type="dxa"/>
            <w:tcBorders>
              <w:top w:val="nil"/>
              <w:left w:val="nil"/>
              <w:bottom w:val="nil"/>
              <w:right w:val="single" w:sz="4" w:space="0" w:color="auto"/>
            </w:tcBorders>
            <w:noWrap/>
            <w:vAlign w:val="bottom"/>
            <w:hideMark/>
          </w:tcPr>
          <w:p w14:paraId="18960E29"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1582</w:t>
            </w:r>
          </w:p>
        </w:tc>
        <w:tc>
          <w:tcPr>
            <w:tcW w:w="709" w:type="dxa"/>
            <w:tcBorders>
              <w:top w:val="nil"/>
              <w:left w:val="nil"/>
              <w:bottom w:val="nil"/>
              <w:right w:val="nil"/>
            </w:tcBorders>
            <w:noWrap/>
            <w:vAlign w:val="bottom"/>
            <w:hideMark/>
          </w:tcPr>
          <w:p w14:paraId="4FA9FAE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558</w:t>
            </w:r>
          </w:p>
        </w:tc>
        <w:tc>
          <w:tcPr>
            <w:tcW w:w="709" w:type="dxa"/>
            <w:tcBorders>
              <w:top w:val="nil"/>
              <w:left w:val="nil"/>
              <w:bottom w:val="nil"/>
              <w:right w:val="nil"/>
            </w:tcBorders>
            <w:noWrap/>
            <w:vAlign w:val="bottom"/>
            <w:hideMark/>
          </w:tcPr>
          <w:p w14:paraId="470A8E96"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121</w:t>
            </w:r>
          </w:p>
        </w:tc>
        <w:tc>
          <w:tcPr>
            <w:tcW w:w="708" w:type="dxa"/>
            <w:tcBorders>
              <w:top w:val="nil"/>
              <w:left w:val="nil"/>
              <w:bottom w:val="nil"/>
              <w:right w:val="nil"/>
            </w:tcBorders>
            <w:noWrap/>
            <w:vAlign w:val="bottom"/>
            <w:hideMark/>
          </w:tcPr>
          <w:p w14:paraId="7B0CEC3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107</w:t>
            </w:r>
          </w:p>
        </w:tc>
        <w:tc>
          <w:tcPr>
            <w:tcW w:w="709" w:type="dxa"/>
            <w:tcBorders>
              <w:top w:val="nil"/>
              <w:left w:val="nil"/>
              <w:bottom w:val="nil"/>
              <w:right w:val="single" w:sz="4" w:space="0" w:color="auto"/>
            </w:tcBorders>
            <w:noWrap/>
            <w:vAlign w:val="bottom"/>
            <w:hideMark/>
          </w:tcPr>
          <w:p w14:paraId="39CE6D51"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786</w:t>
            </w:r>
          </w:p>
        </w:tc>
        <w:tc>
          <w:tcPr>
            <w:tcW w:w="709" w:type="dxa"/>
            <w:tcBorders>
              <w:top w:val="nil"/>
              <w:left w:val="nil"/>
              <w:bottom w:val="nil"/>
              <w:right w:val="nil"/>
            </w:tcBorders>
            <w:noWrap/>
            <w:vAlign w:val="bottom"/>
            <w:hideMark/>
          </w:tcPr>
          <w:p w14:paraId="3F44A1F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1381</w:t>
            </w:r>
          </w:p>
        </w:tc>
        <w:tc>
          <w:tcPr>
            <w:tcW w:w="709" w:type="dxa"/>
            <w:tcBorders>
              <w:top w:val="nil"/>
              <w:left w:val="nil"/>
              <w:bottom w:val="nil"/>
              <w:right w:val="nil"/>
            </w:tcBorders>
            <w:noWrap/>
            <w:vAlign w:val="bottom"/>
            <w:hideMark/>
          </w:tcPr>
          <w:p w14:paraId="4705EC3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517</w:t>
            </w:r>
          </w:p>
        </w:tc>
        <w:tc>
          <w:tcPr>
            <w:tcW w:w="708" w:type="dxa"/>
            <w:tcBorders>
              <w:top w:val="nil"/>
              <w:left w:val="nil"/>
              <w:bottom w:val="nil"/>
              <w:right w:val="nil"/>
            </w:tcBorders>
            <w:noWrap/>
            <w:vAlign w:val="bottom"/>
            <w:hideMark/>
          </w:tcPr>
          <w:p w14:paraId="4943433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470</w:t>
            </w:r>
          </w:p>
        </w:tc>
        <w:tc>
          <w:tcPr>
            <w:tcW w:w="709" w:type="dxa"/>
            <w:tcBorders>
              <w:top w:val="nil"/>
              <w:left w:val="nil"/>
              <w:bottom w:val="nil"/>
              <w:right w:val="nil"/>
            </w:tcBorders>
            <w:noWrap/>
            <w:vAlign w:val="bottom"/>
            <w:hideMark/>
          </w:tcPr>
          <w:p w14:paraId="34762A90"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2368</w:t>
            </w:r>
          </w:p>
        </w:tc>
      </w:tr>
      <w:tr w:rsidR="00307155" w:rsidRPr="00FC7BB4" w14:paraId="77420ABC" w14:textId="77777777" w:rsidTr="00291B27">
        <w:trPr>
          <w:trHeight w:val="285"/>
        </w:trPr>
        <w:tc>
          <w:tcPr>
            <w:tcW w:w="2410" w:type="dxa"/>
            <w:tcBorders>
              <w:top w:val="nil"/>
              <w:left w:val="nil"/>
              <w:bottom w:val="nil"/>
              <w:right w:val="single" w:sz="4" w:space="0" w:color="auto"/>
            </w:tcBorders>
            <w:noWrap/>
            <w:vAlign w:val="bottom"/>
            <w:hideMark/>
          </w:tcPr>
          <w:p w14:paraId="52BDC75D"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Pup</w:t>
            </w:r>
            <w:r w:rsidRPr="00FC7BB4" w:rsidDel="006566E8">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Cnc</w:t>
            </w:r>
            <w:proofErr w:type="spellEnd"/>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Dnc</w:t>
            </w:r>
            <w:proofErr w:type="spellEnd"/>
          </w:p>
        </w:tc>
        <w:tc>
          <w:tcPr>
            <w:tcW w:w="673" w:type="dxa"/>
            <w:tcBorders>
              <w:top w:val="nil"/>
              <w:left w:val="nil"/>
              <w:bottom w:val="nil"/>
              <w:right w:val="nil"/>
            </w:tcBorders>
            <w:noWrap/>
            <w:vAlign w:val="bottom"/>
            <w:hideMark/>
          </w:tcPr>
          <w:p w14:paraId="55960CFB"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1008</w:t>
            </w:r>
          </w:p>
        </w:tc>
        <w:tc>
          <w:tcPr>
            <w:tcW w:w="708" w:type="dxa"/>
            <w:tcBorders>
              <w:top w:val="nil"/>
              <w:left w:val="nil"/>
              <w:bottom w:val="nil"/>
              <w:right w:val="nil"/>
            </w:tcBorders>
            <w:noWrap/>
            <w:vAlign w:val="bottom"/>
            <w:hideMark/>
          </w:tcPr>
          <w:p w14:paraId="787CDCFC"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517</w:t>
            </w:r>
          </w:p>
        </w:tc>
        <w:tc>
          <w:tcPr>
            <w:tcW w:w="673" w:type="dxa"/>
            <w:tcBorders>
              <w:top w:val="nil"/>
              <w:left w:val="nil"/>
              <w:bottom w:val="nil"/>
              <w:right w:val="nil"/>
            </w:tcBorders>
            <w:noWrap/>
            <w:vAlign w:val="bottom"/>
            <w:hideMark/>
          </w:tcPr>
          <w:p w14:paraId="6936ADA6"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404</w:t>
            </w:r>
          </w:p>
        </w:tc>
        <w:tc>
          <w:tcPr>
            <w:tcW w:w="781" w:type="dxa"/>
            <w:tcBorders>
              <w:top w:val="nil"/>
              <w:left w:val="nil"/>
              <w:bottom w:val="nil"/>
              <w:right w:val="single" w:sz="4" w:space="0" w:color="auto"/>
            </w:tcBorders>
            <w:noWrap/>
            <w:vAlign w:val="bottom"/>
            <w:hideMark/>
          </w:tcPr>
          <w:p w14:paraId="71B0AE1D"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1929</w:t>
            </w:r>
          </w:p>
        </w:tc>
        <w:tc>
          <w:tcPr>
            <w:tcW w:w="709" w:type="dxa"/>
            <w:tcBorders>
              <w:top w:val="nil"/>
              <w:left w:val="nil"/>
              <w:bottom w:val="nil"/>
              <w:right w:val="nil"/>
            </w:tcBorders>
            <w:noWrap/>
            <w:vAlign w:val="bottom"/>
            <w:hideMark/>
          </w:tcPr>
          <w:p w14:paraId="2214958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899</w:t>
            </w:r>
          </w:p>
        </w:tc>
        <w:tc>
          <w:tcPr>
            <w:tcW w:w="709" w:type="dxa"/>
            <w:tcBorders>
              <w:top w:val="nil"/>
              <w:left w:val="nil"/>
              <w:bottom w:val="nil"/>
              <w:right w:val="nil"/>
            </w:tcBorders>
            <w:noWrap/>
            <w:vAlign w:val="bottom"/>
            <w:hideMark/>
          </w:tcPr>
          <w:p w14:paraId="0ABA4EB7"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334</w:t>
            </w:r>
          </w:p>
        </w:tc>
        <w:tc>
          <w:tcPr>
            <w:tcW w:w="708" w:type="dxa"/>
            <w:tcBorders>
              <w:top w:val="nil"/>
              <w:left w:val="nil"/>
              <w:bottom w:val="nil"/>
              <w:right w:val="nil"/>
            </w:tcBorders>
            <w:noWrap/>
            <w:vAlign w:val="bottom"/>
            <w:hideMark/>
          </w:tcPr>
          <w:p w14:paraId="286A8C1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345</w:t>
            </w:r>
          </w:p>
        </w:tc>
        <w:tc>
          <w:tcPr>
            <w:tcW w:w="709" w:type="dxa"/>
            <w:tcBorders>
              <w:top w:val="nil"/>
              <w:left w:val="nil"/>
              <w:bottom w:val="nil"/>
              <w:right w:val="single" w:sz="4" w:space="0" w:color="auto"/>
            </w:tcBorders>
            <w:noWrap/>
            <w:vAlign w:val="bottom"/>
            <w:hideMark/>
          </w:tcPr>
          <w:p w14:paraId="1A8C0387"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1578</w:t>
            </w:r>
          </w:p>
        </w:tc>
        <w:tc>
          <w:tcPr>
            <w:tcW w:w="709" w:type="dxa"/>
            <w:tcBorders>
              <w:top w:val="nil"/>
              <w:left w:val="nil"/>
              <w:bottom w:val="nil"/>
              <w:right w:val="nil"/>
            </w:tcBorders>
            <w:noWrap/>
            <w:vAlign w:val="bottom"/>
            <w:hideMark/>
          </w:tcPr>
          <w:p w14:paraId="087010F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1907</w:t>
            </w:r>
          </w:p>
        </w:tc>
        <w:tc>
          <w:tcPr>
            <w:tcW w:w="709" w:type="dxa"/>
            <w:tcBorders>
              <w:top w:val="nil"/>
              <w:left w:val="nil"/>
              <w:bottom w:val="nil"/>
              <w:right w:val="nil"/>
            </w:tcBorders>
            <w:noWrap/>
            <w:vAlign w:val="bottom"/>
            <w:hideMark/>
          </w:tcPr>
          <w:p w14:paraId="4E485D3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851</w:t>
            </w:r>
          </w:p>
        </w:tc>
        <w:tc>
          <w:tcPr>
            <w:tcW w:w="708" w:type="dxa"/>
            <w:tcBorders>
              <w:top w:val="nil"/>
              <w:left w:val="nil"/>
              <w:bottom w:val="nil"/>
              <w:right w:val="nil"/>
            </w:tcBorders>
            <w:noWrap/>
            <w:vAlign w:val="bottom"/>
            <w:hideMark/>
          </w:tcPr>
          <w:p w14:paraId="492C5C9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749</w:t>
            </w:r>
          </w:p>
        </w:tc>
        <w:tc>
          <w:tcPr>
            <w:tcW w:w="709" w:type="dxa"/>
            <w:tcBorders>
              <w:top w:val="nil"/>
              <w:left w:val="nil"/>
              <w:bottom w:val="nil"/>
              <w:right w:val="nil"/>
            </w:tcBorders>
            <w:noWrap/>
            <w:vAlign w:val="bottom"/>
            <w:hideMark/>
          </w:tcPr>
          <w:p w14:paraId="45E82E39"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3507</w:t>
            </w:r>
          </w:p>
        </w:tc>
      </w:tr>
      <w:tr w:rsidR="00307155" w:rsidRPr="00FC7BB4" w14:paraId="2AFEF12F" w14:textId="77777777" w:rsidTr="00291B27">
        <w:trPr>
          <w:trHeight w:val="285"/>
        </w:trPr>
        <w:tc>
          <w:tcPr>
            <w:tcW w:w="2410" w:type="dxa"/>
            <w:tcBorders>
              <w:top w:val="nil"/>
              <w:left w:val="nil"/>
              <w:bottom w:val="nil"/>
              <w:right w:val="single" w:sz="4" w:space="0" w:color="auto"/>
            </w:tcBorders>
            <w:noWrap/>
            <w:vAlign w:val="bottom"/>
            <w:hideMark/>
          </w:tcPr>
          <w:p w14:paraId="3BA2B9D2"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Pup</w:t>
            </w:r>
            <w:r w:rsidRPr="00FC7BB4" w:rsidDel="006566E8">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Cnc</w:t>
            </w:r>
            <w:proofErr w:type="spellEnd"/>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Ddn</w:t>
            </w:r>
            <w:proofErr w:type="spellEnd"/>
          </w:p>
        </w:tc>
        <w:tc>
          <w:tcPr>
            <w:tcW w:w="673" w:type="dxa"/>
            <w:tcBorders>
              <w:top w:val="nil"/>
              <w:left w:val="nil"/>
              <w:bottom w:val="nil"/>
              <w:right w:val="nil"/>
            </w:tcBorders>
            <w:noWrap/>
            <w:vAlign w:val="bottom"/>
            <w:hideMark/>
          </w:tcPr>
          <w:p w14:paraId="6CBF79F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428</w:t>
            </w:r>
          </w:p>
        </w:tc>
        <w:tc>
          <w:tcPr>
            <w:tcW w:w="708" w:type="dxa"/>
            <w:tcBorders>
              <w:top w:val="nil"/>
              <w:left w:val="nil"/>
              <w:bottom w:val="nil"/>
              <w:right w:val="nil"/>
            </w:tcBorders>
            <w:noWrap/>
            <w:vAlign w:val="bottom"/>
            <w:hideMark/>
          </w:tcPr>
          <w:p w14:paraId="08B5E56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233</w:t>
            </w:r>
          </w:p>
        </w:tc>
        <w:tc>
          <w:tcPr>
            <w:tcW w:w="673" w:type="dxa"/>
            <w:tcBorders>
              <w:top w:val="nil"/>
              <w:left w:val="nil"/>
              <w:bottom w:val="nil"/>
              <w:right w:val="nil"/>
            </w:tcBorders>
            <w:noWrap/>
            <w:vAlign w:val="bottom"/>
            <w:hideMark/>
          </w:tcPr>
          <w:p w14:paraId="452F362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213</w:t>
            </w:r>
          </w:p>
        </w:tc>
        <w:tc>
          <w:tcPr>
            <w:tcW w:w="781" w:type="dxa"/>
            <w:tcBorders>
              <w:top w:val="nil"/>
              <w:left w:val="nil"/>
              <w:bottom w:val="nil"/>
              <w:right w:val="single" w:sz="4" w:space="0" w:color="auto"/>
            </w:tcBorders>
            <w:noWrap/>
            <w:vAlign w:val="bottom"/>
            <w:hideMark/>
          </w:tcPr>
          <w:p w14:paraId="3F3E434D"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874</w:t>
            </w:r>
          </w:p>
        </w:tc>
        <w:tc>
          <w:tcPr>
            <w:tcW w:w="709" w:type="dxa"/>
            <w:tcBorders>
              <w:top w:val="nil"/>
              <w:left w:val="nil"/>
              <w:bottom w:val="nil"/>
              <w:right w:val="nil"/>
            </w:tcBorders>
            <w:noWrap/>
            <w:vAlign w:val="bottom"/>
            <w:hideMark/>
          </w:tcPr>
          <w:p w14:paraId="52A8AA7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391</w:t>
            </w:r>
          </w:p>
        </w:tc>
        <w:tc>
          <w:tcPr>
            <w:tcW w:w="709" w:type="dxa"/>
            <w:tcBorders>
              <w:top w:val="nil"/>
              <w:left w:val="nil"/>
              <w:bottom w:val="nil"/>
              <w:right w:val="nil"/>
            </w:tcBorders>
            <w:noWrap/>
            <w:vAlign w:val="bottom"/>
            <w:hideMark/>
          </w:tcPr>
          <w:p w14:paraId="2BA0EB6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145</w:t>
            </w:r>
          </w:p>
        </w:tc>
        <w:tc>
          <w:tcPr>
            <w:tcW w:w="708" w:type="dxa"/>
            <w:tcBorders>
              <w:top w:val="nil"/>
              <w:left w:val="nil"/>
              <w:bottom w:val="nil"/>
              <w:right w:val="nil"/>
            </w:tcBorders>
            <w:noWrap/>
            <w:vAlign w:val="bottom"/>
            <w:hideMark/>
          </w:tcPr>
          <w:p w14:paraId="57749E0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185</w:t>
            </w:r>
          </w:p>
        </w:tc>
        <w:tc>
          <w:tcPr>
            <w:tcW w:w="709" w:type="dxa"/>
            <w:tcBorders>
              <w:top w:val="nil"/>
              <w:left w:val="nil"/>
              <w:bottom w:val="nil"/>
              <w:right w:val="single" w:sz="4" w:space="0" w:color="auto"/>
            </w:tcBorders>
            <w:noWrap/>
            <w:vAlign w:val="bottom"/>
            <w:hideMark/>
          </w:tcPr>
          <w:p w14:paraId="2FDF1576"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721</w:t>
            </w:r>
          </w:p>
        </w:tc>
        <w:tc>
          <w:tcPr>
            <w:tcW w:w="709" w:type="dxa"/>
            <w:tcBorders>
              <w:top w:val="nil"/>
              <w:left w:val="nil"/>
              <w:bottom w:val="nil"/>
              <w:right w:val="nil"/>
            </w:tcBorders>
            <w:noWrap/>
            <w:vAlign w:val="bottom"/>
            <w:hideMark/>
          </w:tcPr>
          <w:p w14:paraId="1C471C1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819</w:t>
            </w:r>
          </w:p>
        </w:tc>
        <w:tc>
          <w:tcPr>
            <w:tcW w:w="709" w:type="dxa"/>
            <w:tcBorders>
              <w:top w:val="nil"/>
              <w:left w:val="nil"/>
              <w:bottom w:val="nil"/>
              <w:right w:val="nil"/>
            </w:tcBorders>
            <w:noWrap/>
            <w:vAlign w:val="bottom"/>
            <w:hideMark/>
          </w:tcPr>
          <w:p w14:paraId="6F0CADF6"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378</w:t>
            </w:r>
          </w:p>
        </w:tc>
        <w:tc>
          <w:tcPr>
            <w:tcW w:w="708" w:type="dxa"/>
            <w:tcBorders>
              <w:top w:val="nil"/>
              <w:left w:val="nil"/>
              <w:bottom w:val="nil"/>
              <w:right w:val="nil"/>
            </w:tcBorders>
            <w:noWrap/>
            <w:vAlign w:val="bottom"/>
            <w:hideMark/>
          </w:tcPr>
          <w:p w14:paraId="547AA4E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398</w:t>
            </w:r>
          </w:p>
        </w:tc>
        <w:tc>
          <w:tcPr>
            <w:tcW w:w="709" w:type="dxa"/>
            <w:tcBorders>
              <w:top w:val="nil"/>
              <w:left w:val="nil"/>
              <w:bottom w:val="nil"/>
              <w:right w:val="nil"/>
            </w:tcBorders>
            <w:noWrap/>
            <w:vAlign w:val="bottom"/>
            <w:hideMark/>
          </w:tcPr>
          <w:p w14:paraId="00146F50"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1595</w:t>
            </w:r>
          </w:p>
        </w:tc>
      </w:tr>
      <w:tr w:rsidR="00307155" w:rsidRPr="00FC7BB4" w14:paraId="449F448E" w14:textId="77777777" w:rsidTr="00291B27">
        <w:trPr>
          <w:trHeight w:val="285"/>
        </w:trPr>
        <w:tc>
          <w:tcPr>
            <w:tcW w:w="2410" w:type="dxa"/>
            <w:tcBorders>
              <w:top w:val="nil"/>
              <w:left w:val="nil"/>
              <w:bottom w:val="nil"/>
              <w:right w:val="single" w:sz="4" w:space="0" w:color="auto"/>
            </w:tcBorders>
            <w:noWrap/>
            <w:vAlign w:val="bottom"/>
            <w:hideMark/>
          </w:tcPr>
          <w:p w14:paraId="1177567E"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Pup</w:t>
            </w:r>
            <w:r w:rsidRPr="00FC7BB4" w:rsidDel="006566E8">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Cdn</w:t>
            </w:r>
            <w:proofErr w:type="spellEnd"/>
            <w:r w:rsidRPr="00FC7BB4">
              <w:rPr>
                <w:rFonts w:ascii="Times New Roman" w:eastAsia="Times New Roman" w:hAnsi="Times New Roman" w:cs="Times New Roman"/>
                <w:color w:val="auto"/>
                <w:kern w:val="0"/>
                <w:sz w:val="18"/>
                <w:szCs w:val="18"/>
                <w14:ligatures w14:val="none"/>
              </w:rPr>
              <w:t>, Dup</w:t>
            </w:r>
          </w:p>
        </w:tc>
        <w:tc>
          <w:tcPr>
            <w:tcW w:w="673" w:type="dxa"/>
            <w:tcBorders>
              <w:top w:val="nil"/>
              <w:left w:val="nil"/>
              <w:bottom w:val="nil"/>
              <w:right w:val="nil"/>
            </w:tcBorders>
            <w:noWrap/>
            <w:vAlign w:val="bottom"/>
            <w:hideMark/>
          </w:tcPr>
          <w:p w14:paraId="2A3DECA7"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268</w:t>
            </w:r>
          </w:p>
        </w:tc>
        <w:tc>
          <w:tcPr>
            <w:tcW w:w="708" w:type="dxa"/>
            <w:tcBorders>
              <w:top w:val="nil"/>
              <w:left w:val="nil"/>
              <w:bottom w:val="nil"/>
              <w:right w:val="nil"/>
            </w:tcBorders>
            <w:noWrap/>
            <w:vAlign w:val="bottom"/>
            <w:hideMark/>
          </w:tcPr>
          <w:p w14:paraId="24AC841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96</w:t>
            </w:r>
          </w:p>
        </w:tc>
        <w:tc>
          <w:tcPr>
            <w:tcW w:w="673" w:type="dxa"/>
            <w:tcBorders>
              <w:top w:val="nil"/>
              <w:left w:val="nil"/>
              <w:bottom w:val="nil"/>
              <w:right w:val="nil"/>
            </w:tcBorders>
            <w:noWrap/>
            <w:vAlign w:val="bottom"/>
            <w:hideMark/>
          </w:tcPr>
          <w:p w14:paraId="0953E31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98</w:t>
            </w:r>
          </w:p>
        </w:tc>
        <w:tc>
          <w:tcPr>
            <w:tcW w:w="781" w:type="dxa"/>
            <w:tcBorders>
              <w:top w:val="nil"/>
              <w:left w:val="nil"/>
              <w:bottom w:val="nil"/>
              <w:right w:val="single" w:sz="4" w:space="0" w:color="auto"/>
            </w:tcBorders>
            <w:noWrap/>
            <w:vAlign w:val="bottom"/>
            <w:hideMark/>
          </w:tcPr>
          <w:p w14:paraId="723A9096"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462</w:t>
            </w:r>
          </w:p>
        </w:tc>
        <w:tc>
          <w:tcPr>
            <w:tcW w:w="709" w:type="dxa"/>
            <w:tcBorders>
              <w:top w:val="nil"/>
              <w:left w:val="nil"/>
              <w:bottom w:val="nil"/>
              <w:right w:val="nil"/>
            </w:tcBorders>
            <w:noWrap/>
            <w:vAlign w:val="bottom"/>
            <w:hideMark/>
          </w:tcPr>
          <w:p w14:paraId="4BC9B80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59</w:t>
            </w:r>
          </w:p>
        </w:tc>
        <w:tc>
          <w:tcPr>
            <w:tcW w:w="709" w:type="dxa"/>
            <w:tcBorders>
              <w:top w:val="nil"/>
              <w:left w:val="nil"/>
              <w:bottom w:val="nil"/>
              <w:right w:val="nil"/>
            </w:tcBorders>
            <w:noWrap/>
            <w:vAlign w:val="bottom"/>
            <w:hideMark/>
          </w:tcPr>
          <w:p w14:paraId="14A620B1"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16</w:t>
            </w:r>
          </w:p>
        </w:tc>
        <w:tc>
          <w:tcPr>
            <w:tcW w:w="708" w:type="dxa"/>
            <w:tcBorders>
              <w:top w:val="nil"/>
              <w:left w:val="nil"/>
              <w:bottom w:val="nil"/>
              <w:right w:val="nil"/>
            </w:tcBorders>
            <w:noWrap/>
            <w:vAlign w:val="bottom"/>
            <w:hideMark/>
          </w:tcPr>
          <w:p w14:paraId="4440DD9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w:t>
            </w:r>
          </w:p>
        </w:tc>
        <w:tc>
          <w:tcPr>
            <w:tcW w:w="709" w:type="dxa"/>
            <w:tcBorders>
              <w:top w:val="nil"/>
              <w:left w:val="nil"/>
              <w:bottom w:val="nil"/>
              <w:right w:val="single" w:sz="4" w:space="0" w:color="auto"/>
            </w:tcBorders>
            <w:noWrap/>
            <w:vAlign w:val="bottom"/>
            <w:hideMark/>
          </w:tcPr>
          <w:p w14:paraId="0782125F"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7#</w:t>
            </w:r>
          </w:p>
        </w:tc>
        <w:tc>
          <w:tcPr>
            <w:tcW w:w="709" w:type="dxa"/>
            <w:tcBorders>
              <w:top w:val="nil"/>
              <w:left w:val="nil"/>
              <w:bottom w:val="nil"/>
              <w:right w:val="nil"/>
            </w:tcBorders>
            <w:noWrap/>
            <w:vAlign w:val="bottom"/>
            <w:hideMark/>
          </w:tcPr>
          <w:p w14:paraId="24078D8C"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327</w:t>
            </w:r>
          </w:p>
        </w:tc>
        <w:tc>
          <w:tcPr>
            <w:tcW w:w="709" w:type="dxa"/>
            <w:tcBorders>
              <w:top w:val="nil"/>
              <w:left w:val="nil"/>
              <w:bottom w:val="nil"/>
              <w:right w:val="nil"/>
            </w:tcBorders>
            <w:noWrap/>
            <w:vAlign w:val="bottom"/>
            <w:hideMark/>
          </w:tcPr>
          <w:p w14:paraId="50CDEED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112</w:t>
            </w:r>
          </w:p>
        </w:tc>
        <w:tc>
          <w:tcPr>
            <w:tcW w:w="708" w:type="dxa"/>
            <w:tcBorders>
              <w:top w:val="nil"/>
              <w:left w:val="nil"/>
              <w:bottom w:val="nil"/>
              <w:right w:val="nil"/>
            </w:tcBorders>
            <w:noWrap/>
            <w:vAlign w:val="bottom"/>
            <w:hideMark/>
          </w:tcPr>
          <w:p w14:paraId="075012FC"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9#</w:t>
            </w:r>
          </w:p>
        </w:tc>
        <w:tc>
          <w:tcPr>
            <w:tcW w:w="709" w:type="dxa"/>
            <w:tcBorders>
              <w:top w:val="nil"/>
              <w:left w:val="nil"/>
              <w:bottom w:val="nil"/>
              <w:right w:val="nil"/>
            </w:tcBorders>
            <w:noWrap/>
            <w:vAlign w:val="bottom"/>
            <w:hideMark/>
          </w:tcPr>
          <w:p w14:paraId="25F50A77"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53#</w:t>
            </w:r>
          </w:p>
        </w:tc>
      </w:tr>
      <w:tr w:rsidR="00307155" w:rsidRPr="00FC7BB4" w14:paraId="2F5DD162" w14:textId="77777777" w:rsidTr="00291B27">
        <w:trPr>
          <w:trHeight w:val="285"/>
        </w:trPr>
        <w:tc>
          <w:tcPr>
            <w:tcW w:w="2410" w:type="dxa"/>
            <w:tcBorders>
              <w:top w:val="nil"/>
              <w:left w:val="nil"/>
              <w:bottom w:val="nil"/>
              <w:right w:val="single" w:sz="4" w:space="0" w:color="auto"/>
            </w:tcBorders>
            <w:noWrap/>
            <w:vAlign w:val="bottom"/>
            <w:hideMark/>
          </w:tcPr>
          <w:p w14:paraId="2D15E6CF"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Pup</w:t>
            </w:r>
            <w:r w:rsidRPr="00FC7BB4" w:rsidDel="006566E8">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Cdn</w:t>
            </w:r>
            <w:proofErr w:type="spellEnd"/>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Dnc</w:t>
            </w:r>
            <w:proofErr w:type="spellEnd"/>
          </w:p>
        </w:tc>
        <w:tc>
          <w:tcPr>
            <w:tcW w:w="673" w:type="dxa"/>
            <w:tcBorders>
              <w:top w:val="nil"/>
              <w:left w:val="nil"/>
              <w:bottom w:val="nil"/>
              <w:right w:val="nil"/>
            </w:tcBorders>
            <w:noWrap/>
            <w:vAlign w:val="bottom"/>
            <w:hideMark/>
          </w:tcPr>
          <w:p w14:paraId="3C446A4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168</w:t>
            </w:r>
          </w:p>
        </w:tc>
        <w:tc>
          <w:tcPr>
            <w:tcW w:w="708" w:type="dxa"/>
            <w:tcBorders>
              <w:top w:val="nil"/>
              <w:left w:val="nil"/>
              <w:bottom w:val="nil"/>
              <w:right w:val="nil"/>
            </w:tcBorders>
            <w:noWrap/>
            <w:vAlign w:val="bottom"/>
            <w:hideMark/>
          </w:tcPr>
          <w:p w14:paraId="27AD8F17"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67</w:t>
            </w:r>
          </w:p>
        </w:tc>
        <w:tc>
          <w:tcPr>
            <w:tcW w:w="673" w:type="dxa"/>
            <w:tcBorders>
              <w:top w:val="nil"/>
              <w:left w:val="nil"/>
              <w:bottom w:val="nil"/>
              <w:right w:val="nil"/>
            </w:tcBorders>
            <w:noWrap/>
            <w:vAlign w:val="bottom"/>
            <w:hideMark/>
          </w:tcPr>
          <w:p w14:paraId="48573DC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61</w:t>
            </w:r>
          </w:p>
        </w:tc>
        <w:tc>
          <w:tcPr>
            <w:tcW w:w="781" w:type="dxa"/>
            <w:tcBorders>
              <w:top w:val="nil"/>
              <w:left w:val="nil"/>
              <w:bottom w:val="nil"/>
              <w:right w:val="single" w:sz="4" w:space="0" w:color="auto"/>
            </w:tcBorders>
            <w:noWrap/>
            <w:vAlign w:val="bottom"/>
            <w:hideMark/>
          </w:tcPr>
          <w:p w14:paraId="55E9954B"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296</w:t>
            </w:r>
          </w:p>
        </w:tc>
        <w:tc>
          <w:tcPr>
            <w:tcW w:w="709" w:type="dxa"/>
            <w:tcBorders>
              <w:top w:val="nil"/>
              <w:left w:val="nil"/>
              <w:bottom w:val="nil"/>
              <w:right w:val="nil"/>
            </w:tcBorders>
            <w:noWrap/>
            <w:vAlign w:val="bottom"/>
            <w:hideMark/>
          </w:tcPr>
          <w:p w14:paraId="7D11393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63</w:t>
            </w:r>
          </w:p>
        </w:tc>
        <w:tc>
          <w:tcPr>
            <w:tcW w:w="709" w:type="dxa"/>
            <w:tcBorders>
              <w:top w:val="nil"/>
              <w:left w:val="nil"/>
              <w:bottom w:val="nil"/>
              <w:right w:val="nil"/>
            </w:tcBorders>
            <w:noWrap/>
            <w:vAlign w:val="bottom"/>
            <w:hideMark/>
          </w:tcPr>
          <w:p w14:paraId="18CC93B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31</w:t>
            </w:r>
          </w:p>
        </w:tc>
        <w:tc>
          <w:tcPr>
            <w:tcW w:w="708" w:type="dxa"/>
            <w:tcBorders>
              <w:top w:val="nil"/>
              <w:left w:val="nil"/>
              <w:bottom w:val="nil"/>
              <w:right w:val="nil"/>
            </w:tcBorders>
            <w:noWrap/>
            <w:vAlign w:val="bottom"/>
            <w:hideMark/>
          </w:tcPr>
          <w:p w14:paraId="7B4C089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18</w:t>
            </w:r>
          </w:p>
        </w:tc>
        <w:tc>
          <w:tcPr>
            <w:tcW w:w="709" w:type="dxa"/>
            <w:tcBorders>
              <w:top w:val="nil"/>
              <w:left w:val="nil"/>
              <w:bottom w:val="nil"/>
              <w:right w:val="single" w:sz="4" w:space="0" w:color="auto"/>
            </w:tcBorders>
            <w:noWrap/>
            <w:vAlign w:val="bottom"/>
            <w:hideMark/>
          </w:tcPr>
          <w:p w14:paraId="2EF216F2"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112</w:t>
            </w:r>
          </w:p>
        </w:tc>
        <w:tc>
          <w:tcPr>
            <w:tcW w:w="709" w:type="dxa"/>
            <w:tcBorders>
              <w:top w:val="nil"/>
              <w:left w:val="nil"/>
              <w:bottom w:val="nil"/>
              <w:right w:val="nil"/>
            </w:tcBorders>
            <w:noWrap/>
            <w:vAlign w:val="bottom"/>
            <w:hideMark/>
          </w:tcPr>
          <w:p w14:paraId="1866FB16"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231</w:t>
            </w:r>
          </w:p>
        </w:tc>
        <w:tc>
          <w:tcPr>
            <w:tcW w:w="709" w:type="dxa"/>
            <w:tcBorders>
              <w:top w:val="nil"/>
              <w:left w:val="nil"/>
              <w:bottom w:val="nil"/>
              <w:right w:val="nil"/>
            </w:tcBorders>
            <w:noWrap/>
            <w:vAlign w:val="bottom"/>
            <w:hideMark/>
          </w:tcPr>
          <w:p w14:paraId="41BB452C"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98</w:t>
            </w:r>
          </w:p>
        </w:tc>
        <w:tc>
          <w:tcPr>
            <w:tcW w:w="708" w:type="dxa"/>
            <w:tcBorders>
              <w:top w:val="nil"/>
              <w:left w:val="nil"/>
              <w:bottom w:val="nil"/>
              <w:right w:val="nil"/>
            </w:tcBorders>
            <w:noWrap/>
            <w:vAlign w:val="bottom"/>
            <w:hideMark/>
          </w:tcPr>
          <w:p w14:paraId="48597C1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79</w:t>
            </w:r>
          </w:p>
        </w:tc>
        <w:tc>
          <w:tcPr>
            <w:tcW w:w="709" w:type="dxa"/>
            <w:tcBorders>
              <w:top w:val="nil"/>
              <w:left w:val="nil"/>
              <w:bottom w:val="nil"/>
              <w:right w:val="nil"/>
            </w:tcBorders>
            <w:noWrap/>
            <w:vAlign w:val="bottom"/>
            <w:hideMark/>
          </w:tcPr>
          <w:p w14:paraId="2BF9F5F7"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408</w:t>
            </w:r>
          </w:p>
        </w:tc>
      </w:tr>
      <w:tr w:rsidR="00307155" w:rsidRPr="00FC7BB4" w14:paraId="03BA14B0" w14:textId="77777777" w:rsidTr="00291B27">
        <w:trPr>
          <w:trHeight w:val="285"/>
        </w:trPr>
        <w:tc>
          <w:tcPr>
            <w:tcW w:w="2410" w:type="dxa"/>
            <w:tcBorders>
              <w:top w:val="nil"/>
              <w:left w:val="nil"/>
              <w:bottom w:val="nil"/>
              <w:right w:val="single" w:sz="4" w:space="0" w:color="auto"/>
            </w:tcBorders>
            <w:noWrap/>
            <w:vAlign w:val="bottom"/>
            <w:hideMark/>
          </w:tcPr>
          <w:p w14:paraId="3D366F79"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Pup</w:t>
            </w:r>
            <w:r w:rsidRPr="00FC7BB4" w:rsidDel="006566E8">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Cdn</w:t>
            </w:r>
            <w:proofErr w:type="spellEnd"/>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Ddn</w:t>
            </w:r>
            <w:proofErr w:type="spellEnd"/>
          </w:p>
        </w:tc>
        <w:tc>
          <w:tcPr>
            <w:tcW w:w="673" w:type="dxa"/>
            <w:tcBorders>
              <w:top w:val="nil"/>
              <w:left w:val="nil"/>
              <w:bottom w:val="nil"/>
              <w:right w:val="nil"/>
            </w:tcBorders>
            <w:noWrap/>
            <w:vAlign w:val="bottom"/>
            <w:hideMark/>
          </w:tcPr>
          <w:p w14:paraId="6C5F4AB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138</w:t>
            </w:r>
          </w:p>
        </w:tc>
        <w:tc>
          <w:tcPr>
            <w:tcW w:w="708" w:type="dxa"/>
            <w:tcBorders>
              <w:top w:val="nil"/>
              <w:left w:val="nil"/>
              <w:bottom w:val="nil"/>
              <w:right w:val="nil"/>
            </w:tcBorders>
            <w:noWrap/>
            <w:vAlign w:val="bottom"/>
            <w:hideMark/>
          </w:tcPr>
          <w:p w14:paraId="1EC380C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57</w:t>
            </w:r>
          </w:p>
        </w:tc>
        <w:tc>
          <w:tcPr>
            <w:tcW w:w="673" w:type="dxa"/>
            <w:tcBorders>
              <w:top w:val="nil"/>
              <w:left w:val="nil"/>
              <w:bottom w:val="nil"/>
              <w:right w:val="nil"/>
            </w:tcBorders>
            <w:noWrap/>
            <w:vAlign w:val="bottom"/>
            <w:hideMark/>
          </w:tcPr>
          <w:p w14:paraId="4D2FB0F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41</w:t>
            </w:r>
          </w:p>
        </w:tc>
        <w:tc>
          <w:tcPr>
            <w:tcW w:w="781" w:type="dxa"/>
            <w:tcBorders>
              <w:top w:val="nil"/>
              <w:left w:val="nil"/>
              <w:bottom w:val="nil"/>
              <w:right w:val="single" w:sz="4" w:space="0" w:color="auto"/>
            </w:tcBorders>
            <w:noWrap/>
            <w:vAlign w:val="bottom"/>
            <w:hideMark/>
          </w:tcPr>
          <w:p w14:paraId="39A43AA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236</w:t>
            </w:r>
          </w:p>
        </w:tc>
        <w:tc>
          <w:tcPr>
            <w:tcW w:w="709" w:type="dxa"/>
            <w:tcBorders>
              <w:top w:val="nil"/>
              <w:left w:val="nil"/>
              <w:bottom w:val="nil"/>
              <w:right w:val="nil"/>
            </w:tcBorders>
            <w:noWrap/>
            <w:vAlign w:val="bottom"/>
            <w:hideMark/>
          </w:tcPr>
          <w:p w14:paraId="6C6A4951"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63</w:t>
            </w:r>
          </w:p>
        </w:tc>
        <w:tc>
          <w:tcPr>
            <w:tcW w:w="709" w:type="dxa"/>
            <w:tcBorders>
              <w:top w:val="nil"/>
              <w:left w:val="nil"/>
              <w:bottom w:val="nil"/>
              <w:right w:val="nil"/>
            </w:tcBorders>
            <w:noWrap/>
            <w:vAlign w:val="bottom"/>
            <w:hideMark/>
          </w:tcPr>
          <w:p w14:paraId="448B9AEB"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30</w:t>
            </w:r>
          </w:p>
        </w:tc>
        <w:tc>
          <w:tcPr>
            <w:tcW w:w="708" w:type="dxa"/>
            <w:tcBorders>
              <w:top w:val="nil"/>
              <w:left w:val="nil"/>
              <w:bottom w:val="nil"/>
              <w:right w:val="nil"/>
            </w:tcBorders>
            <w:noWrap/>
            <w:vAlign w:val="bottom"/>
            <w:hideMark/>
          </w:tcPr>
          <w:p w14:paraId="3AC2F1D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25</w:t>
            </w:r>
          </w:p>
        </w:tc>
        <w:tc>
          <w:tcPr>
            <w:tcW w:w="709" w:type="dxa"/>
            <w:tcBorders>
              <w:top w:val="nil"/>
              <w:left w:val="nil"/>
              <w:bottom w:val="nil"/>
              <w:right w:val="single" w:sz="4" w:space="0" w:color="auto"/>
            </w:tcBorders>
            <w:noWrap/>
            <w:vAlign w:val="bottom"/>
            <w:hideMark/>
          </w:tcPr>
          <w:p w14:paraId="63C41E4A"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118</w:t>
            </w:r>
          </w:p>
        </w:tc>
        <w:tc>
          <w:tcPr>
            <w:tcW w:w="709" w:type="dxa"/>
            <w:tcBorders>
              <w:top w:val="nil"/>
              <w:left w:val="nil"/>
              <w:bottom w:val="nil"/>
              <w:right w:val="nil"/>
            </w:tcBorders>
            <w:noWrap/>
            <w:vAlign w:val="bottom"/>
            <w:hideMark/>
          </w:tcPr>
          <w:p w14:paraId="75CAF9A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201</w:t>
            </w:r>
          </w:p>
        </w:tc>
        <w:tc>
          <w:tcPr>
            <w:tcW w:w="709" w:type="dxa"/>
            <w:tcBorders>
              <w:top w:val="nil"/>
              <w:left w:val="nil"/>
              <w:bottom w:val="nil"/>
              <w:right w:val="nil"/>
            </w:tcBorders>
            <w:noWrap/>
            <w:vAlign w:val="bottom"/>
            <w:hideMark/>
          </w:tcPr>
          <w:p w14:paraId="06D7CC9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87</w:t>
            </w:r>
          </w:p>
        </w:tc>
        <w:tc>
          <w:tcPr>
            <w:tcW w:w="708" w:type="dxa"/>
            <w:tcBorders>
              <w:top w:val="nil"/>
              <w:left w:val="nil"/>
              <w:bottom w:val="nil"/>
              <w:right w:val="nil"/>
            </w:tcBorders>
            <w:noWrap/>
            <w:vAlign w:val="bottom"/>
            <w:hideMark/>
          </w:tcPr>
          <w:p w14:paraId="1FD17A2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66</w:t>
            </w:r>
          </w:p>
        </w:tc>
        <w:tc>
          <w:tcPr>
            <w:tcW w:w="709" w:type="dxa"/>
            <w:tcBorders>
              <w:top w:val="nil"/>
              <w:left w:val="nil"/>
              <w:bottom w:val="nil"/>
              <w:right w:val="nil"/>
            </w:tcBorders>
            <w:noWrap/>
            <w:vAlign w:val="bottom"/>
            <w:hideMark/>
          </w:tcPr>
          <w:p w14:paraId="4248F3B4"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354</w:t>
            </w:r>
          </w:p>
        </w:tc>
      </w:tr>
      <w:tr w:rsidR="00307155" w:rsidRPr="00FC7BB4" w14:paraId="0A280C13" w14:textId="77777777" w:rsidTr="00291B27">
        <w:trPr>
          <w:trHeight w:val="285"/>
        </w:trPr>
        <w:tc>
          <w:tcPr>
            <w:tcW w:w="2410" w:type="dxa"/>
            <w:tcBorders>
              <w:top w:val="nil"/>
              <w:left w:val="nil"/>
              <w:bottom w:val="nil"/>
              <w:right w:val="single" w:sz="4" w:space="0" w:color="auto"/>
            </w:tcBorders>
            <w:noWrap/>
            <w:vAlign w:val="bottom"/>
            <w:hideMark/>
          </w:tcPr>
          <w:p w14:paraId="14B864AE"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Total price increases</w:t>
            </w:r>
          </w:p>
        </w:tc>
        <w:tc>
          <w:tcPr>
            <w:tcW w:w="673" w:type="dxa"/>
            <w:tcBorders>
              <w:top w:val="nil"/>
              <w:left w:val="nil"/>
              <w:bottom w:val="nil"/>
              <w:right w:val="nil"/>
            </w:tcBorders>
            <w:noWrap/>
            <w:vAlign w:val="bottom"/>
            <w:hideMark/>
          </w:tcPr>
          <w:p w14:paraId="00FB184B"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8363</w:t>
            </w:r>
          </w:p>
        </w:tc>
        <w:tc>
          <w:tcPr>
            <w:tcW w:w="708" w:type="dxa"/>
            <w:tcBorders>
              <w:top w:val="nil"/>
              <w:left w:val="nil"/>
              <w:bottom w:val="nil"/>
              <w:right w:val="nil"/>
            </w:tcBorders>
            <w:noWrap/>
            <w:vAlign w:val="bottom"/>
            <w:hideMark/>
          </w:tcPr>
          <w:p w14:paraId="3BDFA7C0"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7332</w:t>
            </w:r>
          </w:p>
        </w:tc>
        <w:tc>
          <w:tcPr>
            <w:tcW w:w="673" w:type="dxa"/>
            <w:tcBorders>
              <w:top w:val="nil"/>
              <w:left w:val="nil"/>
              <w:bottom w:val="nil"/>
              <w:right w:val="nil"/>
            </w:tcBorders>
            <w:noWrap/>
            <w:vAlign w:val="bottom"/>
            <w:hideMark/>
          </w:tcPr>
          <w:p w14:paraId="0E333491"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16471</w:t>
            </w:r>
          </w:p>
        </w:tc>
        <w:tc>
          <w:tcPr>
            <w:tcW w:w="781" w:type="dxa"/>
            <w:tcBorders>
              <w:top w:val="nil"/>
              <w:left w:val="nil"/>
              <w:bottom w:val="nil"/>
              <w:right w:val="single" w:sz="4" w:space="0" w:color="auto"/>
            </w:tcBorders>
            <w:noWrap/>
            <w:vAlign w:val="bottom"/>
            <w:hideMark/>
          </w:tcPr>
          <w:p w14:paraId="5D74460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32166</w:t>
            </w:r>
          </w:p>
        </w:tc>
        <w:tc>
          <w:tcPr>
            <w:tcW w:w="709" w:type="dxa"/>
            <w:tcBorders>
              <w:top w:val="nil"/>
              <w:left w:val="nil"/>
              <w:bottom w:val="nil"/>
              <w:right w:val="nil"/>
            </w:tcBorders>
            <w:noWrap/>
            <w:vAlign w:val="bottom"/>
            <w:hideMark/>
          </w:tcPr>
          <w:p w14:paraId="50AEC8CA"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5887</w:t>
            </w:r>
          </w:p>
        </w:tc>
        <w:tc>
          <w:tcPr>
            <w:tcW w:w="709" w:type="dxa"/>
            <w:tcBorders>
              <w:top w:val="nil"/>
              <w:left w:val="nil"/>
              <w:bottom w:val="nil"/>
              <w:right w:val="nil"/>
            </w:tcBorders>
            <w:noWrap/>
            <w:vAlign w:val="bottom"/>
            <w:hideMark/>
          </w:tcPr>
          <w:p w14:paraId="5C59D63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3165</w:t>
            </w:r>
          </w:p>
        </w:tc>
        <w:tc>
          <w:tcPr>
            <w:tcW w:w="708" w:type="dxa"/>
            <w:tcBorders>
              <w:top w:val="nil"/>
              <w:left w:val="nil"/>
              <w:bottom w:val="nil"/>
              <w:right w:val="nil"/>
            </w:tcBorders>
            <w:noWrap/>
            <w:vAlign w:val="bottom"/>
            <w:hideMark/>
          </w:tcPr>
          <w:p w14:paraId="7D7B8D8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283#</w:t>
            </w:r>
          </w:p>
        </w:tc>
        <w:tc>
          <w:tcPr>
            <w:tcW w:w="709" w:type="dxa"/>
            <w:tcBorders>
              <w:top w:val="nil"/>
              <w:left w:val="nil"/>
              <w:bottom w:val="nil"/>
              <w:right w:val="single" w:sz="4" w:space="0" w:color="auto"/>
            </w:tcBorders>
            <w:noWrap/>
            <w:vAlign w:val="bottom"/>
            <w:hideMark/>
          </w:tcPr>
          <w:p w14:paraId="07F0C7C4"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1188#</w:t>
            </w:r>
          </w:p>
        </w:tc>
        <w:tc>
          <w:tcPr>
            <w:tcW w:w="709" w:type="dxa"/>
            <w:tcBorders>
              <w:top w:val="nil"/>
              <w:left w:val="nil"/>
              <w:bottom w:val="nil"/>
              <w:right w:val="nil"/>
            </w:tcBorders>
            <w:noWrap/>
            <w:vAlign w:val="bottom"/>
            <w:hideMark/>
          </w:tcPr>
          <w:p w14:paraId="3B2C5058"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14250</w:t>
            </w:r>
          </w:p>
        </w:tc>
        <w:tc>
          <w:tcPr>
            <w:tcW w:w="709" w:type="dxa"/>
            <w:tcBorders>
              <w:top w:val="nil"/>
              <w:left w:val="nil"/>
              <w:bottom w:val="nil"/>
              <w:right w:val="nil"/>
            </w:tcBorders>
            <w:noWrap/>
            <w:vAlign w:val="bottom"/>
            <w:hideMark/>
          </w:tcPr>
          <w:p w14:paraId="2E1304E7"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10497</w:t>
            </w:r>
          </w:p>
        </w:tc>
        <w:tc>
          <w:tcPr>
            <w:tcW w:w="708" w:type="dxa"/>
            <w:tcBorders>
              <w:top w:val="nil"/>
              <w:left w:val="nil"/>
              <w:bottom w:val="nil"/>
              <w:right w:val="nil"/>
            </w:tcBorders>
            <w:noWrap/>
            <w:vAlign w:val="bottom"/>
            <w:hideMark/>
          </w:tcPr>
          <w:p w14:paraId="2AAFEFF4"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1930#</w:t>
            </w:r>
          </w:p>
        </w:tc>
        <w:tc>
          <w:tcPr>
            <w:tcW w:w="709" w:type="dxa"/>
            <w:tcBorders>
              <w:top w:val="nil"/>
              <w:left w:val="nil"/>
              <w:bottom w:val="nil"/>
              <w:right w:val="nil"/>
            </w:tcBorders>
            <w:noWrap/>
            <w:vAlign w:val="bottom"/>
            <w:hideMark/>
          </w:tcPr>
          <w:p w14:paraId="3A953BE8"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4404#</w:t>
            </w:r>
          </w:p>
        </w:tc>
      </w:tr>
      <w:tr w:rsidR="00307155" w:rsidRPr="00FC7BB4" w14:paraId="5E5592D3" w14:textId="77777777" w:rsidTr="00291B27">
        <w:trPr>
          <w:trHeight w:val="285"/>
        </w:trPr>
        <w:tc>
          <w:tcPr>
            <w:tcW w:w="2410" w:type="dxa"/>
            <w:tcBorders>
              <w:top w:val="nil"/>
              <w:left w:val="nil"/>
              <w:bottom w:val="nil"/>
              <w:right w:val="single" w:sz="4" w:space="0" w:color="auto"/>
            </w:tcBorders>
            <w:noWrap/>
            <w:vAlign w:val="bottom"/>
          </w:tcPr>
          <w:p w14:paraId="3D63F1BF"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 w:val="18"/>
                <w:szCs w:val="18"/>
                <w14:ligatures w14:val="none"/>
              </w:rPr>
            </w:pPr>
          </w:p>
        </w:tc>
        <w:tc>
          <w:tcPr>
            <w:tcW w:w="673" w:type="dxa"/>
            <w:tcBorders>
              <w:top w:val="nil"/>
              <w:left w:val="nil"/>
              <w:bottom w:val="nil"/>
              <w:right w:val="nil"/>
            </w:tcBorders>
            <w:noWrap/>
            <w:vAlign w:val="bottom"/>
          </w:tcPr>
          <w:p w14:paraId="3E3DF2BF"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8" w:type="dxa"/>
            <w:tcBorders>
              <w:top w:val="nil"/>
              <w:left w:val="nil"/>
              <w:bottom w:val="nil"/>
              <w:right w:val="nil"/>
            </w:tcBorders>
            <w:noWrap/>
            <w:vAlign w:val="bottom"/>
          </w:tcPr>
          <w:p w14:paraId="6996525D"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673" w:type="dxa"/>
            <w:tcBorders>
              <w:top w:val="nil"/>
              <w:left w:val="nil"/>
              <w:bottom w:val="nil"/>
              <w:right w:val="nil"/>
            </w:tcBorders>
            <w:noWrap/>
            <w:vAlign w:val="bottom"/>
          </w:tcPr>
          <w:p w14:paraId="46E2B6D7"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81" w:type="dxa"/>
            <w:tcBorders>
              <w:top w:val="nil"/>
              <w:left w:val="nil"/>
              <w:bottom w:val="nil"/>
              <w:right w:val="single" w:sz="4" w:space="0" w:color="auto"/>
            </w:tcBorders>
            <w:noWrap/>
            <w:vAlign w:val="bottom"/>
          </w:tcPr>
          <w:p w14:paraId="028D360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7E5DFE1B"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76EA5D06"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8" w:type="dxa"/>
            <w:tcBorders>
              <w:top w:val="nil"/>
              <w:left w:val="nil"/>
              <w:bottom w:val="nil"/>
              <w:right w:val="nil"/>
            </w:tcBorders>
            <w:noWrap/>
            <w:vAlign w:val="bottom"/>
          </w:tcPr>
          <w:p w14:paraId="17FFB2D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single" w:sz="4" w:space="0" w:color="auto"/>
            </w:tcBorders>
            <w:noWrap/>
            <w:vAlign w:val="bottom"/>
          </w:tcPr>
          <w:p w14:paraId="477C4E66"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06D881AA"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3AF30BBC"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8" w:type="dxa"/>
            <w:tcBorders>
              <w:top w:val="nil"/>
              <w:left w:val="nil"/>
              <w:bottom w:val="nil"/>
              <w:right w:val="nil"/>
            </w:tcBorders>
            <w:noWrap/>
            <w:vAlign w:val="bottom"/>
          </w:tcPr>
          <w:p w14:paraId="1915EEE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797A27CB"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r>
      <w:tr w:rsidR="00307155" w:rsidRPr="00FC7BB4" w14:paraId="3C7B013F" w14:textId="77777777" w:rsidTr="00291B27">
        <w:trPr>
          <w:trHeight w:val="285"/>
        </w:trPr>
        <w:tc>
          <w:tcPr>
            <w:tcW w:w="2410" w:type="dxa"/>
            <w:tcBorders>
              <w:top w:val="nil"/>
              <w:left w:val="nil"/>
              <w:bottom w:val="nil"/>
              <w:right w:val="single" w:sz="4" w:space="0" w:color="auto"/>
            </w:tcBorders>
            <w:noWrap/>
            <w:vAlign w:val="bottom"/>
            <w:hideMark/>
          </w:tcPr>
          <w:p w14:paraId="13EEA111"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Pnc</w:t>
            </w:r>
            <w:proofErr w:type="spellEnd"/>
            <w:r w:rsidRPr="00FC7BB4">
              <w:rPr>
                <w:rFonts w:ascii="Times New Roman" w:eastAsia="Times New Roman" w:hAnsi="Times New Roman" w:cs="Times New Roman"/>
                <w:color w:val="auto"/>
                <w:kern w:val="0"/>
                <w:sz w:val="18"/>
                <w:szCs w:val="18"/>
                <w14:ligatures w14:val="none"/>
              </w:rPr>
              <w:t xml:space="preserve"> | Cup, Dup</w:t>
            </w:r>
          </w:p>
        </w:tc>
        <w:tc>
          <w:tcPr>
            <w:tcW w:w="673" w:type="dxa"/>
            <w:tcBorders>
              <w:top w:val="nil"/>
              <w:left w:val="nil"/>
              <w:bottom w:val="nil"/>
              <w:right w:val="nil"/>
            </w:tcBorders>
            <w:noWrap/>
            <w:vAlign w:val="bottom"/>
            <w:hideMark/>
          </w:tcPr>
          <w:p w14:paraId="44A5B8A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1389</w:t>
            </w:r>
          </w:p>
        </w:tc>
        <w:tc>
          <w:tcPr>
            <w:tcW w:w="708" w:type="dxa"/>
            <w:tcBorders>
              <w:top w:val="nil"/>
              <w:left w:val="nil"/>
              <w:bottom w:val="nil"/>
              <w:right w:val="nil"/>
            </w:tcBorders>
            <w:noWrap/>
            <w:vAlign w:val="bottom"/>
            <w:hideMark/>
          </w:tcPr>
          <w:p w14:paraId="24AACB3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1369</w:t>
            </w:r>
          </w:p>
        </w:tc>
        <w:tc>
          <w:tcPr>
            <w:tcW w:w="673" w:type="dxa"/>
            <w:tcBorders>
              <w:top w:val="nil"/>
              <w:left w:val="nil"/>
              <w:bottom w:val="nil"/>
              <w:right w:val="nil"/>
            </w:tcBorders>
            <w:noWrap/>
            <w:vAlign w:val="bottom"/>
            <w:hideMark/>
          </w:tcPr>
          <w:p w14:paraId="47420AC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1992</w:t>
            </w:r>
          </w:p>
        </w:tc>
        <w:tc>
          <w:tcPr>
            <w:tcW w:w="781" w:type="dxa"/>
            <w:tcBorders>
              <w:top w:val="nil"/>
              <w:left w:val="nil"/>
              <w:bottom w:val="nil"/>
              <w:right w:val="single" w:sz="4" w:space="0" w:color="auto"/>
            </w:tcBorders>
            <w:noWrap/>
            <w:vAlign w:val="bottom"/>
            <w:hideMark/>
          </w:tcPr>
          <w:p w14:paraId="4BA4C81D"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4750</w:t>
            </w:r>
          </w:p>
        </w:tc>
        <w:tc>
          <w:tcPr>
            <w:tcW w:w="709" w:type="dxa"/>
            <w:tcBorders>
              <w:top w:val="nil"/>
              <w:left w:val="nil"/>
              <w:bottom w:val="nil"/>
              <w:right w:val="nil"/>
            </w:tcBorders>
            <w:noWrap/>
            <w:vAlign w:val="bottom"/>
            <w:hideMark/>
          </w:tcPr>
          <w:p w14:paraId="0B9DED7C"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1216</w:t>
            </w:r>
          </w:p>
        </w:tc>
        <w:tc>
          <w:tcPr>
            <w:tcW w:w="709" w:type="dxa"/>
            <w:tcBorders>
              <w:top w:val="nil"/>
              <w:left w:val="nil"/>
              <w:bottom w:val="nil"/>
              <w:right w:val="nil"/>
            </w:tcBorders>
            <w:noWrap/>
            <w:vAlign w:val="bottom"/>
            <w:hideMark/>
          </w:tcPr>
          <w:p w14:paraId="44AC659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276</w:t>
            </w:r>
          </w:p>
        </w:tc>
        <w:tc>
          <w:tcPr>
            <w:tcW w:w="708" w:type="dxa"/>
            <w:tcBorders>
              <w:top w:val="nil"/>
              <w:left w:val="nil"/>
              <w:bottom w:val="nil"/>
              <w:right w:val="nil"/>
            </w:tcBorders>
            <w:noWrap/>
            <w:vAlign w:val="bottom"/>
            <w:hideMark/>
          </w:tcPr>
          <w:p w14:paraId="24C15C5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67</w:t>
            </w:r>
          </w:p>
        </w:tc>
        <w:tc>
          <w:tcPr>
            <w:tcW w:w="709" w:type="dxa"/>
            <w:tcBorders>
              <w:top w:val="nil"/>
              <w:left w:val="nil"/>
              <w:bottom w:val="nil"/>
              <w:right w:val="single" w:sz="4" w:space="0" w:color="auto"/>
            </w:tcBorders>
            <w:noWrap/>
            <w:vAlign w:val="bottom"/>
            <w:hideMark/>
          </w:tcPr>
          <w:p w14:paraId="2901632F"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1559</w:t>
            </w:r>
          </w:p>
        </w:tc>
        <w:tc>
          <w:tcPr>
            <w:tcW w:w="709" w:type="dxa"/>
            <w:tcBorders>
              <w:top w:val="nil"/>
              <w:left w:val="nil"/>
              <w:bottom w:val="nil"/>
              <w:right w:val="nil"/>
            </w:tcBorders>
            <w:noWrap/>
            <w:vAlign w:val="bottom"/>
            <w:hideMark/>
          </w:tcPr>
          <w:p w14:paraId="3546BE2B"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2605</w:t>
            </w:r>
          </w:p>
        </w:tc>
        <w:tc>
          <w:tcPr>
            <w:tcW w:w="709" w:type="dxa"/>
            <w:tcBorders>
              <w:top w:val="nil"/>
              <w:left w:val="nil"/>
              <w:bottom w:val="nil"/>
              <w:right w:val="nil"/>
            </w:tcBorders>
            <w:noWrap/>
            <w:vAlign w:val="bottom"/>
            <w:hideMark/>
          </w:tcPr>
          <w:p w14:paraId="75FA450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1645</w:t>
            </w:r>
          </w:p>
        </w:tc>
        <w:tc>
          <w:tcPr>
            <w:tcW w:w="708" w:type="dxa"/>
            <w:tcBorders>
              <w:top w:val="nil"/>
              <w:left w:val="nil"/>
              <w:bottom w:val="nil"/>
              <w:right w:val="nil"/>
            </w:tcBorders>
            <w:noWrap/>
            <w:vAlign w:val="bottom"/>
            <w:hideMark/>
          </w:tcPr>
          <w:p w14:paraId="1D36C30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2059</w:t>
            </w:r>
          </w:p>
        </w:tc>
        <w:tc>
          <w:tcPr>
            <w:tcW w:w="709" w:type="dxa"/>
            <w:tcBorders>
              <w:top w:val="nil"/>
              <w:left w:val="nil"/>
              <w:bottom w:val="nil"/>
              <w:right w:val="nil"/>
            </w:tcBorders>
            <w:noWrap/>
            <w:vAlign w:val="bottom"/>
            <w:hideMark/>
          </w:tcPr>
          <w:p w14:paraId="58E3F6AC"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6309</w:t>
            </w:r>
          </w:p>
        </w:tc>
      </w:tr>
      <w:tr w:rsidR="00307155" w:rsidRPr="00FC7BB4" w14:paraId="786E0A52" w14:textId="77777777" w:rsidTr="00291B27">
        <w:trPr>
          <w:trHeight w:val="285"/>
        </w:trPr>
        <w:tc>
          <w:tcPr>
            <w:tcW w:w="2410" w:type="dxa"/>
            <w:tcBorders>
              <w:top w:val="nil"/>
              <w:left w:val="nil"/>
              <w:bottom w:val="nil"/>
              <w:right w:val="single" w:sz="4" w:space="0" w:color="auto"/>
            </w:tcBorders>
            <w:noWrap/>
            <w:vAlign w:val="bottom"/>
            <w:hideMark/>
          </w:tcPr>
          <w:p w14:paraId="55EBA2C8"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Pnc</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Cup, </w:t>
            </w:r>
            <w:proofErr w:type="spellStart"/>
            <w:r w:rsidRPr="00FC7BB4">
              <w:rPr>
                <w:rFonts w:ascii="Times New Roman" w:eastAsia="Times New Roman" w:hAnsi="Times New Roman" w:cs="Times New Roman"/>
                <w:color w:val="auto"/>
                <w:kern w:val="0"/>
                <w:sz w:val="18"/>
                <w:szCs w:val="18"/>
                <w14:ligatures w14:val="none"/>
              </w:rPr>
              <w:t>Dnc</w:t>
            </w:r>
            <w:proofErr w:type="spellEnd"/>
          </w:p>
        </w:tc>
        <w:tc>
          <w:tcPr>
            <w:tcW w:w="673" w:type="dxa"/>
            <w:tcBorders>
              <w:top w:val="nil"/>
              <w:left w:val="nil"/>
              <w:bottom w:val="nil"/>
              <w:right w:val="nil"/>
            </w:tcBorders>
            <w:noWrap/>
            <w:vAlign w:val="bottom"/>
            <w:hideMark/>
          </w:tcPr>
          <w:p w14:paraId="4BD0A4C7"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2149</w:t>
            </w:r>
          </w:p>
        </w:tc>
        <w:tc>
          <w:tcPr>
            <w:tcW w:w="708" w:type="dxa"/>
            <w:tcBorders>
              <w:top w:val="nil"/>
              <w:left w:val="nil"/>
              <w:bottom w:val="nil"/>
              <w:right w:val="nil"/>
            </w:tcBorders>
            <w:noWrap/>
            <w:vAlign w:val="bottom"/>
            <w:hideMark/>
          </w:tcPr>
          <w:p w14:paraId="1E4E432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1781</w:t>
            </w:r>
          </w:p>
        </w:tc>
        <w:tc>
          <w:tcPr>
            <w:tcW w:w="673" w:type="dxa"/>
            <w:tcBorders>
              <w:top w:val="nil"/>
              <w:left w:val="nil"/>
              <w:bottom w:val="nil"/>
              <w:right w:val="nil"/>
            </w:tcBorders>
            <w:noWrap/>
            <w:vAlign w:val="bottom"/>
            <w:hideMark/>
          </w:tcPr>
          <w:p w14:paraId="3B7224D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2507</w:t>
            </w:r>
          </w:p>
        </w:tc>
        <w:tc>
          <w:tcPr>
            <w:tcW w:w="781" w:type="dxa"/>
            <w:tcBorders>
              <w:top w:val="nil"/>
              <w:left w:val="nil"/>
              <w:bottom w:val="nil"/>
              <w:right w:val="single" w:sz="4" w:space="0" w:color="auto"/>
            </w:tcBorders>
            <w:noWrap/>
            <w:vAlign w:val="bottom"/>
            <w:hideMark/>
          </w:tcPr>
          <w:p w14:paraId="24FC8D3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6437</w:t>
            </w:r>
          </w:p>
        </w:tc>
        <w:tc>
          <w:tcPr>
            <w:tcW w:w="709" w:type="dxa"/>
            <w:tcBorders>
              <w:top w:val="nil"/>
              <w:left w:val="nil"/>
              <w:bottom w:val="nil"/>
              <w:right w:val="nil"/>
            </w:tcBorders>
            <w:noWrap/>
            <w:vAlign w:val="bottom"/>
            <w:hideMark/>
          </w:tcPr>
          <w:p w14:paraId="07C19461"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2411</w:t>
            </w:r>
          </w:p>
        </w:tc>
        <w:tc>
          <w:tcPr>
            <w:tcW w:w="709" w:type="dxa"/>
            <w:tcBorders>
              <w:top w:val="nil"/>
              <w:left w:val="nil"/>
              <w:bottom w:val="nil"/>
              <w:right w:val="nil"/>
            </w:tcBorders>
            <w:noWrap/>
            <w:vAlign w:val="bottom"/>
            <w:hideMark/>
          </w:tcPr>
          <w:p w14:paraId="2865FF38"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578</w:t>
            </w:r>
          </w:p>
        </w:tc>
        <w:tc>
          <w:tcPr>
            <w:tcW w:w="708" w:type="dxa"/>
            <w:tcBorders>
              <w:top w:val="nil"/>
              <w:left w:val="nil"/>
              <w:bottom w:val="nil"/>
              <w:right w:val="nil"/>
            </w:tcBorders>
            <w:noWrap/>
            <w:vAlign w:val="bottom"/>
            <w:hideMark/>
          </w:tcPr>
          <w:p w14:paraId="6BFCC0B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278</w:t>
            </w:r>
          </w:p>
        </w:tc>
        <w:tc>
          <w:tcPr>
            <w:tcW w:w="709" w:type="dxa"/>
            <w:tcBorders>
              <w:top w:val="nil"/>
              <w:left w:val="nil"/>
              <w:bottom w:val="nil"/>
              <w:right w:val="single" w:sz="4" w:space="0" w:color="auto"/>
            </w:tcBorders>
            <w:noWrap/>
            <w:vAlign w:val="bottom"/>
            <w:hideMark/>
          </w:tcPr>
          <w:p w14:paraId="5A7AF1BE"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3267</w:t>
            </w:r>
          </w:p>
        </w:tc>
        <w:tc>
          <w:tcPr>
            <w:tcW w:w="709" w:type="dxa"/>
            <w:tcBorders>
              <w:top w:val="nil"/>
              <w:left w:val="nil"/>
              <w:bottom w:val="nil"/>
              <w:right w:val="nil"/>
            </w:tcBorders>
            <w:noWrap/>
            <w:vAlign w:val="bottom"/>
            <w:hideMark/>
          </w:tcPr>
          <w:p w14:paraId="3998F33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4560</w:t>
            </w:r>
          </w:p>
        </w:tc>
        <w:tc>
          <w:tcPr>
            <w:tcW w:w="709" w:type="dxa"/>
            <w:tcBorders>
              <w:top w:val="nil"/>
              <w:left w:val="nil"/>
              <w:bottom w:val="nil"/>
              <w:right w:val="nil"/>
            </w:tcBorders>
            <w:noWrap/>
            <w:vAlign w:val="bottom"/>
            <w:hideMark/>
          </w:tcPr>
          <w:p w14:paraId="3BB69197"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2359</w:t>
            </w:r>
          </w:p>
        </w:tc>
        <w:tc>
          <w:tcPr>
            <w:tcW w:w="708" w:type="dxa"/>
            <w:tcBorders>
              <w:top w:val="nil"/>
              <w:left w:val="nil"/>
              <w:bottom w:val="nil"/>
              <w:right w:val="nil"/>
            </w:tcBorders>
            <w:noWrap/>
            <w:vAlign w:val="bottom"/>
            <w:hideMark/>
          </w:tcPr>
          <w:p w14:paraId="65FC322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2785</w:t>
            </w:r>
          </w:p>
        </w:tc>
        <w:tc>
          <w:tcPr>
            <w:tcW w:w="709" w:type="dxa"/>
            <w:tcBorders>
              <w:top w:val="nil"/>
              <w:left w:val="nil"/>
              <w:bottom w:val="nil"/>
              <w:right w:val="nil"/>
            </w:tcBorders>
            <w:noWrap/>
            <w:vAlign w:val="bottom"/>
            <w:hideMark/>
          </w:tcPr>
          <w:p w14:paraId="171E173C"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9704</w:t>
            </w:r>
          </w:p>
        </w:tc>
      </w:tr>
      <w:tr w:rsidR="00307155" w:rsidRPr="00FC7BB4" w14:paraId="4703D139" w14:textId="77777777" w:rsidTr="00291B27">
        <w:trPr>
          <w:trHeight w:val="285"/>
        </w:trPr>
        <w:tc>
          <w:tcPr>
            <w:tcW w:w="2410" w:type="dxa"/>
            <w:tcBorders>
              <w:top w:val="nil"/>
              <w:left w:val="nil"/>
              <w:bottom w:val="nil"/>
              <w:right w:val="single" w:sz="4" w:space="0" w:color="auto"/>
            </w:tcBorders>
            <w:noWrap/>
            <w:vAlign w:val="bottom"/>
            <w:hideMark/>
          </w:tcPr>
          <w:p w14:paraId="308EEE77"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Pnc</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Cup, </w:t>
            </w:r>
            <w:proofErr w:type="spellStart"/>
            <w:r w:rsidRPr="00FC7BB4">
              <w:rPr>
                <w:rFonts w:ascii="Times New Roman" w:eastAsia="Times New Roman" w:hAnsi="Times New Roman" w:cs="Times New Roman"/>
                <w:color w:val="auto"/>
                <w:kern w:val="0"/>
                <w:sz w:val="18"/>
                <w:szCs w:val="18"/>
                <w14:ligatures w14:val="none"/>
              </w:rPr>
              <w:t>Ddn</w:t>
            </w:r>
            <w:proofErr w:type="spellEnd"/>
          </w:p>
        </w:tc>
        <w:tc>
          <w:tcPr>
            <w:tcW w:w="673" w:type="dxa"/>
            <w:tcBorders>
              <w:top w:val="nil"/>
              <w:left w:val="nil"/>
              <w:bottom w:val="nil"/>
              <w:right w:val="nil"/>
            </w:tcBorders>
            <w:noWrap/>
            <w:vAlign w:val="bottom"/>
            <w:hideMark/>
          </w:tcPr>
          <w:p w14:paraId="765F1CA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1408</w:t>
            </w:r>
          </w:p>
        </w:tc>
        <w:tc>
          <w:tcPr>
            <w:tcW w:w="708" w:type="dxa"/>
            <w:tcBorders>
              <w:top w:val="nil"/>
              <w:left w:val="nil"/>
              <w:bottom w:val="nil"/>
              <w:right w:val="nil"/>
            </w:tcBorders>
            <w:noWrap/>
            <w:vAlign w:val="bottom"/>
            <w:hideMark/>
          </w:tcPr>
          <w:p w14:paraId="39DC03B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1235</w:t>
            </w:r>
          </w:p>
        </w:tc>
        <w:tc>
          <w:tcPr>
            <w:tcW w:w="673" w:type="dxa"/>
            <w:tcBorders>
              <w:top w:val="nil"/>
              <w:left w:val="nil"/>
              <w:bottom w:val="nil"/>
              <w:right w:val="nil"/>
            </w:tcBorders>
            <w:noWrap/>
            <w:vAlign w:val="bottom"/>
            <w:hideMark/>
          </w:tcPr>
          <w:p w14:paraId="48869E67"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2142</w:t>
            </w:r>
          </w:p>
        </w:tc>
        <w:tc>
          <w:tcPr>
            <w:tcW w:w="781" w:type="dxa"/>
            <w:tcBorders>
              <w:top w:val="nil"/>
              <w:left w:val="nil"/>
              <w:bottom w:val="nil"/>
              <w:right w:val="single" w:sz="4" w:space="0" w:color="auto"/>
            </w:tcBorders>
            <w:noWrap/>
            <w:vAlign w:val="bottom"/>
            <w:hideMark/>
          </w:tcPr>
          <w:p w14:paraId="6F77ADFB"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4785</w:t>
            </w:r>
          </w:p>
        </w:tc>
        <w:tc>
          <w:tcPr>
            <w:tcW w:w="709" w:type="dxa"/>
            <w:tcBorders>
              <w:top w:val="nil"/>
              <w:left w:val="nil"/>
              <w:bottom w:val="nil"/>
              <w:right w:val="nil"/>
            </w:tcBorders>
            <w:noWrap/>
            <w:vAlign w:val="bottom"/>
            <w:hideMark/>
          </w:tcPr>
          <w:p w14:paraId="5D5A6AD8"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1251</w:t>
            </w:r>
          </w:p>
        </w:tc>
        <w:tc>
          <w:tcPr>
            <w:tcW w:w="709" w:type="dxa"/>
            <w:tcBorders>
              <w:top w:val="nil"/>
              <w:left w:val="nil"/>
              <w:bottom w:val="nil"/>
              <w:right w:val="nil"/>
            </w:tcBorders>
            <w:noWrap/>
            <w:vAlign w:val="bottom"/>
            <w:hideMark/>
          </w:tcPr>
          <w:p w14:paraId="70C1D9A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422</w:t>
            </w:r>
          </w:p>
        </w:tc>
        <w:tc>
          <w:tcPr>
            <w:tcW w:w="708" w:type="dxa"/>
            <w:tcBorders>
              <w:top w:val="nil"/>
              <w:left w:val="nil"/>
              <w:bottom w:val="nil"/>
              <w:right w:val="nil"/>
            </w:tcBorders>
            <w:noWrap/>
            <w:vAlign w:val="bottom"/>
            <w:hideMark/>
          </w:tcPr>
          <w:p w14:paraId="57C6C45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205</w:t>
            </w:r>
          </w:p>
        </w:tc>
        <w:tc>
          <w:tcPr>
            <w:tcW w:w="709" w:type="dxa"/>
            <w:tcBorders>
              <w:top w:val="nil"/>
              <w:left w:val="nil"/>
              <w:bottom w:val="nil"/>
              <w:right w:val="single" w:sz="4" w:space="0" w:color="auto"/>
            </w:tcBorders>
            <w:noWrap/>
            <w:vAlign w:val="bottom"/>
            <w:hideMark/>
          </w:tcPr>
          <w:p w14:paraId="7F660E32"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1878</w:t>
            </w:r>
          </w:p>
        </w:tc>
        <w:tc>
          <w:tcPr>
            <w:tcW w:w="709" w:type="dxa"/>
            <w:tcBorders>
              <w:top w:val="nil"/>
              <w:left w:val="nil"/>
              <w:bottom w:val="nil"/>
              <w:right w:val="nil"/>
            </w:tcBorders>
            <w:noWrap/>
            <w:vAlign w:val="bottom"/>
            <w:hideMark/>
          </w:tcPr>
          <w:p w14:paraId="093B8BE7"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2659</w:t>
            </w:r>
          </w:p>
        </w:tc>
        <w:tc>
          <w:tcPr>
            <w:tcW w:w="709" w:type="dxa"/>
            <w:tcBorders>
              <w:top w:val="nil"/>
              <w:left w:val="nil"/>
              <w:bottom w:val="nil"/>
              <w:right w:val="nil"/>
            </w:tcBorders>
            <w:noWrap/>
            <w:vAlign w:val="bottom"/>
            <w:hideMark/>
          </w:tcPr>
          <w:p w14:paraId="4C72DA9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1657</w:t>
            </w:r>
          </w:p>
        </w:tc>
        <w:tc>
          <w:tcPr>
            <w:tcW w:w="708" w:type="dxa"/>
            <w:tcBorders>
              <w:top w:val="nil"/>
              <w:left w:val="nil"/>
              <w:bottom w:val="nil"/>
              <w:right w:val="nil"/>
            </w:tcBorders>
            <w:noWrap/>
            <w:vAlign w:val="bottom"/>
            <w:hideMark/>
          </w:tcPr>
          <w:p w14:paraId="6D3872C6"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2347</w:t>
            </w:r>
          </w:p>
        </w:tc>
        <w:tc>
          <w:tcPr>
            <w:tcW w:w="709" w:type="dxa"/>
            <w:tcBorders>
              <w:top w:val="nil"/>
              <w:left w:val="nil"/>
              <w:bottom w:val="nil"/>
              <w:right w:val="nil"/>
            </w:tcBorders>
            <w:noWrap/>
            <w:vAlign w:val="bottom"/>
            <w:hideMark/>
          </w:tcPr>
          <w:p w14:paraId="2997FE4E"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6663</w:t>
            </w:r>
          </w:p>
        </w:tc>
      </w:tr>
      <w:tr w:rsidR="00307155" w:rsidRPr="00FC7BB4" w14:paraId="7F72FF4A" w14:textId="77777777" w:rsidTr="00291B27">
        <w:trPr>
          <w:trHeight w:val="285"/>
        </w:trPr>
        <w:tc>
          <w:tcPr>
            <w:tcW w:w="2410" w:type="dxa"/>
            <w:tcBorders>
              <w:top w:val="nil"/>
              <w:left w:val="nil"/>
              <w:bottom w:val="nil"/>
              <w:right w:val="single" w:sz="4" w:space="0" w:color="auto"/>
            </w:tcBorders>
            <w:noWrap/>
            <w:vAlign w:val="bottom"/>
            <w:hideMark/>
          </w:tcPr>
          <w:p w14:paraId="787E5E35"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Pnc</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Cnc</w:t>
            </w:r>
            <w:proofErr w:type="spellEnd"/>
            <w:r w:rsidRPr="00FC7BB4">
              <w:rPr>
                <w:rFonts w:ascii="Times New Roman" w:eastAsia="Times New Roman" w:hAnsi="Times New Roman" w:cs="Times New Roman"/>
                <w:color w:val="auto"/>
                <w:kern w:val="0"/>
                <w:sz w:val="18"/>
                <w:szCs w:val="18"/>
                <w14:ligatures w14:val="none"/>
              </w:rPr>
              <w:t>, Dup</w:t>
            </w:r>
          </w:p>
        </w:tc>
        <w:tc>
          <w:tcPr>
            <w:tcW w:w="673" w:type="dxa"/>
            <w:tcBorders>
              <w:top w:val="nil"/>
              <w:left w:val="nil"/>
              <w:bottom w:val="nil"/>
              <w:right w:val="nil"/>
            </w:tcBorders>
            <w:noWrap/>
            <w:vAlign w:val="bottom"/>
            <w:hideMark/>
          </w:tcPr>
          <w:p w14:paraId="22F103A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4485</w:t>
            </w:r>
          </w:p>
        </w:tc>
        <w:tc>
          <w:tcPr>
            <w:tcW w:w="708" w:type="dxa"/>
            <w:tcBorders>
              <w:top w:val="nil"/>
              <w:left w:val="nil"/>
              <w:bottom w:val="nil"/>
              <w:right w:val="nil"/>
            </w:tcBorders>
            <w:noWrap/>
            <w:vAlign w:val="bottom"/>
            <w:hideMark/>
          </w:tcPr>
          <w:p w14:paraId="1326D76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2051</w:t>
            </w:r>
          </w:p>
        </w:tc>
        <w:tc>
          <w:tcPr>
            <w:tcW w:w="673" w:type="dxa"/>
            <w:tcBorders>
              <w:top w:val="nil"/>
              <w:left w:val="nil"/>
              <w:bottom w:val="nil"/>
              <w:right w:val="nil"/>
            </w:tcBorders>
            <w:noWrap/>
            <w:vAlign w:val="bottom"/>
            <w:hideMark/>
          </w:tcPr>
          <w:p w14:paraId="5422057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1520</w:t>
            </w:r>
          </w:p>
        </w:tc>
        <w:tc>
          <w:tcPr>
            <w:tcW w:w="781" w:type="dxa"/>
            <w:tcBorders>
              <w:top w:val="nil"/>
              <w:left w:val="nil"/>
              <w:bottom w:val="nil"/>
              <w:right w:val="single" w:sz="4" w:space="0" w:color="auto"/>
            </w:tcBorders>
            <w:noWrap/>
            <w:vAlign w:val="bottom"/>
            <w:hideMark/>
          </w:tcPr>
          <w:p w14:paraId="3838CD3F"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8056</w:t>
            </w:r>
          </w:p>
        </w:tc>
        <w:tc>
          <w:tcPr>
            <w:tcW w:w="709" w:type="dxa"/>
            <w:tcBorders>
              <w:top w:val="nil"/>
              <w:left w:val="nil"/>
              <w:bottom w:val="nil"/>
              <w:right w:val="nil"/>
            </w:tcBorders>
            <w:noWrap/>
            <w:vAlign w:val="bottom"/>
            <w:hideMark/>
          </w:tcPr>
          <w:p w14:paraId="7626BF01"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2930</w:t>
            </w:r>
          </w:p>
        </w:tc>
        <w:tc>
          <w:tcPr>
            <w:tcW w:w="709" w:type="dxa"/>
            <w:tcBorders>
              <w:top w:val="nil"/>
              <w:left w:val="nil"/>
              <w:bottom w:val="nil"/>
              <w:right w:val="nil"/>
            </w:tcBorders>
            <w:noWrap/>
            <w:vAlign w:val="bottom"/>
            <w:hideMark/>
          </w:tcPr>
          <w:p w14:paraId="477A706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329</w:t>
            </w:r>
          </w:p>
        </w:tc>
        <w:tc>
          <w:tcPr>
            <w:tcW w:w="708" w:type="dxa"/>
            <w:tcBorders>
              <w:top w:val="nil"/>
              <w:left w:val="nil"/>
              <w:bottom w:val="nil"/>
              <w:right w:val="nil"/>
            </w:tcBorders>
            <w:noWrap/>
            <w:vAlign w:val="bottom"/>
            <w:hideMark/>
          </w:tcPr>
          <w:p w14:paraId="3F367CE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99</w:t>
            </w:r>
          </w:p>
        </w:tc>
        <w:tc>
          <w:tcPr>
            <w:tcW w:w="709" w:type="dxa"/>
            <w:tcBorders>
              <w:top w:val="nil"/>
              <w:left w:val="nil"/>
              <w:bottom w:val="nil"/>
              <w:right w:val="single" w:sz="4" w:space="0" w:color="auto"/>
            </w:tcBorders>
            <w:noWrap/>
            <w:vAlign w:val="bottom"/>
            <w:hideMark/>
          </w:tcPr>
          <w:p w14:paraId="2861815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3358</w:t>
            </w:r>
          </w:p>
        </w:tc>
        <w:tc>
          <w:tcPr>
            <w:tcW w:w="709" w:type="dxa"/>
            <w:tcBorders>
              <w:top w:val="nil"/>
              <w:left w:val="nil"/>
              <w:bottom w:val="nil"/>
              <w:right w:val="nil"/>
            </w:tcBorders>
            <w:noWrap/>
            <w:vAlign w:val="bottom"/>
            <w:hideMark/>
          </w:tcPr>
          <w:p w14:paraId="3FAB593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7415</w:t>
            </w:r>
          </w:p>
        </w:tc>
        <w:tc>
          <w:tcPr>
            <w:tcW w:w="709" w:type="dxa"/>
            <w:tcBorders>
              <w:top w:val="nil"/>
              <w:left w:val="nil"/>
              <w:bottom w:val="nil"/>
              <w:right w:val="nil"/>
            </w:tcBorders>
            <w:noWrap/>
            <w:vAlign w:val="bottom"/>
            <w:hideMark/>
          </w:tcPr>
          <w:p w14:paraId="2B89994C"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2380</w:t>
            </w:r>
          </w:p>
        </w:tc>
        <w:tc>
          <w:tcPr>
            <w:tcW w:w="708" w:type="dxa"/>
            <w:tcBorders>
              <w:top w:val="nil"/>
              <w:left w:val="nil"/>
              <w:bottom w:val="nil"/>
              <w:right w:val="nil"/>
            </w:tcBorders>
            <w:noWrap/>
            <w:vAlign w:val="bottom"/>
            <w:hideMark/>
          </w:tcPr>
          <w:p w14:paraId="58CAD30C"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1619</w:t>
            </w:r>
          </w:p>
        </w:tc>
        <w:tc>
          <w:tcPr>
            <w:tcW w:w="709" w:type="dxa"/>
            <w:tcBorders>
              <w:top w:val="nil"/>
              <w:left w:val="nil"/>
              <w:bottom w:val="nil"/>
              <w:right w:val="nil"/>
            </w:tcBorders>
            <w:noWrap/>
            <w:vAlign w:val="bottom"/>
            <w:hideMark/>
          </w:tcPr>
          <w:p w14:paraId="780F5669"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11414</w:t>
            </w:r>
          </w:p>
        </w:tc>
      </w:tr>
      <w:tr w:rsidR="00307155" w:rsidRPr="00FC7BB4" w14:paraId="1B78789E" w14:textId="77777777" w:rsidTr="00291B27">
        <w:trPr>
          <w:trHeight w:val="285"/>
        </w:trPr>
        <w:tc>
          <w:tcPr>
            <w:tcW w:w="2410" w:type="dxa"/>
            <w:tcBorders>
              <w:top w:val="nil"/>
              <w:left w:val="nil"/>
              <w:bottom w:val="nil"/>
              <w:right w:val="single" w:sz="4" w:space="0" w:color="auto"/>
            </w:tcBorders>
            <w:noWrap/>
            <w:vAlign w:val="bottom"/>
            <w:hideMark/>
          </w:tcPr>
          <w:p w14:paraId="79B8B18A"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Pnc</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Cnc</w:t>
            </w:r>
            <w:proofErr w:type="spellEnd"/>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Dnc</w:t>
            </w:r>
            <w:proofErr w:type="spellEnd"/>
          </w:p>
        </w:tc>
        <w:tc>
          <w:tcPr>
            <w:tcW w:w="673" w:type="dxa"/>
            <w:tcBorders>
              <w:top w:val="nil"/>
              <w:left w:val="nil"/>
              <w:bottom w:val="nil"/>
              <w:right w:val="nil"/>
            </w:tcBorders>
            <w:noWrap/>
            <w:vAlign w:val="bottom"/>
            <w:hideMark/>
          </w:tcPr>
          <w:p w14:paraId="3D7FFE7C"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9416</w:t>
            </w:r>
          </w:p>
        </w:tc>
        <w:tc>
          <w:tcPr>
            <w:tcW w:w="708" w:type="dxa"/>
            <w:tcBorders>
              <w:top w:val="nil"/>
              <w:left w:val="nil"/>
              <w:bottom w:val="nil"/>
              <w:right w:val="nil"/>
            </w:tcBorders>
            <w:noWrap/>
            <w:vAlign w:val="bottom"/>
            <w:hideMark/>
          </w:tcPr>
          <w:p w14:paraId="72529E8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3890</w:t>
            </w:r>
          </w:p>
        </w:tc>
        <w:tc>
          <w:tcPr>
            <w:tcW w:w="673" w:type="dxa"/>
            <w:tcBorders>
              <w:top w:val="nil"/>
              <w:left w:val="nil"/>
              <w:bottom w:val="nil"/>
              <w:right w:val="nil"/>
            </w:tcBorders>
            <w:noWrap/>
            <w:vAlign w:val="bottom"/>
            <w:hideMark/>
          </w:tcPr>
          <w:p w14:paraId="6699A0AC"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2496</w:t>
            </w:r>
          </w:p>
        </w:tc>
        <w:tc>
          <w:tcPr>
            <w:tcW w:w="781" w:type="dxa"/>
            <w:tcBorders>
              <w:top w:val="nil"/>
              <w:left w:val="nil"/>
              <w:bottom w:val="nil"/>
              <w:right w:val="single" w:sz="4" w:space="0" w:color="auto"/>
            </w:tcBorders>
            <w:noWrap/>
            <w:vAlign w:val="bottom"/>
            <w:hideMark/>
          </w:tcPr>
          <w:p w14:paraId="2EB5E6B0"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15802</w:t>
            </w:r>
          </w:p>
        </w:tc>
        <w:tc>
          <w:tcPr>
            <w:tcW w:w="709" w:type="dxa"/>
            <w:tcBorders>
              <w:top w:val="nil"/>
              <w:left w:val="nil"/>
              <w:bottom w:val="nil"/>
              <w:right w:val="nil"/>
            </w:tcBorders>
            <w:noWrap/>
            <w:vAlign w:val="bottom"/>
            <w:hideMark/>
          </w:tcPr>
          <w:p w14:paraId="135FBF9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9141</w:t>
            </w:r>
          </w:p>
        </w:tc>
        <w:tc>
          <w:tcPr>
            <w:tcW w:w="709" w:type="dxa"/>
            <w:tcBorders>
              <w:top w:val="nil"/>
              <w:left w:val="nil"/>
              <w:bottom w:val="nil"/>
              <w:right w:val="nil"/>
            </w:tcBorders>
            <w:noWrap/>
            <w:vAlign w:val="bottom"/>
            <w:hideMark/>
          </w:tcPr>
          <w:p w14:paraId="5B469D0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1545</w:t>
            </w:r>
          </w:p>
        </w:tc>
        <w:tc>
          <w:tcPr>
            <w:tcW w:w="708" w:type="dxa"/>
            <w:tcBorders>
              <w:top w:val="nil"/>
              <w:left w:val="nil"/>
              <w:bottom w:val="nil"/>
              <w:right w:val="nil"/>
            </w:tcBorders>
            <w:noWrap/>
            <w:vAlign w:val="bottom"/>
            <w:hideMark/>
          </w:tcPr>
          <w:p w14:paraId="3F043D0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537</w:t>
            </w:r>
          </w:p>
        </w:tc>
        <w:tc>
          <w:tcPr>
            <w:tcW w:w="709" w:type="dxa"/>
            <w:tcBorders>
              <w:top w:val="nil"/>
              <w:left w:val="nil"/>
              <w:bottom w:val="nil"/>
              <w:right w:val="single" w:sz="4" w:space="0" w:color="auto"/>
            </w:tcBorders>
            <w:noWrap/>
            <w:vAlign w:val="bottom"/>
            <w:hideMark/>
          </w:tcPr>
          <w:p w14:paraId="20A6746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11223</w:t>
            </w:r>
          </w:p>
        </w:tc>
        <w:tc>
          <w:tcPr>
            <w:tcW w:w="709" w:type="dxa"/>
            <w:tcBorders>
              <w:top w:val="nil"/>
              <w:left w:val="nil"/>
              <w:bottom w:val="nil"/>
              <w:right w:val="nil"/>
            </w:tcBorders>
            <w:noWrap/>
            <w:vAlign w:val="bottom"/>
            <w:hideMark/>
          </w:tcPr>
          <w:p w14:paraId="2CCBC5F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18557</w:t>
            </w:r>
          </w:p>
        </w:tc>
        <w:tc>
          <w:tcPr>
            <w:tcW w:w="709" w:type="dxa"/>
            <w:tcBorders>
              <w:top w:val="nil"/>
              <w:left w:val="nil"/>
              <w:bottom w:val="nil"/>
              <w:right w:val="nil"/>
            </w:tcBorders>
            <w:noWrap/>
            <w:vAlign w:val="bottom"/>
            <w:hideMark/>
          </w:tcPr>
          <w:p w14:paraId="20758F6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5435</w:t>
            </w:r>
          </w:p>
        </w:tc>
        <w:tc>
          <w:tcPr>
            <w:tcW w:w="708" w:type="dxa"/>
            <w:tcBorders>
              <w:top w:val="nil"/>
              <w:left w:val="nil"/>
              <w:bottom w:val="nil"/>
              <w:right w:val="nil"/>
            </w:tcBorders>
            <w:noWrap/>
            <w:vAlign w:val="bottom"/>
            <w:hideMark/>
          </w:tcPr>
          <w:p w14:paraId="590C69D8"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3033</w:t>
            </w:r>
          </w:p>
        </w:tc>
        <w:tc>
          <w:tcPr>
            <w:tcW w:w="709" w:type="dxa"/>
            <w:tcBorders>
              <w:top w:val="nil"/>
              <w:left w:val="nil"/>
              <w:bottom w:val="nil"/>
              <w:right w:val="nil"/>
            </w:tcBorders>
            <w:noWrap/>
            <w:vAlign w:val="bottom"/>
            <w:hideMark/>
          </w:tcPr>
          <w:p w14:paraId="4C45591D"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27025</w:t>
            </w:r>
          </w:p>
        </w:tc>
      </w:tr>
      <w:tr w:rsidR="00307155" w:rsidRPr="00FC7BB4" w14:paraId="46E6C2DC" w14:textId="77777777" w:rsidTr="00291B27">
        <w:trPr>
          <w:trHeight w:val="285"/>
        </w:trPr>
        <w:tc>
          <w:tcPr>
            <w:tcW w:w="2410" w:type="dxa"/>
            <w:tcBorders>
              <w:top w:val="nil"/>
              <w:left w:val="nil"/>
              <w:bottom w:val="nil"/>
              <w:right w:val="single" w:sz="4" w:space="0" w:color="auto"/>
            </w:tcBorders>
            <w:noWrap/>
            <w:vAlign w:val="bottom"/>
            <w:hideMark/>
          </w:tcPr>
          <w:p w14:paraId="77B7F905"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Pnc</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Cnc</w:t>
            </w:r>
            <w:proofErr w:type="spellEnd"/>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Ddn</w:t>
            </w:r>
            <w:proofErr w:type="spellEnd"/>
          </w:p>
        </w:tc>
        <w:tc>
          <w:tcPr>
            <w:tcW w:w="673" w:type="dxa"/>
            <w:tcBorders>
              <w:top w:val="nil"/>
              <w:left w:val="nil"/>
              <w:bottom w:val="nil"/>
              <w:right w:val="nil"/>
            </w:tcBorders>
            <w:noWrap/>
            <w:vAlign w:val="bottom"/>
            <w:hideMark/>
          </w:tcPr>
          <w:p w14:paraId="67D93AC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3260</w:t>
            </w:r>
          </w:p>
        </w:tc>
        <w:tc>
          <w:tcPr>
            <w:tcW w:w="708" w:type="dxa"/>
            <w:tcBorders>
              <w:top w:val="nil"/>
              <w:left w:val="nil"/>
              <w:bottom w:val="nil"/>
              <w:right w:val="nil"/>
            </w:tcBorders>
            <w:noWrap/>
            <w:vAlign w:val="bottom"/>
            <w:hideMark/>
          </w:tcPr>
          <w:p w14:paraId="13B12888"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1591</w:t>
            </w:r>
          </w:p>
        </w:tc>
        <w:tc>
          <w:tcPr>
            <w:tcW w:w="673" w:type="dxa"/>
            <w:tcBorders>
              <w:top w:val="nil"/>
              <w:left w:val="nil"/>
              <w:bottom w:val="nil"/>
              <w:right w:val="nil"/>
            </w:tcBorders>
            <w:noWrap/>
            <w:vAlign w:val="bottom"/>
            <w:hideMark/>
          </w:tcPr>
          <w:p w14:paraId="0E6CB86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1493</w:t>
            </w:r>
          </w:p>
        </w:tc>
        <w:tc>
          <w:tcPr>
            <w:tcW w:w="781" w:type="dxa"/>
            <w:tcBorders>
              <w:top w:val="nil"/>
              <w:left w:val="nil"/>
              <w:bottom w:val="nil"/>
              <w:right w:val="single" w:sz="4" w:space="0" w:color="auto"/>
            </w:tcBorders>
            <w:noWrap/>
            <w:vAlign w:val="bottom"/>
            <w:hideMark/>
          </w:tcPr>
          <w:p w14:paraId="7BEA4C4F"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6344</w:t>
            </w:r>
          </w:p>
        </w:tc>
        <w:tc>
          <w:tcPr>
            <w:tcW w:w="709" w:type="dxa"/>
            <w:tcBorders>
              <w:top w:val="nil"/>
              <w:left w:val="nil"/>
              <w:bottom w:val="nil"/>
              <w:right w:val="nil"/>
            </w:tcBorders>
            <w:noWrap/>
            <w:vAlign w:val="bottom"/>
            <w:hideMark/>
          </w:tcPr>
          <w:p w14:paraId="667E6231"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2575</w:t>
            </w:r>
          </w:p>
        </w:tc>
        <w:tc>
          <w:tcPr>
            <w:tcW w:w="709" w:type="dxa"/>
            <w:tcBorders>
              <w:top w:val="nil"/>
              <w:left w:val="nil"/>
              <w:bottom w:val="nil"/>
              <w:right w:val="nil"/>
            </w:tcBorders>
            <w:noWrap/>
            <w:vAlign w:val="bottom"/>
            <w:hideMark/>
          </w:tcPr>
          <w:p w14:paraId="1989D66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548</w:t>
            </w:r>
          </w:p>
        </w:tc>
        <w:tc>
          <w:tcPr>
            <w:tcW w:w="708" w:type="dxa"/>
            <w:tcBorders>
              <w:top w:val="nil"/>
              <w:left w:val="nil"/>
              <w:bottom w:val="nil"/>
              <w:right w:val="nil"/>
            </w:tcBorders>
            <w:noWrap/>
            <w:vAlign w:val="bottom"/>
            <w:hideMark/>
          </w:tcPr>
          <w:p w14:paraId="57F411A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173</w:t>
            </w:r>
          </w:p>
        </w:tc>
        <w:tc>
          <w:tcPr>
            <w:tcW w:w="709" w:type="dxa"/>
            <w:tcBorders>
              <w:top w:val="nil"/>
              <w:left w:val="nil"/>
              <w:bottom w:val="nil"/>
              <w:right w:val="single" w:sz="4" w:space="0" w:color="auto"/>
            </w:tcBorders>
            <w:noWrap/>
            <w:vAlign w:val="bottom"/>
            <w:hideMark/>
          </w:tcPr>
          <w:p w14:paraId="495514E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3296</w:t>
            </w:r>
          </w:p>
        </w:tc>
        <w:tc>
          <w:tcPr>
            <w:tcW w:w="709" w:type="dxa"/>
            <w:tcBorders>
              <w:top w:val="nil"/>
              <w:left w:val="nil"/>
              <w:bottom w:val="nil"/>
              <w:right w:val="nil"/>
            </w:tcBorders>
            <w:noWrap/>
            <w:vAlign w:val="bottom"/>
            <w:hideMark/>
          </w:tcPr>
          <w:p w14:paraId="600F730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5835</w:t>
            </w:r>
          </w:p>
        </w:tc>
        <w:tc>
          <w:tcPr>
            <w:tcW w:w="709" w:type="dxa"/>
            <w:tcBorders>
              <w:top w:val="nil"/>
              <w:left w:val="nil"/>
              <w:bottom w:val="nil"/>
              <w:right w:val="nil"/>
            </w:tcBorders>
            <w:noWrap/>
            <w:vAlign w:val="bottom"/>
            <w:hideMark/>
          </w:tcPr>
          <w:p w14:paraId="4BBBB0B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2139</w:t>
            </w:r>
          </w:p>
        </w:tc>
        <w:tc>
          <w:tcPr>
            <w:tcW w:w="708" w:type="dxa"/>
            <w:tcBorders>
              <w:top w:val="nil"/>
              <w:left w:val="nil"/>
              <w:bottom w:val="nil"/>
              <w:right w:val="nil"/>
            </w:tcBorders>
            <w:noWrap/>
            <w:vAlign w:val="bottom"/>
            <w:hideMark/>
          </w:tcPr>
          <w:p w14:paraId="7A778E5B"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1666</w:t>
            </w:r>
          </w:p>
        </w:tc>
        <w:tc>
          <w:tcPr>
            <w:tcW w:w="709" w:type="dxa"/>
            <w:tcBorders>
              <w:top w:val="nil"/>
              <w:left w:val="nil"/>
              <w:bottom w:val="nil"/>
              <w:right w:val="nil"/>
            </w:tcBorders>
            <w:noWrap/>
            <w:vAlign w:val="bottom"/>
            <w:hideMark/>
          </w:tcPr>
          <w:p w14:paraId="579D4180"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9640</w:t>
            </w:r>
          </w:p>
        </w:tc>
      </w:tr>
      <w:tr w:rsidR="00307155" w:rsidRPr="00FC7BB4" w14:paraId="6DA40477" w14:textId="77777777" w:rsidTr="00291B27">
        <w:trPr>
          <w:trHeight w:val="285"/>
        </w:trPr>
        <w:tc>
          <w:tcPr>
            <w:tcW w:w="2410" w:type="dxa"/>
            <w:tcBorders>
              <w:top w:val="nil"/>
              <w:left w:val="nil"/>
              <w:bottom w:val="nil"/>
              <w:right w:val="single" w:sz="4" w:space="0" w:color="auto"/>
            </w:tcBorders>
            <w:noWrap/>
            <w:vAlign w:val="bottom"/>
            <w:hideMark/>
          </w:tcPr>
          <w:p w14:paraId="1DCE5953"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Pnc</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Cdn</w:t>
            </w:r>
            <w:proofErr w:type="spellEnd"/>
            <w:r w:rsidRPr="00FC7BB4">
              <w:rPr>
                <w:rFonts w:ascii="Times New Roman" w:eastAsia="Times New Roman" w:hAnsi="Times New Roman" w:cs="Times New Roman"/>
                <w:color w:val="auto"/>
                <w:kern w:val="0"/>
                <w:sz w:val="18"/>
                <w:szCs w:val="18"/>
                <w14:ligatures w14:val="none"/>
              </w:rPr>
              <w:t>, Dup</w:t>
            </w:r>
          </w:p>
        </w:tc>
        <w:tc>
          <w:tcPr>
            <w:tcW w:w="673" w:type="dxa"/>
            <w:tcBorders>
              <w:top w:val="nil"/>
              <w:left w:val="nil"/>
              <w:bottom w:val="nil"/>
              <w:right w:val="nil"/>
            </w:tcBorders>
            <w:noWrap/>
            <w:vAlign w:val="bottom"/>
            <w:hideMark/>
          </w:tcPr>
          <w:p w14:paraId="1045921B"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854</w:t>
            </w:r>
          </w:p>
        </w:tc>
        <w:tc>
          <w:tcPr>
            <w:tcW w:w="708" w:type="dxa"/>
            <w:tcBorders>
              <w:top w:val="nil"/>
              <w:left w:val="nil"/>
              <w:bottom w:val="nil"/>
              <w:right w:val="nil"/>
            </w:tcBorders>
            <w:noWrap/>
            <w:vAlign w:val="bottom"/>
            <w:hideMark/>
          </w:tcPr>
          <w:p w14:paraId="5802DE3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286</w:t>
            </w:r>
          </w:p>
        </w:tc>
        <w:tc>
          <w:tcPr>
            <w:tcW w:w="673" w:type="dxa"/>
            <w:tcBorders>
              <w:top w:val="nil"/>
              <w:left w:val="nil"/>
              <w:bottom w:val="nil"/>
              <w:right w:val="nil"/>
            </w:tcBorders>
            <w:noWrap/>
            <w:vAlign w:val="bottom"/>
            <w:hideMark/>
          </w:tcPr>
          <w:p w14:paraId="0112C31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147</w:t>
            </w:r>
          </w:p>
        </w:tc>
        <w:tc>
          <w:tcPr>
            <w:tcW w:w="781" w:type="dxa"/>
            <w:tcBorders>
              <w:top w:val="nil"/>
              <w:left w:val="nil"/>
              <w:bottom w:val="nil"/>
              <w:right w:val="single" w:sz="4" w:space="0" w:color="auto"/>
            </w:tcBorders>
            <w:noWrap/>
            <w:vAlign w:val="bottom"/>
            <w:hideMark/>
          </w:tcPr>
          <w:p w14:paraId="47D3E3AF"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1287</w:t>
            </w:r>
          </w:p>
        </w:tc>
        <w:tc>
          <w:tcPr>
            <w:tcW w:w="709" w:type="dxa"/>
            <w:tcBorders>
              <w:top w:val="nil"/>
              <w:left w:val="nil"/>
              <w:bottom w:val="nil"/>
              <w:right w:val="nil"/>
            </w:tcBorders>
            <w:noWrap/>
            <w:vAlign w:val="bottom"/>
            <w:hideMark/>
          </w:tcPr>
          <w:p w14:paraId="26D29A9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198</w:t>
            </w:r>
          </w:p>
        </w:tc>
        <w:tc>
          <w:tcPr>
            <w:tcW w:w="709" w:type="dxa"/>
            <w:tcBorders>
              <w:top w:val="nil"/>
              <w:left w:val="nil"/>
              <w:bottom w:val="nil"/>
              <w:right w:val="nil"/>
            </w:tcBorders>
            <w:noWrap/>
            <w:vAlign w:val="bottom"/>
            <w:hideMark/>
          </w:tcPr>
          <w:p w14:paraId="7881C5B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21</w:t>
            </w:r>
          </w:p>
        </w:tc>
        <w:tc>
          <w:tcPr>
            <w:tcW w:w="708" w:type="dxa"/>
            <w:tcBorders>
              <w:top w:val="nil"/>
              <w:left w:val="nil"/>
              <w:bottom w:val="nil"/>
              <w:right w:val="nil"/>
            </w:tcBorders>
            <w:noWrap/>
            <w:vAlign w:val="bottom"/>
            <w:hideMark/>
          </w:tcPr>
          <w:p w14:paraId="258AA0B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w:t>
            </w:r>
          </w:p>
        </w:tc>
        <w:tc>
          <w:tcPr>
            <w:tcW w:w="709" w:type="dxa"/>
            <w:tcBorders>
              <w:top w:val="nil"/>
              <w:left w:val="nil"/>
              <w:bottom w:val="nil"/>
              <w:right w:val="single" w:sz="4" w:space="0" w:color="auto"/>
            </w:tcBorders>
            <w:noWrap/>
            <w:vAlign w:val="bottom"/>
            <w:hideMark/>
          </w:tcPr>
          <w:p w14:paraId="5243B4E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22#</w:t>
            </w:r>
          </w:p>
        </w:tc>
        <w:tc>
          <w:tcPr>
            <w:tcW w:w="709" w:type="dxa"/>
            <w:tcBorders>
              <w:top w:val="nil"/>
              <w:left w:val="nil"/>
              <w:bottom w:val="nil"/>
              <w:right w:val="nil"/>
            </w:tcBorders>
            <w:noWrap/>
            <w:vAlign w:val="bottom"/>
            <w:hideMark/>
          </w:tcPr>
          <w:p w14:paraId="0A7F5BB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1052</w:t>
            </w:r>
          </w:p>
        </w:tc>
        <w:tc>
          <w:tcPr>
            <w:tcW w:w="709" w:type="dxa"/>
            <w:tcBorders>
              <w:top w:val="nil"/>
              <w:left w:val="nil"/>
              <w:bottom w:val="nil"/>
              <w:right w:val="nil"/>
            </w:tcBorders>
            <w:noWrap/>
            <w:vAlign w:val="bottom"/>
            <w:hideMark/>
          </w:tcPr>
          <w:p w14:paraId="52EDF02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307</w:t>
            </w:r>
          </w:p>
        </w:tc>
        <w:tc>
          <w:tcPr>
            <w:tcW w:w="708" w:type="dxa"/>
            <w:tcBorders>
              <w:top w:val="nil"/>
              <w:left w:val="nil"/>
              <w:bottom w:val="nil"/>
              <w:right w:val="nil"/>
            </w:tcBorders>
            <w:noWrap/>
            <w:vAlign w:val="bottom"/>
            <w:hideMark/>
          </w:tcPr>
          <w:p w14:paraId="0D236B0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14#</w:t>
            </w:r>
          </w:p>
        </w:tc>
        <w:tc>
          <w:tcPr>
            <w:tcW w:w="709" w:type="dxa"/>
            <w:tcBorders>
              <w:top w:val="nil"/>
              <w:left w:val="nil"/>
              <w:bottom w:val="nil"/>
              <w:right w:val="nil"/>
            </w:tcBorders>
            <w:noWrap/>
            <w:vAlign w:val="bottom"/>
            <w:hideMark/>
          </w:tcPr>
          <w:p w14:paraId="22CEABDD"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150#</w:t>
            </w:r>
          </w:p>
        </w:tc>
      </w:tr>
      <w:tr w:rsidR="00307155" w:rsidRPr="00FC7BB4" w14:paraId="48F54488" w14:textId="77777777" w:rsidTr="00291B27">
        <w:trPr>
          <w:trHeight w:val="285"/>
        </w:trPr>
        <w:tc>
          <w:tcPr>
            <w:tcW w:w="2410" w:type="dxa"/>
            <w:tcBorders>
              <w:top w:val="nil"/>
              <w:left w:val="nil"/>
              <w:bottom w:val="nil"/>
              <w:right w:val="single" w:sz="4" w:space="0" w:color="auto"/>
            </w:tcBorders>
            <w:noWrap/>
            <w:vAlign w:val="bottom"/>
            <w:hideMark/>
          </w:tcPr>
          <w:p w14:paraId="484C3880"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Pnc</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Cdn</w:t>
            </w:r>
            <w:proofErr w:type="spellEnd"/>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Dnc</w:t>
            </w:r>
            <w:proofErr w:type="spellEnd"/>
          </w:p>
        </w:tc>
        <w:tc>
          <w:tcPr>
            <w:tcW w:w="673" w:type="dxa"/>
            <w:tcBorders>
              <w:top w:val="nil"/>
              <w:left w:val="nil"/>
              <w:bottom w:val="nil"/>
              <w:right w:val="nil"/>
            </w:tcBorders>
            <w:noWrap/>
            <w:vAlign w:val="bottom"/>
            <w:hideMark/>
          </w:tcPr>
          <w:p w14:paraId="2F20564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755</w:t>
            </w:r>
          </w:p>
        </w:tc>
        <w:tc>
          <w:tcPr>
            <w:tcW w:w="708" w:type="dxa"/>
            <w:tcBorders>
              <w:top w:val="nil"/>
              <w:left w:val="nil"/>
              <w:bottom w:val="nil"/>
              <w:right w:val="nil"/>
            </w:tcBorders>
            <w:noWrap/>
            <w:vAlign w:val="bottom"/>
            <w:hideMark/>
          </w:tcPr>
          <w:p w14:paraId="069B8C9C"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215</w:t>
            </w:r>
          </w:p>
        </w:tc>
        <w:tc>
          <w:tcPr>
            <w:tcW w:w="673" w:type="dxa"/>
            <w:tcBorders>
              <w:top w:val="nil"/>
              <w:left w:val="nil"/>
              <w:bottom w:val="nil"/>
              <w:right w:val="nil"/>
            </w:tcBorders>
            <w:noWrap/>
            <w:vAlign w:val="bottom"/>
            <w:hideMark/>
          </w:tcPr>
          <w:p w14:paraId="186DFED6"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132</w:t>
            </w:r>
          </w:p>
        </w:tc>
        <w:tc>
          <w:tcPr>
            <w:tcW w:w="781" w:type="dxa"/>
            <w:tcBorders>
              <w:top w:val="nil"/>
              <w:left w:val="nil"/>
              <w:bottom w:val="nil"/>
              <w:right w:val="single" w:sz="4" w:space="0" w:color="auto"/>
            </w:tcBorders>
            <w:noWrap/>
            <w:vAlign w:val="bottom"/>
            <w:hideMark/>
          </w:tcPr>
          <w:p w14:paraId="4ED61A21"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1102</w:t>
            </w:r>
          </w:p>
        </w:tc>
        <w:tc>
          <w:tcPr>
            <w:tcW w:w="709" w:type="dxa"/>
            <w:tcBorders>
              <w:top w:val="nil"/>
              <w:left w:val="nil"/>
              <w:bottom w:val="nil"/>
              <w:right w:val="nil"/>
            </w:tcBorders>
            <w:noWrap/>
            <w:vAlign w:val="bottom"/>
            <w:hideMark/>
          </w:tcPr>
          <w:p w14:paraId="06B53B4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285</w:t>
            </w:r>
          </w:p>
        </w:tc>
        <w:tc>
          <w:tcPr>
            <w:tcW w:w="709" w:type="dxa"/>
            <w:tcBorders>
              <w:top w:val="nil"/>
              <w:left w:val="nil"/>
              <w:bottom w:val="nil"/>
              <w:right w:val="nil"/>
            </w:tcBorders>
            <w:noWrap/>
            <w:vAlign w:val="bottom"/>
            <w:hideMark/>
          </w:tcPr>
          <w:p w14:paraId="71B0041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35</w:t>
            </w:r>
          </w:p>
        </w:tc>
        <w:tc>
          <w:tcPr>
            <w:tcW w:w="708" w:type="dxa"/>
            <w:tcBorders>
              <w:top w:val="nil"/>
              <w:left w:val="nil"/>
              <w:bottom w:val="nil"/>
              <w:right w:val="nil"/>
            </w:tcBorders>
            <w:noWrap/>
            <w:vAlign w:val="bottom"/>
            <w:hideMark/>
          </w:tcPr>
          <w:p w14:paraId="08998C0C"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7</w:t>
            </w:r>
          </w:p>
        </w:tc>
        <w:tc>
          <w:tcPr>
            <w:tcW w:w="709" w:type="dxa"/>
            <w:tcBorders>
              <w:top w:val="nil"/>
              <w:left w:val="nil"/>
              <w:bottom w:val="nil"/>
              <w:right w:val="single" w:sz="4" w:space="0" w:color="auto"/>
            </w:tcBorders>
            <w:noWrap/>
            <w:vAlign w:val="bottom"/>
            <w:hideMark/>
          </w:tcPr>
          <w:p w14:paraId="059E69ED"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327</w:t>
            </w:r>
          </w:p>
        </w:tc>
        <w:tc>
          <w:tcPr>
            <w:tcW w:w="709" w:type="dxa"/>
            <w:tcBorders>
              <w:top w:val="nil"/>
              <w:left w:val="nil"/>
              <w:bottom w:val="nil"/>
              <w:right w:val="nil"/>
            </w:tcBorders>
            <w:noWrap/>
            <w:vAlign w:val="bottom"/>
            <w:hideMark/>
          </w:tcPr>
          <w:p w14:paraId="29525A1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1040</w:t>
            </w:r>
          </w:p>
        </w:tc>
        <w:tc>
          <w:tcPr>
            <w:tcW w:w="709" w:type="dxa"/>
            <w:tcBorders>
              <w:top w:val="nil"/>
              <w:left w:val="nil"/>
              <w:bottom w:val="nil"/>
              <w:right w:val="nil"/>
            </w:tcBorders>
            <w:noWrap/>
            <w:vAlign w:val="bottom"/>
            <w:hideMark/>
          </w:tcPr>
          <w:p w14:paraId="57576957"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250</w:t>
            </w:r>
          </w:p>
        </w:tc>
        <w:tc>
          <w:tcPr>
            <w:tcW w:w="708" w:type="dxa"/>
            <w:tcBorders>
              <w:top w:val="nil"/>
              <w:left w:val="nil"/>
              <w:bottom w:val="nil"/>
              <w:right w:val="nil"/>
            </w:tcBorders>
            <w:noWrap/>
            <w:vAlign w:val="bottom"/>
            <w:hideMark/>
          </w:tcPr>
          <w:p w14:paraId="4F711CE6"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139</w:t>
            </w:r>
          </w:p>
        </w:tc>
        <w:tc>
          <w:tcPr>
            <w:tcW w:w="709" w:type="dxa"/>
            <w:tcBorders>
              <w:top w:val="nil"/>
              <w:left w:val="nil"/>
              <w:bottom w:val="nil"/>
              <w:right w:val="nil"/>
            </w:tcBorders>
            <w:noWrap/>
            <w:vAlign w:val="bottom"/>
            <w:hideMark/>
          </w:tcPr>
          <w:p w14:paraId="416E8BC8"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1429</w:t>
            </w:r>
          </w:p>
        </w:tc>
      </w:tr>
      <w:tr w:rsidR="00307155" w:rsidRPr="00FC7BB4" w14:paraId="0D43BAA5" w14:textId="77777777" w:rsidTr="00291B27">
        <w:trPr>
          <w:trHeight w:val="285"/>
        </w:trPr>
        <w:tc>
          <w:tcPr>
            <w:tcW w:w="2410" w:type="dxa"/>
            <w:tcBorders>
              <w:top w:val="nil"/>
              <w:left w:val="nil"/>
              <w:bottom w:val="nil"/>
              <w:right w:val="single" w:sz="4" w:space="0" w:color="auto"/>
            </w:tcBorders>
            <w:noWrap/>
            <w:vAlign w:val="bottom"/>
            <w:hideMark/>
          </w:tcPr>
          <w:p w14:paraId="0452FD30"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Pnc</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Cdn</w:t>
            </w:r>
            <w:proofErr w:type="spellEnd"/>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Ddn</w:t>
            </w:r>
            <w:proofErr w:type="spellEnd"/>
          </w:p>
        </w:tc>
        <w:tc>
          <w:tcPr>
            <w:tcW w:w="673" w:type="dxa"/>
            <w:tcBorders>
              <w:top w:val="nil"/>
              <w:left w:val="nil"/>
              <w:bottom w:val="nil"/>
              <w:right w:val="nil"/>
            </w:tcBorders>
            <w:noWrap/>
            <w:vAlign w:val="bottom"/>
            <w:hideMark/>
          </w:tcPr>
          <w:p w14:paraId="7EC7BD8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411</w:t>
            </w:r>
          </w:p>
        </w:tc>
        <w:tc>
          <w:tcPr>
            <w:tcW w:w="708" w:type="dxa"/>
            <w:tcBorders>
              <w:top w:val="nil"/>
              <w:left w:val="nil"/>
              <w:bottom w:val="nil"/>
              <w:right w:val="nil"/>
            </w:tcBorders>
            <w:noWrap/>
            <w:vAlign w:val="bottom"/>
            <w:hideMark/>
          </w:tcPr>
          <w:p w14:paraId="4FBDD80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168</w:t>
            </w:r>
          </w:p>
        </w:tc>
        <w:tc>
          <w:tcPr>
            <w:tcW w:w="673" w:type="dxa"/>
            <w:tcBorders>
              <w:top w:val="nil"/>
              <w:left w:val="nil"/>
              <w:bottom w:val="nil"/>
              <w:right w:val="nil"/>
            </w:tcBorders>
            <w:noWrap/>
            <w:vAlign w:val="bottom"/>
            <w:hideMark/>
          </w:tcPr>
          <w:p w14:paraId="4114659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106</w:t>
            </w:r>
          </w:p>
        </w:tc>
        <w:tc>
          <w:tcPr>
            <w:tcW w:w="781" w:type="dxa"/>
            <w:tcBorders>
              <w:top w:val="nil"/>
              <w:left w:val="nil"/>
              <w:bottom w:val="nil"/>
              <w:right w:val="single" w:sz="4" w:space="0" w:color="auto"/>
            </w:tcBorders>
            <w:noWrap/>
            <w:vAlign w:val="bottom"/>
            <w:hideMark/>
          </w:tcPr>
          <w:p w14:paraId="468B54A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685</w:t>
            </w:r>
          </w:p>
        </w:tc>
        <w:tc>
          <w:tcPr>
            <w:tcW w:w="709" w:type="dxa"/>
            <w:tcBorders>
              <w:top w:val="nil"/>
              <w:left w:val="nil"/>
              <w:bottom w:val="nil"/>
              <w:right w:val="nil"/>
            </w:tcBorders>
            <w:noWrap/>
            <w:vAlign w:val="bottom"/>
            <w:hideMark/>
          </w:tcPr>
          <w:p w14:paraId="6A3ABCD1"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197</w:t>
            </w:r>
          </w:p>
        </w:tc>
        <w:tc>
          <w:tcPr>
            <w:tcW w:w="709" w:type="dxa"/>
            <w:tcBorders>
              <w:top w:val="nil"/>
              <w:left w:val="nil"/>
              <w:bottom w:val="nil"/>
              <w:right w:val="nil"/>
            </w:tcBorders>
            <w:noWrap/>
            <w:vAlign w:val="bottom"/>
            <w:hideMark/>
          </w:tcPr>
          <w:p w14:paraId="6A6A825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49</w:t>
            </w:r>
          </w:p>
        </w:tc>
        <w:tc>
          <w:tcPr>
            <w:tcW w:w="708" w:type="dxa"/>
            <w:tcBorders>
              <w:top w:val="nil"/>
              <w:left w:val="nil"/>
              <w:bottom w:val="nil"/>
              <w:right w:val="nil"/>
            </w:tcBorders>
            <w:noWrap/>
            <w:vAlign w:val="bottom"/>
            <w:hideMark/>
          </w:tcPr>
          <w:p w14:paraId="1316B9A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15</w:t>
            </w:r>
          </w:p>
        </w:tc>
        <w:tc>
          <w:tcPr>
            <w:tcW w:w="709" w:type="dxa"/>
            <w:tcBorders>
              <w:top w:val="nil"/>
              <w:left w:val="nil"/>
              <w:bottom w:val="nil"/>
              <w:right w:val="single" w:sz="4" w:space="0" w:color="auto"/>
            </w:tcBorders>
            <w:noWrap/>
            <w:vAlign w:val="bottom"/>
            <w:hideMark/>
          </w:tcPr>
          <w:p w14:paraId="69DC9C59"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261</w:t>
            </w:r>
          </w:p>
        </w:tc>
        <w:tc>
          <w:tcPr>
            <w:tcW w:w="709" w:type="dxa"/>
            <w:tcBorders>
              <w:top w:val="nil"/>
              <w:left w:val="nil"/>
              <w:bottom w:val="nil"/>
              <w:right w:val="nil"/>
            </w:tcBorders>
            <w:noWrap/>
            <w:vAlign w:val="bottom"/>
            <w:hideMark/>
          </w:tcPr>
          <w:p w14:paraId="4F66DF0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608</w:t>
            </w:r>
          </w:p>
        </w:tc>
        <w:tc>
          <w:tcPr>
            <w:tcW w:w="709" w:type="dxa"/>
            <w:tcBorders>
              <w:top w:val="nil"/>
              <w:left w:val="nil"/>
              <w:bottom w:val="nil"/>
              <w:right w:val="nil"/>
            </w:tcBorders>
            <w:noWrap/>
            <w:vAlign w:val="bottom"/>
            <w:hideMark/>
          </w:tcPr>
          <w:p w14:paraId="388690B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217</w:t>
            </w:r>
          </w:p>
        </w:tc>
        <w:tc>
          <w:tcPr>
            <w:tcW w:w="708" w:type="dxa"/>
            <w:tcBorders>
              <w:top w:val="nil"/>
              <w:left w:val="nil"/>
              <w:bottom w:val="nil"/>
              <w:right w:val="nil"/>
            </w:tcBorders>
            <w:noWrap/>
            <w:vAlign w:val="bottom"/>
            <w:hideMark/>
          </w:tcPr>
          <w:p w14:paraId="1D6B9F4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121</w:t>
            </w:r>
          </w:p>
        </w:tc>
        <w:tc>
          <w:tcPr>
            <w:tcW w:w="709" w:type="dxa"/>
            <w:tcBorders>
              <w:top w:val="nil"/>
              <w:left w:val="nil"/>
              <w:bottom w:val="nil"/>
              <w:right w:val="nil"/>
            </w:tcBorders>
            <w:noWrap/>
            <w:vAlign w:val="bottom"/>
            <w:hideMark/>
          </w:tcPr>
          <w:p w14:paraId="44C9D02A"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946</w:t>
            </w:r>
          </w:p>
        </w:tc>
      </w:tr>
      <w:tr w:rsidR="00307155" w:rsidRPr="00FC7BB4" w14:paraId="64D1FF4D" w14:textId="77777777" w:rsidTr="00291B27">
        <w:trPr>
          <w:trHeight w:val="285"/>
        </w:trPr>
        <w:tc>
          <w:tcPr>
            <w:tcW w:w="2410" w:type="dxa"/>
            <w:tcBorders>
              <w:top w:val="nil"/>
              <w:left w:val="nil"/>
              <w:bottom w:val="nil"/>
              <w:right w:val="single" w:sz="4" w:space="0" w:color="auto"/>
            </w:tcBorders>
            <w:noWrap/>
            <w:vAlign w:val="bottom"/>
            <w:hideMark/>
          </w:tcPr>
          <w:p w14:paraId="7A5C082E"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Total no price changes</w:t>
            </w:r>
          </w:p>
        </w:tc>
        <w:tc>
          <w:tcPr>
            <w:tcW w:w="673" w:type="dxa"/>
            <w:tcBorders>
              <w:top w:val="nil"/>
              <w:left w:val="nil"/>
              <w:bottom w:val="nil"/>
              <w:right w:val="nil"/>
            </w:tcBorders>
            <w:noWrap/>
            <w:vAlign w:val="bottom"/>
            <w:hideMark/>
          </w:tcPr>
          <w:p w14:paraId="37B2CE6A"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24127</w:t>
            </w:r>
          </w:p>
        </w:tc>
        <w:tc>
          <w:tcPr>
            <w:tcW w:w="708" w:type="dxa"/>
            <w:tcBorders>
              <w:top w:val="nil"/>
              <w:left w:val="nil"/>
              <w:bottom w:val="nil"/>
              <w:right w:val="nil"/>
            </w:tcBorders>
            <w:noWrap/>
            <w:vAlign w:val="bottom"/>
            <w:hideMark/>
          </w:tcPr>
          <w:p w14:paraId="61A57C2B"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12586</w:t>
            </w:r>
          </w:p>
        </w:tc>
        <w:tc>
          <w:tcPr>
            <w:tcW w:w="673" w:type="dxa"/>
            <w:tcBorders>
              <w:top w:val="nil"/>
              <w:left w:val="nil"/>
              <w:bottom w:val="nil"/>
              <w:right w:val="nil"/>
            </w:tcBorders>
            <w:noWrap/>
            <w:vAlign w:val="bottom"/>
            <w:hideMark/>
          </w:tcPr>
          <w:p w14:paraId="24995849"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12535</w:t>
            </w:r>
          </w:p>
        </w:tc>
        <w:tc>
          <w:tcPr>
            <w:tcW w:w="781" w:type="dxa"/>
            <w:tcBorders>
              <w:top w:val="nil"/>
              <w:left w:val="nil"/>
              <w:bottom w:val="nil"/>
              <w:right w:val="single" w:sz="4" w:space="0" w:color="auto"/>
            </w:tcBorders>
            <w:noWrap/>
            <w:vAlign w:val="bottom"/>
            <w:hideMark/>
          </w:tcPr>
          <w:p w14:paraId="29DCBA1E"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49248</w:t>
            </w:r>
          </w:p>
        </w:tc>
        <w:tc>
          <w:tcPr>
            <w:tcW w:w="709" w:type="dxa"/>
            <w:tcBorders>
              <w:top w:val="nil"/>
              <w:left w:val="nil"/>
              <w:bottom w:val="nil"/>
              <w:right w:val="nil"/>
            </w:tcBorders>
            <w:noWrap/>
            <w:vAlign w:val="bottom"/>
            <w:hideMark/>
          </w:tcPr>
          <w:p w14:paraId="13DCE35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20204</w:t>
            </w:r>
          </w:p>
        </w:tc>
        <w:tc>
          <w:tcPr>
            <w:tcW w:w="709" w:type="dxa"/>
            <w:tcBorders>
              <w:top w:val="nil"/>
              <w:left w:val="nil"/>
              <w:bottom w:val="nil"/>
              <w:right w:val="nil"/>
            </w:tcBorders>
            <w:noWrap/>
            <w:vAlign w:val="bottom"/>
            <w:hideMark/>
          </w:tcPr>
          <w:p w14:paraId="1C09932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3803</w:t>
            </w:r>
          </w:p>
        </w:tc>
        <w:tc>
          <w:tcPr>
            <w:tcW w:w="708" w:type="dxa"/>
            <w:tcBorders>
              <w:top w:val="nil"/>
              <w:left w:val="nil"/>
              <w:bottom w:val="nil"/>
              <w:right w:val="nil"/>
            </w:tcBorders>
            <w:noWrap/>
            <w:vAlign w:val="bottom"/>
            <w:hideMark/>
          </w:tcPr>
          <w:p w14:paraId="365E7118"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138#</w:t>
            </w:r>
          </w:p>
        </w:tc>
        <w:tc>
          <w:tcPr>
            <w:tcW w:w="709" w:type="dxa"/>
            <w:tcBorders>
              <w:top w:val="nil"/>
              <w:left w:val="nil"/>
              <w:bottom w:val="nil"/>
              <w:right w:val="single" w:sz="4" w:space="0" w:color="auto"/>
            </w:tcBorders>
            <w:noWrap/>
            <w:vAlign w:val="bottom"/>
            <w:hideMark/>
          </w:tcPr>
          <w:p w14:paraId="60257537"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2538#</w:t>
            </w:r>
          </w:p>
        </w:tc>
        <w:tc>
          <w:tcPr>
            <w:tcW w:w="709" w:type="dxa"/>
            <w:tcBorders>
              <w:top w:val="nil"/>
              <w:left w:val="nil"/>
              <w:bottom w:val="nil"/>
              <w:right w:val="nil"/>
            </w:tcBorders>
            <w:noWrap/>
            <w:vAlign w:val="bottom"/>
            <w:hideMark/>
          </w:tcPr>
          <w:p w14:paraId="180EB479"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44331</w:t>
            </w:r>
          </w:p>
        </w:tc>
        <w:tc>
          <w:tcPr>
            <w:tcW w:w="709" w:type="dxa"/>
            <w:tcBorders>
              <w:top w:val="nil"/>
              <w:left w:val="nil"/>
              <w:bottom w:val="nil"/>
              <w:right w:val="nil"/>
            </w:tcBorders>
            <w:noWrap/>
            <w:vAlign w:val="bottom"/>
            <w:hideMark/>
          </w:tcPr>
          <w:p w14:paraId="072E323E"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16389</w:t>
            </w:r>
          </w:p>
        </w:tc>
        <w:tc>
          <w:tcPr>
            <w:tcW w:w="708" w:type="dxa"/>
            <w:tcBorders>
              <w:top w:val="nil"/>
              <w:left w:val="nil"/>
              <w:bottom w:val="nil"/>
              <w:right w:val="nil"/>
            </w:tcBorders>
            <w:noWrap/>
            <w:vAlign w:val="bottom"/>
            <w:hideMark/>
          </w:tcPr>
          <w:p w14:paraId="124A356A"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1391#</w:t>
            </w:r>
          </w:p>
        </w:tc>
        <w:tc>
          <w:tcPr>
            <w:tcW w:w="709" w:type="dxa"/>
            <w:tcBorders>
              <w:top w:val="nil"/>
              <w:left w:val="nil"/>
              <w:bottom w:val="nil"/>
              <w:right w:val="nil"/>
            </w:tcBorders>
            <w:noWrap/>
            <w:vAlign w:val="bottom"/>
            <w:hideMark/>
          </w:tcPr>
          <w:p w14:paraId="43EFE286"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7463#</w:t>
            </w:r>
          </w:p>
        </w:tc>
      </w:tr>
      <w:tr w:rsidR="00307155" w:rsidRPr="00FC7BB4" w14:paraId="0B1F7576" w14:textId="77777777" w:rsidTr="00291B27">
        <w:trPr>
          <w:trHeight w:val="285"/>
        </w:trPr>
        <w:tc>
          <w:tcPr>
            <w:tcW w:w="2410" w:type="dxa"/>
            <w:tcBorders>
              <w:top w:val="nil"/>
              <w:left w:val="nil"/>
              <w:bottom w:val="nil"/>
              <w:right w:val="single" w:sz="4" w:space="0" w:color="auto"/>
            </w:tcBorders>
            <w:noWrap/>
            <w:vAlign w:val="bottom"/>
          </w:tcPr>
          <w:p w14:paraId="673C17E5"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 w:val="18"/>
                <w:szCs w:val="18"/>
                <w14:ligatures w14:val="none"/>
              </w:rPr>
            </w:pPr>
          </w:p>
        </w:tc>
        <w:tc>
          <w:tcPr>
            <w:tcW w:w="673" w:type="dxa"/>
            <w:tcBorders>
              <w:top w:val="nil"/>
              <w:left w:val="nil"/>
              <w:bottom w:val="nil"/>
              <w:right w:val="nil"/>
            </w:tcBorders>
            <w:noWrap/>
            <w:vAlign w:val="bottom"/>
          </w:tcPr>
          <w:p w14:paraId="076D8DC0"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8" w:type="dxa"/>
            <w:tcBorders>
              <w:top w:val="nil"/>
              <w:left w:val="nil"/>
              <w:bottom w:val="nil"/>
              <w:right w:val="nil"/>
            </w:tcBorders>
            <w:noWrap/>
            <w:vAlign w:val="bottom"/>
          </w:tcPr>
          <w:p w14:paraId="10E3C54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673" w:type="dxa"/>
            <w:tcBorders>
              <w:top w:val="nil"/>
              <w:left w:val="nil"/>
              <w:bottom w:val="nil"/>
              <w:right w:val="nil"/>
            </w:tcBorders>
            <w:noWrap/>
            <w:vAlign w:val="bottom"/>
          </w:tcPr>
          <w:p w14:paraId="0D134BE6"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81" w:type="dxa"/>
            <w:tcBorders>
              <w:top w:val="nil"/>
              <w:left w:val="nil"/>
              <w:bottom w:val="nil"/>
              <w:right w:val="single" w:sz="4" w:space="0" w:color="auto"/>
            </w:tcBorders>
            <w:noWrap/>
            <w:vAlign w:val="bottom"/>
          </w:tcPr>
          <w:p w14:paraId="38535EA4"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71629A3C"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6EC3D5C6"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8" w:type="dxa"/>
            <w:tcBorders>
              <w:top w:val="nil"/>
              <w:left w:val="nil"/>
              <w:bottom w:val="nil"/>
              <w:right w:val="nil"/>
            </w:tcBorders>
            <w:noWrap/>
            <w:vAlign w:val="bottom"/>
          </w:tcPr>
          <w:p w14:paraId="69ECEF02"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single" w:sz="4" w:space="0" w:color="auto"/>
            </w:tcBorders>
            <w:noWrap/>
            <w:vAlign w:val="bottom"/>
          </w:tcPr>
          <w:p w14:paraId="419A1716"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4F748E6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458785A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8" w:type="dxa"/>
            <w:tcBorders>
              <w:top w:val="nil"/>
              <w:left w:val="nil"/>
              <w:bottom w:val="nil"/>
              <w:right w:val="nil"/>
            </w:tcBorders>
            <w:noWrap/>
            <w:vAlign w:val="bottom"/>
          </w:tcPr>
          <w:p w14:paraId="7B1ED352"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689DDC7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r>
      <w:tr w:rsidR="00307155" w:rsidRPr="00FC7BB4" w14:paraId="5A88968F" w14:textId="77777777" w:rsidTr="00291B27">
        <w:trPr>
          <w:trHeight w:val="285"/>
        </w:trPr>
        <w:tc>
          <w:tcPr>
            <w:tcW w:w="2410" w:type="dxa"/>
            <w:tcBorders>
              <w:top w:val="nil"/>
              <w:left w:val="nil"/>
              <w:bottom w:val="nil"/>
              <w:right w:val="single" w:sz="4" w:space="0" w:color="auto"/>
            </w:tcBorders>
            <w:noWrap/>
            <w:vAlign w:val="bottom"/>
            <w:hideMark/>
          </w:tcPr>
          <w:p w14:paraId="50E9D422"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Pdn</w:t>
            </w:r>
            <w:proofErr w:type="spellEnd"/>
            <w:r w:rsidRPr="00FC7BB4">
              <w:rPr>
                <w:rFonts w:ascii="Times New Roman" w:eastAsia="Times New Roman" w:hAnsi="Times New Roman" w:cs="Times New Roman"/>
                <w:color w:val="auto"/>
                <w:kern w:val="0"/>
                <w:sz w:val="18"/>
                <w:szCs w:val="18"/>
                <w14:ligatures w14:val="none"/>
              </w:rPr>
              <w:t xml:space="preserve"> | Cup, Dup</w:t>
            </w:r>
          </w:p>
        </w:tc>
        <w:tc>
          <w:tcPr>
            <w:tcW w:w="673" w:type="dxa"/>
            <w:tcBorders>
              <w:top w:val="nil"/>
              <w:left w:val="nil"/>
              <w:bottom w:val="nil"/>
              <w:right w:val="nil"/>
            </w:tcBorders>
            <w:noWrap/>
            <w:vAlign w:val="bottom"/>
            <w:hideMark/>
          </w:tcPr>
          <w:p w14:paraId="357BF2E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249</w:t>
            </w:r>
          </w:p>
        </w:tc>
        <w:tc>
          <w:tcPr>
            <w:tcW w:w="708" w:type="dxa"/>
            <w:tcBorders>
              <w:top w:val="nil"/>
              <w:left w:val="nil"/>
              <w:bottom w:val="nil"/>
              <w:right w:val="nil"/>
            </w:tcBorders>
            <w:noWrap/>
            <w:vAlign w:val="bottom"/>
            <w:hideMark/>
          </w:tcPr>
          <w:p w14:paraId="6F220D2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123</w:t>
            </w:r>
          </w:p>
        </w:tc>
        <w:tc>
          <w:tcPr>
            <w:tcW w:w="673" w:type="dxa"/>
            <w:tcBorders>
              <w:top w:val="nil"/>
              <w:left w:val="nil"/>
              <w:bottom w:val="nil"/>
              <w:right w:val="nil"/>
            </w:tcBorders>
            <w:noWrap/>
            <w:vAlign w:val="bottom"/>
            <w:hideMark/>
          </w:tcPr>
          <w:p w14:paraId="085FD32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120</w:t>
            </w:r>
          </w:p>
        </w:tc>
        <w:tc>
          <w:tcPr>
            <w:tcW w:w="781" w:type="dxa"/>
            <w:tcBorders>
              <w:top w:val="nil"/>
              <w:left w:val="nil"/>
              <w:bottom w:val="nil"/>
              <w:right w:val="single" w:sz="4" w:space="0" w:color="auto"/>
            </w:tcBorders>
            <w:noWrap/>
            <w:vAlign w:val="bottom"/>
            <w:hideMark/>
          </w:tcPr>
          <w:p w14:paraId="5F3489B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492</w:t>
            </w:r>
          </w:p>
        </w:tc>
        <w:tc>
          <w:tcPr>
            <w:tcW w:w="709" w:type="dxa"/>
            <w:tcBorders>
              <w:top w:val="nil"/>
              <w:left w:val="nil"/>
              <w:bottom w:val="nil"/>
              <w:right w:val="nil"/>
            </w:tcBorders>
            <w:noWrap/>
            <w:vAlign w:val="bottom"/>
            <w:hideMark/>
          </w:tcPr>
          <w:p w14:paraId="7D93DF5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154</w:t>
            </w:r>
          </w:p>
        </w:tc>
        <w:tc>
          <w:tcPr>
            <w:tcW w:w="709" w:type="dxa"/>
            <w:tcBorders>
              <w:top w:val="nil"/>
              <w:left w:val="nil"/>
              <w:bottom w:val="nil"/>
              <w:right w:val="nil"/>
            </w:tcBorders>
            <w:noWrap/>
            <w:vAlign w:val="bottom"/>
            <w:hideMark/>
          </w:tcPr>
          <w:p w14:paraId="2CEBC66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18</w:t>
            </w:r>
          </w:p>
        </w:tc>
        <w:tc>
          <w:tcPr>
            <w:tcW w:w="708" w:type="dxa"/>
            <w:tcBorders>
              <w:top w:val="nil"/>
              <w:left w:val="nil"/>
              <w:bottom w:val="nil"/>
              <w:right w:val="nil"/>
            </w:tcBorders>
            <w:noWrap/>
            <w:vAlign w:val="bottom"/>
            <w:hideMark/>
          </w:tcPr>
          <w:p w14:paraId="6C262C8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w:t>
            </w:r>
          </w:p>
        </w:tc>
        <w:tc>
          <w:tcPr>
            <w:tcW w:w="709" w:type="dxa"/>
            <w:tcBorders>
              <w:top w:val="nil"/>
              <w:left w:val="nil"/>
              <w:bottom w:val="nil"/>
              <w:right w:val="single" w:sz="4" w:space="0" w:color="auto"/>
            </w:tcBorders>
            <w:noWrap/>
            <w:vAlign w:val="bottom"/>
            <w:hideMark/>
          </w:tcPr>
          <w:p w14:paraId="0F867D0D"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17#</w:t>
            </w:r>
          </w:p>
        </w:tc>
        <w:tc>
          <w:tcPr>
            <w:tcW w:w="709" w:type="dxa"/>
            <w:tcBorders>
              <w:top w:val="nil"/>
              <w:left w:val="nil"/>
              <w:bottom w:val="nil"/>
              <w:right w:val="nil"/>
            </w:tcBorders>
            <w:noWrap/>
            <w:vAlign w:val="bottom"/>
            <w:hideMark/>
          </w:tcPr>
          <w:p w14:paraId="35781F16"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403</w:t>
            </w:r>
          </w:p>
        </w:tc>
        <w:tc>
          <w:tcPr>
            <w:tcW w:w="709" w:type="dxa"/>
            <w:tcBorders>
              <w:top w:val="nil"/>
              <w:left w:val="nil"/>
              <w:bottom w:val="nil"/>
              <w:right w:val="nil"/>
            </w:tcBorders>
            <w:noWrap/>
            <w:vAlign w:val="bottom"/>
            <w:hideMark/>
          </w:tcPr>
          <w:p w14:paraId="5C4D4DC8"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141</w:t>
            </w:r>
          </w:p>
        </w:tc>
        <w:tc>
          <w:tcPr>
            <w:tcW w:w="708" w:type="dxa"/>
            <w:tcBorders>
              <w:top w:val="nil"/>
              <w:left w:val="nil"/>
              <w:bottom w:val="nil"/>
              <w:right w:val="nil"/>
            </w:tcBorders>
            <w:noWrap/>
            <w:vAlign w:val="bottom"/>
            <w:hideMark/>
          </w:tcPr>
          <w:p w14:paraId="1CADD3B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125</w:t>
            </w:r>
          </w:p>
        </w:tc>
        <w:tc>
          <w:tcPr>
            <w:tcW w:w="709" w:type="dxa"/>
            <w:tcBorders>
              <w:top w:val="nil"/>
              <w:left w:val="nil"/>
              <w:bottom w:val="nil"/>
              <w:right w:val="nil"/>
            </w:tcBorders>
            <w:noWrap/>
            <w:vAlign w:val="bottom"/>
            <w:hideMark/>
          </w:tcPr>
          <w:p w14:paraId="53A0CA9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66#</w:t>
            </w:r>
          </w:p>
        </w:tc>
      </w:tr>
      <w:tr w:rsidR="00307155" w:rsidRPr="00FC7BB4" w14:paraId="6ABEDBD1" w14:textId="77777777" w:rsidTr="00291B27">
        <w:trPr>
          <w:trHeight w:val="285"/>
        </w:trPr>
        <w:tc>
          <w:tcPr>
            <w:tcW w:w="2410" w:type="dxa"/>
            <w:tcBorders>
              <w:top w:val="nil"/>
              <w:left w:val="nil"/>
              <w:bottom w:val="nil"/>
              <w:right w:val="single" w:sz="4" w:space="0" w:color="auto"/>
            </w:tcBorders>
            <w:noWrap/>
            <w:vAlign w:val="bottom"/>
            <w:hideMark/>
          </w:tcPr>
          <w:p w14:paraId="4504E363"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Pdn</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Cup, </w:t>
            </w:r>
            <w:proofErr w:type="spellStart"/>
            <w:r w:rsidRPr="00FC7BB4">
              <w:rPr>
                <w:rFonts w:ascii="Times New Roman" w:eastAsia="Times New Roman" w:hAnsi="Times New Roman" w:cs="Times New Roman"/>
                <w:color w:val="auto"/>
                <w:kern w:val="0"/>
                <w:sz w:val="18"/>
                <w:szCs w:val="18"/>
                <w14:ligatures w14:val="none"/>
              </w:rPr>
              <w:t>Dnc</w:t>
            </w:r>
            <w:proofErr w:type="spellEnd"/>
          </w:p>
        </w:tc>
        <w:tc>
          <w:tcPr>
            <w:tcW w:w="673" w:type="dxa"/>
            <w:tcBorders>
              <w:top w:val="nil"/>
              <w:left w:val="nil"/>
              <w:bottom w:val="nil"/>
              <w:right w:val="nil"/>
            </w:tcBorders>
            <w:noWrap/>
            <w:vAlign w:val="bottom"/>
            <w:hideMark/>
          </w:tcPr>
          <w:p w14:paraId="679414F8"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495</w:t>
            </w:r>
          </w:p>
        </w:tc>
        <w:tc>
          <w:tcPr>
            <w:tcW w:w="708" w:type="dxa"/>
            <w:tcBorders>
              <w:top w:val="nil"/>
              <w:left w:val="nil"/>
              <w:bottom w:val="nil"/>
              <w:right w:val="nil"/>
            </w:tcBorders>
            <w:noWrap/>
            <w:vAlign w:val="bottom"/>
            <w:hideMark/>
          </w:tcPr>
          <w:p w14:paraId="36F55D4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274</w:t>
            </w:r>
          </w:p>
        </w:tc>
        <w:tc>
          <w:tcPr>
            <w:tcW w:w="673" w:type="dxa"/>
            <w:tcBorders>
              <w:top w:val="nil"/>
              <w:left w:val="nil"/>
              <w:bottom w:val="nil"/>
              <w:right w:val="nil"/>
            </w:tcBorders>
            <w:noWrap/>
            <w:vAlign w:val="bottom"/>
            <w:hideMark/>
          </w:tcPr>
          <w:p w14:paraId="7E08A8A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229</w:t>
            </w:r>
          </w:p>
        </w:tc>
        <w:tc>
          <w:tcPr>
            <w:tcW w:w="781" w:type="dxa"/>
            <w:tcBorders>
              <w:top w:val="nil"/>
              <w:left w:val="nil"/>
              <w:bottom w:val="nil"/>
              <w:right w:val="single" w:sz="4" w:space="0" w:color="auto"/>
            </w:tcBorders>
            <w:noWrap/>
            <w:vAlign w:val="bottom"/>
            <w:hideMark/>
          </w:tcPr>
          <w:p w14:paraId="2D3A5D5E"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998</w:t>
            </w:r>
          </w:p>
        </w:tc>
        <w:tc>
          <w:tcPr>
            <w:tcW w:w="709" w:type="dxa"/>
            <w:tcBorders>
              <w:top w:val="nil"/>
              <w:left w:val="nil"/>
              <w:bottom w:val="nil"/>
              <w:right w:val="nil"/>
            </w:tcBorders>
            <w:noWrap/>
            <w:vAlign w:val="bottom"/>
            <w:hideMark/>
          </w:tcPr>
          <w:p w14:paraId="331CA53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373</w:t>
            </w:r>
          </w:p>
        </w:tc>
        <w:tc>
          <w:tcPr>
            <w:tcW w:w="709" w:type="dxa"/>
            <w:tcBorders>
              <w:top w:val="nil"/>
              <w:left w:val="nil"/>
              <w:bottom w:val="nil"/>
              <w:right w:val="nil"/>
            </w:tcBorders>
            <w:noWrap/>
            <w:vAlign w:val="bottom"/>
            <w:hideMark/>
          </w:tcPr>
          <w:p w14:paraId="6CFAB5B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70</w:t>
            </w:r>
          </w:p>
        </w:tc>
        <w:tc>
          <w:tcPr>
            <w:tcW w:w="708" w:type="dxa"/>
            <w:tcBorders>
              <w:top w:val="nil"/>
              <w:left w:val="nil"/>
              <w:bottom w:val="nil"/>
              <w:right w:val="nil"/>
            </w:tcBorders>
            <w:noWrap/>
            <w:vAlign w:val="bottom"/>
            <w:hideMark/>
          </w:tcPr>
          <w:p w14:paraId="691A616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22</w:t>
            </w:r>
          </w:p>
        </w:tc>
        <w:tc>
          <w:tcPr>
            <w:tcW w:w="709" w:type="dxa"/>
            <w:tcBorders>
              <w:top w:val="nil"/>
              <w:left w:val="nil"/>
              <w:bottom w:val="nil"/>
              <w:right w:val="single" w:sz="4" w:space="0" w:color="auto"/>
            </w:tcBorders>
            <w:noWrap/>
            <w:vAlign w:val="bottom"/>
            <w:hideMark/>
          </w:tcPr>
          <w:p w14:paraId="3416CB16"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465</w:t>
            </w:r>
          </w:p>
        </w:tc>
        <w:tc>
          <w:tcPr>
            <w:tcW w:w="709" w:type="dxa"/>
            <w:tcBorders>
              <w:top w:val="nil"/>
              <w:left w:val="nil"/>
              <w:bottom w:val="nil"/>
              <w:right w:val="nil"/>
            </w:tcBorders>
            <w:noWrap/>
            <w:vAlign w:val="bottom"/>
            <w:hideMark/>
          </w:tcPr>
          <w:p w14:paraId="6979E6B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868</w:t>
            </w:r>
          </w:p>
        </w:tc>
        <w:tc>
          <w:tcPr>
            <w:tcW w:w="709" w:type="dxa"/>
            <w:tcBorders>
              <w:top w:val="nil"/>
              <w:left w:val="nil"/>
              <w:bottom w:val="nil"/>
              <w:right w:val="nil"/>
            </w:tcBorders>
            <w:noWrap/>
            <w:vAlign w:val="bottom"/>
            <w:hideMark/>
          </w:tcPr>
          <w:p w14:paraId="04946DD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344</w:t>
            </w:r>
          </w:p>
        </w:tc>
        <w:tc>
          <w:tcPr>
            <w:tcW w:w="708" w:type="dxa"/>
            <w:tcBorders>
              <w:top w:val="nil"/>
              <w:left w:val="nil"/>
              <w:bottom w:val="nil"/>
              <w:right w:val="nil"/>
            </w:tcBorders>
            <w:noWrap/>
            <w:vAlign w:val="bottom"/>
            <w:hideMark/>
          </w:tcPr>
          <w:p w14:paraId="4D45D061"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251</w:t>
            </w:r>
          </w:p>
        </w:tc>
        <w:tc>
          <w:tcPr>
            <w:tcW w:w="709" w:type="dxa"/>
            <w:tcBorders>
              <w:top w:val="nil"/>
              <w:left w:val="nil"/>
              <w:bottom w:val="nil"/>
              <w:right w:val="nil"/>
            </w:tcBorders>
            <w:noWrap/>
            <w:vAlign w:val="bottom"/>
            <w:hideMark/>
          </w:tcPr>
          <w:p w14:paraId="0A57F0D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1463</w:t>
            </w:r>
          </w:p>
        </w:tc>
      </w:tr>
      <w:tr w:rsidR="00307155" w:rsidRPr="00FC7BB4" w14:paraId="3E95E512" w14:textId="77777777" w:rsidTr="00291B27">
        <w:trPr>
          <w:trHeight w:val="285"/>
        </w:trPr>
        <w:tc>
          <w:tcPr>
            <w:tcW w:w="2410" w:type="dxa"/>
            <w:tcBorders>
              <w:top w:val="nil"/>
              <w:left w:val="nil"/>
              <w:bottom w:val="nil"/>
              <w:right w:val="single" w:sz="4" w:space="0" w:color="auto"/>
            </w:tcBorders>
            <w:noWrap/>
            <w:vAlign w:val="bottom"/>
            <w:hideMark/>
          </w:tcPr>
          <w:p w14:paraId="3703C2DC"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Pdn</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Cup, </w:t>
            </w:r>
            <w:proofErr w:type="spellStart"/>
            <w:r w:rsidRPr="00FC7BB4">
              <w:rPr>
                <w:rFonts w:ascii="Times New Roman" w:eastAsia="Times New Roman" w:hAnsi="Times New Roman" w:cs="Times New Roman"/>
                <w:color w:val="auto"/>
                <w:kern w:val="0"/>
                <w:sz w:val="18"/>
                <w:szCs w:val="18"/>
                <w14:ligatures w14:val="none"/>
              </w:rPr>
              <w:t>Ddn</w:t>
            </w:r>
            <w:proofErr w:type="spellEnd"/>
          </w:p>
        </w:tc>
        <w:tc>
          <w:tcPr>
            <w:tcW w:w="673" w:type="dxa"/>
            <w:tcBorders>
              <w:top w:val="nil"/>
              <w:left w:val="nil"/>
              <w:bottom w:val="nil"/>
              <w:right w:val="nil"/>
            </w:tcBorders>
            <w:noWrap/>
            <w:vAlign w:val="bottom"/>
            <w:hideMark/>
          </w:tcPr>
          <w:p w14:paraId="265734E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630</w:t>
            </w:r>
          </w:p>
        </w:tc>
        <w:tc>
          <w:tcPr>
            <w:tcW w:w="708" w:type="dxa"/>
            <w:tcBorders>
              <w:top w:val="nil"/>
              <w:left w:val="nil"/>
              <w:bottom w:val="nil"/>
              <w:right w:val="nil"/>
            </w:tcBorders>
            <w:noWrap/>
            <w:vAlign w:val="bottom"/>
            <w:hideMark/>
          </w:tcPr>
          <w:p w14:paraId="7A9590F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392</w:t>
            </w:r>
          </w:p>
        </w:tc>
        <w:tc>
          <w:tcPr>
            <w:tcW w:w="673" w:type="dxa"/>
            <w:tcBorders>
              <w:top w:val="nil"/>
              <w:left w:val="nil"/>
              <w:bottom w:val="nil"/>
              <w:right w:val="nil"/>
            </w:tcBorders>
            <w:noWrap/>
            <w:vAlign w:val="bottom"/>
            <w:hideMark/>
          </w:tcPr>
          <w:p w14:paraId="56E6D75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409</w:t>
            </w:r>
          </w:p>
        </w:tc>
        <w:tc>
          <w:tcPr>
            <w:tcW w:w="781" w:type="dxa"/>
            <w:tcBorders>
              <w:top w:val="nil"/>
              <w:left w:val="nil"/>
              <w:bottom w:val="nil"/>
              <w:right w:val="single" w:sz="4" w:space="0" w:color="auto"/>
            </w:tcBorders>
            <w:noWrap/>
            <w:vAlign w:val="bottom"/>
            <w:hideMark/>
          </w:tcPr>
          <w:p w14:paraId="70DF8090"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1431</w:t>
            </w:r>
          </w:p>
        </w:tc>
        <w:tc>
          <w:tcPr>
            <w:tcW w:w="709" w:type="dxa"/>
            <w:tcBorders>
              <w:top w:val="nil"/>
              <w:left w:val="nil"/>
              <w:bottom w:val="nil"/>
              <w:right w:val="nil"/>
            </w:tcBorders>
            <w:noWrap/>
            <w:vAlign w:val="bottom"/>
            <w:hideMark/>
          </w:tcPr>
          <w:p w14:paraId="4954065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419</w:t>
            </w:r>
          </w:p>
        </w:tc>
        <w:tc>
          <w:tcPr>
            <w:tcW w:w="709" w:type="dxa"/>
            <w:tcBorders>
              <w:top w:val="nil"/>
              <w:left w:val="nil"/>
              <w:bottom w:val="nil"/>
              <w:right w:val="nil"/>
            </w:tcBorders>
            <w:noWrap/>
            <w:vAlign w:val="bottom"/>
            <w:hideMark/>
          </w:tcPr>
          <w:p w14:paraId="37849638"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144</w:t>
            </w:r>
          </w:p>
        </w:tc>
        <w:tc>
          <w:tcPr>
            <w:tcW w:w="708" w:type="dxa"/>
            <w:tcBorders>
              <w:top w:val="nil"/>
              <w:left w:val="nil"/>
              <w:bottom w:val="nil"/>
              <w:right w:val="nil"/>
            </w:tcBorders>
            <w:noWrap/>
            <w:vAlign w:val="bottom"/>
            <w:hideMark/>
          </w:tcPr>
          <w:p w14:paraId="7483AEEB"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44</w:t>
            </w:r>
          </w:p>
        </w:tc>
        <w:tc>
          <w:tcPr>
            <w:tcW w:w="709" w:type="dxa"/>
            <w:tcBorders>
              <w:top w:val="nil"/>
              <w:left w:val="nil"/>
              <w:bottom w:val="nil"/>
              <w:right w:val="single" w:sz="4" w:space="0" w:color="auto"/>
            </w:tcBorders>
            <w:noWrap/>
            <w:vAlign w:val="bottom"/>
            <w:hideMark/>
          </w:tcPr>
          <w:p w14:paraId="7ADA5FA2"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607</w:t>
            </w:r>
          </w:p>
        </w:tc>
        <w:tc>
          <w:tcPr>
            <w:tcW w:w="709" w:type="dxa"/>
            <w:tcBorders>
              <w:top w:val="nil"/>
              <w:left w:val="nil"/>
              <w:bottom w:val="nil"/>
              <w:right w:val="nil"/>
            </w:tcBorders>
            <w:noWrap/>
            <w:vAlign w:val="bottom"/>
            <w:hideMark/>
          </w:tcPr>
          <w:p w14:paraId="2693CA3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1049</w:t>
            </w:r>
          </w:p>
        </w:tc>
        <w:tc>
          <w:tcPr>
            <w:tcW w:w="709" w:type="dxa"/>
            <w:tcBorders>
              <w:top w:val="nil"/>
              <w:left w:val="nil"/>
              <w:bottom w:val="nil"/>
              <w:right w:val="nil"/>
            </w:tcBorders>
            <w:noWrap/>
            <w:vAlign w:val="bottom"/>
            <w:hideMark/>
          </w:tcPr>
          <w:p w14:paraId="0EC10C9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536</w:t>
            </w:r>
          </w:p>
        </w:tc>
        <w:tc>
          <w:tcPr>
            <w:tcW w:w="708" w:type="dxa"/>
            <w:tcBorders>
              <w:top w:val="nil"/>
              <w:left w:val="nil"/>
              <w:bottom w:val="nil"/>
              <w:right w:val="nil"/>
            </w:tcBorders>
            <w:noWrap/>
            <w:vAlign w:val="bottom"/>
            <w:hideMark/>
          </w:tcPr>
          <w:p w14:paraId="1F0C3B8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453</w:t>
            </w:r>
          </w:p>
        </w:tc>
        <w:tc>
          <w:tcPr>
            <w:tcW w:w="709" w:type="dxa"/>
            <w:tcBorders>
              <w:top w:val="nil"/>
              <w:left w:val="nil"/>
              <w:bottom w:val="nil"/>
              <w:right w:val="nil"/>
            </w:tcBorders>
            <w:noWrap/>
            <w:vAlign w:val="bottom"/>
            <w:hideMark/>
          </w:tcPr>
          <w:p w14:paraId="3354282C"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2038</w:t>
            </w:r>
          </w:p>
        </w:tc>
      </w:tr>
      <w:tr w:rsidR="00307155" w:rsidRPr="00FC7BB4" w14:paraId="36848D9B" w14:textId="77777777" w:rsidTr="00291B27">
        <w:trPr>
          <w:trHeight w:val="285"/>
        </w:trPr>
        <w:tc>
          <w:tcPr>
            <w:tcW w:w="2410" w:type="dxa"/>
            <w:tcBorders>
              <w:top w:val="nil"/>
              <w:left w:val="nil"/>
              <w:bottom w:val="nil"/>
              <w:right w:val="single" w:sz="4" w:space="0" w:color="auto"/>
            </w:tcBorders>
            <w:noWrap/>
            <w:vAlign w:val="bottom"/>
            <w:hideMark/>
          </w:tcPr>
          <w:p w14:paraId="1781A926"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Pdn</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Cnc</w:t>
            </w:r>
            <w:proofErr w:type="spellEnd"/>
            <w:r w:rsidRPr="00FC7BB4">
              <w:rPr>
                <w:rFonts w:ascii="Times New Roman" w:eastAsia="Times New Roman" w:hAnsi="Times New Roman" w:cs="Times New Roman"/>
                <w:color w:val="auto"/>
                <w:kern w:val="0"/>
                <w:sz w:val="18"/>
                <w:szCs w:val="18"/>
                <w14:ligatures w14:val="none"/>
              </w:rPr>
              <w:t>, Dup</w:t>
            </w:r>
          </w:p>
        </w:tc>
        <w:tc>
          <w:tcPr>
            <w:tcW w:w="673" w:type="dxa"/>
            <w:tcBorders>
              <w:top w:val="nil"/>
              <w:left w:val="nil"/>
              <w:bottom w:val="nil"/>
              <w:right w:val="nil"/>
            </w:tcBorders>
            <w:noWrap/>
            <w:vAlign w:val="bottom"/>
            <w:hideMark/>
          </w:tcPr>
          <w:p w14:paraId="6442E6D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620</w:t>
            </w:r>
          </w:p>
        </w:tc>
        <w:tc>
          <w:tcPr>
            <w:tcW w:w="708" w:type="dxa"/>
            <w:tcBorders>
              <w:top w:val="nil"/>
              <w:left w:val="nil"/>
              <w:bottom w:val="nil"/>
              <w:right w:val="nil"/>
            </w:tcBorders>
            <w:noWrap/>
            <w:vAlign w:val="bottom"/>
            <w:hideMark/>
          </w:tcPr>
          <w:p w14:paraId="759E2C8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168</w:t>
            </w:r>
          </w:p>
        </w:tc>
        <w:tc>
          <w:tcPr>
            <w:tcW w:w="673" w:type="dxa"/>
            <w:tcBorders>
              <w:top w:val="nil"/>
              <w:left w:val="nil"/>
              <w:bottom w:val="nil"/>
              <w:right w:val="nil"/>
            </w:tcBorders>
            <w:noWrap/>
            <w:vAlign w:val="bottom"/>
            <w:hideMark/>
          </w:tcPr>
          <w:p w14:paraId="50201FB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103</w:t>
            </w:r>
          </w:p>
        </w:tc>
        <w:tc>
          <w:tcPr>
            <w:tcW w:w="781" w:type="dxa"/>
            <w:tcBorders>
              <w:top w:val="nil"/>
              <w:left w:val="nil"/>
              <w:bottom w:val="nil"/>
              <w:right w:val="single" w:sz="4" w:space="0" w:color="auto"/>
            </w:tcBorders>
            <w:noWrap/>
            <w:vAlign w:val="bottom"/>
            <w:hideMark/>
          </w:tcPr>
          <w:p w14:paraId="7B6ECC68"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891</w:t>
            </w:r>
          </w:p>
        </w:tc>
        <w:tc>
          <w:tcPr>
            <w:tcW w:w="709" w:type="dxa"/>
            <w:tcBorders>
              <w:top w:val="nil"/>
              <w:left w:val="nil"/>
              <w:bottom w:val="nil"/>
              <w:right w:val="nil"/>
            </w:tcBorders>
            <w:noWrap/>
            <w:vAlign w:val="bottom"/>
            <w:hideMark/>
          </w:tcPr>
          <w:p w14:paraId="64A4B2C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208</w:t>
            </w:r>
          </w:p>
        </w:tc>
        <w:tc>
          <w:tcPr>
            <w:tcW w:w="709" w:type="dxa"/>
            <w:tcBorders>
              <w:top w:val="nil"/>
              <w:left w:val="nil"/>
              <w:bottom w:val="nil"/>
              <w:right w:val="nil"/>
            </w:tcBorders>
            <w:noWrap/>
            <w:vAlign w:val="bottom"/>
            <w:hideMark/>
          </w:tcPr>
          <w:p w14:paraId="1D6C80F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21</w:t>
            </w:r>
          </w:p>
        </w:tc>
        <w:tc>
          <w:tcPr>
            <w:tcW w:w="708" w:type="dxa"/>
            <w:tcBorders>
              <w:top w:val="nil"/>
              <w:left w:val="nil"/>
              <w:bottom w:val="nil"/>
              <w:right w:val="nil"/>
            </w:tcBorders>
            <w:noWrap/>
            <w:vAlign w:val="bottom"/>
            <w:hideMark/>
          </w:tcPr>
          <w:p w14:paraId="669BA44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w:t>
            </w:r>
          </w:p>
        </w:tc>
        <w:tc>
          <w:tcPr>
            <w:tcW w:w="709" w:type="dxa"/>
            <w:tcBorders>
              <w:top w:val="nil"/>
              <w:left w:val="nil"/>
              <w:bottom w:val="nil"/>
              <w:right w:val="single" w:sz="4" w:space="0" w:color="auto"/>
            </w:tcBorders>
            <w:noWrap/>
            <w:vAlign w:val="bottom"/>
            <w:hideMark/>
          </w:tcPr>
          <w:p w14:paraId="7BF9DB88"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22#</w:t>
            </w:r>
          </w:p>
        </w:tc>
        <w:tc>
          <w:tcPr>
            <w:tcW w:w="709" w:type="dxa"/>
            <w:tcBorders>
              <w:top w:val="nil"/>
              <w:left w:val="nil"/>
              <w:bottom w:val="nil"/>
              <w:right w:val="nil"/>
            </w:tcBorders>
            <w:noWrap/>
            <w:vAlign w:val="bottom"/>
            <w:hideMark/>
          </w:tcPr>
          <w:p w14:paraId="3B67E2E6"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828</w:t>
            </w:r>
          </w:p>
        </w:tc>
        <w:tc>
          <w:tcPr>
            <w:tcW w:w="709" w:type="dxa"/>
            <w:tcBorders>
              <w:top w:val="nil"/>
              <w:left w:val="nil"/>
              <w:bottom w:val="nil"/>
              <w:right w:val="nil"/>
            </w:tcBorders>
            <w:noWrap/>
            <w:vAlign w:val="bottom"/>
            <w:hideMark/>
          </w:tcPr>
          <w:p w14:paraId="1B785A0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189</w:t>
            </w:r>
          </w:p>
        </w:tc>
        <w:tc>
          <w:tcPr>
            <w:tcW w:w="708" w:type="dxa"/>
            <w:tcBorders>
              <w:top w:val="nil"/>
              <w:left w:val="nil"/>
              <w:bottom w:val="nil"/>
              <w:right w:val="nil"/>
            </w:tcBorders>
            <w:noWrap/>
            <w:vAlign w:val="bottom"/>
            <w:hideMark/>
          </w:tcPr>
          <w:p w14:paraId="7321F15D"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10#</w:t>
            </w:r>
          </w:p>
        </w:tc>
        <w:tc>
          <w:tcPr>
            <w:tcW w:w="709" w:type="dxa"/>
            <w:tcBorders>
              <w:top w:val="nil"/>
              <w:left w:val="nil"/>
              <w:bottom w:val="nil"/>
              <w:right w:val="nil"/>
            </w:tcBorders>
            <w:noWrap/>
            <w:vAlign w:val="bottom"/>
            <w:hideMark/>
          </w:tcPr>
          <w:p w14:paraId="7835798A"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112#</w:t>
            </w:r>
          </w:p>
        </w:tc>
      </w:tr>
      <w:tr w:rsidR="00307155" w:rsidRPr="00FC7BB4" w14:paraId="6CFE2395" w14:textId="77777777" w:rsidTr="00291B27">
        <w:trPr>
          <w:trHeight w:val="285"/>
        </w:trPr>
        <w:tc>
          <w:tcPr>
            <w:tcW w:w="2410" w:type="dxa"/>
            <w:tcBorders>
              <w:top w:val="nil"/>
              <w:left w:val="nil"/>
              <w:bottom w:val="nil"/>
              <w:right w:val="single" w:sz="4" w:space="0" w:color="auto"/>
            </w:tcBorders>
            <w:noWrap/>
            <w:vAlign w:val="bottom"/>
            <w:hideMark/>
          </w:tcPr>
          <w:p w14:paraId="1639517F"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Pdn</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Cnc</w:t>
            </w:r>
            <w:proofErr w:type="spellEnd"/>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Dnc</w:t>
            </w:r>
            <w:proofErr w:type="spellEnd"/>
          </w:p>
        </w:tc>
        <w:tc>
          <w:tcPr>
            <w:tcW w:w="673" w:type="dxa"/>
            <w:tcBorders>
              <w:top w:val="nil"/>
              <w:left w:val="nil"/>
              <w:bottom w:val="nil"/>
              <w:right w:val="nil"/>
            </w:tcBorders>
            <w:noWrap/>
            <w:vAlign w:val="bottom"/>
            <w:hideMark/>
          </w:tcPr>
          <w:p w14:paraId="2FF834F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1062</w:t>
            </w:r>
          </w:p>
        </w:tc>
        <w:tc>
          <w:tcPr>
            <w:tcW w:w="708" w:type="dxa"/>
            <w:tcBorders>
              <w:top w:val="nil"/>
              <w:left w:val="nil"/>
              <w:bottom w:val="nil"/>
              <w:right w:val="nil"/>
            </w:tcBorders>
            <w:noWrap/>
            <w:vAlign w:val="bottom"/>
            <w:hideMark/>
          </w:tcPr>
          <w:p w14:paraId="60152B5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373</w:t>
            </w:r>
          </w:p>
        </w:tc>
        <w:tc>
          <w:tcPr>
            <w:tcW w:w="673" w:type="dxa"/>
            <w:tcBorders>
              <w:top w:val="nil"/>
              <w:left w:val="nil"/>
              <w:bottom w:val="nil"/>
              <w:right w:val="nil"/>
            </w:tcBorders>
            <w:noWrap/>
            <w:vAlign w:val="bottom"/>
            <w:hideMark/>
          </w:tcPr>
          <w:p w14:paraId="272D991B"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180</w:t>
            </w:r>
          </w:p>
        </w:tc>
        <w:tc>
          <w:tcPr>
            <w:tcW w:w="781" w:type="dxa"/>
            <w:tcBorders>
              <w:top w:val="nil"/>
              <w:left w:val="nil"/>
              <w:bottom w:val="nil"/>
              <w:right w:val="single" w:sz="4" w:space="0" w:color="auto"/>
            </w:tcBorders>
            <w:noWrap/>
            <w:vAlign w:val="bottom"/>
            <w:hideMark/>
          </w:tcPr>
          <w:p w14:paraId="1B576020"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1615</w:t>
            </w:r>
          </w:p>
        </w:tc>
        <w:tc>
          <w:tcPr>
            <w:tcW w:w="709" w:type="dxa"/>
            <w:tcBorders>
              <w:top w:val="nil"/>
              <w:left w:val="nil"/>
              <w:bottom w:val="nil"/>
              <w:right w:val="nil"/>
            </w:tcBorders>
            <w:noWrap/>
            <w:vAlign w:val="bottom"/>
            <w:hideMark/>
          </w:tcPr>
          <w:p w14:paraId="020F71C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555</w:t>
            </w:r>
          </w:p>
        </w:tc>
        <w:tc>
          <w:tcPr>
            <w:tcW w:w="709" w:type="dxa"/>
            <w:tcBorders>
              <w:top w:val="nil"/>
              <w:left w:val="nil"/>
              <w:bottom w:val="nil"/>
              <w:right w:val="nil"/>
            </w:tcBorders>
            <w:noWrap/>
            <w:vAlign w:val="bottom"/>
            <w:hideMark/>
          </w:tcPr>
          <w:p w14:paraId="258BF9EB"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51</w:t>
            </w:r>
          </w:p>
        </w:tc>
        <w:tc>
          <w:tcPr>
            <w:tcW w:w="708" w:type="dxa"/>
            <w:tcBorders>
              <w:top w:val="nil"/>
              <w:left w:val="nil"/>
              <w:bottom w:val="nil"/>
              <w:right w:val="nil"/>
            </w:tcBorders>
            <w:noWrap/>
            <w:vAlign w:val="bottom"/>
            <w:hideMark/>
          </w:tcPr>
          <w:p w14:paraId="05FF691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9</w:t>
            </w:r>
          </w:p>
        </w:tc>
        <w:tc>
          <w:tcPr>
            <w:tcW w:w="709" w:type="dxa"/>
            <w:tcBorders>
              <w:top w:val="nil"/>
              <w:left w:val="nil"/>
              <w:bottom w:val="nil"/>
              <w:right w:val="single" w:sz="4" w:space="0" w:color="auto"/>
            </w:tcBorders>
            <w:noWrap/>
            <w:vAlign w:val="bottom"/>
            <w:hideMark/>
          </w:tcPr>
          <w:p w14:paraId="326E809A"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615</w:t>
            </w:r>
          </w:p>
        </w:tc>
        <w:tc>
          <w:tcPr>
            <w:tcW w:w="709" w:type="dxa"/>
            <w:tcBorders>
              <w:top w:val="nil"/>
              <w:left w:val="nil"/>
              <w:bottom w:val="nil"/>
              <w:right w:val="nil"/>
            </w:tcBorders>
            <w:noWrap/>
            <w:vAlign w:val="bottom"/>
            <w:hideMark/>
          </w:tcPr>
          <w:p w14:paraId="54485C1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1617</w:t>
            </w:r>
          </w:p>
        </w:tc>
        <w:tc>
          <w:tcPr>
            <w:tcW w:w="709" w:type="dxa"/>
            <w:tcBorders>
              <w:top w:val="nil"/>
              <w:left w:val="nil"/>
              <w:bottom w:val="nil"/>
              <w:right w:val="nil"/>
            </w:tcBorders>
            <w:noWrap/>
            <w:vAlign w:val="bottom"/>
            <w:hideMark/>
          </w:tcPr>
          <w:p w14:paraId="77022836"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424</w:t>
            </w:r>
          </w:p>
        </w:tc>
        <w:tc>
          <w:tcPr>
            <w:tcW w:w="708" w:type="dxa"/>
            <w:tcBorders>
              <w:top w:val="nil"/>
              <w:left w:val="nil"/>
              <w:bottom w:val="nil"/>
              <w:right w:val="nil"/>
            </w:tcBorders>
            <w:noWrap/>
            <w:vAlign w:val="bottom"/>
            <w:hideMark/>
          </w:tcPr>
          <w:p w14:paraId="28CD867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189</w:t>
            </w:r>
          </w:p>
        </w:tc>
        <w:tc>
          <w:tcPr>
            <w:tcW w:w="709" w:type="dxa"/>
            <w:tcBorders>
              <w:top w:val="nil"/>
              <w:left w:val="nil"/>
              <w:bottom w:val="nil"/>
              <w:right w:val="nil"/>
            </w:tcBorders>
            <w:noWrap/>
            <w:vAlign w:val="bottom"/>
            <w:hideMark/>
          </w:tcPr>
          <w:p w14:paraId="6FAD78BF"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2230</w:t>
            </w:r>
          </w:p>
        </w:tc>
      </w:tr>
      <w:tr w:rsidR="00307155" w:rsidRPr="00FC7BB4" w14:paraId="1D5686FB" w14:textId="77777777" w:rsidTr="00291B27">
        <w:trPr>
          <w:trHeight w:val="285"/>
        </w:trPr>
        <w:tc>
          <w:tcPr>
            <w:tcW w:w="2410" w:type="dxa"/>
            <w:tcBorders>
              <w:top w:val="nil"/>
              <w:left w:val="nil"/>
              <w:bottom w:val="nil"/>
              <w:right w:val="single" w:sz="4" w:space="0" w:color="auto"/>
            </w:tcBorders>
            <w:noWrap/>
            <w:vAlign w:val="bottom"/>
            <w:hideMark/>
          </w:tcPr>
          <w:p w14:paraId="6CA7F00E"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Pdn</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Cnc</w:t>
            </w:r>
            <w:proofErr w:type="spellEnd"/>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Ddn</w:t>
            </w:r>
            <w:proofErr w:type="spellEnd"/>
          </w:p>
        </w:tc>
        <w:tc>
          <w:tcPr>
            <w:tcW w:w="673" w:type="dxa"/>
            <w:tcBorders>
              <w:top w:val="nil"/>
              <w:left w:val="nil"/>
              <w:bottom w:val="nil"/>
              <w:right w:val="nil"/>
            </w:tcBorders>
            <w:noWrap/>
            <w:vAlign w:val="bottom"/>
            <w:hideMark/>
          </w:tcPr>
          <w:p w14:paraId="01B13CB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1060</w:t>
            </w:r>
          </w:p>
        </w:tc>
        <w:tc>
          <w:tcPr>
            <w:tcW w:w="708" w:type="dxa"/>
            <w:tcBorders>
              <w:top w:val="nil"/>
              <w:left w:val="nil"/>
              <w:bottom w:val="nil"/>
              <w:right w:val="nil"/>
            </w:tcBorders>
            <w:noWrap/>
            <w:vAlign w:val="bottom"/>
            <w:hideMark/>
          </w:tcPr>
          <w:p w14:paraId="0772835C"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411</w:t>
            </w:r>
          </w:p>
        </w:tc>
        <w:tc>
          <w:tcPr>
            <w:tcW w:w="673" w:type="dxa"/>
            <w:tcBorders>
              <w:top w:val="nil"/>
              <w:left w:val="nil"/>
              <w:bottom w:val="nil"/>
              <w:right w:val="nil"/>
            </w:tcBorders>
            <w:noWrap/>
            <w:vAlign w:val="bottom"/>
            <w:hideMark/>
          </w:tcPr>
          <w:p w14:paraId="4F261C37"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287</w:t>
            </w:r>
          </w:p>
        </w:tc>
        <w:tc>
          <w:tcPr>
            <w:tcW w:w="781" w:type="dxa"/>
            <w:tcBorders>
              <w:top w:val="nil"/>
              <w:left w:val="nil"/>
              <w:bottom w:val="nil"/>
              <w:right w:val="single" w:sz="4" w:space="0" w:color="auto"/>
            </w:tcBorders>
            <w:noWrap/>
            <w:vAlign w:val="bottom"/>
            <w:hideMark/>
          </w:tcPr>
          <w:p w14:paraId="041558DE"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1758</w:t>
            </w:r>
          </w:p>
        </w:tc>
        <w:tc>
          <w:tcPr>
            <w:tcW w:w="709" w:type="dxa"/>
            <w:tcBorders>
              <w:top w:val="nil"/>
              <w:left w:val="nil"/>
              <w:bottom w:val="nil"/>
              <w:right w:val="nil"/>
            </w:tcBorders>
            <w:noWrap/>
            <w:vAlign w:val="bottom"/>
            <w:hideMark/>
          </w:tcPr>
          <w:p w14:paraId="41FF009C"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474</w:t>
            </w:r>
          </w:p>
        </w:tc>
        <w:tc>
          <w:tcPr>
            <w:tcW w:w="709" w:type="dxa"/>
            <w:tcBorders>
              <w:top w:val="nil"/>
              <w:left w:val="nil"/>
              <w:bottom w:val="nil"/>
              <w:right w:val="nil"/>
            </w:tcBorders>
            <w:noWrap/>
            <w:vAlign w:val="bottom"/>
            <w:hideMark/>
          </w:tcPr>
          <w:p w14:paraId="6EC730D8"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64</w:t>
            </w:r>
          </w:p>
        </w:tc>
        <w:tc>
          <w:tcPr>
            <w:tcW w:w="708" w:type="dxa"/>
            <w:tcBorders>
              <w:top w:val="nil"/>
              <w:left w:val="nil"/>
              <w:bottom w:val="nil"/>
              <w:right w:val="nil"/>
            </w:tcBorders>
            <w:noWrap/>
            <w:vAlign w:val="bottom"/>
            <w:hideMark/>
          </w:tcPr>
          <w:p w14:paraId="6AA9B5F1"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19</w:t>
            </w:r>
          </w:p>
        </w:tc>
        <w:tc>
          <w:tcPr>
            <w:tcW w:w="709" w:type="dxa"/>
            <w:tcBorders>
              <w:top w:val="nil"/>
              <w:left w:val="nil"/>
              <w:bottom w:val="nil"/>
              <w:right w:val="single" w:sz="4" w:space="0" w:color="auto"/>
            </w:tcBorders>
            <w:noWrap/>
            <w:vAlign w:val="bottom"/>
            <w:hideMark/>
          </w:tcPr>
          <w:p w14:paraId="0BB5D8EA"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557</w:t>
            </w:r>
          </w:p>
        </w:tc>
        <w:tc>
          <w:tcPr>
            <w:tcW w:w="709" w:type="dxa"/>
            <w:tcBorders>
              <w:top w:val="nil"/>
              <w:left w:val="nil"/>
              <w:bottom w:val="nil"/>
              <w:right w:val="nil"/>
            </w:tcBorders>
            <w:noWrap/>
            <w:vAlign w:val="bottom"/>
            <w:hideMark/>
          </w:tcPr>
          <w:p w14:paraId="5A4F2DD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1534</w:t>
            </w:r>
          </w:p>
        </w:tc>
        <w:tc>
          <w:tcPr>
            <w:tcW w:w="709" w:type="dxa"/>
            <w:tcBorders>
              <w:top w:val="nil"/>
              <w:left w:val="nil"/>
              <w:bottom w:val="nil"/>
              <w:right w:val="nil"/>
            </w:tcBorders>
            <w:noWrap/>
            <w:vAlign w:val="bottom"/>
            <w:hideMark/>
          </w:tcPr>
          <w:p w14:paraId="2A9FABF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475</w:t>
            </w:r>
          </w:p>
        </w:tc>
        <w:tc>
          <w:tcPr>
            <w:tcW w:w="708" w:type="dxa"/>
            <w:tcBorders>
              <w:top w:val="nil"/>
              <w:left w:val="nil"/>
              <w:bottom w:val="nil"/>
              <w:right w:val="nil"/>
            </w:tcBorders>
            <w:noWrap/>
            <w:vAlign w:val="bottom"/>
            <w:hideMark/>
          </w:tcPr>
          <w:p w14:paraId="4A93ED8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306</w:t>
            </w:r>
          </w:p>
        </w:tc>
        <w:tc>
          <w:tcPr>
            <w:tcW w:w="709" w:type="dxa"/>
            <w:tcBorders>
              <w:top w:val="nil"/>
              <w:left w:val="nil"/>
              <w:bottom w:val="nil"/>
              <w:right w:val="nil"/>
            </w:tcBorders>
            <w:noWrap/>
            <w:vAlign w:val="bottom"/>
            <w:hideMark/>
          </w:tcPr>
          <w:p w14:paraId="280D327C"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2315</w:t>
            </w:r>
          </w:p>
        </w:tc>
      </w:tr>
      <w:tr w:rsidR="00307155" w:rsidRPr="00FC7BB4" w14:paraId="5FB5ADEB" w14:textId="77777777" w:rsidTr="00291B27">
        <w:trPr>
          <w:trHeight w:val="285"/>
        </w:trPr>
        <w:tc>
          <w:tcPr>
            <w:tcW w:w="2410" w:type="dxa"/>
            <w:tcBorders>
              <w:top w:val="nil"/>
              <w:left w:val="nil"/>
              <w:bottom w:val="nil"/>
              <w:right w:val="single" w:sz="4" w:space="0" w:color="auto"/>
            </w:tcBorders>
            <w:noWrap/>
            <w:vAlign w:val="bottom"/>
            <w:hideMark/>
          </w:tcPr>
          <w:p w14:paraId="1B850D0C"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Pdn</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Cdn</w:t>
            </w:r>
            <w:proofErr w:type="spellEnd"/>
            <w:r w:rsidRPr="00FC7BB4">
              <w:rPr>
                <w:rFonts w:ascii="Times New Roman" w:eastAsia="Times New Roman" w:hAnsi="Times New Roman" w:cs="Times New Roman"/>
                <w:color w:val="auto"/>
                <w:kern w:val="0"/>
                <w:sz w:val="18"/>
                <w:szCs w:val="18"/>
                <w14:ligatures w14:val="none"/>
              </w:rPr>
              <w:t>, Dup</w:t>
            </w:r>
          </w:p>
        </w:tc>
        <w:tc>
          <w:tcPr>
            <w:tcW w:w="673" w:type="dxa"/>
            <w:tcBorders>
              <w:top w:val="nil"/>
              <w:left w:val="nil"/>
              <w:bottom w:val="nil"/>
              <w:right w:val="nil"/>
            </w:tcBorders>
            <w:noWrap/>
            <w:vAlign w:val="bottom"/>
            <w:hideMark/>
          </w:tcPr>
          <w:p w14:paraId="5A52523C"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567</w:t>
            </w:r>
          </w:p>
        </w:tc>
        <w:tc>
          <w:tcPr>
            <w:tcW w:w="708" w:type="dxa"/>
            <w:tcBorders>
              <w:top w:val="nil"/>
              <w:left w:val="nil"/>
              <w:bottom w:val="nil"/>
              <w:right w:val="nil"/>
            </w:tcBorders>
            <w:noWrap/>
            <w:vAlign w:val="bottom"/>
            <w:hideMark/>
          </w:tcPr>
          <w:p w14:paraId="2329AF9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140</w:t>
            </w:r>
          </w:p>
        </w:tc>
        <w:tc>
          <w:tcPr>
            <w:tcW w:w="673" w:type="dxa"/>
            <w:tcBorders>
              <w:top w:val="nil"/>
              <w:left w:val="nil"/>
              <w:bottom w:val="nil"/>
              <w:right w:val="nil"/>
            </w:tcBorders>
            <w:noWrap/>
            <w:vAlign w:val="bottom"/>
            <w:hideMark/>
          </w:tcPr>
          <w:p w14:paraId="114163D6"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74</w:t>
            </w:r>
          </w:p>
        </w:tc>
        <w:tc>
          <w:tcPr>
            <w:tcW w:w="781" w:type="dxa"/>
            <w:tcBorders>
              <w:top w:val="nil"/>
              <w:left w:val="nil"/>
              <w:bottom w:val="nil"/>
              <w:right w:val="single" w:sz="4" w:space="0" w:color="auto"/>
            </w:tcBorders>
            <w:noWrap/>
            <w:vAlign w:val="bottom"/>
            <w:hideMark/>
          </w:tcPr>
          <w:p w14:paraId="149FBC8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781</w:t>
            </w:r>
          </w:p>
        </w:tc>
        <w:tc>
          <w:tcPr>
            <w:tcW w:w="709" w:type="dxa"/>
            <w:tcBorders>
              <w:top w:val="nil"/>
              <w:left w:val="nil"/>
              <w:bottom w:val="nil"/>
              <w:right w:val="nil"/>
            </w:tcBorders>
            <w:noWrap/>
            <w:vAlign w:val="bottom"/>
            <w:hideMark/>
          </w:tcPr>
          <w:p w14:paraId="4F10017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112</w:t>
            </w:r>
          </w:p>
        </w:tc>
        <w:tc>
          <w:tcPr>
            <w:tcW w:w="709" w:type="dxa"/>
            <w:tcBorders>
              <w:top w:val="nil"/>
              <w:left w:val="nil"/>
              <w:bottom w:val="nil"/>
              <w:right w:val="nil"/>
            </w:tcBorders>
            <w:noWrap/>
            <w:vAlign w:val="bottom"/>
            <w:hideMark/>
          </w:tcPr>
          <w:p w14:paraId="34165468"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10</w:t>
            </w:r>
          </w:p>
        </w:tc>
        <w:tc>
          <w:tcPr>
            <w:tcW w:w="708" w:type="dxa"/>
            <w:tcBorders>
              <w:top w:val="nil"/>
              <w:left w:val="nil"/>
              <w:bottom w:val="nil"/>
              <w:right w:val="nil"/>
            </w:tcBorders>
            <w:noWrap/>
            <w:vAlign w:val="bottom"/>
            <w:hideMark/>
          </w:tcPr>
          <w:p w14:paraId="57B0E981"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w:t>
            </w:r>
          </w:p>
        </w:tc>
        <w:tc>
          <w:tcPr>
            <w:tcW w:w="709" w:type="dxa"/>
            <w:tcBorders>
              <w:top w:val="nil"/>
              <w:left w:val="nil"/>
              <w:bottom w:val="nil"/>
              <w:right w:val="single" w:sz="4" w:space="0" w:color="auto"/>
            </w:tcBorders>
            <w:noWrap/>
            <w:vAlign w:val="bottom"/>
            <w:hideMark/>
          </w:tcPr>
          <w:p w14:paraId="38FADDE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12#</w:t>
            </w:r>
          </w:p>
        </w:tc>
        <w:tc>
          <w:tcPr>
            <w:tcW w:w="709" w:type="dxa"/>
            <w:tcBorders>
              <w:top w:val="nil"/>
              <w:left w:val="nil"/>
              <w:bottom w:val="nil"/>
              <w:right w:val="nil"/>
            </w:tcBorders>
            <w:noWrap/>
            <w:vAlign w:val="bottom"/>
            <w:hideMark/>
          </w:tcPr>
          <w:p w14:paraId="0B1F607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679</w:t>
            </w:r>
          </w:p>
        </w:tc>
        <w:tc>
          <w:tcPr>
            <w:tcW w:w="709" w:type="dxa"/>
            <w:tcBorders>
              <w:top w:val="nil"/>
              <w:left w:val="nil"/>
              <w:bottom w:val="nil"/>
              <w:right w:val="nil"/>
            </w:tcBorders>
            <w:noWrap/>
            <w:vAlign w:val="bottom"/>
            <w:hideMark/>
          </w:tcPr>
          <w:p w14:paraId="4DC4EA5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150</w:t>
            </w:r>
          </w:p>
        </w:tc>
        <w:tc>
          <w:tcPr>
            <w:tcW w:w="708" w:type="dxa"/>
            <w:tcBorders>
              <w:top w:val="nil"/>
              <w:left w:val="nil"/>
              <w:bottom w:val="nil"/>
              <w:right w:val="nil"/>
            </w:tcBorders>
            <w:noWrap/>
            <w:vAlign w:val="bottom"/>
            <w:hideMark/>
          </w:tcPr>
          <w:p w14:paraId="165E99B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7#</w:t>
            </w:r>
          </w:p>
        </w:tc>
        <w:tc>
          <w:tcPr>
            <w:tcW w:w="709" w:type="dxa"/>
            <w:tcBorders>
              <w:top w:val="nil"/>
              <w:left w:val="nil"/>
              <w:bottom w:val="nil"/>
              <w:right w:val="nil"/>
            </w:tcBorders>
            <w:noWrap/>
            <w:vAlign w:val="bottom"/>
            <w:hideMark/>
          </w:tcPr>
          <w:p w14:paraId="463AFAD6"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90#</w:t>
            </w:r>
          </w:p>
        </w:tc>
      </w:tr>
      <w:tr w:rsidR="00307155" w:rsidRPr="00FC7BB4" w14:paraId="7D8BE3F6" w14:textId="77777777" w:rsidTr="00291B27">
        <w:trPr>
          <w:trHeight w:val="285"/>
        </w:trPr>
        <w:tc>
          <w:tcPr>
            <w:tcW w:w="2410" w:type="dxa"/>
            <w:tcBorders>
              <w:top w:val="nil"/>
              <w:left w:val="nil"/>
              <w:bottom w:val="nil"/>
              <w:right w:val="single" w:sz="4" w:space="0" w:color="auto"/>
            </w:tcBorders>
            <w:noWrap/>
            <w:vAlign w:val="bottom"/>
            <w:hideMark/>
          </w:tcPr>
          <w:p w14:paraId="57DE09D4"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Pdn</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Cdn</w:t>
            </w:r>
            <w:proofErr w:type="spellEnd"/>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Dnc</w:t>
            </w:r>
            <w:proofErr w:type="spellEnd"/>
          </w:p>
        </w:tc>
        <w:tc>
          <w:tcPr>
            <w:tcW w:w="673" w:type="dxa"/>
            <w:tcBorders>
              <w:top w:val="nil"/>
              <w:left w:val="nil"/>
              <w:bottom w:val="nil"/>
              <w:right w:val="nil"/>
            </w:tcBorders>
            <w:noWrap/>
            <w:vAlign w:val="bottom"/>
            <w:hideMark/>
          </w:tcPr>
          <w:p w14:paraId="7C2BF4B6"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618</w:t>
            </w:r>
          </w:p>
        </w:tc>
        <w:tc>
          <w:tcPr>
            <w:tcW w:w="708" w:type="dxa"/>
            <w:tcBorders>
              <w:top w:val="nil"/>
              <w:left w:val="nil"/>
              <w:bottom w:val="nil"/>
              <w:right w:val="nil"/>
            </w:tcBorders>
            <w:noWrap/>
            <w:vAlign w:val="bottom"/>
            <w:hideMark/>
          </w:tcPr>
          <w:p w14:paraId="3D57DD2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156</w:t>
            </w:r>
          </w:p>
        </w:tc>
        <w:tc>
          <w:tcPr>
            <w:tcW w:w="673" w:type="dxa"/>
            <w:tcBorders>
              <w:top w:val="nil"/>
              <w:left w:val="nil"/>
              <w:bottom w:val="nil"/>
              <w:right w:val="nil"/>
            </w:tcBorders>
            <w:noWrap/>
            <w:vAlign w:val="bottom"/>
            <w:hideMark/>
          </w:tcPr>
          <w:p w14:paraId="6ECB344B"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90</w:t>
            </w:r>
          </w:p>
        </w:tc>
        <w:tc>
          <w:tcPr>
            <w:tcW w:w="781" w:type="dxa"/>
            <w:tcBorders>
              <w:top w:val="nil"/>
              <w:left w:val="nil"/>
              <w:bottom w:val="nil"/>
              <w:right w:val="single" w:sz="4" w:space="0" w:color="auto"/>
            </w:tcBorders>
            <w:noWrap/>
            <w:vAlign w:val="bottom"/>
            <w:hideMark/>
          </w:tcPr>
          <w:p w14:paraId="04A22460"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864</w:t>
            </w:r>
          </w:p>
        </w:tc>
        <w:tc>
          <w:tcPr>
            <w:tcW w:w="709" w:type="dxa"/>
            <w:tcBorders>
              <w:top w:val="nil"/>
              <w:left w:val="nil"/>
              <w:bottom w:val="nil"/>
              <w:right w:val="nil"/>
            </w:tcBorders>
            <w:noWrap/>
            <w:vAlign w:val="bottom"/>
            <w:hideMark/>
          </w:tcPr>
          <w:p w14:paraId="5B5A258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191</w:t>
            </w:r>
          </w:p>
        </w:tc>
        <w:tc>
          <w:tcPr>
            <w:tcW w:w="709" w:type="dxa"/>
            <w:tcBorders>
              <w:top w:val="nil"/>
              <w:left w:val="nil"/>
              <w:bottom w:val="nil"/>
              <w:right w:val="nil"/>
            </w:tcBorders>
            <w:noWrap/>
            <w:vAlign w:val="bottom"/>
            <w:hideMark/>
          </w:tcPr>
          <w:p w14:paraId="2C5F98A5"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15</w:t>
            </w:r>
          </w:p>
        </w:tc>
        <w:tc>
          <w:tcPr>
            <w:tcW w:w="708" w:type="dxa"/>
            <w:tcBorders>
              <w:top w:val="nil"/>
              <w:left w:val="nil"/>
              <w:bottom w:val="nil"/>
              <w:right w:val="nil"/>
            </w:tcBorders>
            <w:noWrap/>
            <w:vAlign w:val="bottom"/>
            <w:hideMark/>
          </w:tcPr>
          <w:p w14:paraId="6A6FC688"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w:t>
            </w:r>
          </w:p>
        </w:tc>
        <w:tc>
          <w:tcPr>
            <w:tcW w:w="709" w:type="dxa"/>
            <w:tcBorders>
              <w:top w:val="nil"/>
              <w:left w:val="nil"/>
              <w:bottom w:val="nil"/>
              <w:right w:val="single" w:sz="4" w:space="0" w:color="auto"/>
            </w:tcBorders>
            <w:noWrap/>
            <w:vAlign w:val="bottom"/>
            <w:hideMark/>
          </w:tcPr>
          <w:p w14:paraId="5D205261"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21#</w:t>
            </w:r>
          </w:p>
        </w:tc>
        <w:tc>
          <w:tcPr>
            <w:tcW w:w="709" w:type="dxa"/>
            <w:tcBorders>
              <w:top w:val="nil"/>
              <w:left w:val="nil"/>
              <w:bottom w:val="nil"/>
              <w:right w:val="nil"/>
            </w:tcBorders>
            <w:noWrap/>
            <w:vAlign w:val="bottom"/>
            <w:hideMark/>
          </w:tcPr>
          <w:p w14:paraId="3C05408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809</w:t>
            </w:r>
          </w:p>
        </w:tc>
        <w:tc>
          <w:tcPr>
            <w:tcW w:w="709" w:type="dxa"/>
            <w:tcBorders>
              <w:top w:val="nil"/>
              <w:left w:val="nil"/>
              <w:bottom w:val="nil"/>
              <w:right w:val="nil"/>
            </w:tcBorders>
            <w:noWrap/>
            <w:vAlign w:val="bottom"/>
            <w:hideMark/>
          </w:tcPr>
          <w:p w14:paraId="308A885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171</w:t>
            </w:r>
          </w:p>
        </w:tc>
        <w:tc>
          <w:tcPr>
            <w:tcW w:w="708" w:type="dxa"/>
            <w:tcBorders>
              <w:top w:val="nil"/>
              <w:left w:val="nil"/>
              <w:bottom w:val="nil"/>
              <w:right w:val="nil"/>
            </w:tcBorders>
            <w:noWrap/>
            <w:vAlign w:val="bottom"/>
            <w:hideMark/>
          </w:tcPr>
          <w:p w14:paraId="4D9C4126"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9#</w:t>
            </w:r>
          </w:p>
        </w:tc>
        <w:tc>
          <w:tcPr>
            <w:tcW w:w="709" w:type="dxa"/>
            <w:tcBorders>
              <w:top w:val="nil"/>
              <w:left w:val="nil"/>
              <w:bottom w:val="nil"/>
              <w:right w:val="nil"/>
            </w:tcBorders>
            <w:noWrap/>
            <w:vAlign w:val="bottom"/>
            <w:hideMark/>
          </w:tcPr>
          <w:p w14:paraId="7E7C31B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107#</w:t>
            </w:r>
          </w:p>
        </w:tc>
      </w:tr>
      <w:tr w:rsidR="00307155" w:rsidRPr="00FC7BB4" w14:paraId="4C0C4D22" w14:textId="77777777" w:rsidTr="00291B27">
        <w:trPr>
          <w:trHeight w:val="285"/>
        </w:trPr>
        <w:tc>
          <w:tcPr>
            <w:tcW w:w="2410" w:type="dxa"/>
            <w:tcBorders>
              <w:top w:val="nil"/>
              <w:left w:val="nil"/>
              <w:bottom w:val="nil"/>
              <w:right w:val="single" w:sz="4" w:space="0" w:color="auto"/>
            </w:tcBorders>
            <w:noWrap/>
            <w:vAlign w:val="bottom"/>
            <w:hideMark/>
          </w:tcPr>
          <w:p w14:paraId="7AB55444" w14:textId="77777777" w:rsidR="00307155" w:rsidRPr="00FC7BB4" w:rsidRDefault="00307155"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proofErr w:type="spellStart"/>
            <w:r w:rsidRPr="00FC7BB4">
              <w:rPr>
                <w:rFonts w:ascii="Times New Roman" w:eastAsia="Times New Roman" w:hAnsi="Times New Roman" w:cs="Times New Roman"/>
                <w:color w:val="auto"/>
                <w:kern w:val="0"/>
                <w:sz w:val="18"/>
                <w:szCs w:val="18"/>
                <w14:ligatures w14:val="none"/>
              </w:rPr>
              <w:t>Pdn</w:t>
            </w:r>
            <w:proofErr w:type="spellEnd"/>
            <w:r w:rsidRPr="00FC7BB4" w:rsidDel="00ED31BA">
              <w:rPr>
                <w:rFonts w:ascii="Times New Roman" w:eastAsia="Times New Roman" w:hAnsi="Times New Roman" w:cs="Times New Roman"/>
                <w:color w:val="auto"/>
                <w:kern w:val="0"/>
                <w:sz w:val="18"/>
                <w:szCs w:val="18"/>
                <w14:ligatures w14:val="none"/>
              </w:rPr>
              <w:t xml:space="preserve"> </w:t>
            </w:r>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Cdn</w:t>
            </w:r>
            <w:proofErr w:type="spellEnd"/>
            <w:r w:rsidRPr="00FC7BB4">
              <w:rPr>
                <w:rFonts w:ascii="Times New Roman" w:eastAsia="Times New Roman" w:hAnsi="Times New Roman" w:cs="Times New Roman"/>
                <w:color w:val="auto"/>
                <w:kern w:val="0"/>
                <w:sz w:val="18"/>
                <w:szCs w:val="18"/>
                <w14:ligatures w14:val="none"/>
              </w:rPr>
              <w:t xml:space="preserve">, </w:t>
            </w:r>
            <w:proofErr w:type="spellStart"/>
            <w:r w:rsidRPr="00FC7BB4">
              <w:rPr>
                <w:rFonts w:ascii="Times New Roman" w:eastAsia="Times New Roman" w:hAnsi="Times New Roman" w:cs="Times New Roman"/>
                <w:color w:val="auto"/>
                <w:kern w:val="0"/>
                <w:sz w:val="18"/>
                <w:szCs w:val="18"/>
                <w14:ligatures w14:val="none"/>
              </w:rPr>
              <w:t>Ddn</w:t>
            </w:r>
            <w:proofErr w:type="spellEnd"/>
          </w:p>
        </w:tc>
        <w:tc>
          <w:tcPr>
            <w:tcW w:w="673" w:type="dxa"/>
            <w:tcBorders>
              <w:top w:val="nil"/>
              <w:left w:val="nil"/>
              <w:bottom w:val="nil"/>
              <w:right w:val="nil"/>
            </w:tcBorders>
            <w:noWrap/>
            <w:vAlign w:val="bottom"/>
            <w:hideMark/>
          </w:tcPr>
          <w:p w14:paraId="196EB74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728</w:t>
            </w:r>
          </w:p>
        </w:tc>
        <w:tc>
          <w:tcPr>
            <w:tcW w:w="708" w:type="dxa"/>
            <w:tcBorders>
              <w:top w:val="nil"/>
              <w:left w:val="nil"/>
              <w:bottom w:val="nil"/>
              <w:right w:val="nil"/>
            </w:tcBorders>
            <w:noWrap/>
            <w:vAlign w:val="bottom"/>
            <w:hideMark/>
          </w:tcPr>
          <w:p w14:paraId="477AF5E4"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235</w:t>
            </w:r>
          </w:p>
        </w:tc>
        <w:tc>
          <w:tcPr>
            <w:tcW w:w="673" w:type="dxa"/>
            <w:tcBorders>
              <w:top w:val="nil"/>
              <w:left w:val="nil"/>
              <w:bottom w:val="nil"/>
              <w:right w:val="nil"/>
            </w:tcBorders>
            <w:noWrap/>
            <w:vAlign w:val="bottom"/>
            <w:hideMark/>
          </w:tcPr>
          <w:p w14:paraId="5337FB67"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156</w:t>
            </w:r>
          </w:p>
        </w:tc>
        <w:tc>
          <w:tcPr>
            <w:tcW w:w="781" w:type="dxa"/>
            <w:tcBorders>
              <w:top w:val="nil"/>
              <w:left w:val="nil"/>
              <w:bottom w:val="nil"/>
              <w:right w:val="single" w:sz="4" w:space="0" w:color="auto"/>
            </w:tcBorders>
            <w:noWrap/>
            <w:vAlign w:val="bottom"/>
            <w:hideMark/>
          </w:tcPr>
          <w:p w14:paraId="25B4748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1119</w:t>
            </w:r>
          </w:p>
        </w:tc>
        <w:tc>
          <w:tcPr>
            <w:tcW w:w="709" w:type="dxa"/>
            <w:tcBorders>
              <w:top w:val="nil"/>
              <w:left w:val="nil"/>
              <w:bottom w:val="nil"/>
              <w:right w:val="nil"/>
            </w:tcBorders>
            <w:noWrap/>
            <w:vAlign w:val="bottom"/>
            <w:hideMark/>
          </w:tcPr>
          <w:p w14:paraId="16E6941E"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280</w:t>
            </w:r>
          </w:p>
        </w:tc>
        <w:tc>
          <w:tcPr>
            <w:tcW w:w="709" w:type="dxa"/>
            <w:tcBorders>
              <w:top w:val="nil"/>
              <w:left w:val="nil"/>
              <w:bottom w:val="nil"/>
              <w:right w:val="nil"/>
            </w:tcBorders>
            <w:noWrap/>
            <w:vAlign w:val="bottom"/>
            <w:hideMark/>
          </w:tcPr>
          <w:p w14:paraId="26CD042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72</w:t>
            </w:r>
          </w:p>
        </w:tc>
        <w:tc>
          <w:tcPr>
            <w:tcW w:w="708" w:type="dxa"/>
            <w:tcBorders>
              <w:top w:val="nil"/>
              <w:left w:val="nil"/>
              <w:bottom w:val="nil"/>
              <w:right w:val="nil"/>
            </w:tcBorders>
            <w:noWrap/>
            <w:vAlign w:val="bottom"/>
            <w:hideMark/>
          </w:tcPr>
          <w:p w14:paraId="22257AC1"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15</w:t>
            </w:r>
          </w:p>
        </w:tc>
        <w:tc>
          <w:tcPr>
            <w:tcW w:w="709" w:type="dxa"/>
            <w:tcBorders>
              <w:top w:val="nil"/>
              <w:left w:val="nil"/>
              <w:bottom w:val="nil"/>
              <w:right w:val="single" w:sz="4" w:space="0" w:color="auto"/>
            </w:tcBorders>
            <w:noWrap/>
            <w:vAlign w:val="bottom"/>
            <w:hideMark/>
          </w:tcPr>
          <w:p w14:paraId="12E2FA22"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367</w:t>
            </w:r>
          </w:p>
        </w:tc>
        <w:tc>
          <w:tcPr>
            <w:tcW w:w="709" w:type="dxa"/>
            <w:tcBorders>
              <w:top w:val="nil"/>
              <w:left w:val="nil"/>
              <w:bottom w:val="nil"/>
              <w:right w:val="nil"/>
            </w:tcBorders>
            <w:noWrap/>
            <w:vAlign w:val="bottom"/>
            <w:hideMark/>
          </w:tcPr>
          <w:p w14:paraId="28A2B0C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1008</w:t>
            </w:r>
          </w:p>
        </w:tc>
        <w:tc>
          <w:tcPr>
            <w:tcW w:w="709" w:type="dxa"/>
            <w:tcBorders>
              <w:top w:val="nil"/>
              <w:left w:val="nil"/>
              <w:bottom w:val="nil"/>
              <w:right w:val="nil"/>
            </w:tcBorders>
            <w:noWrap/>
            <w:vAlign w:val="bottom"/>
            <w:hideMark/>
          </w:tcPr>
          <w:p w14:paraId="0464DEF9"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307</w:t>
            </w:r>
          </w:p>
        </w:tc>
        <w:tc>
          <w:tcPr>
            <w:tcW w:w="708" w:type="dxa"/>
            <w:tcBorders>
              <w:top w:val="nil"/>
              <w:left w:val="nil"/>
              <w:bottom w:val="nil"/>
              <w:right w:val="nil"/>
            </w:tcBorders>
            <w:noWrap/>
            <w:vAlign w:val="bottom"/>
            <w:hideMark/>
          </w:tcPr>
          <w:p w14:paraId="2CCAA2AB"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 w:val="18"/>
                <w:szCs w:val="18"/>
                <w14:ligatures w14:val="none"/>
              </w:rPr>
              <w:t>171</w:t>
            </w:r>
          </w:p>
        </w:tc>
        <w:tc>
          <w:tcPr>
            <w:tcW w:w="709" w:type="dxa"/>
            <w:tcBorders>
              <w:top w:val="nil"/>
              <w:left w:val="nil"/>
              <w:bottom w:val="nil"/>
              <w:right w:val="nil"/>
            </w:tcBorders>
            <w:noWrap/>
            <w:vAlign w:val="bottom"/>
            <w:hideMark/>
          </w:tcPr>
          <w:p w14:paraId="74CF340A"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1486</w:t>
            </w:r>
          </w:p>
        </w:tc>
      </w:tr>
      <w:tr w:rsidR="00307155" w:rsidRPr="00FC7BB4" w14:paraId="1046955F" w14:textId="77777777" w:rsidTr="00291B27">
        <w:trPr>
          <w:trHeight w:val="285"/>
        </w:trPr>
        <w:tc>
          <w:tcPr>
            <w:tcW w:w="2410" w:type="dxa"/>
            <w:tcBorders>
              <w:top w:val="nil"/>
              <w:left w:val="nil"/>
              <w:bottom w:val="nil"/>
              <w:right w:val="single" w:sz="4" w:space="0" w:color="auto"/>
            </w:tcBorders>
            <w:noWrap/>
            <w:vAlign w:val="bottom"/>
            <w:hideMark/>
          </w:tcPr>
          <w:p w14:paraId="0EF7E19A"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Total price decreases</w:t>
            </w:r>
          </w:p>
        </w:tc>
        <w:tc>
          <w:tcPr>
            <w:tcW w:w="673" w:type="dxa"/>
            <w:tcBorders>
              <w:top w:val="nil"/>
              <w:left w:val="nil"/>
              <w:bottom w:val="nil"/>
              <w:right w:val="nil"/>
            </w:tcBorders>
            <w:noWrap/>
            <w:vAlign w:val="bottom"/>
            <w:hideMark/>
          </w:tcPr>
          <w:p w14:paraId="56969906"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6029</w:t>
            </w:r>
          </w:p>
        </w:tc>
        <w:tc>
          <w:tcPr>
            <w:tcW w:w="708" w:type="dxa"/>
            <w:tcBorders>
              <w:top w:val="nil"/>
              <w:left w:val="nil"/>
              <w:bottom w:val="nil"/>
              <w:right w:val="nil"/>
            </w:tcBorders>
            <w:noWrap/>
            <w:vAlign w:val="bottom"/>
            <w:hideMark/>
          </w:tcPr>
          <w:p w14:paraId="6A797157"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2272</w:t>
            </w:r>
          </w:p>
        </w:tc>
        <w:tc>
          <w:tcPr>
            <w:tcW w:w="673" w:type="dxa"/>
            <w:tcBorders>
              <w:top w:val="nil"/>
              <w:left w:val="nil"/>
              <w:bottom w:val="nil"/>
              <w:right w:val="nil"/>
            </w:tcBorders>
            <w:noWrap/>
            <w:vAlign w:val="bottom"/>
            <w:hideMark/>
          </w:tcPr>
          <w:p w14:paraId="4FFE019A"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1648</w:t>
            </w:r>
          </w:p>
        </w:tc>
        <w:tc>
          <w:tcPr>
            <w:tcW w:w="781" w:type="dxa"/>
            <w:tcBorders>
              <w:top w:val="nil"/>
              <w:left w:val="nil"/>
              <w:bottom w:val="nil"/>
              <w:right w:val="single" w:sz="4" w:space="0" w:color="auto"/>
            </w:tcBorders>
            <w:noWrap/>
            <w:vAlign w:val="bottom"/>
            <w:hideMark/>
          </w:tcPr>
          <w:p w14:paraId="5E905978"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9949</w:t>
            </w:r>
          </w:p>
        </w:tc>
        <w:tc>
          <w:tcPr>
            <w:tcW w:w="709" w:type="dxa"/>
            <w:tcBorders>
              <w:top w:val="nil"/>
              <w:left w:val="nil"/>
              <w:bottom w:val="nil"/>
              <w:right w:val="nil"/>
            </w:tcBorders>
            <w:noWrap/>
            <w:vAlign w:val="bottom"/>
            <w:hideMark/>
          </w:tcPr>
          <w:p w14:paraId="62C53957"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2766</w:t>
            </w:r>
          </w:p>
        </w:tc>
        <w:tc>
          <w:tcPr>
            <w:tcW w:w="709" w:type="dxa"/>
            <w:tcBorders>
              <w:top w:val="nil"/>
              <w:left w:val="nil"/>
              <w:bottom w:val="nil"/>
              <w:right w:val="nil"/>
            </w:tcBorders>
            <w:noWrap/>
            <w:vAlign w:val="bottom"/>
            <w:hideMark/>
          </w:tcPr>
          <w:p w14:paraId="4335BC4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465</w:t>
            </w:r>
          </w:p>
        </w:tc>
        <w:tc>
          <w:tcPr>
            <w:tcW w:w="708" w:type="dxa"/>
            <w:tcBorders>
              <w:top w:val="nil"/>
              <w:left w:val="nil"/>
              <w:bottom w:val="nil"/>
              <w:right w:val="nil"/>
            </w:tcBorders>
            <w:noWrap/>
            <w:vAlign w:val="bottom"/>
            <w:hideMark/>
          </w:tcPr>
          <w:p w14:paraId="7F842144"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12#</w:t>
            </w:r>
          </w:p>
        </w:tc>
        <w:tc>
          <w:tcPr>
            <w:tcW w:w="709" w:type="dxa"/>
            <w:tcBorders>
              <w:top w:val="nil"/>
              <w:left w:val="nil"/>
              <w:bottom w:val="nil"/>
              <w:right w:val="single" w:sz="4" w:space="0" w:color="auto"/>
            </w:tcBorders>
            <w:noWrap/>
            <w:vAlign w:val="bottom"/>
            <w:hideMark/>
          </w:tcPr>
          <w:p w14:paraId="0AFD201F"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335#</w:t>
            </w:r>
          </w:p>
        </w:tc>
        <w:tc>
          <w:tcPr>
            <w:tcW w:w="709" w:type="dxa"/>
            <w:tcBorders>
              <w:top w:val="nil"/>
              <w:left w:val="nil"/>
              <w:bottom w:val="nil"/>
              <w:right w:val="nil"/>
            </w:tcBorders>
            <w:noWrap/>
            <w:vAlign w:val="bottom"/>
            <w:hideMark/>
          </w:tcPr>
          <w:p w14:paraId="2BC606D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8795</w:t>
            </w:r>
          </w:p>
        </w:tc>
        <w:tc>
          <w:tcPr>
            <w:tcW w:w="709" w:type="dxa"/>
            <w:tcBorders>
              <w:top w:val="nil"/>
              <w:left w:val="nil"/>
              <w:bottom w:val="nil"/>
              <w:right w:val="nil"/>
            </w:tcBorders>
            <w:noWrap/>
            <w:vAlign w:val="bottom"/>
            <w:hideMark/>
          </w:tcPr>
          <w:p w14:paraId="6700A404"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2737</w:t>
            </w:r>
          </w:p>
        </w:tc>
        <w:tc>
          <w:tcPr>
            <w:tcW w:w="708" w:type="dxa"/>
            <w:tcBorders>
              <w:top w:val="nil"/>
              <w:left w:val="nil"/>
              <w:bottom w:val="nil"/>
              <w:right w:val="nil"/>
            </w:tcBorders>
            <w:noWrap/>
            <w:vAlign w:val="bottom"/>
            <w:hideMark/>
          </w:tcPr>
          <w:p w14:paraId="1EA125B7"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176#</w:t>
            </w:r>
          </w:p>
        </w:tc>
        <w:tc>
          <w:tcPr>
            <w:tcW w:w="709" w:type="dxa"/>
            <w:tcBorders>
              <w:top w:val="nil"/>
              <w:left w:val="nil"/>
              <w:bottom w:val="nil"/>
              <w:right w:val="nil"/>
            </w:tcBorders>
            <w:noWrap/>
            <w:vAlign w:val="bottom"/>
            <w:hideMark/>
          </w:tcPr>
          <w:p w14:paraId="2730A56A"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1330#</w:t>
            </w:r>
          </w:p>
        </w:tc>
      </w:tr>
      <w:tr w:rsidR="00307155" w:rsidRPr="00FC7BB4" w14:paraId="2DBC9E05" w14:textId="77777777" w:rsidTr="00291B27">
        <w:trPr>
          <w:trHeight w:val="285"/>
        </w:trPr>
        <w:tc>
          <w:tcPr>
            <w:tcW w:w="2410" w:type="dxa"/>
            <w:tcBorders>
              <w:top w:val="nil"/>
              <w:left w:val="nil"/>
              <w:bottom w:val="nil"/>
              <w:right w:val="single" w:sz="4" w:space="0" w:color="auto"/>
            </w:tcBorders>
            <w:noWrap/>
            <w:vAlign w:val="bottom"/>
          </w:tcPr>
          <w:p w14:paraId="7EDD2A62"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 w:val="18"/>
                <w:szCs w:val="18"/>
                <w14:ligatures w14:val="none"/>
              </w:rPr>
            </w:pPr>
          </w:p>
        </w:tc>
        <w:tc>
          <w:tcPr>
            <w:tcW w:w="673" w:type="dxa"/>
            <w:tcBorders>
              <w:top w:val="nil"/>
              <w:left w:val="nil"/>
              <w:bottom w:val="nil"/>
              <w:right w:val="nil"/>
            </w:tcBorders>
            <w:noWrap/>
            <w:vAlign w:val="bottom"/>
          </w:tcPr>
          <w:p w14:paraId="05AFFFBF"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8" w:type="dxa"/>
            <w:tcBorders>
              <w:top w:val="nil"/>
              <w:left w:val="nil"/>
              <w:bottom w:val="nil"/>
              <w:right w:val="nil"/>
            </w:tcBorders>
            <w:noWrap/>
            <w:vAlign w:val="bottom"/>
          </w:tcPr>
          <w:p w14:paraId="4BF2E587"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673" w:type="dxa"/>
            <w:tcBorders>
              <w:top w:val="nil"/>
              <w:left w:val="nil"/>
              <w:bottom w:val="nil"/>
              <w:right w:val="nil"/>
            </w:tcBorders>
            <w:noWrap/>
            <w:vAlign w:val="bottom"/>
          </w:tcPr>
          <w:p w14:paraId="405C4D26"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81" w:type="dxa"/>
            <w:tcBorders>
              <w:top w:val="nil"/>
              <w:left w:val="nil"/>
              <w:bottom w:val="nil"/>
              <w:right w:val="single" w:sz="4" w:space="0" w:color="auto"/>
            </w:tcBorders>
            <w:noWrap/>
            <w:vAlign w:val="bottom"/>
          </w:tcPr>
          <w:p w14:paraId="3008943B"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542B64B6"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1FC38CAF"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8" w:type="dxa"/>
            <w:tcBorders>
              <w:top w:val="nil"/>
              <w:left w:val="nil"/>
              <w:bottom w:val="nil"/>
              <w:right w:val="nil"/>
            </w:tcBorders>
            <w:noWrap/>
            <w:vAlign w:val="bottom"/>
          </w:tcPr>
          <w:p w14:paraId="2BF8E500"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single" w:sz="4" w:space="0" w:color="auto"/>
            </w:tcBorders>
            <w:noWrap/>
            <w:vAlign w:val="bottom"/>
          </w:tcPr>
          <w:p w14:paraId="0675F929"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76E44A4C"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2F032C7D"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8" w:type="dxa"/>
            <w:tcBorders>
              <w:top w:val="nil"/>
              <w:left w:val="nil"/>
              <w:bottom w:val="nil"/>
              <w:right w:val="nil"/>
            </w:tcBorders>
            <w:noWrap/>
            <w:vAlign w:val="bottom"/>
          </w:tcPr>
          <w:p w14:paraId="27CE7A06"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tcPr>
          <w:p w14:paraId="372BFE04"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r>
      <w:tr w:rsidR="00307155" w:rsidRPr="00FC7BB4" w14:paraId="546C16BE" w14:textId="77777777" w:rsidTr="00291B27">
        <w:trPr>
          <w:trHeight w:val="285"/>
        </w:trPr>
        <w:tc>
          <w:tcPr>
            <w:tcW w:w="2410" w:type="dxa"/>
            <w:tcBorders>
              <w:top w:val="nil"/>
              <w:left w:val="nil"/>
              <w:bottom w:val="nil"/>
              <w:right w:val="single" w:sz="4" w:space="0" w:color="auto"/>
            </w:tcBorders>
            <w:noWrap/>
            <w:vAlign w:val="bottom"/>
            <w:hideMark/>
          </w:tcPr>
          <w:p w14:paraId="3806F2FE"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Total counts by inflation band</w:t>
            </w:r>
          </w:p>
        </w:tc>
        <w:tc>
          <w:tcPr>
            <w:tcW w:w="673" w:type="dxa"/>
            <w:tcBorders>
              <w:top w:val="nil"/>
              <w:left w:val="nil"/>
              <w:bottom w:val="nil"/>
              <w:right w:val="nil"/>
            </w:tcBorders>
            <w:noWrap/>
            <w:vAlign w:val="bottom"/>
            <w:hideMark/>
          </w:tcPr>
          <w:p w14:paraId="7DA4D78E"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38519</w:t>
            </w:r>
          </w:p>
        </w:tc>
        <w:tc>
          <w:tcPr>
            <w:tcW w:w="708" w:type="dxa"/>
            <w:tcBorders>
              <w:top w:val="nil"/>
              <w:left w:val="nil"/>
              <w:bottom w:val="nil"/>
              <w:right w:val="nil"/>
            </w:tcBorders>
            <w:noWrap/>
            <w:vAlign w:val="bottom"/>
            <w:hideMark/>
          </w:tcPr>
          <w:p w14:paraId="37EE6842"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22190</w:t>
            </w:r>
          </w:p>
        </w:tc>
        <w:tc>
          <w:tcPr>
            <w:tcW w:w="673" w:type="dxa"/>
            <w:tcBorders>
              <w:top w:val="nil"/>
              <w:left w:val="nil"/>
              <w:bottom w:val="nil"/>
              <w:right w:val="nil"/>
            </w:tcBorders>
            <w:noWrap/>
            <w:vAlign w:val="bottom"/>
            <w:hideMark/>
          </w:tcPr>
          <w:p w14:paraId="5022879D"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30654</w:t>
            </w:r>
          </w:p>
        </w:tc>
        <w:tc>
          <w:tcPr>
            <w:tcW w:w="781" w:type="dxa"/>
            <w:tcBorders>
              <w:top w:val="nil"/>
              <w:left w:val="nil"/>
              <w:bottom w:val="nil"/>
              <w:right w:val="single" w:sz="4" w:space="0" w:color="auto"/>
            </w:tcBorders>
            <w:noWrap/>
            <w:vAlign w:val="bottom"/>
            <w:hideMark/>
          </w:tcPr>
          <w:p w14:paraId="57B9717E"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hideMark/>
          </w:tcPr>
          <w:p w14:paraId="0043D85A"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28857</w:t>
            </w:r>
          </w:p>
        </w:tc>
        <w:tc>
          <w:tcPr>
            <w:tcW w:w="709" w:type="dxa"/>
            <w:tcBorders>
              <w:top w:val="nil"/>
              <w:left w:val="nil"/>
              <w:bottom w:val="nil"/>
              <w:right w:val="nil"/>
            </w:tcBorders>
            <w:noWrap/>
            <w:vAlign w:val="bottom"/>
            <w:hideMark/>
          </w:tcPr>
          <w:p w14:paraId="45CFA58C"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7433</w:t>
            </w:r>
          </w:p>
        </w:tc>
        <w:tc>
          <w:tcPr>
            <w:tcW w:w="708" w:type="dxa"/>
            <w:tcBorders>
              <w:top w:val="nil"/>
              <w:left w:val="nil"/>
              <w:bottom w:val="nil"/>
              <w:right w:val="nil"/>
            </w:tcBorders>
            <w:noWrap/>
            <w:vAlign w:val="bottom"/>
            <w:hideMark/>
          </w:tcPr>
          <w:p w14:paraId="4A0ED62F"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4333</w:t>
            </w:r>
          </w:p>
        </w:tc>
        <w:tc>
          <w:tcPr>
            <w:tcW w:w="709" w:type="dxa"/>
            <w:tcBorders>
              <w:top w:val="nil"/>
              <w:left w:val="nil"/>
              <w:bottom w:val="nil"/>
              <w:right w:val="single" w:sz="4" w:space="0" w:color="auto"/>
            </w:tcBorders>
            <w:noWrap/>
            <w:vAlign w:val="bottom"/>
            <w:hideMark/>
          </w:tcPr>
          <w:p w14:paraId="363BA7A2"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c>
          <w:tcPr>
            <w:tcW w:w="709" w:type="dxa"/>
            <w:tcBorders>
              <w:top w:val="nil"/>
              <w:left w:val="nil"/>
              <w:bottom w:val="nil"/>
              <w:right w:val="nil"/>
            </w:tcBorders>
            <w:noWrap/>
            <w:vAlign w:val="bottom"/>
            <w:hideMark/>
          </w:tcPr>
          <w:p w14:paraId="299AD489"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67376</w:t>
            </w:r>
          </w:p>
        </w:tc>
        <w:tc>
          <w:tcPr>
            <w:tcW w:w="709" w:type="dxa"/>
            <w:tcBorders>
              <w:top w:val="nil"/>
              <w:left w:val="nil"/>
              <w:bottom w:val="nil"/>
              <w:right w:val="nil"/>
            </w:tcBorders>
            <w:noWrap/>
            <w:vAlign w:val="bottom"/>
            <w:hideMark/>
          </w:tcPr>
          <w:p w14:paraId="33D847B7"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29623</w:t>
            </w:r>
          </w:p>
        </w:tc>
        <w:tc>
          <w:tcPr>
            <w:tcW w:w="708" w:type="dxa"/>
            <w:tcBorders>
              <w:top w:val="nil"/>
              <w:left w:val="nil"/>
              <w:bottom w:val="nil"/>
              <w:right w:val="nil"/>
            </w:tcBorders>
            <w:noWrap/>
            <w:vAlign w:val="bottom"/>
            <w:hideMark/>
          </w:tcPr>
          <w:p w14:paraId="0B43F6F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34987</w:t>
            </w:r>
          </w:p>
        </w:tc>
        <w:tc>
          <w:tcPr>
            <w:tcW w:w="709" w:type="dxa"/>
            <w:tcBorders>
              <w:top w:val="nil"/>
              <w:left w:val="nil"/>
              <w:bottom w:val="nil"/>
              <w:right w:val="nil"/>
            </w:tcBorders>
            <w:noWrap/>
            <w:vAlign w:val="bottom"/>
            <w:hideMark/>
          </w:tcPr>
          <w:p w14:paraId="496575FC"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p>
        </w:tc>
      </w:tr>
      <w:tr w:rsidR="00307155" w:rsidRPr="00FC7BB4" w14:paraId="1495D2B9" w14:textId="77777777" w:rsidTr="00291B27">
        <w:trPr>
          <w:trHeight w:val="285"/>
        </w:trPr>
        <w:tc>
          <w:tcPr>
            <w:tcW w:w="2410" w:type="dxa"/>
            <w:tcBorders>
              <w:top w:val="nil"/>
              <w:left w:val="nil"/>
              <w:bottom w:val="single" w:sz="4" w:space="0" w:color="auto"/>
              <w:right w:val="single" w:sz="4" w:space="0" w:color="auto"/>
            </w:tcBorders>
            <w:noWrap/>
            <w:vAlign w:val="bottom"/>
            <w:hideMark/>
          </w:tcPr>
          <w:p w14:paraId="51B15AD4" w14:textId="77777777" w:rsidR="00307155" w:rsidRPr="00FC7BB4" w:rsidRDefault="00307155" w:rsidP="00F3101B">
            <w:pPr>
              <w:spacing w:after="0" w:line="240" w:lineRule="auto"/>
              <w:ind w:right="27" w:firstLine="0"/>
              <w:jc w:val="lef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Total responses per period</w:t>
            </w:r>
          </w:p>
        </w:tc>
        <w:tc>
          <w:tcPr>
            <w:tcW w:w="673" w:type="dxa"/>
            <w:tcBorders>
              <w:top w:val="nil"/>
              <w:left w:val="nil"/>
              <w:bottom w:val="single" w:sz="4" w:space="0" w:color="auto"/>
              <w:right w:val="nil"/>
            </w:tcBorders>
            <w:noWrap/>
            <w:vAlign w:val="bottom"/>
            <w:hideMark/>
          </w:tcPr>
          <w:p w14:paraId="1BF64EC2"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p>
        </w:tc>
        <w:tc>
          <w:tcPr>
            <w:tcW w:w="708" w:type="dxa"/>
            <w:tcBorders>
              <w:top w:val="nil"/>
              <w:left w:val="nil"/>
              <w:bottom w:val="single" w:sz="4" w:space="0" w:color="auto"/>
              <w:right w:val="nil"/>
            </w:tcBorders>
            <w:noWrap/>
            <w:vAlign w:val="bottom"/>
            <w:hideMark/>
          </w:tcPr>
          <w:p w14:paraId="533836DA"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p>
        </w:tc>
        <w:tc>
          <w:tcPr>
            <w:tcW w:w="673" w:type="dxa"/>
            <w:tcBorders>
              <w:top w:val="nil"/>
              <w:left w:val="nil"/>
              <w:bottom w:val="single" w:sz="4" w:space="0" w:color="auto"/>
              <w:right w:val="nil"/>
            </w:tcBorders>
            <w:noWrap/>
            <w:vAlign w:val="bottom"/>
            <w:hideMark/>
          </w:tcPr>
          <w:p w14:paraId="2E9D22E3"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p>
        </w:tc>
        <w:tc>
          <w:tcPr>
            <w:tcW w:w="781" w:type="dxa"/>
            <w:tcBorders>
              <w:top w:val="nil"/>
              <w:left w:val="nil"/>
              <w:bottom w:val="single" w:sz="4" w:space="0" w:color="auto"/>
              <w:right w:val="single" w:sz="4" w:space="0" w:color="auto"/>
            </w:tcBorders>
            <w:noWrap/>
            <w:vAlign w:val="bottom"/>
            <w:hideMark/>
          </w:tcPr>
          <w:p w14:paraId="5D50223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91363</w:t>
            </w:r>
          </w:p>
        </w:tc>
        <w:tc>
          <w:tcPr>
            <w:tcW w:w="709" w:type="dxa"/>
            <w:tcBorders>
              <w:top w:val="nil"/>
              <w:left w:val="nil"/>
              <w:bottom w:val="single" w:sz="4" w:space="0" w:color="auto"/>
              <w:right w:val="nil"/>
            </w:tcBorders>
            <w:noWrap/>
            <w:vAlign w:val="bottom"/>
            <w:hideMark/>
          </w:tcPr>
          <w:p w14:paraId="663CE028"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p>
        </w:tc>
        <w:tc>
          <w:tcPr>
            <w:tcW w:w="709" w:type="dxa"/>
            <w:tcBorders>
              <w:top w:val="nil"/>
              <w:left w:val="nil"/>
              <w:bottom w:val="single" w:sz="4" w:space="0" w:color="auto"/>
              <w:right w:val="nil"/>
            </w:tcBorders>
            <w:noWrap/>
            <w:vAlign w:val="bottom"/>
            <w:hideMark/>
          </w:tcPr>
          <w:p w14:paraId="4870525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p>
        </w:tc>
        <w:tc>
          <w:tcPr>
            <w:tcW w:w="708" w:type="dxa"/>
            <w:tcBorders>
              <w:top w:val="nil"/>
              <w:left w:val="nil"/>
              <w:bottom w:val="single" w:sz="4" w:space="0" w:color="auto"/>
              <w:right w:val="nil"/>
            </w:tcBorders>
            <w:noWrap/>
            <w:vAlign w:val="bottom"/>
            <w:hideMark/>
          </w:tcPr>
          <w:p w14:paraId="1814D94F"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p>
        </w:tc>
        <w:tc>
          <w:tcPr>
            <w:tcW w:w="709" w:type="dxa"/>
            <w:tcBorders>
              <w:top w:val="nil"/>
              <w:left w:val="nil"/>
              <w:bottom w:val="single" w:sz="4" w:space="0" w:color="auto"/>
              <w:right w:val="single" w:sz="4" w:space="0" w:color="auto"/>
            </w:tcBorders>
            <w:noWrap/>
            <w:vAlign w:val="bottom"/>
            <w:hideMark/>
          </w:tcPr>
          <w:p w14:paraId="72E17A85"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40623</w:t>
            </w:r>
          </w:p>
        </w:tc>
        <w:tc>
          <w:tcPr>
            <w:tcW w:w="709" w:type="dxa"/>
            <w:tcBorders>
              <w:top w:val="nil"/>
              <w:left w:val="nil"/>
              <w:bottom w:val="single" w:sz="4" w:space="0" w:color="auto"/>
              <w:right w:val="nil"/>
            </w:tcBorders>
            <w:noWrap/>
            <w:vAlign w:val="bottom"/>
            <w:hideMark/>
          </w:tcPr>
          <w:p w14:paraId="4F2643D1"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p>
        </w:tc>
        <w:tc>
          <w:tcPr>
            <w:tcW w:w="709" w:type="dxa"/>
            <w:tcBorders>
              <w:top w:val="nil"/>
              <w:left w:val="nil"/>
              <w:bottom w:val="single" w:sz="4" w:space="0" w:color="auto"/>
              <w:right w:val="nil"/>
            </w:tcBorders>
            <w:noWrap/>
            <w:vAlign w:val="bottom"/>
            <w:hideMark/>
          </w:tcPr>
          <w:p w14:paraId="0A047A60"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p>
        </w:tc>
        <w:tc>
          <w:tcPr>
            <w:tcW w:w="708" w:type="dxa"/>
            <w:tcBorders>
              <w:top w:val="nil"/>
              <w:left w:val="nil"/>
              <w:bottom w:val="single" w:sz="4" w:space="0" w:color="auto"/>
              <w:right w:val="nil"/>
            </w:tcBorders>
            <w:noWrap/>
            <w:vAlign w:val="bottom"/>
            <w:hideMark/>
          </w:tcPr>
          <w:p w14:paraId="68D7795B" w14:textId="77777777" w:rsidR="00307155" w:rsidRPr="00FC7BB4" w:rsidRDefault="00307155" w:rsidP="00F3101B">
            <w:pPr>
              <w:spacing w:after="0" w:line="240" w:lineRule="auto"/>
              <w:ind w:right="27" w:firstLine="0"/>
              <w:jc w:val="right"/>
              <w:rPr>
                <w:rFonts w:ascii="Times New Roman" w:eastAsia="Times New Roman" w:hAnsi="Times New Roman" w:cs="Times New Roman"/>
                <w:color w:val="auto"/>
                <w:kern w:val="0"/>
                <w:sz w:val="18"/>
                <w:szCs w:val="18"/>
                <w14:ligatures w14:val="none"/>
              </w:rPr>
            </w:pPr>
          </w:p>
        </w:tc>
        <w:tc>
          <w:tcPr>
            <w:tcW w:w="709" w:type="dxa"/>
            <w:tcBorders>
              <w:top w:val="nil"/>
              <w:left w:val="nil"/>
              <w:bottom w:val="single" w:sz="4" w:space="0" w:color="auto"/>
              <w:right w:val="nil"/>
            </w:tcBorders>
            <w:noWrap/>
            <w:vAlign w:val="bottom"/>
            <w:hideMark/>
          </w:tcPr>
          <w:p w14:paraId="2D579903" w14:textId="77777777" w:rsidR="00307155" w:rsidRPr="00FC7BB4" w:rsidRDefault="00307155" w:rsidP="00F3101B">
            <w:pPr>
              <w:spacing w:after="0" w:line="240" w:lineRule="auto"/>
              <w:ind w:right="27" w:firstLine="0"/>
              <w:jc w:val="right"/>
              <w:rPr>
                <w:rFonts w:ascii="Times New Roman" w:eastAsia="Times New Roman" w:hAnsi="Times New Roman" w:cs="Times New Roman"/>
                <w:i/>
                <w:iCs/>
                <w:color w:val="auto"/>
                <w:kern w:val="0"/>
                <w:sz w:val="18"/>
                <w:szCs w:val="18"/>
                <w14:ligatures w14:val="none"/>
              </w:rPr>
            </w:pPr>
            <w:r w:rsidRPr="00FC7BB4">
              <w:rPr>
                <w:rFonts w:ascii="Times New Roman" w:eastAsia="Times New Roman" w:hAnsi="Times New Roman" w:cs="Times New Roman"/>
                <w:i/>
                <w:iCs/>
                <w:color w:val="auto"/>
                <w:kern w:val="0"/>
                <w:sz w:val="18"/>
                <w:szCs w:val="18"/>
                <w14:ligatures w14:val="none"/>
              </w:rPr>
              <w:t>131986</w:t>
            </w:r>
          </w:p>
        </w:tc>
      </w:tr>
    </w:tbl>
    <w:p w14:paraId="52C1B363" w14:textId="77777777" w:rsidR="00307155" w:rsidRPr="00FC7BB4" w:rsidRDefault="00307155" w:rsidP="00F3101B">
      <w:pPr>
        <w:spacing w:after="23" w:line="259" w:lineRule="auto"/>
        <w:ind w:right="27" w:firstLine="0"/>
        <w:rPr>
          <w:rFonts w:ascii="Times New Roman" w:hAnsi="Times New Roman" w:cs="Times New Roman"/>
          <w:sz w:val="18"/>
          <w:szCs w:val="18"/>
        </w:rPr>
      </w:pPr>
    </w:p>
    <w:p w14:paraId="6C0BAEEF" w14:textId="41E9E0F7" w:rsidR="00307155" w:rsidRPr="00FC7BB4" w:rsidRDefault="00307155" w:rsidP="00F3101B">
      <w:pPr>
        <w:spacing w:after="23" w:line="259" w:lineRule="auto"/>
        <w:ind w:right="-283" w:firstLine="0"/>
        <w:rPr>
          <w:rFonts w:ascii="Times New Roman" w:hAnsi="Times New Roman" w:cs="Times New Roman"/>
          <w:sz w:val="18"/>
          <w:szCs w:val="18"/>
        </w:rPr>
      </w:pPr>
      <w:r w:rsidRPr="00FC7BB4">
        <w:rPr>
          <w:rFonts w:ascii="Times New Roman" w:hAnsi="Times New Roman" w:cs="Times New Roman"/>
          <w:sz w:val="18"/>
          <w:szCs w:val="18"/>
        </w:rPr>
        <w:t xml:space="preserve">Notes: </w:t>
      </w:r>
      <w:bookmarkStart w:id="100" w:name="_Hlk213336413"/>
      <w:r w:rsidRPr="00FC7BB4">
        <w:rPr>
          <w:rFonts w:ascii="Times New Roman" w:hAnsi="Times New Roman" w:cs="Times New Roman"/>
          <w:sz w:val="18"/>
          <w:szCs w:val="18"/>
        </w:rPr>
        <w:t xml:space="preserve">Derived from the New Zealand Institute of Economic Research (NZIER) </w:t>
      </w:r>
      <w:r w:rsidRPr="00FC7BB4">
        <w:rPr>
          <w:rFonts w:ascii="Times New Roman" w:hAnsi="Times New Roman" w:cs="Times New Roman"/>
          <w:i/>
          <w:iCs/>
          <w:sz w:val="18"/>
          <w:szCs w:val="18"/>
        </w:rPr>
        <w:t>Quarterly Survey of Business Opinion</w:t>
      </w:r>
      <w:r w:rsidRPr="00FC7BB4">
        <w:rPr>
          <w:rFonts w:ascii="Times New Roman" w:hAnsi="Times New Roman" w:cs="Times New Roman"/>
          <w:sz w:val="18"/>
          <w:szCs w:val="18"/>
        </w:rPr>
        <w:t xml:space="preserve"> database. P=prices, C=costs, D=demand, up=increase, </w:t>
      </w:r>
      <w:proofErr w:type="spellStart"/>
      <w:r w:rsidRPr="00FC7BB4">
        <w:rPr>
          <w:rFonts w:ascii="Times New Roman" w:hAnsi="Times New Roman" w:cs="Times New Roman"/>
          <w:sz w:val="18"/>
          <w:szCs w:val="18"/>
        </w:rPr>
        <w:t>nc</w:t>
      </w:r>
      <w:proofErr w:type="spellEnd"/>
      <w:r w:rsidRPr="00FC7BB4">
        <w:rPr>
          <w:rFonts w:ascii="Times New Roman" w:hAnsi="Times New Roman" w:cs="Times New Roman"/>
          <w:sz w:val="18"/>
          <w:szCs w:val="18"/>
        </w:rPr>
        <w:t xml:space="preserve">=no change, </w:t>
      </w:r>
      <w:proofErr w:type="spellStart"/>
      <w:r w:rsidRPr="00FC7BB4">
        <w:rPr>
          <w:rFonts w:ascii="Times New Roman" w:hAnsi="Times New Roman" w:cs="Times New Roman"/>
          <w:sz w:val="18"/>
          <w:szCs w:val="18"/>
        </w:rPr>
        <w:t>dn</w:t>
      </w:r>
      <w:proofErr w:type="spellEnd"/>
      <w:r w:rsidRPr="00FC7BB4">
        <w:rPr>
          <w:rFonts w:ascii="Times New Roman" w:hAnsi="Times New Roman" w:cs="Times New Roman"/>
          <w:sz w:val="18"/>
          <w:szCs w:val="18"/>
        </w:rPr>
        <w:t>=down;</w:t>
      </w:r>
      <w:r w:rsidRPr="00FC7BB4">
        <w:rPr>
          <w:rFonts w:ascii="Times New Roman" w:eastAsia="Cambria" w:hAnsi="Times New Roman" w:cs="Times New Roman"/>
          <w:i/>
          <w:sz w:val="18"/>
          <w:szCs w:val="18"/>
        </w:rPr>
        <w:t xml:space="preserve"> </w:t>
      </w:r>
      <w:r w:rsidRPr="00FC7BB4">
        <w:rPr>
          <w:rFonts w:ascii="Times New Roman" w:hAnsi="Times New Roman" w:cs="Times New Roman"/>
          <w:sz w:val="18"/>
          <w:szCs w:val="18"/>
        </w:rPr>
        <w:t>hence for example, Pup=Prices up, and so on. The two sub-periods list the response counts for the periods 1963Q3 to 2010Q4 (R=0) and 2011Q2 to 2024Q3 (R=1) referred to in Sections 5</w:t>
      </w:r>
      <w:r w:rsidR="00950DFF" w:rsidRPr="00FC7BB4">
        <w:rPr>
          <w:rFonts w:ascii="Times New Roman" w:hAnsi="Times New Roman" w:cs="Times New Roman"/>
          <w:sz w:val="18"/>
          <w:szCs w:val="18"/>
        </w:rPr>
        <w:t>, 6 and 7</w:t>
      </w:r>
      <w:r w:rsidR="00276F4F" w:rsidRPr="00FC7BB4">
        <w:rPr>
          <w:rFonts w:ascii="Times New Roman" w:hAnsi="Times New Roman" w:cs="Times New Roman"/>
          <w:sz w:val="18"/>
          <w:szCs w:val="18"/>
        </w:rPr>
        <w:t xml:space="preserve"> </w:t>
      </w:r>
      <w:r w:rsidRPr="00FC7BB4">
        <w:rPr>
          <w:rFonts w:ascii="Times New Roman" w:hAnsi="Times New Roman" w:cs="Times New Roman"/>
          <w:sz w:val="18"/>
          <w:szCs w:val="18"/>
        </w:rPr>
        <w:t xml:space="preserve">for analysis of the change in conditional probabilities of price </w:t>
      </w:r>
      <w:r w:rsidR="00950DFF" w:rsidRPr="00FC7BB4">
        <w:rPr>
          <w:rFonts w:ascii="Times New Roman" w:hAnsi="Times New Roman" w:cs="Times New Roman"/>
          <w:sz w:val="18"/>
          <w:szCs w:val="18"/>
        </w:rPr>
        <w:t xml:space="preserve">and profitability </w:t>
      </w:r>
      <w:r w:rsidRPr="00FC7BB4">
        <w:rPr>
          <w:rFonts w:ascii="Times New Roman" w:hAnsi="Times New Roman" w:cs="Times New Roman"/>
          <w:sz w:val="18"/>
          <w:szCs w:val="18"/>
        </w:rPr>
        <w:t>change</w:t>
      </w:r>
      <w:r w:rsidR="00950DFF" w:rsidRPr="00FC7BB4">
        <w:rPr>
          <w:rFonts w:ascii="Times New Roman" w:hAnsi="Times New Roman" w:cs="Times New Roman"/>
          <w:sz w:val="18"/>
          <w:szCs w:val="18"/>
        </w:rPr>
        <w:t>s</w:t>
      </w:r>
      <w:r w:rsidRPr="00FC7BB4">
        <w:rPr>
          <w:rFonts w:ascii="Times New Roman" w:hAnsi="Times New Roman" w:cs="Times New Roman"/>
          <w:sz w:val="18"/>
          <w:szCs w:val="18"/>
        </w:rPr>
        <w:t xml:space="preserve">. # denotes a digit between 0 and 9 and replaces the actual number of observations where that number is &lt;6, to comply with the NZIER’s data confidentiality requirements. </w:t>
      </w:r>
      <w:bookmarkEnd w:id="100"/>
    </w:p>
    <w:p w14:paraId="1742FC17" w14:textId="77777777" w:rsidR="00307155" w:rsidRPr="00FC7BB4" w:rsidRDefault="00307155" w:rsidP="00F3101B">
      <w:pPr>
        <w:spacing w:after="17" w:line="262" w:lineRule="auto"/>
        <w:ind w:left="-5" w:right="27" w:hanging="10"/>
        <w:jc w:val="center"/>
        <w:rPr>
          <w:rFonts w:ascii="Times New Roman" w:hAnsi="Times New Roman" w:cs="Times New Roman"/>
          <w:b/>
          <w:bCs/>
          <w:sz w:val="24"/>
        </w:rPr>
      </w:pPr>
      <w:bookmarkStart w:id="101" w:name="_Hlk199493829"/>
      <w:r w:rsidRPr="00FC7BB4">
        <w:rPr>
          <w:rFonts w:ascii="Times New Roman" w:hAnsi="Times New Roman" w:cs="Times New Roman"/>
          <w:b/>
          <w:bCs/>
          <w:sz w:val="24"/>
        </w:rPr>
        <w:lastRenderedPageBreak/>
        <w:t>Table A2: Coefficient estimates from estimating equation</w:t>
      </w:r>
      <w:r w:rsidRPr="00FC7BB4">
        <w:rPr>
          <w:rFonts w:ascii="Times New Roman" w:hAnsi="Times New Roman" w:cs="Times New Roman"/>
          <w:b/>
          <w:bCs/>
          <w:color w:val="auto"/>
          <w:sz w:val="24"/>
        </w:rPr>
        <w:t xml:space="preserve"> 2: All firms and by sector</w:t>
      </w:r>
    </w:p>
    <w:tbl>
      <w:tblPr>
        <w:tblStyle w:val="TableGrid0"/>
        <w:tblpPr w:leftFromText="180" w:rightFromText="180" w:vertAnchor="text" w:tblpY="1"/>
        <w:tblOverlap w:val="never"/>
        <w:tblW w:w="10391" w:type="dxa"/>
        <w:tblLayout w:type="fixed"/>
        <w:tblLook w:val="04A0" w:firstRow="1" w:lastRow="0" w:firstColumn="1" w:lastColumn="0" w:noHBand="0" w:noVBand="1"/>
      </w:tblPr>
      <w:tblGrid>
        <w:gridCol w:w="2293"/>
        <w:gridCol w:w="1575"/>
        <w:gridCol w:w="1603"/>
        <w:gridCol w:w="1640"/>
        <w:gridCol w:w="1640"/>
        <w:gridCol w:w="1640"/>
      </w:tblGrid>
      <w:tr w:rsidR="00307155" w:rsidRPr="00FC7BB4" w14:paraId="403F0B5D" w14:textId="77777777" w:rsidTr="00291B27">
        <w:trPr>
          <w:trHeight w:val="237"/>
        </w:trPr>
        <w:tc>
          <w:tcPr>
            <w:tcW w:w="2293" w:type="dxa"/>
            <w:tcBorders>
              <w:left w:val="nil"/>
              <w:bottom w:val="single" w:sz="4" w:space="0" w:color="auto"/>
              <w:right w:val="nil"/>
            </w:tcBorders>
          </w:tcPr>
          <w:bookmarkEnd w:id="101"/>
          <w:p w14:paraId="7FCDBC2B"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Coefficient</w:t>
            </w:r>
          </w:p>
        </w:tc>
        <w:tc>
          <w:tcPr>
            <w:tcW w:w="1575" w:type="dxa"/>
            <w:tcBorders>
              <w:left w:val="nil"/>
              <w:bottom w:val="single" w:sz="4" w:space="0" w:color="auto"/>
              <w:right w:val="nil"/>
            </w:tcBorders>
          </w:tcPr>
          <w:p w14:paraId="12B8B835"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All</w:t>
            </w:r>
          </w:p>
        </w:tc>
        <w:tc>
          <w:tcPr>
            <w:tcW w:w="1603" w:type="dxa"/>
            <w:tcBorders>
              <w:left w:val="nil"/>
              <w:bottom w:val="single" w:sz="4" w:space="0" w:color="auto"/>
              <w:right w:val="nil"/>
            </w:tcBorders>
            <w:vAlign w:val="bottom"/>
          </w:tcPr>
          <w:p w14:paraId="537F8306" w14:textId="77777777" w:rsidR="00307155" w:rsidRPr="00FC7BB4" w:rsidRDefault="00307155" w:rsidP="00F3101B">
            <w:pPr>
              <w:spacing w:line="240" w:lineRule="auto"/>
              <w:ind w:right="27" w:firstLine="0"/>
              <w:rPr>
                <w:rFonts w:ascii="Times New Roman" w:hAnsi="Times New Roman" w:cs="Times New Roman"/>
                <w:sz w:val="16"/>
                <w:szCs w:val="16"/>
              </w:rPr>
            </w:pPr>
            <w:r w:rsidRPr="00FC7BB4">
              <w:rPr>
                <w:rFonts w:ascii="Times New Roman" w:hAnsi="Times New Roman" w:cs="Times New Roman"/>
                <w:sz w:val="16"/>
                <w:szCs w:val="16"/>
              </w:rPr>
              <w:t xml:space="preserve">       Builders</w:t>
            </w:r>
          </w:p>
        </w:tc>
        <w:tc>
          <w:tcPr>
            <w:tcW w:w="1640" w:type="dxa"/>
            <w:tcBorders>
              <w:left w:val="nil"/>
              <w:bottom w:val="single" w:sz="4" w:space="0" w:color="auto"/>
              <w:right w:val="nil"/>
            </w:tcBorders>
            <w:vAlign w:val="bottom"/>
          </w:tcPr>
          <w:p w14:paraId="5DD258BE"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Manufacturers</w:t>
            </w:r>
          </w:p>
        </w:tc>
        <w:tc>
          <w:tcPr>
            <w:tcW w:w="1640" w:type="dxa"/>
            <w:tcBorders>
              <w:left w:val="nil"/>
              <w:bottom w:val="single" w:sz="4" w:space="0" w:color="auto"/>
              <w:right w:val="nil"/>
            </w:tcBorders>
            <w:vAlign w:val="bottom"/>
          </w:tcPr>
          <w:p w14:paraId="69A34983"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Merchants</w:t>
            </w:r>
          </w:p>
        </w:tc>
        <w:tc>
          <w:tcPr>
            <w:tcW w:w="1640" w:type="dxa"/>
            <w:tcBorders>
              <w:left w:val="nil"/>
              <w:bottom w:val="single" w:sz="4" w:space="0" w:color="auto"/>
              <w:right w:val="nil"/>
            </w:tcBorders>
            <w:vAlign w:val="bottom"/>
          </w:tcPr>
          <w:p w14:paraId="38481449"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Services</w:t>
            </w:r>
          </w:p>
        </w:tc>
      </w:tr>
      <w:tr w:rsidR="00307155" w:rsidRPr="00FC7BB4" w14:paraId="325E3B00" w14:textId="77777777" w:rsidTr="00291B27">
        <w:trPr>
          <w:trHeight w:val="169"/>
        </w:trPr>
        <w:tc>
          <w:tcPr>
            <w:tcW w:w="2293" w:type="dxa"/>
            <w:tcBorders>
              <w:left w:val="nil"/>
              <w:bottom w:val="nil"/>
              <w:right w:val="nil"/>
            </w:tcBorders>
            <w:vAlign w:val="bottom"/>
          </w:tcPr>
          <w:p w14:paraId="4DA3B644"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b1(Cup)</w:t>
            </w:r>
          </w:p>
        </w:tc>
        <w:tc>
          <w:tcPr>
            <w:tcW w:w="1575" w:type="dxa"/>
            <w:tcBorders>
              <w:left w:val="nil"/>
              <w:bottom w:val="nil"/>
              <w:right w:val="nil"/>
            </w:tcBorders>
            <w:vAlign w:val="bottom"/>
          </w:tcPr>
          <w:p w14:paraId="1C94337C"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0.613***</w:t>
            </w:r>
          </w:p>
        </w:tc>
        <w:tc>
          <w:tcPr>
            <w:tcW w:w="1603" w:type="dxa"/>
            <w:tcBorders>
              <w:left w:val="nil"/>
              <w:bottom w:val="nil"/>
              <w:right w:val="nil"/>
            </w:tcBorders>
            <w:vAlign w:val="bottom"/>
          </w:tcPr>
          <w:p w14:paraId="7C87DB48"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0.634***</w:t>
            </w:r>
          </w:p>
        </w:tc>
        <w:tc>
          <w:tcPr>
            <w:tcW w:w="1640" w:type="dxa"/>
            <w:tcBorders>
              <w:left w:val="nil"/>
              <w:bottom w:val="nil"/>
              <w:right w:val="nil"/>
            </w:tcBorders>
            <w:vAlign w:val="bottom"/>
          </w:tcPr>
          <w:p w14:paraId="02F4650D"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0.598***</w:t>
            </w:r>
          </w:p>
        </w:tc>
        <w:tc>
          <w:tcPr>
            <w:tcW w:w="1640" w:type="dxa"/>
            <w:tcBorders>
              <w:left w:val="nil"/>
              <w:bottom w:val="nil"/>
              <w:right w:val="nil"/>
            </w:tcBorders>
          </w:tcPr>
          <w:p w14:paraId="74D55BFE"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0.597***</w:t>
            </w:r>
          </w:p>
        </w:tc>
        <w:tc>
          <w:tcPr>
            <w:tcW w:w="1640" w:type="dxa"/>
            <w:tcBorders>
              <w:left w:val="nil"/>
              <w:bottom w:val="nil"/>
              <w:right w:val="nil"/>
            </w:tcBorders>
            <w:vAlign w:val="bottom"/>
          </w:tcPr>
          <w:p w14:paraId="383708ED"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1.115***</w:t>
            </w:r>
          </w:p>
        </w:tc>
      </w:tr>
      <w:tr w:rsidR="00307155" w:rsidRPr="00FC7BB4" w14:paraId="212F659E" w14:textId="77777777" w:rsidTr="00291B27">
        <w:trPr>
          <w:trHeight w:val="237"/>
        </w:trPr>
        <w:tc>
          <w:tcPr>
            <w:tcW w:w="2293" w:type="dxa"/>
            <w:tcBorders>
              <w:top w:val="nil"/>
              <w:left w:val="nil"/>
              <w:bottom w:val="nil"/>
              <w:right w:val="nil"/>
            </w:tcBorders>
            <w:vAlign w:val="bottom"/>
          </w:tcPr>
          <w:p w14:paraId="640A2CBD"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75634246"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(.013)</w:t>
            </w:r>
          </w:p>
        </w:tc>
        <w:tc>
          <w:tcPr>
            <w:tcW w:w="1603" w:type="dxa"/>
            <w:tcBorders>
              <w:top w:val="nil"/>
              <w:left w:val="nil"/>
              <w:bottom w:val="nil"/>
              <w:right w:val="nil"/>
            </w:tcBorders>
            <w:vAlign w:val="bottom"/>
          </w:tcPr>
          <w:p w14:paraId="7BF25BAE"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(.058)</w:t>
            </w:r>
          </w:p>
        </w:tc>
        <w:tc>
          <w:tcPr>
            <w:tcW w:w="1640" w:type="dxa"/>
            <w:tcBorders>
              <w:top w:val="nil"/>
              <w:left w:val="nil"/>
              <w:bottom w:val="nil"/>
              <w:right w:val="nil"/>
            </w:tcBorders>
            <w:vAlign w:val="bottom"/>
          </w:tcPr>
          <w:p w14:paraId="1BB423EA"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(.027)</w:t>
            </w:r>
          </w:p>
        </w:tc>
        <w:tc>
          <w:tcPr>
            <w:tcW w:w="1640" w:type="dxa"/>
            <w:tcBorders>
              <w:top w:val="nil"/>
              <w:left w:val="nil"/>
              <w:bottom w:val="nil"/>
              <w:right w:val="nil"/>
            </w:tcBorders>
          </w:tcPr>
          <w:p w14:paraId="68D28BAA"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(.032)</w:t>
            </w:r>
          </w:p>
        </w:tc>
        <w:tc>
          <w:tcPr>
            <w:tcW w:w="1640" w:type="dxa"/>
            <w:tcBorders>
              <w:top w:val="nil"/>
              <w:left w:val="nil"/>
              <w:bottom w:val="nil"/>
              <w:right w:val="nil"/>
            </w:tcBorders>
            <w:vAlign w:val="bottom"/>
          </w:tcPr>
          <w:p w14:paraId="7044F9C8"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(.025)</w:t>
            </w:r>
          </w:p>
        </w:tc>
      </w:tr>
      <w:tr w:rsidR="00307155" w:rsidRPr="00FC7BB4" w14:paraId="1A138712" w14:textId="77777777" w:rsidTr="00291B27">
        <w:trPr>
          <w:trHeight w:val="244"/>
        </w:trPr>
        <w:tc>
          <w:tcPr>
            <w:tcW w:w="2293" w:type="dxa"/>
            <w:tcBorders>
              <w:top w:val="nil"/>
              <w:left w:val="nil"/>
              <w:bottom w:val="nil"/>
              <w:right w:val="nil"/>
            </w:tcBorders>
            <w:vAlign w:val="bottom"/>
          </w:tcPr>
          <w:p w14:paraId="325A30E5"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b2(</w:t>
            </w:r>
            <w:proofErr w:type="gramStart"/>
            <w:r w:rsidRPr="00FC7BB4">
              <w:rPr>
                <w:rFonts w:ascii="Times New Roman" w:hAnsi="Times New Roman" w:cs="Times New Roman"/>
                <w:sz w:val="16"/>
                <w:szCs w:val="16"/>
              </w:rPr>
              <w:t>π.Cup</w:t>
            </w:r>
            <w:proofErr w:type="gram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49129A81"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6.278***</w:t>
            </w:r>
          </w:p>
        </w:tc>
        <w:tc>
          <w:tcPr>
            <w:tcW w:w="1603" w:type="dxa"/>
            <w:tcBorders>
              <w:top w:val="nil"/>
              <w:left w:val="nil"/>
              <w:bottom w:val="nil"/>
              <w:right w:val="nil"/>
            </w:tcBorders>
            <w:vAlign w:val="bottom"/>
          </w:tcPr>
          <w:p w14:paraId="69BE347B"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10.808***</w:t>
            </w:r>
          </w:p>
        </w:tc>
        <w:tc>
          <w:tcPr>
            <w:tcW w:w="1640" w:type="dxa"/>
            <w:tcBorders>
              <w:top w:val="nil"/>
              <w:left w:val="nil"/>
              <w:bottom w:val="nil"/>
              <w:right w:val="nil"/>
            </w:tcBorders>
            <w:vAlign w:val="bottom"/>
          </w:tcPr>
          <w:p w14:paraId="40F048EC"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7.75***</w:t>
            </w:r>
          </w:p>
        </w:tc>
        <w:tc>
          <w:tcPr>
            <w:tcW w:w="1640" w:type="dxa"/>
            <w:tcBorders>
              <w:top w:val="nil"/>
              <w:left w:val="nil"/>
              <w:bottom w:val="nil"/>
              <w:right w:val="nil"/>
            </w:tcBorders>
          </w:tcPr>
          <w:p w14:paraId="5D2A5156"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18.461***</w:t>
            </w:r>
          </w:p>
        </w:tc>
        <w:tc>
          <w:tcPr>
            <w:tcW w:w="1640" w:type="dxa"/>
            <w:tcBorders>
              <w:top w:val="nil"/>
              <w:left w:val="nil"/>
              <w:bottom w:val="nil"/>
              <w:right w:val="nil"/>
            </w:tcBorders>
            <w:vAlign w:val="bottom"/>
          </w:tcPr>
          <w:p w14:paraId="3B7F34A6"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1.576***</w:t>
            </w:r>
          </w:p>
        </w:tc>
      </w:tr>
      <w:tr w:rsidR="00307155" w:rsidRPr="00FC7BB4" w14:paraId="429E5C7F" w14:textId="77777777" w:rsidTr="00291B27">
        <w:trPr>
          <w:trHeight w:val="237"/>
        </w:trPr>
        <w:tc>
          <w:tcPr>
            <w:tcW w:w="2293" w:type="dxa"/>
            <w:tcBorders>
              <w:top w:val="nil"/>
              <w:left w:val="nil"/>
              <w:bottom w:val="nil"/>
              <w:right w:val="nil"/>
            </w:tcBorders>
            <w:vAlign w:val="bottom"/>
          </w:tcPr>
          <w:p w14:paraId="7A316AF1"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54E0A299"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(.187)</w:t>
            </w:r>
          </w:p>
        </w:tc>
        <w:tc>
          <w:tcPr>
            <w:tcW w:w="1603" w:type="dxa"/>
            <w:tcBorders>
              <w:top w:val="nil"/>
              <w:left w:val="nil"/>
              <w:bottom w:val="nil"/>
              <w:right w:val="nil"/>
            </w:tcBorders>
            <w:vAlign w:val="bottom"/>
          </w:tcPr>
          <w:p w14:paraId="48CABBF2"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(1.191)</w:t>
            </w:r>
          </w:p>
        </w:tc>
        <w:tc>
          <w:tcPr>
            <w:tcW w:w="1640" w:type="dxa"/>
            <w:tcBorders>
              <w:top w:val="nil"/>
              <w:left w:val="nil"/>
              <w:bottom w:val="nil"/>
              <w:right w:val="nil"/>
            </w:tcBorders>
            <w:vAlign w:val="bottom"/>
          </w:tcPr>
          <w:p w14:paraId="24991020"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(.33)</w:t>
            </w:r>
          </w:p>
        </w:tc>
        <w:tc>
          <w:tcPr>
            <w:tcW w:w="1640" w:type="dxa"/>
            <w:tcBorders>
              <w:top w:val="nil"/>
              <w:left w:val="nil"/>
              <w:bottom w:val="nil"/>
              <w:right w:val="nil"/>
            </w:tcBorders>
          </w:tcPr>
          <w:p w14:paraId="1F0C73F8"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(.734)</w:t>
            </w:r>
          </w:p>
        </w:tc>
        <w:tc>
          <w:tcPr>
            <w:tcW w:w="1640" w:type="dxa"/>
            <w:tcBorders>
              <w:top w:val="nil"/>
              <w:left w:val="nil"/>
              <w:bottom w:val="nil"/>
              <w:right w:val="nil"/>
            </w:tcBorders>
            <w:vAlign w:val="bottom"/>
          </w:tcPr>
          <w:p w14:paraId="3BC9AA7D"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(.322)</w:t>
            </w:r>
          </w:p>
        </w:tc>
      </w:tr>
      <w:tr w:rsidR="00307155" w:rsidRPr="00FC7BB4" w14:paraId="14235E47" w14:textId="77777777" w:rsidTr="00291B27">
        <w:trPr>
          <w:trHeight w:val="244"/>
        </w:trPr>
        <w:tc>
          <w:tcPr>
            <w:tcW w:w="2293" w:type="dxa"/>
            <w:tcBorders>
              <w:top w:val="nil"/>
              <w:left w:val="nil"/>
              <w:bottom w:val="nil"/>
              <w:right w:val="nil"/>
            </w:tcBorders>
            <w:vAlign w:val="bottom"/>
          </w:tcPr>
          <w:p w14:paraId="504F3ADE"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b3(Dup)</w:t>
            </w:r>
          </w:p>
        </w:tc>
        <w:tc>
          <w:tcPr>
            <w:tcW w:w="1575" w:type="dxa"/>
            <w:tcBorders>
              <w:top w:val="nil"/>
              <w:left w:val="nil"/>
              <w:bottom w:val="nil"/>
              <w:right w:val="nil"/>
            </w:tcBorders>
            <w:vAlign w:val="bottom"/>
          </w:tcPr>
          <w:p w14:paraId="0A924279"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0.055***</w:t>
            </w:r>
          </w:p>
        </w:tc>
        <w:tc>
          <w:tcPr>
            <w:tcW w:w="1603" w:type="dxa"/>
            <w:tcBorders>
              <w:top w:val="nil"/>
              <w:left w:val="nil"/>
              <w:bottom w:val="nil"/>
              <w:right w:val="nil"/>
            </w:tcBorders>
            <w:vAlign w:val="bottom"/>
          </w:tcPr>
          <w:p w14:paraId="280CDE0C"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0.284***</w:t>
            </w:r>
          </w:p>
        </w:tc>
        <w:tc>
          <w:tcPr>
            <w:tcW w:w="1640" w:type="dxa"/>
            <w:tcBorders>
              <w:top w:val="nil"/>
              <w:left w:val="nil"/>
              <w:bottom w:val="nil"/>
              <w:right w:val="nil"/>
            </w:tcBorders>
            <w:vAlign w:val="bottom"/>
          </w:tcPr>
          <w:p w14:paraId="10AF2DC8"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0.081***</w:t>
            </w:r>
          </w:p>
        </w:tc>
        <w:tc>
          <w:tcPr>
            <w:tcW w:w="1640" w:type="dxa"/>
            <w:tcBorders>
              <w:top w:val="nil"/>
              <w:left w:val="nil"/>
              <w:bottom w:val="nil"/>
              <w:right w:val="nil"/>
            </w:tcBorders>
          </w:tcPr>
          <w:p w14:paraId="2B7C06B5"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0.238***</w:t>
            </w:r>
          </w:p>
        </w:tc>
        <w:tc>
          <w:tcPr>
            <w:tcW w:w="1640" w:type="dxa"/>
            <w:tcBorders>
              <w:top w:val="nil"/>
              <w:left w:val="nil"/>
              <w:bottom w:val="nil"/>
              <w:right w:val="nil"/>
            </w:tcBorders>
            <w:vAlign w:val="bottom"/>
          </w:tcPr>
          <w:p w14:paraId="501A184F"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-.057**</w:t>
            </w:r>
          </w:p>
        </w:tc>
      </w:tr>
      <w:tr w:rsidR="00307155" w:rsidRPr="00FC7BB4" w14:paraId="25031C77" w14:textId="77777777" w:rsidTr="00291B27">
        <w:trPr>
          <w:trHeight w:val="237"/>
        </w:trPr>
        <w:tc>
          <w:tcPr>
            <w:tcW w:w="2293" w:type="dxa"/>
            <w:tcBorders>
              <w:top w:val="nil"/>
              <w:left w:val="nil"/>
              <w:bottom w:val="nil"/>
              <w:right w:val="nil"/>
            </w:tcBorders>
            <w:vAlign w:val="bottom"/>
          </w:tcPr>
          <w:p w14:paraId="2BE47986"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7716D834"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(.013)</w:t>
            </w:r>
          </w:p>
        </w:tc>
        <w:tc>
          <w:tcPr>
            <w:tcW w:w="1603" w:type="dxa"/>
            <w:tcBorders>
              <w:top w:val="nil"/>
              <w:left w:val="nil"/>
              <w:bottom w:val="nil"/>
              <w:right w:val="nil"/>
            </w:tcBorders>
            <w:vAlign w:val="bottom"/>
          </w:tcPr>
          <w:p w14:paraId="42712A84"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(.067)</w:t>
            </w:r>
          </w:p>
        </w:tc>
        <w:tc>
          <w:tcPr>
            <w:tcW w:w="1640" w:type="dxa"/>
            <w:tcBorders>
              <w:top w:val="nil"/>
              <w:left w:val="nil"/>
              <w:bottom w:val="nil"/>
              <w:right w:val="nil"/>
            </w:tcBorders>
            <w:vAlign w:val="bottom"/>
          </w:tcPr>
          <w:p w14:paraId="0A78EBE3"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(.028)</w:t>
            </w:r>
          </w:p>
        </w:tc>
        <w:tc>
          <w:tcPr>
            <w:tcW w:w="1640" w:type="dxa"/>
            <w:tcBorders>
              <w:top w:val="nil"/>
              <w:left w:val="nil"/>
              <w:bottom w:val="nil"/>
              <w:right w:val="nil"/>
            </w:tcBorders>
          </w:tcPr>
          <w:p w14:paraId="5BFE2673"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(.042)</w:t>
            </w:r>
          </w:p>
        </w:tc>
        <w:tc>
          <w:tcPr>
            <w:tcW w:w="1640" w:type="dxa"/>
            <w:tcBorders>
              <w:top w:val="nil"/>
              <w:left w:val="nil"/>
              <w:bottom w:val="nil"/>
              <w:right w:val="nil"/>
            </w:tcBorders>
            <w:vAlign w:val="bottom"/>
          </w:tcPr>
          <w:p w14:paraId="4015F274"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(.024)</w:t>
            </w:r>
          </w:p>
        </w:tc>
      </w:tr>
      <w:tr w:rsidR="00307155" w:rsidRPr="00FC7BB4" w14:paraId="4FA3F6C3" w14:textId="77777777" w:rsidTr="00291B27">
        <w:trPr>
          <w:trHeight w:val="244"/>
        </w:trPr>
        <w:tc>
          <w:tcPr>
            <w:tcW w:w="2293" w:type="dxa"/>
            <w:tcBorders>
              <w:top w:val="nil"/>
              <w:left w:val="nil"/>
              <w:bottom w:val="nil"/>
              <w:right w:val="nil"/>
            </w:tcBorders>
            <w:vAlign w:val="bottom"/>
          </w:tcPr>
          <w:p w14:paraId="0367D049"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b4(</w:t>
            </w:r>
            <w:proofErr w:type="gramStart"/>
            <w:r w:rsidRPr="00FC7BB4">
              <w:rPr>
                <w:rFonts w:ascii="Times New Roman" w:hAnsi="Times New Roman" w:cs="Times New Roman"/>
                <w:sz w:val="16"/>
                <w:szCs w:val="16"/>
              </w:rPr>
              <w:t>π.Dup</w:t>
            </w:r>
            <w:proofErr w:type="gram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40AE25D6"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0.657***</w:t>
            </w:r>
          </w:p>
        </w:tc>
        <w:tc>
          <w:tcPr>
            <w:tcW w:w="1603" w:type="dxa"/>
            <w:tcBorders>
              <w:top w:val="nil"/>
              <w:left w:val="nil"/>
              <w:bottom w:val="nil"/>
              <w:right w:val="nil"/>
            </w:tcBorders>
            <w:vAlign w:val="bottom"/>
          </w:tcPr>
          <w:p w14:paraId="73EE47C0"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1.051</w:t>
            </w:r>
          </w:p>
        </w:tc>
        <w:tc>
          <w:tcPr>
            <w:tcW w:w="1640" w:type="dxa"/>
            <w:tcBorders>
              <w:top w:val="nil"/>
              <w:left w:val="nil"/>
              <w:bottom w:val="nil"/>
              <w:right w:val="nil"/>
            </w:tcBorders>
            <w:vAlign w:val="bottom"/>
          </w:tcPr>
          <w:p w14:paraId="174375C2"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2.053***</w:t>
            </w:r>
          </w:p>
        </w:tc>
        <w:tc>
          <w:tcPr>
            <w:tcW w:w="1640" w:type="dxa"/>
            <w:tcBorders>
              <w:top w:val="nil"/>
              <w:left w:val="nil"/>
              <w:bottom w:val="nil"/>
              <w:right w:val="nil"/>
            </w:tcBorders>
          </w:tcPr>
          <w:p w14:paraId="12094143"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1.201</w:t>
            </w:r>
          </w:p>
        </w:tc>
        <w:tc>
          <w:tcPr>
            <w:tcW w:w="1640" w:type="dxa"/>
            <w:tcBorders>
              <w:top w:val="nil"/>
              <w:left w:val="nil"/>
              <w:bottom w:val="nil"/>
              <w:right w:val="nil"/>
            </w:tcBorders>
            <w:vAlign w:val="bottom"/>
          </w:tcPr>
          <w:p w14:paraId="08195A25"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1.862***</w:t>
            </w:r>
          </w:p>
        </w:tc>
      </w:tr>
      <w:tr w:rsidR="00307155" w:rsidRPr="00FC7BB4" w14:paraId="710225C2" w14:textId="77777777" w:rsidTr="00291B27">
        <w:trPr>
          <w:trHeight w:val="237"/>
        </w:trPr>
        <w:tc>
          <w:tcPr>
            <w:tcW w:w="2293" w:type="dxa"/>
            <w:tcBorders>
              <w:top w:val="nil"/>
              <w:left w:val="nil"/>
              <w:bottom w:val="nil"/>
              <w:right w:val="nil"/>
            </w:tcBorders>
            <w:vAlign w:val="bottom"/>
          </w:tcPr>
          <w:p w14:paraId="603E6EF4"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563377DB"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(.19)</w:t>
            </w:r>
          </w:p>
        </w:tc>
        <w:tc>
          <w:tcPr>
            <w:tcW w:w="1603" w:type="dxa"/>
            <w:tcBorders>
              <w:top w:val="nil"/>
              <w:left w:val="nil"/>
              <w:bottom w:val="nil"/>
              <w:right w:val="nil"/>
            </w:tcBorders>
            <w:vAlign w:val="bottom"/>
          </w:tcPr>
          <w:p w14:paraId="0F89F802"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(1.417)</w:t>
            </w:r>
          </w:p>
        </w:tc>
        <w:tc>
          <w:tcPr>
            <w:tcW w:w="1640" w:type="dxa"/>
            <w:tcBorders>
              <w:top w:val="nil"/>
              <w:left w:val="nil"/>
              <w:bottom w:val="nil"/>
              <w:right w:val="nil"/>
            </w:tcBorders>
            <w:vAlign w:val="bottom"/>
          </w:tcPr>
          <w:p w14:paraId="3AFC2A56"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(.365)</w:t>
            </w:r>
          </w:p>
        </w:tc>
        <w:tc>
          <w:tcPr>
            <w:tcW w:w="1640" w:type="dxa"/>
            <w:tcBorders>
              <w:top w:val="nil"/>
              <w:left w:val="nil"/>
              <w:bottom w:val="nil"/>
              <w:right w:val="nil"/>
            </w:tcBorders>
          </w:tcPr>
          <w:p w14:paraId="76F0F543"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(.753)</w:t>
            </w:r>
          </w:p>
        </w:tc>
        <w:tc>
          <w:tcPr>
            <w:tcW w:w="1640" w:type="dxa"/>
            <w:tcBorders>
              <w:top w:val="nil"/>
              <w:left w:val="nil"/>
              <w:bottom w:val="nil"/>
              <w:right w:val="nil"/>
            </w:tcBorders>
            <w:vAlign w:val="bottom"/>
          </w:tcPr>
          <w:p w14:paraId="14FE0B3F"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(.367)</w:t>
            </w:r>
          </w:p>
        </w:tc>
      </w:tr>
      <w:tr w:rsidR="00307155" w:rsidRPr="00FC7BB4" w14:paraId="54E9C1C1" w14:textId="77777777" w:rsidTr="00291B27">
        <w:trPr>
          <w:trHeight w:val="244"/>
        </w:trPr>
        <w:tc>
          <w:tcPr>
            <w:tcW w:w="2293" w:type="dxa"/>
            <w:tcBorders>
              <w:top w:val="nil"/>
              <w:left w:val="nil"/>
              <w:bottom w:val="nil"/>
              <w:right w:val="nil"/>
            </w:tcBorders>
            <w:vAlign w:val="bottom"/>
          </w:tcPr>
          <w:p w14:paraId="7A6F7451"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b5(</w:t>
            </w:r>
            <w:proofErr w:type="spellStart"/>
            <w:r w:rsidRPr="00FC7BB4">
              <w:rPr>
                <w:rFonts w:ascii="Times New Roman" w:hAnsi="Times New Roman" w:cs="Times New Roman"/>
                <w:sz w:val="16"/>
                <w:szCs w:val="16"/>
              </w:rPr>
              <w:t>Cdn</w:t>
            </w:r>
            <w:proofErr w:type="spell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20CE368C"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0.667***</w:t>
            </w:r>
          </w:p>
        </w:tc>
        <w:tc>
          <w:tcPr>
            <w:tcW w:w="1603" w:type="dxa"/>
            <w:tcBorders>
              <w:top w:val="nil"/>
              <w:left w:val="nil"/>
              <w:bottom w:val="nil"/>
              <w:right w:val="nil"/>
            </w:tcBorders>
            <w:vAlign w:val="bottom"/>
          </w:tcPr>
          <w:p w14:paraId="220F5AB9"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0.88***</w:t>
            </w:r>
          </w:p>
        </w:tc>
        <w:tc>
          <w:tcPr>
            <w:tcW w:w="1640" w:type="dxa"/>
            <w:tcBorders>
              <w:top w:val="nil"/>
              <w:left w:val="nil"/>
              <w:bottom w:val="nil"/>
              <w:right w:val="nil"/>
            </w:tcBorders>
            <w:vAlign w:val="bottom"/>
          </w:tcPr>
          <w:p w14:paraId="42183815"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0.514***</w:t>
            </w:r>
          </w:p>
        </w:tc>
        <w:tc>
          <w:tcPr>
            <w:tcW w:w="1640" w:type="dxa"/>
            <w:tcBorders>
              <w:top w:val="nil"/>
              <w:left w:val="nil"/>
              <w:bottom w:val="nil"/>
              <w:right w:val="nil"/>
            </w:tcBorders>
          </w:tcPr>
          <w:p w14:paraId="362C6568"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0.679***</w:t>
            </w:r>
          </w:p>
        </w:tc>
        <w:tc>
          <w:tcPr>
            <w:tcW w:w="1640" w:type="dxa"/>
            <w:tcBorders>
              <w:top w:val="nil"/>
              <w:left w:val="nil"/>
              <w:bottom w:val="nil"/>
              <w:right w:val="nil"/>
            </w:tcBorders>
            <w:vAlign w:val="bottom"/>
          </w:tcPr>
          <w:p w14:paraId="603B1036"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1.018***</w:t>
            </w:r>
          </w:p>
        </w:tc>
      </w:tr>
      <w:tr w:rsidR="00307155" w:rsidRPr="00FC7BB4" w14:paraId="17949A84" w14:textId="77777777" w:rsidTr="00291B27">
        <w:trPr>
          <w:trHeight w:val="237"/>
        </w:trPr>
        <w:tc>
          <w:tcPr>
            <w:tcW w:w="2293" w:type="dxa"/>
            <w:tcBorders>
              <w:top w:val="nil"/>
              <w:left w:val="nil"/>
              <w:bottom w:val="nil"/>
              <w:right w:val="nil"/>
            </w:tcBorders>
            <w:vAlign w:val="bottom"/>
          </w:tcPr>
          <w:p w14:paraId="26BAF6A9"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6D957A4C"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(.023)</w:t>
            </w:r>
          </w:p>
        </w:tc>
        <w:tc>
          <w:tcPr>
            <w:tcW w:w="1603" w:type="dxa"/>
            <w:tcBorders>
              <w:top w:val="nil"/>
              <w:left w:val="nil"/>
              <w:bottom w:val="nil"/>
              <w:right w:val="nil"/>
            </w:tcBorders>
            <w:vAlign w:val="bottom"/>
          </w:tcPr>
          <w:p w14:paraId="1A81ABB3"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(.149)</w:t>
            </w:r>
          </w:p>
        </w:tc>
        <w:tc>
          <w:tcPr>
            <w:tcW w:w="1640" w:type="dxa"/>
            <w:tcBorders>
              <w:top w:val="nil"/>
              <w:left w:val="nil"/>
              <w:bottom w:val="nil"/>
              <w:right w:val="nil"/>
            </w:tcBorders>
            <w:vAlign w:val="bottom"/>
          </w:tcPr>
          <w:p w14:paraId="7BA4AFB1"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(.044)</w:t>
            </w:r>
          </w:p>
        </w:tc>
        <w:tc>
          <w:tcPr>
            <w:tcW w:w="1640" w:type="dxa"/>
            <w:tcBorders>
              <w:top w:val="nil"/>
              <w:left w:val="nil"/>
              <w:bottom w:val="nil"/>
              <w:right w:val="nil"/>
            </w:tcBorders>
          </w:tcPr>
          <w:p w14:paraId="77F505F2"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(.061)</w:t>
            </w:r>
          </w:p>
        </w:tc>
        <w:tc>
          <w:tcPr>
            <w:tcW w:w="1640" w:type="dxa"/>
            <w:tcBorders>
              <w:top w:val="nil"/>
              <w:left w:val="nil"/>
              <w:bottom w:val="nil"/>
              <w:right w:val="nil"/>
            </w:tcBorders>
            <w:vAlign w:val="bottom"/>
          </w:tcPr>
          <w:p w14:paraId="0DF1FD71"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(.045)</w:t>
            </w:r>
          </w:p>
        </w:tc>
      </w:tr>
      <w:tr w:rsidR="00307155" w:rsidRPr="00FC7BB4" w14:paraId="26ED612D" w14:textId="77777777" w:rsidTr="00291B27">
        <w:trPr>
          <w:trHeight w:val="244"/>
        </w:trPr>
        <w:tc>
          <w:tcPr>
            <w:tcW w:w="2293" w:type="dxa"/>
            <w:tcBorders>
              <w:top w:val="nil"/>
              <w:left w:val="nil"/>
              <w:bottom w:val="nil"/>
              <w:right w:val="nil"/>
            </w:tcBorders>
            <w:vAlign w:val="bottom"/>
          </w:tcPr>
          <w:p w14:paraId="3AF871DA"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b6(</w:t>
            </w:r>
            <w:proofErr w:type="gramStart"/>
            <w:r w:rsidRPr="00FC7BB4">
              <w:rPr>
                <w:rFonts w:ascii="Times New Roman" w:hAnsi="Times New Roman" w:cs="Times New Roman"/>
                <w:sz w:val="16"/>
                <w:szCs w:val="16"/>
              </w:rPr>
              <w:t>π.</w:t>
            </w:r>
            <w:proofErr w:type="spellStart"/>
            <w:r w:rsidRPr="00FC7BB4">
              <w:rPr>
                <w:rFonts w:ascii="Times New Roman" w:hAnsi="Times New Roman" w:cs="Times New Roman"/>
                <w:sz w:val="16"/>
                <w:szCs w:val="16"/>
              </w:rPr>
              <w:t>Cdn</w:t>
            </w:r>
            <w:proofErr w:type="spellEnd"/>
            <w:proofErr w:type="gram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68347F00"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-3.288***</w:t>
            </w:r>
          </w:p>
        </w:tc>
        <w:tc>
          <w:tcPr>
            <w:tcW w:w="1603" w:type="dxa"/>
            <w:tcBorders>
              <w:top w:val="nil"/>
              <w:left w:val="nil"/>
              <w:bottom w:val="nil"/>
              <w:right w:val="nil"/>
            </w:tcBorders>
            <w:vAlign w:val="bottom"/>
          </w:tcPr>
          <w:p w14:paraId="40F915CA"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3.583</w:t>
            </w:r>
          </w:p>
        </w:tc>
        <w:tc>
          <w:tcPr>
            <w:tcW w:w="1640" w:type="dxa"/>
            <w:tcBorders>
              <w:top w:val="nil"/>
              <w:left w:val="nil"/>
              <w:bottom w:val="nil"/>
              <w:right w:val="nil"/>
            </w:tcBorders>
            <w:vAlign w:val="bottom"/>
          </w:tcPr>
          <w:p w14:paraId="2EC5CAB7"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-4.226***</w:t>
            </w:r>
          </w:p>
        </w:tc>
        <w:tc>
          <w:tcPr>
            <w:tcW w:w="1640" w:type="dxa"/>
            <w:tcBorders>
              <w:top w:val="nil"/>
              <w:left w:val="nil"/>
              <w:bottom w:val="nil"/>
              <w:right w:val="nil"/>
            </w:tcBorders>
          </w:tcPr>
          <w:p w14:paraId="74FE8A45"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2.95*</w:t>
            </w:r>
          </w:p>
        </w:tc>
        <w:tc>
          <w:tcPr>
            <w:tcW w:w="1640" w:type="dxa"/>
            <w:tcBorders>
              <w:top w:val="nil"/>
              <w:left w:val="nil"/>
              <w:bottom w:val="nil"/>
              <w:right w:val="nil"/>
            </w:tcBorders>
            <w:vAlign w:val="bottom"/>
          </w:tcPr>
          <w:p w14:paraId="640B7752"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-3.095***</w:t>
            </w:r>
          </w:p>
        </w:tc>
      </w:tr>
      <w:tr w:rsidR="00307155" w:rsidRPr="00FC7BB4" w14:paraId="63D26E5E" w14:textId="77777777" w:rsidTr="00291B27">
        <w:trPr>
          <w:trHeight w:val="237"/>
        </w:trPr>
        <w:tc>
          <w:tcPr>
            <w:tcW w:w="2293" w:type="dxa"/>
            <w:tcBorders>
              <w:top w:val="nil"/>
              <w:left w:val="nil"/>
              <w:bottom w:val="nil"/>
              <w:right w:val="nil"/>
            </w:tcBorders>
            <w:vAlign w:val="bottom"/>
          </w:tcPr>
          <w:p w14:paraId="7BB5D3C2"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0989C692"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(.464)</w:t>
            </w:r>
          </w:p>
        </w:tc>
        <w:tc>
          <w:tcPr>
            <w:tcW w:w="1603" w:type="dxa"/>
            <w:tcBorders>
              <w:top w:val="nil"/>
              <w:left w:val="nil"/>
              <w:bottom w:val="nil"/>
              <w:right w:val="nil"/>
            </w:tcBorders>
            <w:vAlign w:val="bottom"/>
          </w:tcPr>
          <w:p w14:paraId="059383B8"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(4.368)</w:t>
            </w:r>
          </w:p>
        </w:tc>
        <w:tc>
          <w:tcPr>
            <w:tcW w:w="1640" w:type="dxa"/>
            <w:tcBorders>
              <w:top w:val="nil"/>
              <w:left w:val="nil"/>
              <w:bottom w:val="nil"/>
              <w:right w:val="nil"/>
            </w:tcBorders>
            <w:vAlign w:val="bottom"/>
          </w:tcPr>
          <w:p w14:paraId="0730D18F"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(.774)</w:t>
            </w:r>
          </w:p>
        </w:tc>
        <w:tc>
          <w:tcPr>
            <w:tcW w:w="1640" w:type="dxa"/>
            <w:tcBorders>
              <w:top w:val="nil"/>
              <w:left w:val="nil"/>
              <w:bottom w:val="nil"/>
              <w:right w:val="nil"/>
            </w:tcBorders>
          </w:tcPr>
          <w:p w14:paraId="76E418C3"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(1.551)</w:t>
            </w:r>
          </w:p>
        </w:tc>
        <w:tc>
          <w:tcPr>
            <w:tcW w:w="1640" w:type="dxa"/>
            <w:tcBorders>
              <w:top w:val="nil"/>
              <w:left w:val="nil"/>
              <w:bottom w:val="nil"/>
              <w:right w:val="nil"/>
            </w:tcBorders>
            <w:vAlign w:val="bottom"/>
          </w:tcPr>
          <w:p w14:paraId="2796EB6D"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(1.181)</w:t>
            </w:r>
          </w:p>
        </w:tc>
      </w:tr>
      <w:tr w:rsidR="00307155" w:rsidRPr="00FC7BB4" w14:paraId="1C3BBB66" w14:textId="77777777" w:rsidTr="00291B27">
        <w:trPr>
          <w:trHeight w:val="244"/>
        </w:trPr>
        <w:tc>
          <w:tcPr>
            <w:tcW w:w="2293" w:type="dxa"/>
            <w:tcBorders>
              <w:top w:val="nil"/>
              <w:left w:val="nil"/>
              <w:bottom w:val="nil"/>
              <w:right w:val="nil"/>
            </w:tcBorders>
            <w:vAlign w:val="bottom"/>
          </w:tcPr>
          <w:p w14:paraId="1AE0E7B7"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b7(</w:t>
            </w:r>
            <w:proofErr w:type="spellStart"/>
            <w:r w:rsidRPr="00FC7BB4">
              <w:rPr>
                <w:rFonts w:ascii="Times New Roman" w:hAnsi="Times New Roman" w:cs="Times New Roman"/>
                <w:sz w:val="16"/>
                <w:szCs w:val="16"/>
              </w:rPr>
              <w:t>Ddn</w:t>
            </w:r>
            <w:proofErr w:type="spell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4126099C"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0.388***</w:t>
            </w:r>
          </w:p>
        </w:tc>
        <w:tc>
          <w:tcPr>
            <w:tcW w:w="1603" w:type="dxa"/>
            <w:tcBorders>
              <w:top w:val="nil"/>
              <w:left w:val="nil"/>
              <w:bottom w:val="nil"/>
              <w:right w:val="nil"/>
            </w:tcBorders>
            <w:vAlign w:val="bottom"/>
          </w:tcPr>
          <w:p w14:paraId="6B4B6D00"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1.013***</w:t>
            </w:r>
          </w:p>
        </w:tc>
        <w:tc>
          <w:tcPr>
            <w:tcW w:w="1640" w:type="dxa"/>
            <w:tcBorders>
              <w:top w:val="nil"/>
              <w:left w:val="nil"/>
              <w:bottom w:val="nil"/>
              <w:right w:val="nil"/>
            </w:tcBorders>
            <w:vAlign w:val="bottom"/>
          </w:tcPr>
          <w:p w14:paraId="47A19634"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0.581***</w:t>
            </w:r>
          </w:p>
        </w:tc>
        <w:tc>
          <w:tcPr>
            <w:tcW w:w="1640" w:type="dxa"/>
            <w:tcBorders>
              <w:top w:val="nil"/>
              <w:left w:val="nil"/>
              <w:bottom w:val="nil"/>
              <w:right w:val="nil"/>
            </w:tcBorders>
          </w:tcPr>
          <w:p w14:paraId="1D0C36D0"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0.442***</w:t>
            </w:r>
          </w:p>
        </w:tc>
        <w:tc>
          <w:tcPr>
            <w:tcW w:w="1640" w:type="dxa"/>
            <w:tcBorders>
              <w:top w:val="nil"/>
              <w:left w:val="nil"/>
              <w:bottom w:val="nil"/>
              <w:right w:val="nil"/>
            </w:tcBorders>
            <w:vAlign w:val="bottom"/>
          </w:tcPr>
          <w:p w14:paraId="789F8EF1"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0.309***</w:t>
            </w:r>
          </w:p>
        </w:tc>
      </w:tr>
      <w:tr w:rsidR="00307155" w:rsidRPr="00FC7BB4" w14:paraId="20AEF555" w14:textId="77777777" w:rsidTr="00291B27">
        <w:trPr>
          <w:trHeight w:val="244"/>
        </w:trPr>
        <w:tc>
          <w:tcPr>
            <w:tcW w:w="2293" w:type="dxa"/>
            <w:tcBorders>
              <w:top w:val="nil"/>
              <w:left w:val="nil"/>
              <w:bottom w:val="nil"/>
              <w:right w:val="nil"/>
            </w:tcBorders>
            <w:vAlign w:val="bottom"/>
          </w:tcPr>
          <w:p w14:paraId="3A90F7AB"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667A3D20"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(.015)</w:t>
            </w:r>
          </w:p>
        </w:tc>
        <w:tc>
          <w:tcPr>
            <w:tcW w:w="1603" w:type="dxa"/>
            <w:tcBorders>
              <w:top w:val="nil"/>
              <w:left w:val="nil"/>
              <w:bottom w:val="nil"/>
              <w:right w:val="nil"/>
            </w:tcBorders>
            <w:vAlign w:val="bottom"/>
          </w:tcPr>
          <w:p w14:paraId="7A87E4F0"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(.065)</w:t>
            </w:r>
          </w:p>
        </w:tc>
        <w:tc>
          <w:tcPr>
            <w:tcW w:w="1640" w:type="dxa"/>
            <w:tcBorders>
              <w:top w:val="nil"/>
              <w:left w:val="nil"/>
              <w:bottom w:val="nil"/>
              <w:right w:val="nil"/>
            </w:tcBorders>
            <w:vAlign w:val="bottom"/>
          </w:tcPr>
          <w:p w14:paraId="4A66D61B"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(.031)</w:t>
            </w:r>
          </w:p>
        </w:tc>
        <w:tc>
          <w:tcPr>
            <w:tcW w:w="1640" w:type="dxa"/>
            <w:tcBorders>
              <w:top w:val="nil"/>
              <w:left w:val="nil"/>
              <w:bottom w:val="nil"/>
              <w:right w:val="nil"/>
            </w:tcBorders>
          </w:tcPr>
          <w:p w14:paraId="66309AA7"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(.042)</w:t>
            </w:r>
          </w:p>
        </w:tc>
        <w:tc>
          <w:tcPr>
            <w:tcW w:w="1640" w:type="dxa"/>
            <w:tcBorders>
              <w:top w:val="nil"/>
              <w:left w:val="nil"/>
              <w:bottom w:val="nil"/>
              <w:right w:val="nil"/>
            </w:tcBorders>
            <w:vAlign w:val="bottom"/>
          </w:tcPr>
          <w:p w14:paraId="71A9F87E"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(.026)</w:t>
            </w:r>
          </w:p>
        </w:tc>
      </w:tr>
      <w:tr w:rsidR="00307155" w:rsidRPr="00FC7BB4" w14:paraId="5BB7B3D6" w14:textId="77777777" w:rsidTr="00291B27">
        <w:trPr>
          <w:trHeight w:val="237"/>
        </w:trPr>
        <w:tc>
          <w:tcPr>
            <w:tcW w:w="2293" w:type="dxa"/>
            <w:tcBorders>
              <w:top w:val="nil"/>
              <w:left w:val="nil"/>
              <w:bottom w:val="nil"/>
              <w:right w:val="nil"/>
            </w:tcBorders>
            <w:vAlign w:val="bottom"/>
          </w:tcPr>
          <w:p w14:paraId="73068595"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b8(</w:t>
            </w:r>
            <w:proofErr w:type="gramStart"/>
            <w:r w:rsidRPr="00FC7BB4">
              <w:rPr>
                <w:rFonts w:ascii="Times New Roman" w:hAnsi="Times New Roman" w:cs="Times New Roman"/>
                <w:sz w:val="16"/>
                <w:szCs w:val="16"/>
              </w:rPr>
              <w:t>π.</w:t>
            </w:r>
            <w:proofErr w:type="spellStart"/>
            <w:r w:rsidRPr="00FC7BB4">
              <w:rPr>
                <w:rFonts w:ascii="Times New Roman" w:hAnsi="Times New Roman" w:cs="Times New Roman"/>
                <w:sz w:val="16"/>
                <w:szCs w:val="16"/>
              </w:rPr>
              <w:t>Ddn</w:t>
            </w:r>
            <w:proofErr w:type="spellEnd"/>
            <w:proofErr w:type="gram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5C3F9ED0"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-1.02***</w:t>
            </w:r>
          </w:p>
        </w:tc>
        <w:tc>
          <w:tcPr>
            <w:tcW w:w="1603" w:type="dxa"/>
            <w:tcBorders>
              <w:top w:val="nil"/>
              <w:left w:val="nil"/>
              <w:bottom w:val="nil"/>
              <w:right w:val="nil"/>
            </w:tcBorders>
            <w:vAlign w:val="bottom"/>
          </w:tcPr>
          <w:p w14:paraId="0FBC6ACE"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-2.999***</w:t>
            </w:r>
          </w:p>
        </w:tc>
        <w:tc>
          <w:tcPr>
            <w:tcW w:w="1640" w:type="dxa"/>
            <w:tcBorders>
              <w:top w:val="nil"/>
              <w:left w:val="nil"/>
              <w:bottom w:val="nil"/>
              <w:right w:val="nil"/>
            </w:tcBorders>
            <w:vAlign w:val="bottom"/>
          </w:tcPr>
          <w:p w14:paraId="4A5A2120"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-2.856***</w:t>
            </w:r>
          </w:p>
        </w:tc>
        <w:tc>
          <w:tcPr>
            <w:tcW w:w="1640" w:type="dxa"/>
            <w:tcBorders>
              <w:top w:val="nil"/>
              <w:left w:val="nil"/>
              <w:bottom w:val="nil"/>
              <w:right w:val="nil"/>
            </w:tcBorders>
          </w:tcPr>
          <w:p w14:paraId="7EB59C9E"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0.489</w:t>
            </w:r>
          </w:p>
        </w:tc>
        <w:tc>
          <w:tcPr>
            <w:tcW w:w="1640" w:type="dxa"/>
            <w:tcBorders>
              <w:top w:val="nil"/>
              <w:left w:val="nil"/>
              <w:bottom w:val="nil"/>
              <w:right w:val="nil"/>
            </w:tcBorders>
            <w:vAlign w:val="bottom"/>
          </w:tcPr>
          <w:p w14:paraId="18464AFE"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-1.836***</w:t>
            </w:r>
          </w:p>
        </w:tc>
      </w:tr>
      <w:tr w:rsidR="00307155" w:rsidRPr="00FC7BB4" w14:paraId="4BAA03B3" w14:textId="77777777" w:rsidTr="00291B27">
        <w:trPr>
          <w:trHeight w:val="244"/>
        </w:trPr>
        <w:tc>
          <w:tcPr>
            <w:tcW w:w="2293" w:type="dxa"/>
            <w:tcBorders>
              <w:top w:val="nil"/>
              <w:left w:val="nil"/>
              <w:bottom w:val="nil"/>
              <w:right w:val="nil"/>
            </w:tcBorders>
            <w:vAlign w:val="bottom"/>
          </w:tcPr>
          <w:p w14:paraId="317AF01C"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545A3411"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(.191)</w:t>
            </w:r>
          </w:p>
        </w:tc>
        <w:tc>
          <w:tcPr>
            <w:tcW w:w="1603" w:type="dxa"/>
            <w:tcBorders>
              <w:top w:val="nil"/>
              <w:left w:val="nil"/>
              <w:bottom w:val="nil"/>
              <w:right w:val="nil"/>
            </w:tcBorders>
            <w:vAlign w:val="bottom"/>
          </w:tcPr>
          <w:p w14:paraId="238C5E79"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(1.113)</w:t>
            </w:r>
          </w:p>
        </w:tc>
        <w:tc>
          <w:tcPr>
            <w:tcW w:w="1640" w:type="dxa"/>
            <w:tcBorders>
              <w:top w:val="nil"/>
              <w:left w:val="nil"/>
              <w:bottom w:val="nil"/>
              <w:right w:val="nil"/>
            </w:tcBorders>
            <w:vAlign w:val="bottom"/>
          </w:tcPr>
          <w:p w14:paraId="5B1109D1"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(.357)</w:t>
            </w:r>
          </w:p>
        </w:tc>
        <w:tc>
          <w:tcPr>
            <w:tcW w:w="1640" w:type="dxa"/>
            <w:tcBorders>
              <w:top w:val="nil"/>
              <w:left w:val="nil"/>
              <w:bottom w:val="nil"/>
              <w:right w:val="nil"/>
            </w:tcBorders>
          </w:tcPr>
          <w:p w14:paraId="37B28A2B"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(.671)</w:t>
            </w:r>
          </w:p>
        </w:tc>
        <w:tc>
          <w:tcPr>
            <w:tcW w:w="1640" w:type="dxa"/>
            <w:tcBorders>
              <w:top w:val="nil"/>
              <w:left w:val="nil"/>
              <w:bottom w:val="nil"/>
              <w:right w:val="nil"/>
            </w:tcBorders>
            <w:vAlign w:val="bottom"/>
          </w:tcPr>
          <w:p w14:paraId="576B5508"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(.428)</w:t>
            </w:r>
          </w:p>
        </w:tc>
      </w:tr>
      <w:tr w:rsidR="00307155" w:rsidRPr="00FC7BB4" w14:paraId="5EAF898B" w14:textId="77777777" w:rsidTr="00291B27">
        <w:trPr>
          <w:trHeight w:val="237"/>
        </w:trPr>
        <w:tc>
          <w:tcPr>
            <w:tcW w:w="2293" w:type="dxa"/>
            <w:tcBorders>
              <w:top w:val="nil"/>
              <w:left w:val="nil"/>
              <w:bottom w:val="nil"/>
              <w:right w:val="nil"/>
            </w:tcBorders>
            <w:vAlign w:val="bottom"/>
          </w:tcPr>
          <w:p w14:paraId="545CC42A"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a1(</w:t>
            </w:r>
            <w:proofErr w:type="spellStart"/>
            <w:r w:rsidRPr="00FC7BB4">
              <w:rPr>
                <w:rFonts w:ascii="Times New Roman" w:hAnsi="Times New Roman" w:cs="Times New Roman"/>
                <w:sz w:val="16"/>
                <w:szCs w:val="16"/>
              </w:rPr>
              <w:t>Cup.Recent</w:t>
            </w:r>
            <w:proofErr w:type="spell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05DE6CCF"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-.256***</w:t>
            </w:r>
          </w:p>
        </w:tc>
        <w:tc>
          <w:tcPr>
            <w:tcW w:w="1603" w:type="dxa"/>
            <w:tcBorders>
              <w:top w:val="nil"/>
              <w:left w:val="nil"/>
              <w:bottom w:val="nil"/>
              <w:right w:val="nil"/>
            </w:tcBorders>
            <w:vAlign w:val="bottom"/>
          </w:tcPr>
          <w:p w14:paraId="4100E3BE"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-.515***</w:t>
            </w:r>
          </w:p>
        </w:tc>
        <w:tc>
          <w:tcPr>
            <w:tcW w:w="1640" w:type="dxa"/>
            <w:tcBorders>
              <w:top w:val="nil"/>
              <w:left w:val="nil"/>
              <w:bottom w:val="nil"/>
              <w:right w:val="nil"/>
            </w:tcBorders>
            <w:vAlign w:val="bottom"/>
          </w:tcPr>
          <w:p w14:paraId="5A2DBFBF"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-.465***</w:t>
            </w:r>
          </w:p>
        </w:tc>
        <w:tc>
          <w:tcPr>
            <w:tcW w:w="1640" w:type="dxa"/>
            <w:tcBorders>
              <w:top w:val="nil"/>
              <w:left w:val="nil"/>
              <w:bottom w:val="nil"/>
              <w:right w:val="nil"/>
            </w:tcBorders>
          </w:tcPr>
          <w:p w14:paraId="2821E66B"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-.268***</w:t>
            </w:r>
          </w:p>
        </w:tc>
        <w:tc>
          <w:tcPr>
            <w:tcW w:w="1640" w:type="dxa"/>
            <w:tcBorders>
              <w:top w:val="nil"/>
              <w:left w:val="nil"/>
              <w:bottom w:val="nil"/>
              <w:right w:val="nil"/>
            </w:tcBorders>
            <w:vAlign w:val="bottom"/>
          </w:tcPr>
          <w:p w14:paraId="37915D28"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-.457***</w:t>
            </w:r>
          </w:p>
        </w:tc>
      </w:tr>
      <w:tr w:rsidR="00307155" w:rsidRPr="00FC7BB4" w14:paraId="7A2BEDA6" w14:textId="77777777" w:rsidTr="00291B27">
        <w:trPr>
          <w:trHeight w:val="244"/>
        </w:trPr>
        <w:tc>
          <w:tcPr>
            <w:tcW w:w="2293" w:type="dxa"/>
            <w:tcBorders>
              <w:top w:val="nil"/>
              <w:left w:val="nil"/>
              <w:bottom w:val="nil"/>
              <w:right w:val="nil"/>
            </w:tcBorders>
            <w:vAlign w:val="bottom"/>
          </w:tcPr>
          <w:p w14:paraId="0F3C7450"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1D46DA3C"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(.02)</w:t>
            </w:r>
          </w:p>
        </w:tc>
        <w:tc>
          <w:tcPr>
            <w:tcW w:w="1603" w:type="dxa"/>
            <w:tcBorders>
              <w:top w:val="nil"/>
              <w:left w:val="nil"/>
              <w:bottom w:val="nil"/>
              <w:right w:val="nil"/>
            </w:tcBorders>
            <w:vAlign w:val="bottom"/>
          </w:tcPr>
          <w:p w14:paraId="422EF9FA"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(.087)</w:t>
            </w:r>
          </w:p>
        </w:tc>
        <w:tc>
          <w:tcPr>
            <w:tcW w:w="1640" w:type="dxa"/>
            <w:tcBorders>
              <w:top w:val="nil"/>
              <w:left w:val="nil"/>
              <w:bottom w:val="nil"/>
              <w:right w:val="nil"/>
            </w:tcBorders>
            <w:vAlign w:val="bottom"/>
          </w:tcPr>
          <w:p w14:paraId="1F38BEEB"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(.057)</w:t>
            </w:r>
          </w:p>
        </w:tc>
        <w:tc>
          <w:tcPr>
            <w:tcW w:w="1640" w:type="dxa"/>
            <w:tcBorders>
              <w:top w:val="nil"/>
              <w:left w:val="nil"/>
              <w:bottom w:val="nil"/>
              <w:right w:val="nil"/>
            </w:tcBorders>
          </w:tcPr>
          <w:p w14:paraId="5F0101B4"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(.051)</w:t>
            </w:r>
          </w:p>
        </w:tc>
        <w:tc>
          <w:tcPr>
            <w:tcW w:w="1640" w:type="dxa"/>
            <w:tcBorders>
              <w:top w:val="nil"/>
              <w:left w:val="nil"/>
              <w:bottom w:val="nil"/>
              <w:right w:val="nil"/>
            </w:tcBorders>
            <w:vAlign w:val="bottom"/>
          </w:tcPr>
          <w:p w14:paraId="44AB4968"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(.036)</w:t>
            </w:r>
          </w:p>
        </w:tc>
      </w:tr>
      <w:tr w:rsidR="00307155" w:rsidRPr="00FC7BB4" w14:paraId="0B4DC28A" w14:textId="77777777" w:rsidTr="00291B27">
        <w:trPr>
          <w:trHeight w:val="237"/>
        </w:trPr>
        <w:tc>
          <w:tcPr>
            <w:tcW w:w="2293" w:type="dxa"/>
            <w:tcBorders>
              <w:top w:val="nil"/>
              <w:left w:val="nil"/>
              <w:bottom w:val="nil"/>
              <w:right w:val="nil"/>
            </w:tcBorders>
            <w:vAlign w:val="bottom"/>
          </w:tcPr>
          <w:p w14:paraId="0248F577"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a2(</w:t>
            </w:r>
            <w:proofErr w:type="gramStart"/>
            <w:r w:rsidRPr="00FC7BB4">
              <w:rPr>
                <w:rFonts w:ascii="Times New Roman" w:hAnsi="Times New Roman" w:cs="Times New Roman"/>
                <w:sz w:val="16"/>
                <w:szCs w:val="16"/>
              </w:rPr>
              <w:t>π.</w:t>
            </w:r>
            <w:proofErr w:type="spellStart"/>
            <w:r w:rsidRPr="00FC7BB4">
              <w:rPr>
                <w:rFonts w:ascii="Times New Roman" w:hAnsi="Times New Roman" w:cs="Times New Roman"/>
                <w:sz w:val="16"/>
                <w:szCs w:val="16"/>
              </w:rPr>
              <w:t>Cup.Recent</w:t>
            </w:r>
            <w:proofErr w:type="spellEnd"/>
            <w:proofErr w:type="gram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43FD88F5"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8.123***</w:t>
            </w:r>
          </w:p>
        </w:tc>
        <w:tc>
          <w:tcPr>
            <w:tcW w:w="1603" w:type="dxa"/>
            <w:tcBorders>
              <w:top w:val="nil"/>
              <w:left w:val="nil"/>
              <w:bottom w:val="nil"/>
              <w:right w:val="nil"/>
            </w:tcBorders>
            <w:vAlign w:val="bottom"/>
          </w:tcPr>
          <w:p w14:paraId="707BF7B8"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5.617**</w:t>
            </w:r>
          </w:p>
        </w:tc>
        <w:tc>
          <w:tcPr>
            <w:tcW w:w="1640" w:type="dxa"/>
            <w:tcBorders>
              <w:top w:val="nil"/>
              <w:left w:val="nil"/>
              <w:bottom w:val="nil"/>
              <w:right w:val="nil"/>
            </w:tcBorders>
            <w:vAlign w:val="bottom"/>
          </w:tcPr>
          <w:p w14:paraId="5EDB4115"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9.247***</w:t>
            </w:r>
          </w:p>
        </w:tc>
        <w:tc>
          <w:tcPr>
            <w:tcW w:w="1640" w:type="dxa"/>
            <w:tcBorders>
              <w:top w:val="nil"/>
              <w:left w:val="nil"/>
              <w:bottom w:val="nil"/>
              <w:right w:val="nil"/>
            </w:tcBorders>
          </w:tcPr>
          <w:p w14:paraId="1C5CAA8F"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-2.396</w:t>
            </w:r>
          </w:p>
        </w:tc>
        <w:tc>
          <w:tcPr>
            <w:tcW w:w="1640" w:type="dxa"/>
            <w:tcBorders>
              <w:top w:val="nil"/>
              <w:left w:val="nil"/>
              <w:bottom w:val="nil"/>
              <w:right w:val="nil"/>
            </w:tcBorders>
            <w:vAlign w:val="bottom"/>
          </w:tcPr>
          <w:p w14:paraId="2A07E0F4"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18.139***</w:t>
            </w:r>
          </w:p>
        </w:tc>
      </w:tr>
      <w:tr w:rsidR="00307155" w:rsidRPr="00FC7BB4" w14:paraId="2B6E84CC" w14:textId="77777777" w:rsidTr="00291B27">
        <w:trPr>
          <w:trHeight w:val="244"/>
        </w:trPr>
        <w:tc>
          <w:tcPr>
            <w:tcW w:w="2293" w:type="dxa"/>
            <w:tcBorders>
              <w:top w:val="nil"/>
              <w:left w:val="nil"/>
              <w:bottom w:val="nil"/>
              <w:right w:val="nil"/>
            </w:tcBorders>
            <w:vAlign w:val="bottom"/>
          </w:tcPr>
          <w:p w14:paraId="412CF010"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74027E09"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(.501)</w:t>
            </w:r>
          </w:p>
        </w:tc>
        <w:tc>
          <w:tcPr>
            <w:tcW w:w="1603" w:type="dxa"/>
            <w:tcBorders>
              <w:top w:val="nil"/>
              <w:left w:val="nil"/>
              <w:bottom w:val="nil"/>
              <w:right w:val="nil"/>
            </w:tcBorders>
            <w:vAlign w:val="bottom"/>
          </w:tcPr>
          <w:p w14:paraId="1EAA1283"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(2.233)</w:t>
            </w:r>
          </w:p>
        </w:tc>
        <w:tc>
          <w:tcPr>
            <w:tcW w:w="1640" w:type="dxa"/>
            <w:tcBorders>
              <w:top w:val="nil"/>
              <w:left w:val="nil"/>
              <w:bottom w:val="nil"/>
              <w:right w:val="nil"/>
            </w:tcBorders>
            <w:vAlign w:val="bottom"/>
          </w:tcPr>
          <w:p w14:paraId="7D94ED26"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(1.584)</w:t>
            </w:r>
          </w:p>
        </w:tc>
        <w:tc>
          <w:tcPr>
            <w:tcW w:w="1640" w:type="dxa"/>
            <w:tcBorders>
              <w:top w:val="nil"/>
              <w:left w:val="nil"/>
              <w:bottom w:val="nil"/>
              <w:right w:val="nil"/>
            </w:tcBorders>
          </w:tcPr>
          <w:p w14:paraId="555AC889"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(1.567)</w:t>
            </w:r>
          </w:p>
        </w:tc>
        <w:tc>
          <w:tcPr>
            <w:tcW w:w="1640" w:type="dxa"/>
            <w:tcBorders>
              <w:top w:val="nil"/>
              <w:left w:val="nil"/>
              <w:bottom w:val="nil"/>
              <w:right w:val="nil"/>
            </w:tcBorders>
            <w:vAlign w:val="bottom"/>
          </w:tcPr>
          <w:p w14:paraId="16CC01D2"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(.852)</w:t>
            </w:r>
          </w:p>
        </w:tc>
      </w:tr>
      <w:tr w:rsidR="00307155" w:rsidRPr="00FC7BB4" w14:paraId="41F7148F" w14:textId="77777777" w:rsidTr="00291B27">
        <w:trPr>
          <w:trHeight w:val="237"/>
        </w:trPr>
        <w:tc>
          <w:tcPr>
            <w:tcW w:w="2293" w:type="dxa"/>
            <w:tcBorders>
              <w:top w:val="nil"/>
              <w:left w:val="nil"/>
              <w:bottom w:val="nil"/>
              <w:right w:val="nil"/>
            </w:tcBorders>
            <w:vAlign w:val="bottom"/>
          </w:tcPr>
          <w:p w14:paraId="49E93FBB"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a3(</w:t>
            </w:r>
            <w:proofErr w:type="spellStart"/>
            <w:r w:rsidRPr="00FC7BB4">
              <w:rPr>
                <w:rFonts w:ascii="Times New Roman" w:hAnsi="Times New Roman" w:cs="Times New Roman"/>
                <w:sz w:val="16"/>
                <w:szCs w:val="16"/>
              </w:rPr>
              <w:t>Dup.Recent</w:t>
            </w:r>
            <w:proofErr w:type="spell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143EB690"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w:t>
            </w:r>
          </w:p>
        </w:tc>
        <w:tc>
          <w:tcPr>
            <w:tcW w:w="1603" w:type="dxa"/>
            <w:tcBorders>
              <w:top w:val="nil"/>
              <w:left w:val="nil"/>
              <w:bottom w:val="nil"/>
              <w:right w:val="nil"/>
            </w:tcBorders>
            <w:vAlign w:val="bottom"/>
          </w:tcPr>
          <w:p w14:paraId="44EE6CAF"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0.234**</w:t>
            </w:r>
          </w:p>
        </w:tc>
        <w:tc>
          <w:tcPr>
            <w:tcW w:w="1640" w:type="dxa"/>
            <w:tcBorders>
              <w:top w:val="nil"/>
              <w:left w:val="nil"/>
              <w:bottom w:val="nil"/>
              <w:right w:val="nil"/>
            </w:tcBorders>
            <w:vAlign w:val="bottom"/>
          </w:tcPr>
          <w:p w14:paraId="09CC3C29"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0.124*</w:t>
            </w:r>
          </w:p>
        </w:tc>
        <w:tc>
          <w:tcPr>
            <w:tcW w:w="1640" w:type="dxa"/>
            <w:tcBorders>
              <w:top w:val="nil"/>
              <w:left w:val="nil"/>
              <w:bottom w:val="nil"/>
              <w:right w:val="nil"/>
            </w:tcBorders>
          </w:tcPr>
          <w:p w14:paraId="7B2CA86A"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0.014</w:t>
            </w:r>
          </w:p>
        </w:tc>
        <w:tc>
          <w:tcPr>
            <w:tcW w:w="1640" w:type="dxa"/>
            <w:tcBorders>
              <w:top w:val="nil"/>
              <w:left w:val="nil"/>
              <w:bottom w:val="nil"/>
              <w:right w:val="nil"/>
            </w:tcBorders>
            <w:vAlign w:val="bottom"/>
          </w:tcPr>
          <w:p w14:paraId="7B45DB32"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-0.033</w:t>
            </w:r>
          </w:p>
        </w:tc>
      </w:tr>
      <w:tr w:rsidR="00307155" w:rsidRPr="00FC7BB4" w14:paraId="5E49E10A" w14:textId="77777777" w:rsidTr="00291B27">
        <w:trPr>
          <w:trHeight w:val="244"/>
        </w:trPr>
        <w:tc>
          <w:tcPr>
            <w:tcW w:w="2293" w:type="dxa"/>
            <w:tcBorders>
              <w:top w:val="nil"/>
              <w:left w:val="nil"/>
              <w:bottom w:val="nil"/>
              <w:right w:val="nil"/>
            </w:tcBorders>
            <w:vAlign w:val="bottom"/>
          </w:tcPr>
          <w:p w14:paraId="3EDC947B"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2F39070E"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(.023)</w:t>
            </w:r>
          </w:p>
        </w:tc>
        <w:tc>
          <w:tcPr>
            <w:tcW w:w="1603" w:type="dxa"/>
            <w:tcBorders>
              <w:top w:val="nil"/>
              <w:left w:val="nil"/>
              <w:bottom w:val="nil"/>
              <w:right w:val="nil"/>
            </w:tcBorders>
            <w:vAlign w:val="bottom"/>
          </w:tcPr>
          <w:p w14:paraId="39D06BCB"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(.101)</w:t>
            </w:r>
          </w:p>
        </w:tc>
        <w:tc>
          <w:tcPr>
            <w:tcW w:w="1640" w:type="dxa"/>
            <w:tcBorders>
              <w:top w:val="nil"/>
              <w:left w:val="nil"/>
              <w:bottom w:val="nil"/>
              <w:right w:val="nil"/>
            </w:tcBorders>
            <w:vAlign w:val="bottom"/>
          </w:tcPr>
          <w:p w14:paraId="0BC41E12"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(.066)</w:t>
            </w:r>
          </w:p>
        </w:tc>
        <w:tc>
          <w:tcPr>
            <w:tcW w:w="1640" w:type="dxa"/>
            <w:tcBorders>
              <w:top w:val="nil"/>
              <w:left w:val="nil"/>
              <w:bottom w:val="nil"/>
              <w:right w:val="nil"/>
            </w:tcBorders>
          </w:tcPr>
          <w:p w14:paraId="7DC24B69"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(.083)</w:t>
            </w:r>
          </w:p>
        </w:tc>
        <w:tc>
          <w:tcPr>
            <w:tcW w:w="1640" w:type="dxa"/>
            <w:tcBorders>
              <w:top w:val="nil"/>
              <w:left w:val="nil"/>
              <w:bottom w:val="nil"/>
              <w:right w:val="nil"/>
            </w:tcBorders>
            <w:vAlign w:val="bottom"/>
          </w:tcPr>
          <w:p w14:paraId="21D40829"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(.037)</w:t>
            </w:r>
          </w:p>
        </w:tc>
      </w:tr>
      <w:tr w:rsidR="00307155" w:rsidRPr="00FC7BB4" w14:paraId="53FDC51B" w14:textId="77777777" w:rsidTr="00291B27">
        <w:trPr>
          <w:trHeight w:val="237"/>
        </w:trPr>
        <w:tc>
          <w:tcPr>
            <w:tcW w:w="2293" w:type="dxa"/>
            <w:tcBorders>
              <w:top w:val="nil"/>
              <w:left w:val="nil"/>
              <w:bottom w:val="nil"/>
              <w:right w:val="nil"/>
            </w:tcBorders>
            <w:vAlign w:val="bottom"/>
          </w:tcPr>
          <w:p w14:paraId="534B15CC"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a4(</w:t>
            </w:r>
            <w:proofErr w:type="gramStart"/>
            <w:r w:rsidRPr="00FC7BB4">
              <w:rPr>
                <w:rFonts w:ascii="Times New Roman" w:hAnsi="Times New Roman" w:cs="Times New Roman"/>
                <w:sz w:val="16"/>
                <w:szCs w:val="16"/>
              </w:rPr>
              <w:t>π.</w:t>
            </w:r>
            <w:proofErr w:type="spellStart"/>
            <w:r w:rsidRPr="00FC7BB4">
              <w:rPr>
                <w:rFonts w:ascii="Times New Roman" w:hAnsi="Times New Roman" w:cs="Times New Roman"/>
                <w:sz w:val="16"/>
                <w:szCs w:val="16"/>
              </w:rPr>
              <w:t>Dup.Recent</w:t>
            </w:r>
            <w:proofErr w:type="spellEnd"/>
            <w:proofErr w:type="gram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029012CC"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6.441***</w:t>
            </w:r>
          </w:p>
        </w:tc>
        <w:tc>
          <w:tcPr>
            <w:tcW w:w="1603" w:type="dxa"/>
            <w:tcBorders>
              <w:top w:val="nil"/>
              <w:left w:val="nil"/>
              <w:bottom w:val="nil"/>
              <w:right w:val="nil"/>
            </w:tcBorders>
            <w:vAlign w:val="bottom"/>
          </w:tcPr>
          <w:p w14:paraId="6C2DCDDC"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-4.476</w:t>
            </w:r>
          </w:p>
        </w:tc>
        <w:tc>
          <w:tcPr>
            <w:tcW w:w="1640" w:type="dxa"/>
            <w:tcBorders>
              <w:top w:val="nil"/>
              <w:left w:val="nil"/>
              <w:bottom w:val="nil"/>
              <w:right w:val="nil"/>
            </w:tcBorders>
            <w:vAlign w:val="bottom"/>
          </w:tcPr>
          <w:p w14:paraId="343F6224"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-0.081</w:t>
            </w:r>
          </w:p>
        </w:tc>
        <w:tc>
          <w:tcPr>
            <w:tcW w:w="1640" w:type="dxa"/>
            <w:tcBorders>
              <w:top w:val="nil"/>
              <w:left w:val="nil"/>
              <w:bottom w:val="nil"/>
              <w:right w:val="nil"/>
            </w:tcBorders>
          </w:tcPr>
          <w:p w14:paraId="7EA4DB29"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4.885</w:t>
            </w:r>
          </w:p>
        </w:tc>
        <w:tc>
          <w:tcPr>
            <w:tcW w:w="1640" w:type="dxa"/>
            <w:tcBorders>
              <w:top w:val="nil"/>
              <w:left w:val="nil"/>
              <w:bottom w:val="nil"/>
              <w:right w:val="nil"/>
            </w:tcBorders>
            <w:vAlign w:val="bottom"/>
          </w:tcPr>
          <w:p w14:paraId="1578BD2B"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9.18***</w:t>
            </w:r>
          </w:p>
        </w:tc>
      </w:tr>
      <w:tr w:rsidR="00307155" w:rsidRPr="00FC7BB4" w14:paraId="6E82BDAF" w14:textId="77777777" w:rsidTr="00291B27">
        <w:trPr>
          <w:trHeight w:val="244"/>
        </w:trPr>
        <w:tc>
          <w:tcPr>
            <w:tcW w:w="2293" w:type="dxa"/>
            <w:tcBorders>
              <w:top w:val="nil"/>
              <w:left w:val="nil"/>
              <w:bottom w:val="nil"/>
              <w:right w:val="nil"/>
            </w:tcBorders>
            <w:vAlign w:val="bottom"/>
          </w:tcPr>
          <w:p w14:paraId="497F7646"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39E930A0"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(.736)</w:t>
            </w:r>
          </w:p>
        </w:tc>
        <w:tc>
          <w:tcPr>
            <w:tcW w:w="1603" w:type="dxa"/>
            <w:tcBorders>
              <w:top w:val="nil"/>
              <w:left w:val="nil"/>
              <w:bottom w:val="nil"/>
              <w:right w:val="nil"/>
            </w:tcBorders>
            <w:vAlign w:val="bottom"/>
          </w:tcPr>
          <w:p w14:paraId="41FB31C2"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(3.509)</w:t>
            </w:r>
          </w:p>
        </w:tc>
        <w:tc>
          <w:tcPr>
            <w:tcW w:w="1640" w:type="dxa"/>
            <w:tcBorders>
              <w:top w:val="nil"/>
              <w:left w:val="nil"/>
              <w:bottom w:val="nil"/>
              <w:right w:val="nil"/>
            </w:tcBorders>
            <w:vAlign w:val="bottom"/>
          </w:tcPr>
          <w:p w14:paraId="5CB0ABD4"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(2.341)</w:t>
            </w:r>
          </w:p>
        </w:tc>
        <w:tc>
          <w:tcPr>
            <w:tcW w:w="1640" w:type="dxa"/>
            <w:tcBorders>
              <w:top w:val="nil"/>
              <w:left w:val="nil"/>
              <w:bottom w:val="nil"/>
              <w:right w:val="nil"/>
            </w:tcBorders>
          </w:tcPr>
          <w:p w14:paraId="00BCC161"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(3.089)</w:t>
            </w:r>
          </w:p>
        </w:tc>
        <w:tc>
          <w:tcPr>
            <w:tcW w:w="1640" w:type="dxa"/>
            <w:tcBorders>
              <w:top w:val="nil"/>
              <w:left w:val="nil"/>
              <w:bottom w:val="nil"/>
              <w:right w:val="nil"/>
            </w:tcBorders>
            <w:vAlign w:val="bottom"/>
          </w:tcPr>
          <w:p w14:paraId="64536626"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(1.125)</w:t>
            </w:r>
          </w:p>
        </w:tc>
      </w:tr>
      <w:tr w:rsidR="00307155" w:rsidRPr="00FC7BB4" w14:paraId="119359C2" w14:textId="77777777" w:rsidTr="00291B27">
        <w:trPr>
          <w:trHeight w:val="237"/>
        </w:trPr>
        <w:tc>
          <w:tcPr>
            <w:tcW w:w="2293" w:type="dxa"/>
            <w:tcBorders>
              <w:top w:val="nil"/>
              <w:left w:val="nil"/>
              <w:bottom w:val="nil"/>
              <w:right w:val="nil"/>
            </w:tcBorders>
            <w:vAlign w:val="bottom"/>
          </w:tcPr>
          <w:p w14:paraId="28B3CDE0"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a5(</w:t>
            </w:r>
            <w:proofErr w:type="spellStart"/>
            <w:r w:rsidRPr="00FC7BB4">
              <w:rPr>
                <w:rFonts w:ascii="Times New Roman" w:hAnsi="Times New Roman" w:cs="Times New Roman"/>
                <w:sz w:val="16"/>
                <w:szCs w:val="16"/>
              </w:rPr>
              <w:t>Cdn.Recent</w:t>
            </w:r>
            <w:proofErr w:type="spell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14EDC20D"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0.078*</w:t>
            </w:r>
          </w:p>
        </w:tc>
        <w:tc>
          <w:tcPr>
            <w:tcW w:w="1603" w:type="dxa"/>
            <w:tcBorders>
              <w:top w:val="nil"/>
              <w:left w:val="nil"/>
              <w:bottom w:val="nil"/>
              <w:right w:val="nil"/>
            </w:tcBorders>
            <w:vAlign w:val="bottom"/>
          </w:tcPr>
          <w:p w14:paraId="003A1EA1"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-.511*</w:t>
            </w:r>
          </w:p>
        </w:tc>
        <w:tc>
          <w:tcPr>
            <w:tcW w:w="1640" w:type="dxa"/>
            <w:tcBorders>
              <w:top w:val="nil"/>
              <w:left w:val="nil"/>
              <w:bottom w:val="nil"/>
              <w:right w:val="nil"/>
            </w:tcBorders>
            <w:vAlign w:val="bottom"/>
          </w:tcPr>
          <w:p w14:paraId="50B5B8EA"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0.326**</w:t>
            </w:r>
          </w:p>
        </w:tc>
        <w:tc>
          <w:tcPr>
            <w:tcW w:w="1640" w:type="dxa"/>
            <w:tcBorders>
              <w:top w:val="nil"/>
              <w:left w:val="nil"/>
              <w:bottom w:val="nil"/>
              <w:right w:val="nil"/>
            </w:tcBorders>
          </w:tcPr>
          <w:p w14:paraId="6683CC36"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0.106</w:t>
            </w:r>
          </w:p>
        </w:tc>
        <w:tc>
          <w:tcPr>
            <w:tcW w:w="1640" w:type="dxa"/>
            <w:tcBorders>
              <w:top w:val="nil"/>
              <w:left w:val="nil"/>
              <w:bottom w:val="nil"/>
              <w:right w:val="nil"/>
            </w:tcBorders>
            <w:vAlign w:val="bottom"/>
          </w:tcPr>
          <w:p w14:paraId="693E2EB9"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-0.058</w:t>
            </w:r>
          </w:p>
        </w:tc>
      </w:tr>
      <w:tr w:rsidR="00307155" w:rsidRPr="00FC7BB4" w14:paraId="1337813F" w14:textId="77777777" w:rsidTr="00291B27">
        <w:trPr>
          <w:trHeight w:val="244"/>
        </w:trPr>
        <w:tc>
          <w:tcPr>
            <w:tcW w:w="2293" w:type="dxa"/>
            <w:tcBorders>
              <w:top w:val="nil"/>
              <w:left w:val="nil"/>
              <w:bottom w:val="nil"/>
              <w:right w:val="nil"/>
            </w:tcBorders>
            <w:vAlign w:val="bottom"/>
          </w:tcPr>
          <w:p w14:paraId="5CE72631"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2AB100EA"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(.045)</w:t>
            </w:r>
          </w:p>
        </w:tc>
        <w:tc>
          <w:tcPr>
            <w:tcW w:w="1603" w:type="dxa"/>
            <w:tcBorders>
              <w:top w:val="nil"/>
              <w:left w:val="nil"/>
              <w:bottom w:val="nil"/>
              <w:right w:val="nil"/>
            </w:tcBorders>
            <w:vAlign w:val="bottom"/>
          </w:tcPr>
          <w:p w14:paraId="637CE60D"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(.304)</w:t>
            </w:r>
          </w:p>
        </w:tc>
        <w:tc>
          <w:tcPr>
            <w:tcW w:w="1640" w:type="dxa"/>
            <w:tcBorders>
              <w:top w:val="nil"/>
              <w:left w:val="nil"/>
              <w:bottom w:val="nil"/>
              <w:right w:val="nil"/>
            </w:tcBorders>
            <w:vAlign w:val="bottom"/>
          </w:tcPr>
          <w:p w14:paraId="499260C8"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(.137)</w:t>
            </w:r>
          </w:p>
        </w:tc>
        <w:tc>
          <w:tcPr>
            <w:tcW w:w="1640" w:type="dxa"/>
            <w:tcBorders>
              <w:top w:val="nil"/>
              <w:left w:val="nil"/>
              <w:bottom w:val="nil"/>
              <w:right w:val="nil"/>
            </w:tcBorders>
          </w:tcPr>
          <w:p w14:paraId="0F97AD41"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(.138)</w:t>
            </w:r>
          </w:p>
        </w:tc>
        <w:tc>
          <w:tcPr>
            <w:tcW w:w="1640" w:type="dxa"/>
            <w:tcBorders>
              <w:top w:val="nil"/>
              <w:left w:val="nil"/>
              <w:bottom w:val="nil"/>
              <w:right w:val="nil"/>
            </w:tcBorders>
            <w:vAlign w:val="bottom"/>
          </w:tcPr>
          <w:p w14:paraId="48DE4CDC"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(.074)</w:t>
            </w:r>
          </w:p>
        </w:tc>
      </w:tr>
      <w:tr w:rsidR="00307155" w:rsidRPr="00FC7BB4" w14:paraId="4F0D654D" w14:textId="77777777" w:rsidTr="00291B27">
        <w:trPr>
          <w:trHeight w:val="237"/>
        </w:trPr>
        <w:tc>
          <w:tcPr>
            <w:tcW w:w="2293" w:type="dxa"/>
            <w:tcBorders>
              <w:top w:val="nil"/>
              <w:left w:val="nil"/>
              <w:bottom w:val="nil"/>
              <w:right w:val="nil"/>
            </w:tcBorders>
            <w:vAlign w:val="bottom"/>
          </w:tcPr>
          <w:p w14:paraId="536601E3"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a6(</w:t>
            </w:r>
            <w:proofErr w:type="gramStart"/>
            <w:r w:rsidRPr="00FC7BB4">
              <w:rPr>
                <w:rFonts w:ascii="Times New Roman" w:hAnsi="Times New Roman" w:cs="Times New Roman"/>
                <w:sz w:val="16"/>
                <w:szCs w:val="16"/>
              </w:rPr>
              <w:t>π.</w:t>
            </w:r>
            <w:proofErr w:type="spellStart"/>
            <w:r w:rsidRPr="00FC7BB4">
              <w:rPr>
                <w:rFonts w:ascii="Times New Roman" w:hAnsi="Times New Roman" w:cs="Times New Roman"/>
                <w:sz w:val="16"/>
                <w:szCs w:val="16"/>
              </w:rPr>
              <w:t>Cdn.Recent</w:t>
            </w:r>
            <w:proofErr w:type="spellEnd"/>
            <w:proofErr w:type="gram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0B633D8E"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-8.409***</w:t>
            </w:r>
          </w:p>
        </w:tc>
        <w:tc>
          <w:tcPr>
            <w:tcW w:w="1603" w:type="dxa"/>
            <w:tcBorders>
              <w:top w:val="nil"/>
              <w:left w:val="nil"/>
              <w:bottom w:val="nil"/>
              <w:right w:val="nil"/>
            </w:tcBorders>
            <w:vAlign w:val="bottom"/>
          </w:tcPr>
          <w:p w14:paraId="793D2D20"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17.045</w:t>
            </w:r>
          </w:p>
        </w:tc>
        <w:tc>
          <w:tcPr>
            <w:tcW w:w="1640" w:type="dxa"/>
            <w:tcBorders>
              <w:top w:val="nil"/>
              <w:left w:val="nil"/>
              <w:bottom w:val="nil"/>
              <w:right w:val="nil"/>
            </w:tcBorders>
            <w:vAlign w:val="bottom"/>
          </w:tcPr>
          <w:p w14:paraId="3AF91BD6"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-4.764</w:t>
            </w:r>
          </w:p>
        </w:tc>
        <w:tc>
          <w:tcPr>
            <w:tcW w:w="1640" w:type="dxa"/>
            <w:tcBorders>
              <w:top w:val="nil"/>
              <w:left w:val="nil"/>
              <w:bottom w:val="nil"/>
              <w:right w:val="nil"/>
            </w:tcBorders>
          </w:tcPr>
          <w:p w14:paraId="01ADBA49"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-11.336**</w:t>
            </w:r>
          </w:p>
        </w:tc>
        <w:tc>
          <w:tcPr>
            <w:tcW w:w="1640" w:type="dxa"/>
            <w:tcBorders>
              <w:top w:val="nil"/>
              <w:left w:val="nil"/>
              <w:bottom w:val="nil"/>
              <w:right w:val="nil"/>
            </w:tcBorders>
            <w:vAlign w:val="bottom"/>
          </w:tcPr>
          <w:p w14:paraId="00D03852"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-12.206***</w:t>
            </w:r>
          </w:p>
        </w:tc>
      </w:tr>
      <w:tr w:rsidR="00307155" w:rsidRPr="00FC7BB4" w14:paraId="67F2AFB4" w14:textId="77777777" w:rsidTr="00291B27">
        <w:trPr>
          <w:trHeight w:val="244"/>
        </w:trPr>
        <w:tc>
          <w:tcPr>
            <w:tcW w:w="2293" w:type="dxa"/>
            <w:tcBorders>
              <w:top w:val="nil"/>
              <w:left w:val="nil"/>
              <w:bottom w:val="nil"/>
              <w:right w:val="nil"/>
            </w:tcBorders>
            <w:vAlign w:val="bottom"/>
          </w:tcPr>
          <w:p w14:paraId="4FF41EB2"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634A76B1"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(1.548)</w:t>
            </w:r>
          </w:p>
        </w:tc>
        <w:tc>
          <w:tcPr>
            <w:tcW w:w="1603" w:type="dxa"/>
            <w:tcBorders>
              <w:top w:val="nil"/>
              <w:left w:val="nil"/>
              <w:bottom w:val="nil"/>
              <w:right w:val="nil"/>
            </w:tcBorders>
            <w:vAlign w:val="bottom"/>
          </w:tcPr>
          <w:p w14:paraId="3AB850F3"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(11.531)</w:t>
            </w:r>
          </w:p>
        </w:tc>
        <w:tc>
          <w:tcPr>
            <w:tcW w:w="1640" w:type="dxa"/>
            <w:tcBorders>
              <w:top w:val="nil"/>
              <w:left w:val="nil"/>
              <w:bottom w:val="nil"/>
              <w:right w:val="nil"/>
            </w:tcBorders>
            <w:vAlign w:val="bottom"/>
          </w:tcPr>
          <w:p w14:paraId="4C063C4A"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(6.024)</w:t>
            </w:r>
          </w:p>
        </w:tc>
        <w:tc>
          <w:tcPr>
            <w:tcW w:w="1640" w:type="dxa"/>
            <w:tcBorders>
              <w:top w:val="nil"/>
              <w:left w:val="nil"/>
              <w:bottom w:val="nil"/>
              <w:right w:val="nil"/>
            </w:tcBorders>
          </w:tcPr>
          <w:p w14:paraId="2643BDB3"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(5.739)</w:t>
            </w:r>
          </w:p>
        </w:tc>
        <w:tc>
          <w:tcPr>
            <w:tcW w:w="1640" w:type="dxa"/>
            <w:tcBorders>
              <w:top w:val="nil"/>
              <w:left w:val="nil"/>
              <w:bottom w:val="nil"/>
              <w:right w:val="nil"/>
            </w:tcBorders>
            <w:vAlign w:val="bottom"/>
          </w:tcPr>
          <w:p w14:paraId="0FD13533"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(2.414)</w:t>
            </w:r>
          </w:p>
        </w:tc>
      </w:tr>
      <w:tr w:rsidR="00307155" w:rsidRPr="00FC7BB4" w14:paraId="1BA888F9" w14:textId="77777777" w:rsidTr="00291B27">
        <w:trPr>
          <w:trHeight w:val="237"/>
        </w:trPr>
        <w:tc>
          <w:tcPr>
            <w:tcW w:w="2293" w:type="dxa"/>
            <w:tcBorders>
              <w:top w:val="nil"/>
              <w:left w:val="nil"/>
              <w:bottom w:val="nil"/>
              <w:right w:val="nil"/>
            </w:tcBorders>
            <w:vAlign w:val="bottom"/>
          </w:tcPr>
          <w:p w14:paraId="644B85D9"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a7(</w:t>
            </w:r>
            <w:proofErr w:type="spellStart"/>
            <w:r w:rsidRPr="00FC7BB4">
              <w:rPr>
                <w:rFonts w:ascii="Times New Roman" w:hAnsi="Times New Roman" w:cs="Times New Roman"/>
                <w:sz w:val="16"/>
                <w:szCs w:val="16"/>
              </w:rPr>
              <w:t>Ddn.Recent</w:t>
            </w:r>
            <w:proofErr w:type="spell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405AC088"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-.136***</w:t>
            </w:r>
          </w:p>
        </w:tc>
        <w:tc>
          <w:tcPr>
            <w:tcW w:w="1603" w:type="dxa"/>
            <w:tcBorders>
              <w:top w:val="nil"/>
              <w:left w:val="nil"/>
              <w:bottom w:val="nil"/>
              <w:right w:val="nil"/>
            </w:tcBorders>
            <w:vAlign w:val="bottom"/>
          </w:tcPr>
          <w:p w14:paraId="7498EE0E"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-.258***</w:t>
            </w:r>
          </w:p>
        </w:tc>
        <w:tc>
          <w:tcPr>
            <w:tcW w:w="1640" w:type="dxa"/>
            <w:tcBorders>
              <w:top w:val="nil"/>
              <w:left w:val="nil"/>
              <w:bottom w:val="nil"/>
              <w:right w:val="nil"/>
            </w:tcBorders>
            <w:vAlign w:val="bottom"/>
          </w:tcPr>
          <w:p w14:paraId="29F18852"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-.159**</w:t>
            </w:r>
          </w:p>
        </w:tc>
        <w:tc>
          <w:tcPr>
            <w:tcW w:w="1640" w:type="dxa"/>
            <w:tcBorders>
              <w:top w:val="nil"/>
              <w:left w:val="nil"/>
              <w:bottom w:val="nil"/>
              <w:right w:val="nil"/>
            </w:tcBorders>
          </w:tcPr>
          <w:p w14:paraId="320787BC"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-0.096</w:t>
            </w:r>
          </w:p>
        </w:tc>
        <w:tc>
          <w:tcPr>
            <w:tcW w:w="1640" w:type="dxa"/>
            <w:tcBorders>
              <w:top w:val="nil"/>
              <w:left w:val="nil"/>
              <w:bottom w:val="nil"/>
              <w:right w:val="nil"/>
            </w:tcBorders>
            <w:vAlign w:val="bottom"/>
          </w:tcPr>
          <w:p w14:paraId="65EEF7E2"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-0.011</w:t>
            </w:r>
          </w:p>
        </w:tc>
      </w:tr>
      <w:tr w:rsidR="00307155" w:rsidRPr="00FC7BB4" w14:paraId="5FBA9191" w14:textId="77777777" w:rsidTr="00291B27">
        <w:trPr>
          <w:trHeight w:val="244"/>
        </w:trPr>
        <w:tc>
          <w:tcPr>
            <w:tcW w:w="2293" w:type="dxa"/>
            <w:tcBorders>
              <w:top w:val="nil"/>
              <w:left w:val="nil"/>
              <w:bottom w:val="nil"/>
              <w:right w:val="nil"/>
            </w:tcBorders>
            <w:vAlign w:val="bottom"/>
          </w:tcPr>
          <w:p w14:paraId="2B9B7334"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059F54F5"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(.023)</w:t>
            </w:r>
          </w:p>
        </w:tc>
        <w:tc>
          <w:tcPr>
            <w:tcW w:w="1603" w:type="dxa"/>
            <w:tcBorders>
              <w:top w:val="nil"/>
              <w:left w:val="nil"/>
              <w:bottom w:val="nil"/>
              <w:right w:val="nil"/>
            </w:tcBorders>
            <w:vAlign w:val="bottom"/>
          </w:tcPr>
          <w:p w14:paraId="4C8ADDEC"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w:t>
            </w:r>
          </w:p>
        </w:tc>
        <w:tc>
          <w:tcPr>
            <w:tcW w:w="1640" w:type="dxa"/>
            <w:tcBorders>
              <w:top w:val="nil"/>
              <w:left w:val="nil"/>
              <w:bottom w:val="nil"/>
              <w:right w:val="nil"/>
            </w:tcBorders>
            <w:vAlign w:val="bottom"/>
          </w:tcPr>
          <w:p w14:paraId="067072F1"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(.07)</w:t>
            </w:r>
          </w:p>
        </w:tc>
        <w:tc>
          <w:tcPr>
            <w:tcW w:w="1640" w:type="dxa"/>
            <w:tcBorders>
              <w:top w:val="nil"/>
              <w:left w:val="nil"/>
              <w:bottom w:val="nil"/>
              <w:right w:val="nil"/>
            </w:tcBorders>
          </w:tcPr>
          <w:p w14:paraId="22F6309D"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(.081)</w:t>
            </w:r>
          </w:p>
        </w:tc>
        <w:tc>
          <w:tcPr>
            <w:tcW w:w="1640" w:type="dxa"/>
            <w:tcBorders>
              <w:top w:val="nil"/>
              <w:left w:val="nil"/>
              <w:bottom w:val="nil"/>
              <w:right w:val="nil"/>
            </w:tcBorders>
            <w:vAlign w:val="bottom"/>
          </w:tcPr>
          <w:p w14:paraId="59B3BF31"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(.038)</w:t>
            </w:r>
          </w:p>
        </w:tc>
      </w:tr>
      <w:tr w:rsidR="00307155" w:rsidRPr="00FC7BB4" w14:paraId="589A4903" w14:textId="77777777" w:rsidTr="00291B27">
        <w:trPr>
          <w:trHeight w:val="237"/>
        </w:trPr>
        <w:tc>
          <w:tcPr>
            <w:tcW w:w="2293" w:type="dxa"/>
            <w:tcBorders>
              <w:top w:val="nil"/>
              <w:left w:val="nil"/>
              <w:bottom w:val="nil"/>
              <w:right w:val="nil"/>
            </w:tcBorders>
            <w:vAlign w:val="bottom"/>
          </w:tcPr>
          <w:p w14:paraId="136F4E8E"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a8(</w:t>
            </w:r>
            <w:proofErr w:type="gramStart"/>
            <w:r w:rsidRPr="00FC7BB4">
              <w:rPr>
                <w:rFonts w:ascii="Times New Roman" w:hAnsi="Times New Roman" w:cs="Times New Roman"/>
                <w:sz w:val="16"/>
                <w:szCs w:val="16"/>
              </w:rPr>
              <w:t>π.</w:t>
            </w:r>
            <w:proofErr w:type="spellStart"/>
            <w:r w:rsidRPr="00FC7BB4">
              <w:rPr>
                <w:rFonts w:ascii="Times New Roman" w:hAnsi="Times New Roman" w:cs="Times New Roman"/>
                <w:sz w:val="16"/>
                <w:szCs w:val="16"/>
              </w:rPr>
              <w:t>Ddn.Recent</w:t>
            </w:r>
            <w:proofErr w:type="spellEnd"/>
            <w:proofErr w:type="gram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30256020"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-5.322***</w:t>
            </w:r>
          </w:p>
        </w:tc>
        <w:tc>
          <w:tcPr>
            <w:tcW w:w="1603" w:type="dxa"/>
            <w:tcBorders>
              <w:top w:val="nil"/>
              <w:left w:val="nil"/>
              <w:bottom w:val="nil"/>
              <w:right w:val="nil"/>
            </w:tcBorders>
            <w:vAlign w:val="bottom"/>
          </w:tcPr>
          <w:p w14:paraId="24E56A7E"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1.533</w:t>
            </w:r>
          </w:p>
        </w:tc>
        <w:tc>
          <w:tcPr>
            <w:tcW w:w="1640" w:type="dxa"/>
            <w:tcBorders>
              <w:top w:val="nil"/>
              <w:left w:val="nil"/>
              <w:bottom w:val="nil"/>
              <w:right w:val="nil"/>
            </w:tcBorders>
            <w:vAlign w:val="bottom"/>
          </w:tcPr>
          <w:p w14:paraId="10332676"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3.004</w:t>
            </w:r>
          </w:p>
        </w:tc>
        <w:tc>
          <w:tcPr>
            <w:tcW w:w="1640" w:type="dxa"/>
            <w:tcBorders>
              <w:top w:val="nil"/>
              <w:left w:val="nil"/>
              <w:bottom w:val="nil"/>
              <w:right w:val="nil"/>
            </w:tcBorders>
          </w:tcPr>
          <w:p w14:paraId="155749AC"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-3.998*</w:t>
            </w:r>
          </w:p>
        </w:tc>
        <w:tc>
          <w:tcPr>
            <w:tcW w:w="1640" w:type="dxa"/>
            <w:tcBorders>
              <w:top w:val="nil"/>
              <w:left w:val="nil"/>
              <w:bottom w:val="nil"/>
              <w:right w:val="nil"/>
            </w:tcBorders>
            <w:vAlign w:val="bottom"/>
          </w:tcPr>
          <w:p w14:paraId="50B205EE"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-9.22***</w:t>
            </w:r>
          </w:p>
        </w:tc>
      </w:tr>
      <w:tr w:rsidR="00307155" w:rsidRPr="00FC7BB4" w14:paraId="12A7923A" w14:textId="77777777" w:rsidTr="00291B27">
        <w:trPr>
          <w:trHeight w:val="244"/>
        </w:trPr>
        <w:tc>
          <w:tcPr>
            <w:tcW w:w="2293" w:type="dxa"/>
            <w:tcBorders>
              <w:top w:val="nil"/>
              <w:left w:val="nil"/>
              <w:bottom w:val="nil"/>
              <w:right w:val="nil"/>
            </w:tcBorders>
            <w:vAlign w:val="bottom"/>
          </w:tcPr>
          <w:p w14:paraId="31EFD1DB"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58528943"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(.621)</w:t>
            </w:r>
          </w:p>
        </w:tc>
        <w:tc>
          <w:tcPr>
            <w:tcW w:w="1603" w:type="dxa"/>
            <w:tcBorders>
              <w:top w:val="nil"/>
              <w:left w:val="nil"/>
              <w:bottom w:val="nil"/>
              <w:right w:val="nil"/>
            </w:tcBorders>
            <w:vAlign w:val="bottom"/>
          </w:tcPr>
          <w:p w14:paraId="7168ACD9"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(2.804)</w:t>
            </w:r>
          </w:p>
        </w:tc>
        <w:tc>
          <w:tcPr>
            <w:tcW w:w="1640" w:type="dxa"/>
            <w:tcBorders>
              <w:top w:val="nil"/>
              <w:left w:val="nil"/>
              <w:bottom w:val="nil"/>
              <w:right w:val="nil"/>
            </w:tcBorders>
            <w:vAlign w:val="bottom"/>
          </w:tcPr>
          <w:p w14:paraId="57BBF50B"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(2.14)</w:t>
            </w:r>
          </w:p>
        </w:tc>
        <w:tc>
          <w:tcPr>
            <w:tcW w:w="1640" w:type="dxa"/>
            <w:tcBorders>
              <w:top w:val="nil"/>
              <w:left w:val="nil"/>
              <w:bottom w:val="nil"/>
              <w:right w:val="nil"/>
            </w:tcBorders>
          </w:tcPr>
          <w:p w14:paraId="60B49CB5"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(2.419)</w:t>
            </w:r>
          </w:p>
        </w:tc>
        <w:tc>
          <w:tcPr>
            <w:tcW w:w="1640" w:type="dxa"/>
            <w:tcBorders>
              <w:top w:val="nil"/>
              <w:left w:val="nil"/>
              <w:bottom w:val="nil"/>
              <w:right w:val="nil"/>
            </w:tcBorders>
            <w:vAlign w:val="bottom"/>
          </w:tcPr>
          <w:p w14:paraId="0BECB34F" w14:textId="77777777" w:rsidR="00307155" w:rsidRPr="00FC7BB4" w:rsidRDefault="00307155" w:rsidP="00F3101B">
            <w:pPr>
              <w:spacing w:line="240" w:lineRule="auto"/>
              <w:ind w:right="27"/>
              <w:jc w:val="left"/>
              <w:rPr>
                <w:rFonts w:ascii="Times New Roman" w:hAnsi="Times New Roman" w:cs="Times New Roman"/>
                <w:sz w:val="16"/>
                <w:szCs w:val="16"/>
              </w:rPr>
            </w:pPr>
            <w:r w:rsidRPr="00FC7BB4">
              <w:rPr>
                <w:rFonts w:ascii="Times New Roman" w:hAnsi="Times New Roman" w:cs="Times New Roman"/>
                <w:sz w:val="16"/>
                <w:szCs w:val="16"/>
              </w:rPr>
              <w:t>(.987)</w:t>
            </w:r>
          </w:p>
        </w:tc>
      </w:tr>
      <w:tr w:rsidR="00307155" w:rsidRPr="00FC7BB4" w14:paraId="04700E6E" w14:textId="77777777" w:rsidTr="00291B27">
        <w:trPr>
          <w:trHeight w:val="237"/>
        </w:trPr>
        <w:tc>
          <w:tcPr>
            <w:tcW w:w="2293" w:type="dxa"/>
            <w:tcBorders>
              <w:top w:val="nil"/>
              <w:left w:val="nil"/>
              <w:bottom w:val="nil"/>
              <w:right w:val="nil"/>
            </w:tcBorders>
            <w:vAlign w:val="bottom"/>
          </w:tcPr>
          <w:p w14:paraId="41A17B36"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eastAsia="Cambria" w:hAnsi="Times New Roman" w:cs="Times New Roman"/>
                <w:i/>
                <w:sz w:val="16"/>
                <w:szCs w:val="16"/>
              </w:rPr>
              <w:t>k</w:t>
            </w:r>
            <w:r w:rsidRPr="00FC7BB4">
              <w:rPr>
                <w:rFonts w:ascii="Times New Roman" w:eastAsia="Cambria" w:hAnsi="Times New Roman" w:cs="Times New Roman"/>
                <w:sz w:val="16"/>
                <w:szCs w:val="16"/>
                <w:vertAlign w:val="subscript"/>
              </w:rPr>
              <w:t xml:space="preserve">1 </w:t>
            </w:r>
            <w:r w:rsidRPr="00FC7BB4">
              <w:rPr>
                <w:rFonts w:ascii="Times New Roman" w:hAnsi="Times New Roman" w:cs="Times New Roman"/>
                <w:sz w:val="16"/>
                <w:szCs w:val="16"/>
              </w:rPr>
              <w:t xml:space="preserve">(down | </w:t>
            </w:r>
            <w:proofErr w:type="spellStart"/>
            <w:r w:rsidRPr="00FC7BB4">
              <w:rPr>
                <w:rFonts w:ascii="Times New Roman" w:hAnsi="Times New Roman" w:cs="Times New Roman"/>
                <w:sz w:val="16"/>
                <w:szCs w:val="16"/>
              </w:rPr>
              <w:t>nc</w:t>
            </w:r>
            <w:proofErr w:type="spellEnd"/>
            <w:r w:rsidRPr="00FC7BB4">
              <w:rPr>
                <w:rFonts w:ascii="Times New Roman" w:hAnsi="Times New Roman" w:cs="Times New Roman"/>
                <w:sz w:val="16"/>
                <w:szCs w:val="16"/>
              </w:rPr>
              <w:t>)</w:t>
            </w:r>
          </w:p>
        </w:tc>
        <w:tc>
          <w:tcPr>
            <w:tcW w:w="1575" w:type="dxa"/>
            <w:tcBorders>
              <w:top w:val="nil"/>
              <w:left w:val="nil"/>
              <w:bottom w:val="nil"/>
              <w:right w:val="nil"/>
            </w:tcBorders>
            <w:vAlign w:val="bottom"/>
          </w:tcPr>
          <w:p w14:paraId="6B008CAC"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-1.079***</w:t>
            </w:r>
          </w:p>
        </w:tc>
        <w:tc>
          <w:tcPr>
            <w:tcW w:w="1603" w:type="dxa"/>
            <w:tcBorders>
              <w:top w:val="nil"/>
              <w:left w:val="nil"/>
              <w:bottom w:val="nil"/>
              <w:right w:val="nil"/>
            </w:tcBorders>
            <w:vAlign w:val="bottom"/>
          </w:tcPr>
          <w:p w14:paraId="0F219C52"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-1.08***</w:t>
            </w:r>
          </w:p>
        </w:tc>
        <w:tc>
          <w:tcPr>
            <w:tcW w:w="1640" w:type="dxa"/>
            <w:tcBorders>
              <w:top w:val="nil"/>
              <w:left w:val="nil"/>
              <w:bottom w:val="nil"/>
              <w:right w:val="nil"/>
            </w:tcBorders>
            <w:vAlign w:val="bottom"/>
          </w:tcPr>
          <w:p w14:paraId="1776B6C1"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-1.33***</w:t>
            </w:r>
          </w:p>
        </w:tc>
        <w:tc>
          <w:tcPr>
            <w:tcW w:w="1640" w:type="dxa"/>
            <w:tcBorders>
              <w:top w:val="nil"/>
              <w:left w:val="nil"/>
              <w:bottom w:val="nil"/>
              <w:right w:val="nil"/>
            </w:tcBorders>
          </w:tcPr>
          <w:p w14:paraId="404DD019"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-.999***</w:t>
            </w:r>
          </w:p>
        </w:tc>
        <w:tc>
          <w:tcPr>
            <w:tcW w:w="1640" w:type="dxa"/>
            <w:tcBorders>
              <w:top w:val="nil"/>
              <w:left w:val="nil"/>
              <w:bottom w:val="nil"/>
              <w:right w:val="nil"/>
            </w:tcBorders>
            <w:vAlign w:val="bottom"/>
          </w:tcPr>
          <w:p w14:paraId="04351B96"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-1.468***</w:t>
            </w:r>
          </w:p>
        </w:tc>
      </w:tr>
      <w:tr w:rsidR="00307155" w:rsidRPr="00FC7BB4" w14:paraId="4EC12909" w14:textId="77777777" w:rsidTr="00291B27">
        <w:trPr>
          <w:trHeight w:val="244"/>
        </w:trPr>
        <w:tc>
          <w:tcPr>
            <w:tcW w:w="2293" w:type="dxa"/>
            <w:tcBorders>
              <w:top w:val="nil"/>
              <w:left w:val="nil"/>
              <w:bottom w:val="nil"/>
              <w:right w:val="nil"/>
            </w:tcBorders>
            <w:vAlign w:val="bottom"/>
          </w:tcPr>
          <w:p w14:paraId="59E649A2"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nil"/>
              <w:right w:val="nil"/>
            </w:tcBorders>
            <w:vAlign w:val="bottom"/>
          </w:tcPr>
          <w:p w14:paraId="72A3A41D"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(.014)</w:t>
            </w:r>
          </w:p>
        </w:tc>
        <w:tc>
          <w:tcPr>
            <w:tcW w:w="1603" w:type="dxa"/>
            <w:tcBorders>
              <w:top w:val="nil"/>
              <w:left w:val="nil"/>
              <w:bottom w:val="nil"/>
              <w:right w:val="nil"/>
            </w:tcBorders>
            <w:vAlign w:val="bottom"/>
          </w:tcPr>
          <w:p w14:paraId="0ADBEBB1"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(.039)</w:t>
            </w:r>
          </w:p>
        </w:tc>
        <w:tc>
          <w:tcPr>
            <w:tcW w:w="1640" w:type="dxa"/>
            <w:tcBorders>
              <w:top w:val="nil"/>
              <w:left w:val="nil"/>
              <w:bottom w:val="nil"/>
              <w:right w:val="nil"/>
            </w:tcBorders>
            <w:vAlign w:val="bottom"/>
          </w:tcPr>
          <w:p w14:paraId="31EDA238"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(.022)</w:t>
            </w:r>
          </w:p>
        </w:tc>
        <w:tc>
          <w:tcPr>
            <w:tcW w:w="1640" w:type="dxa"/>
            <w:tcBorders>
              <w:top w:val="nil"/>
              <w:left w:val="nil"/>
              <w:bottom w:val="nil"/>
              <w:right w:val="nil"/>
            </w:tcBorders>
          </w:tcPr>
          <w:p w14:paraId="04750BAC"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(.021)</w:t>
            </w:r>
          </w:p>
        </w:tc>
        <w:tc>
          <w:tcPr>
            <w:tcW w:w="1640" w:type="dxa"/>
            <w:tcBorders>
              <w:top w:val="nil"/>
              <w:left w:val="nil"/>
              <w:bottom w:val="nil"/>
              <w:right w:val="nil"/>
            </w:tcBorders>
            <w:vAlign w:val="bottom"/>
          </w:tcPr>
          <w:p w14:paraId="194D8A59"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(.016)</w:t>
            </w:r>
          </w:p>
        </w:tc>
      </w:tr>
      <w:tr w:rsidR="00307155" w:rsidRPr="00FC7BB4" w14:paraId="218C881B" w14:textId="77777777" w:rsidTr="00291B27">
        <w:trPr>
          <w:trHeight w:val="73"/>
        </w:trPr>
        <w:tc>
          <w:tcPr>
            <w:tcW w:w="2293" w:type="dxa"/>
            <w:tcBorders>
              <w:top w:val="nil"/>
              <w:left w:val="nil"/>
              <w:bottom w:val="nil"/>
              <w:right w:val="nil"/>
            </w:tcBorders>
            <w:vAlign w:val="bottom"/>
          </w:tcPr>
          <w:p w14:paraId="63501AA7"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eastAsia="Cambria" w:hAnsi="Times New Roman" w:cs="Times New Roman"/>
                <w:i/>
                <w:sz w:val="16"/>
                <w:szCs w:val="16"/>
              </w:rPr>
              <w:t>k</w:t>
            </w:r>
            <w:r w:rsidRPr="00FC7BB4">
              <w:rPr>
                <w:rFonts w:ascii="Times New Roman" w:eastAsia="Cambria" w:hAnsi="Times New Roman" w:cs="Times New Roman"/>
                <w:sz w:val="16"/>
                <w:szCs w:val="16"/>
                <w:vertAlign w:val="subscript"/>
              </w:rPr>
              <w:t xml:space="preserve">2 </w:t>
            </w:r>
            <w:r w:rsidRPr="00FC7BB4">
              <w:rPr>
                <w:rFonts w:ascii="Times New Roman" w:hAnsi="Times New Roman" w:cs="Times New Roman"/>
                <w:sz w:val="16"/>
                <w:szCs w:val="16"/>
              </w:rPr>
              <w:t>(</w:t>
            </w:r>
            <w:proofErr w:type="spellStart"/>
            <w:r w:rsidRPr="00FC7BB4">
              <w:rPr>
                <w:rFonts w:ascii="Times New Roman" w:hAnsi="Times New Roman" w:cs="Times New Roman"/>
                <w:sz w:val="16"/>
                <w:szCs w:val="16"/>
              </w:rPr>
              <w:t>nc</w:t>
            </w:r>
            <w:proofErr w:type="spellEnd"/>
            <w:r w:rsidRPr="00FC7BB4">
              <w:rPr>
                <w:rFonts w:ascii="Times New Roman" w:hAnsi="Times New Roman" w:cs="Times New Roman"/>
                <w:sz w:val="16"/>
                <w:szCs w:val="16"/>
              </w:rPr>
              <w:t xml:space="preserve"> | up)</w:t>
            </w:r>
          </w:p>
        </w:tc>
        <w:tc>
          <w:tcPr>
            <w:tcW w:w="1575" w:type="dxa"/>
            <w:tcBorders>
              <w:top w:val="nil"/>
              <w:left w:val="nil"/>
              <w:bottom w:val="nil"/>
              <w:right w:val="nil"/>
            </w:tcBorders>
            <w:vAlign w:val="bottom"/>
          </w:tcPr>
          <w:p w14:paraId="131B7773"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0.881***</w:t>
            </w:r>
          </w:p>
        </w:tc>
        <w:tc>
          <w:tcPr>
            <w:tcW w:w="1603" w:type="dxa"/>
            <w:tcBorders>
              <w:top w:val="nil"/>
              <w:left w:val="nil"/>
              <w:bottom w:val="nil"/>
              <w:right w:val="nil"/>
            </w:tcBorders>
            <w:vAlign w:val="bottom"/>
          </w:tcPr>
          <w:p w14:paraId="1FC23725"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1.151***</w:t>
            </w:r>
          </w:p>
        </w:tc>
        <w:tc>
          <w:tcPr>
            <w:tcW w:w="1640" w:type="dxa"/>
            <w:tcBorders>
              <w:top w:val="nil"/>
              <w:left w:val="nil"/>
              <w:bottom w:val="nil"/>
              <w:right w:val="nil"/>
            </w:tcBorders>
            <w:vAlign w:val="bottom"/>
          </w:tcPr>
          <w:p w14:paraId="78CA3B0A"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1.28***</w:t>
            </w:r>
          </w:p>
        </w:tc>
        <w:tc>
          <w:tcPr>
            <w:tcW w:w="1640" w:type="dxa"/>
            <w:tcBorders>
              <w:top w:val="nil"/>
              <w:left w:val="nil"/>
              <w:bottom w:val="nil"/>
              <w:right w:val="nil"/>
            </w:tcBorders>
          </w:tcPr>
          <w:p w14:paraId="0147DC1B"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1.161***</w:t>
            </w:r>
          </w:p>
        </w:tc>
        <w:tc>
          <w:tcPr>
            <w:tcW w:w="1640" w:type="dxa"/>
            <w:tcBorders>
              <w:top w:val="nil"/>
              <w:left w:val="nil"/>
              <w:bottom w:val="nil"/>
              <w:right w:val="nil"/>
            </w:tcBorders>
            <w:vAlign w:val="bottom"/>
          </w:tcPr>
          <w:p w14:paraId="3CD3B9D2"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1.005***</w:t>
            </w:r>
          </w:p>
        </w:tc>
      </w:tr>
      <w:tr w:rsidR="00307155" w:rsidRPr="00FC7BB4" w14:paraId="3775B23A" w14:textId="77777777" w:rsidTr="00291B27">
        <w:trPr>
          <w:trHeight w:val="364"/>
        </w:trPr>
        <w:tc>
          <w:tcPr>
            <w:tcW w:w="2293" w:type="dxa"/>
            <w:tcBorders>
              <w:top w:val="nil"/>
              <w:left w:val="nil"/>
              <w:bottom w:val="single" w:sz="4" w:space="0" w:color="auto"/>
              <w:right w:val="nil"/>
            </w:tcBorders>
            <w:vAlign w:val="bottom"/>
          </w:tcPr>
          <w:p w14:paraId="274E3872" w14:textId="77777777" w:rsidR="00307155" w:rsidRPr="00FC7BB4" w:rsidRDefault="00307155" w:rsidP="00F3101B">
            <w:pPr>
              <w:spacing w:line="240" w:lineRule="auto"/>
              <w:ind w:right="27"/>
              <w:rPr>
                <w:rFonts w:ascii="Times New Roman" w:hAnsi="Times New Roman" w:cs="Times New Roman"/>
                <w:sz w:val="16"/>
                <w:szCs w:val="16"/>
              </w:rPr>
            </w:pPr>
          </w:p>
        </w:tc>
        <w:tc>
          <w:tcPr>
            <w:tcW w:w="1575" w:type="dxa"/>
            <w:tcBorders>
              <w:top w:val="nil"/>
              <w:left w:val="nil"/>
              <w:bottom w:val="single" w:sz="4" w:space="0" w:color="auto"/>
              <w:right w:val="nil"/>
            </w:tcBorders>
            <w:vAlign w:val="bottom"/>
          </w:tcPr>
          <w:p w14:paraId="7ED82F92" w14:textId="77777777" w:rsidR="00307155" w:rsidRPr="00FC7BB4" w:rsidRDefault="00307155" w:rsidP="00F3101B">
            <w:pPr>
              <w:spacing w:after="120"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(.012)</w:t>
            </w:r>
          </w:p>
        </w:tc>
        <w:tc>
          <w:tcPr>
            <w:tcW w:w="1603" w:type="dxa"/>
            <w:tcBorders>
              <w:top w:val="nil"/>
              <w:left w:val="nil"/>
              <w:bottom w:val="single" w:sz="4" w:space="0" w:color="auto"/>
              <w:right w:val="nil"/>
            </w:tcBorders>
            <w:vAlign w:val="bottom"/>
          </w:tcPr>
          <w:p w14:paraId="46A60327" w14:textId="77777777" w:rsidR="00307155" w:rsidRPr="00FC7BB4" w:rsidRDefault="00307155" w:rsidP="00F3101B">
            <w:pPr>
              <w:spacing w:after="120"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(.038)</w:t>
            </w:r>
          </w:p>
        </w:tc>
        <w:tc>
          <w:tcPr>
            <w:tcW w:w="1640" w:type="dxa"/>
            <w:tcBorders>
              <w:top w:val="nil"/>
              <w:left w:val="nil"/>
              <w:bottom w:val="single" w:sz="4" w:space="0" w:color="auto"/>
              <w:right w:val="nil"/>
            </w:tcBorders>
            <w:vAlign w:val="bottom"/>
          </w:tcPr>
          <w:p w14:paraId="69D3C69B" w14:textId="77777777" w:rsidR="00307155" w:rsidRPr="00FC7BB4" w:rsidRDefault="00307155" w:rsidP="00F3101B">
            <w:pPr>
              <w:spacing w:after="120"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(.022)</w:t>
            </w:r>
          </w:p>
        </w:tc>
        <w:tc>
          <w:tcPr>
            <w:tcW w:w="1640" w:type="dxa"/>
            <w:tcBorders>
              <w:top w:val="nil"/>
              <w:left w:val="nil"/>
              <w:bottom w:val="single" w:sz="4" w:space="0" w:color="auto"/>
              <w:right w:val="nil"/>
            </w:tcBorders>
          </w:tcPr>
          <w:p w14:paraId="7C772789" w14:textId="77777777" w:rsidR="00307155" w:rsidRPr="00FC7BB4" w:rsidRDefault="00307155" w:rsidP="00F3101B">
            <w:pPr>
              <w:spacing w:after="120"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(.023)</w:t>
            </w:r>
          </w:p>
        </w:tc>
        <w:tc>
          <w:tcPr>
            <w:tcW w:w="1640" w:type="dxa"/>
            <w:tcBorders>
              <w:top w:val="nil"/>
              <w:left w:val="nil"/>
              <w:bottom w:val="single" w:sz="4" w:space="0" w:color="auto"/>
              <w:right w:val="nil"/>
            </w:tcBorders>
            <w:vAlign w:val="bottom"/>
          </w:tcPr>
          <w:p w14:paraId="02349CF2" w14:textId="77777777" w:rsidR="00307155" w:rsidRPr="00FC7BB4" w:rsidRDefault="00307155" w:rsidP="00F3101B">
            <w:pPr>
              <w:spacing w:after="120"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(.013)</w:t>
            </w:r>
          </w:p>
        </w:tc>
      </w:tr>
      <w:tr w:rsidR="00307155" w:rsidRPr="00FC7BB4" w14:paraId="4AC46BCF" w14:textId="77777777" w:rsidTr="00291B27">
        <w:trPr>
          <w:trHeight w:val="237"/>
        </w:trPr>
        <w:tc>
          <w:tcPr>
            <w:tcW w:w="2293" w:type="dxa"/>
            <w:tcBorders>
              <w:top w:val="nil"/>
              <w:left w:val="nil"/>
              <w:bottom w:val="nil"/>
              <w:right w:val="nil"/>
            </w:tcBorders>
            <w:vAlign w:val="bottom"/>
          </w:tcPr>
          <w:p w14:paraId="39432B66"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 xml:space="preserve"> Observations</w:t>
            </w:r>
          </w:p>
        </w:tc>
        <w:tc>
          <w:tcPr>
            <w:tcW w:w="1575" w:type="dxa"/>
            <w:tcBorders>
              <w:top w:val="nil"/>
              <w:left w:val="nil"/>
              <w:bottom w:val="nil"/>
              <w:right w:val="nil"/>
            </w:tcBorders>
            <w:vAlign w:val="bottom"/>
          </w:tcPr>
          <w:p w14:paraId="60E4A7BE"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131,986</w:t>
            </w:r>
          </w:p>
        </w:tc>
        <w:tc>
          <w:tcPr>
            <w:tcW w:w="1603" w:type="dxa"/>
            <w:tcBorders>
              <w:top w:val="nil"/>
              <w:left w:val="nil"/>
              <w:bottom w:val="nil"/>
              <w:right w:val="nil"/>
            </w:tcBorders>
            <w:vAlign w:val="bottom"/>
          </w:tcPr>
          <w:p w14:paraId="3F040D00"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8,276</w:t>
            </w:r>
          </w:p>
        </w:tc>
        <w:tc>
          <w:tcPr>
            <w:tcW w:w="1640" w:type="dxa"/>
            <w:tcBorders>
              <w:top w:val="nil"/>
              <w:left w:val="nil"/>
              <w:bottom w:val="nil"/>
              <w:right w:val="nil"/>
            </w:tcBorders>
            <w:vAlign w:val="bottom"/>
          </w:tcPr>
          <w:p w14:paraId="19737ED6"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41,353</w:t>
            </w:r>
          </w:p>
        </w:tc>
        <w:tc>
          <w:tcPr>
            <w:tcW w:w="1640" w:type="dxa"/>
            <w:tcBorders>
              <w:top w:val="nil"/>
              <w:left w:val="nil"/>
              <w:bottom w:val="nil"/>
              <w:right w:val="nil"/>
            </w:tcBorders>
          </w:tcPr>
          <w:p w14:paraId="7ED5964E"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25,500</w:t>
            </w:r>
          </w:p>
        </w:tc>
        <w:tc>
          <w:tcPr>
            <w:tcW w:w="1640" w:type="dxa"/>
            <w:tcBorders>
              <w:top w:val="nil"/>
              <w:left w:val="nil"/>
              <w:bottom w:val="nil"/>
              <w:right w:val="nil"/>
            </w:tcBorders>
            <w:vAlign w:val="bottom"/>
          </w:tcPr>
          <w:p w14:paraId="62F421E0"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56,857</w:t>
            </w:r>
          </w:p>
        </w:tc>
      </w:tr>
      <w:tr w:rsidR="00307155" w:rsidRPr="00FC7BB4" w14:paraId="1C46F699" w14:textId="77777777" w:rsidTr="00291B27">
        <w:trPr>
          <w:trHeight w:val="244"/>
        </w:trPr>
        <w:tc>
          <w:tcPr>
            <w:tcW w:w="2293" w:type="dxa"/>
            <w:tcBorders>
              <w:top w:val="nil"/>
              <w:left w:val="nil"/>
              <w:bottom w:val="nil"/>
              <w:right w:val="nil"/>
            </w:tcBorders>
            <w:vAlign w:val="bottom"/>
          </w:tcPr>
          <w:p w14:paraId="6C68D171" w14:textId="77777777" w:rsidR="00307155" w:rsidRPr="00FC7BB4" w:rsidRDefault="00307155" w:rsidP="00F3101B">
            <w:pPr>
              <w:spacing w:line="240" w:lineRule="auto"/>
              <w:ind w:right="27" w:firstLine="0"/>
              <w:rPr>
                <w:rFonts w:ascii="Times New Roman" w:hAnsi="Times New Roman" w:cs="Times New Roman"/>
                <w:sz w:val="16"/>
                <w:szCs w:val="16"/>
              </w:rPr>
            </w:pPr>
            <w:r w:rsidRPr="00FC7BB4">
              <w:rPr>
                <w:rFonts w:ascii="Times New Roman" w:hAnsi="Times New Roman" w:cs="Times New Roman"/>
                <w:sz w:val="16"/>
                <w:szCs w:val="16"/>
              </w:rPr>
              <w:t xml:space="preserve">         Likelihood Ratio chi</w:t>
            </w:r>
            <w:r w:rsidRPr="00FC7BB4">
              <w:rPr>
                <w:rFonts w:ascii="Times New Roman" w:hAnsi="Times New Roman" w:cs="Times New Roman"/>
                <w:sz w:val="16"/>
                <w:szCs w:val="16"/>
                <w:vertAlign w:val="superscript"/>
              </w:rPr>
              <w:t>2</w:t>
            </w:r>
          </w:p>
        </w:tc>
        <w:tc>
          <w:tcPr>
            <w:tcW w:w="1575" w:type="dxa"/>
            <w:tcBorders>
              <w:top w:val="nil"/>
              <w:left w:val="nil"/>
              <w:bottom w:val="nil"/>
              <w:right w:val="nil"/>
            </w:tcBorders>
            <w:vAlign w:val="bottom"/>
          </w:tcPr>
          <w:p w14:paraId="0C37D5D0"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 xml:space="preserve">  32,647</w:t>
            </w:r>
          </w:p>
        </w:tc>
        <w:tc>
          <w:tcPr>
            <w:tcW w:w="1603" w:type="dxa"/>
            <w:tcBorders>
              <w:top w:val="nil"/>
              <w:left w:val="nil"/>
              <w:bottom w:val="nil"/>
              <w:right w:val="nil"/>
            </w:tcBorders>
            <w:vAlign w:val="bottom"/>
          </w:tcPr>
          <w:p w14:paraId="5512467B"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2,401</w:t>
            </w:r>
          </w:p>
        </w:tc>
        <w:tc>
          <w:tcPr>
            <w:tcW w:w="1640" w:type="dxa"/>
            <w:tcBorders>
              <w:top w:val="nil"/>
              <w:left w:val="nil"/>
              <w:bottom w:val="nil"/>
              <w:right w:val="nil"/>
            </w:tcBorders>
            <w:vAlign w:val="bottom"/>
          </w:tcPr>
          <w:p w14:paraId="3926C62F"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 xml:space="preserve">  9,052</w:t>
            </w:r>
          </w:p>
        </w:tc>
        <w:tc>
          <w:tcPr>
            <w:tcW w:w="1640" w:type="dxa"/>
            <w:tcBorders>
              <w:top w:val="nil"/>
              <w:left w:val="nil"/>
              <w:bottom w:val="nil"/>
              <w:right w:val="nil"/>
            </w:tcBorders>
          </w:tcPr>
          <w:p w14:paraId="1F8DC953"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10,165</w:t>
            </w:r>
          </w:p>
        </w:tc>
        <w:tc>
          <w:tcPr>
            <w:tcW w:w="1640" w:type="dxa"/>
            <w:tcBorders>
              <w:top w:val="nil"/>
              <w:left w:val="nil"/>
              <w:bottom w:val="nil"/>
              <w:right w:val="nil"/>
            </w:tcBorders>
            <w:vAlign w:val="bottom"/>
          </w:tcPr>
          <w:p w14:paraId="1D713D3C"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 xml:space="preserve">15,021                  </w:t>
            </w:r>
          </w:p>
        </w:tc>
      </w:tr>
      <w:tr w:rsidR="00307155" w:rsidRPr="00FC7BB4" w14:paraId="37410415" w14:textId="77777777" w:rsidTr="00291B27">
        <w:trPr>
          <w:trHeight w:val="56"/>
        </w:trPr>
        <w:tc>
          <w:tcPr>
            <w:tcW w:w="2293" w:type="dxa"/>
            <w:tcBorders>
              <w:top w:val="nil"/>
              <w:left w:val="nil"/>
              <w:bottom w:val="nil"/>
              <w:right w:val="nil"/>
            </w:tcBorders>
            <w:vAlign w:val="bottom"/>
          </w:tcPr>
          <w:p w14:paraId="696F1037" w14:textId="77777777" w:rsidR="00307155" w:rsidRPr="00FC7BB4" w:rsidRDefault="00307155" w:rsidP="00F3101B">
            <w:pPr>
              <w:spacing w:line="240" w:lineRule="auto"/>
              <w:ind w:right="27" w:firstLine="0"/>
              <w:rPr>
                <w:rFonts w:ascii="Times New Roman" w:hAnsi="Times New Roman" w:cs="Times New Roman"/>
                <w:sz w:val="16"/>
                <w:szCs w:val="16"/>
              </w:rPr>
            </w:pPr>
            <w:r w:rsidRPr="00FC7BB4">
              <w:rPr>
                <w:rFonts w:ascii="Times New Roman" w:hAnsi="Times New Roman" w:cs="Times New Roman"/>
                <w:sz w:val="16"/>
                <w:szCs w:val="16"/>
              </w:rPr>
              <w:t xml:space="preserve">        Prob&gt;chi</w:t>
            </w:r>
            <w:r w:rsidRPr="00FC7BB4">
              <w:rPr>
                <w:rFonts w:ascii="Times New Roman" w:hAnsi="Times New Roman" w:cs="Times New Roman"/>
                <w:sz w:val="16"/>
                <w:szCs w:val="16"/>
                <w:vertAlign w:val="superscript"/>
              </w:rPr>
              <w:t>2</w:t>
            </w:r>
          </w:p>
        </w:tc>
        <w:tc>
          <w:tcPr>
            <w:tcW w:w="1575" w:type="dxa"/>
            <w:tcBorders>
              <w:top w:val="nil"/>
              <w:left w:val="nil"/>
              <w:bottom w:val="nil"/>
              <w:right w:val="nil"/>
            </w:tcBorders>
            <w:vAlign w:val="bottom"/>
          </w:tcPr>
          <w:p w14:paraId="64CDF681"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 xml:space="preserve">    0.000</w:t>
            </w:r>
          </w:p>
        </w:tc>
        <w:tc>
          <w:tcPr>
            <w:tcW w:w="1603" w:type="dxa"/>
            <w:tcBorders>
              <w:top w:val="nil"/>
              <w:left w:val="nil"/>
              <w:bottom w:val="nil"/>
              <w:right w:val="nil"/>
            </w:tcBorders>
            <w:vAlign w:val="bottom"/>
          </w:tcPr>
          <w:p w14:paraId="4C769B9D"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0.000</w:t>
            </w:r>
          </w:p>
        </w:tc>
        <w:tc>
          <w:tcPr>
            <w:tcW w:w="1640" w:type="dxa"/>
            <w:tcBorders>
              <w:top w:val="nil"/>
              <w:left w:val="nil"/>
              <w:bottom w:val="nil"/>
              <w:right w:val="nil"/>
            </w:tcBorders>
            <w:vAlign w:val="bottom"/>
          </w:tcPr>
          <w:p w14:paraId="7D3CAD53"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 xml:space="preserve">  0.000</w:t>
            </w:r>
          </w:p>
        </w:tc>
        <w:tc>
          <w:tcPr>
            <w:tcW w:w="1640" w:type="dxa"/>
            <w:tcBorders>
              <w:top w:val="nil"/>
              <w:left w:val="nil"/>
              <w:bottom w:val="nil"/>
              <w:right w:val="nil"/>
            </w:tcBorders>
          </w:tcPr>
          <w:p w14:paraId="1BD23A72" w14:textId="77777777" w:rsidR="00307155" w:rsidRPr="00FC7BB4" w:rsidRDefault="00307155" w:rsidP="00F3101B">
            <w:pPr>
              <w:spacing w:line="240" w:lineRule="auto"/>
              <w:ind w:right="27" w:firstLine="0"/>
              <w:rPr>
                <w:rFonts w:ascii="Times New Roman" w:hAnsi="Times New Roman" w:cs="Times New Roman"/>
                <w:sz w:val="16"/>
                <w:szCs w:val="16"/>
              </w:rPr>
            </w:pPr>
            <w:r w:rsidRPr="00FC7BB4">
              <w:rPr>
                <w:rFonts w:ascii="Times New Roman" w:hAnsi="Times New Roman" w:cs="Times New Roman"/>
                <w:sz w:val="16"/>
                <w:szCs w:val="16"/>
              </w:rPr>
              <w:t xml:space="preserve">         0.000</w:t>
            </w:r>
          </w:p>
        </w:tc>
        <w:tc>
          <w:tcPr>
            <w:tcW w:w="1640" w:type="dxa"/>
            <w:tcBorders>
              <w:top w:val="nil"/>
              <w:left w:val="nil"/>
              <w:bottom w:val="nil"/>
              <w:right w:val="nil"/>
            </w:tcBorders>
            <w:vAlign w:val="bottom"/>
          </w:tcPr>
          <w:p w14:paraId="6B18F377"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 xml:space="preserve"> 0.000</w:t>
            </w:r>
          </w:p>
        </w:tc>
      </w:tr>
      <w:tr w:rsidR="00307155" w:rsidRPr="00FC7BB4" w14:paraId="23D0BBF7" w14:textId="77777777" w:rsidTr="00291B27">
        <w:trPr>
          <w:trHeight w:val="237"/>
        </w:trPr>
        <w:tc>
          <w:tcPr>
            <w:tcW w:w="2293" w:type="dxa"/>
            <w:tcBorders>
              <w:top w:val="nil"/>
              <w:left w:val="nil"/>
              <w:bottom w:val="single" w:sz="4" w:space="0" w:color="auto"/>
              <w:right w:val="nil"/>
            </w:tcBorders>
            <w:vAlign w:val="bottom"/>
          </w:tcPr>
          <w:p w14:paraId="54466A2D" w14:textId="77777777" w:rsidR="00307155" w:rsidRPr="00FC7BB4" w:rsidRDefault="00307155" w:rsidP="00F3101B">
            <w:pPr>
              <w:spacing w:line="240" w:lineRule="auto"/>
              <w:ind w:right="27"/>
              <w:rPr>
                <w:rFonts w:ascii="Times New Roman" w:hAnsi="Times New Roman" w:cs="Times New Roman"/>
                <w:sz w:val="16"/>
                <w:szCs w:val="16"/>
              </w:rPr>
            </w:pPr>
            <w:r w:rsidRPr="00FC7BB4">
              <w:rPr>
                <w:rFonts w:ascii="Times New Roman" w:hAnsi="Times New Roman" w:cs="Times New Roman"/>
                <w:sz w:val="16"/>
                <w:szCs w:val="16"/>
              </w:rPr>
              <w:t>Log likelihood</w:t>
            </w:r>
          </w:p>
        </w:tc>
        <w:tc>
          <w:tcPr>
            <w:tcW w:w="1575" w:type="dxa"/>
            <w:tcBorders>
              <w:top w:val="nil"/>
              <w:left w:val="nil"/>
              <w:bottom w:val="single" w:sz="4" w:space="0" w:color="auto"/>
              <w:right w:val="nil"/>
            </w:tcBorders>
            <w:vAlign w:val="bottom"/>
          </w:tcPr>
          <w:p w14:paraId="2C64244E" w14:textId="77777777" w:rsidR="00307155" w:rsidRPr="00FC7BB4" w:rsidRDefault="00307155" w:rsidP="00F3101B">
            <w:pPr>
              <w:spacing w:line="240" w:lineRule="auto"/>
              <w:ind w:right="27" w:firstLine="0"/>
              <w:rPr>
                <w:rFonts w:ascii="Times New Roman" w:hAnsi="Times New Roman" w:cs="Times New Roman"/>
                <w:sz w:val="16"/>
                <w:szCs w:val="16"/>
                <w:highlight w:val="yellow"/>
              </w:rPr>
            </w:pPr>
            <w:r w:rsidRPr="00FC7BB4">
              <w:rPr>
                <w:rFonts w:ascii="Times New Roman" w:hAnsi="Times New Roman" w:cs="Times New Roman"/>
                <w:sz w:val="16"/>
                <w:szCs w:val="16"/>
              </w:rPr>
              <w:t xml:space="preserve">      -104,178</w:t>
            </w:r>
          </w:p>
        </w:tc>
        <w:tc>
          <w:tcPr>
            <w:tcW w:w="1603" w:type="dxa"/>
            <w:tcBorders>
              <w:top w:val="nil"/>
              <w:left w:val="nil"/>
              <w:bottom w:val="single" w:sz="4" w:space="0" w:color="auto"/>
              <w:right w:val="nil"/>
            </w:tcBorders>
            <w:vAlign w:val="bottom"/>
          </w:tcPr>
          <w:p w14:paraId="18D183A7" w14:textId="77777777" w:rsidR="00307155" w:rsidRPr="00FC7BB4" w:rsidRDefault="00307155" w:rsidP="00F3101B">
            <w:pPr>
              <w:spacing w:line="240" w:lineRule="auto"/>
              <w:ind w:right="27" w:firstLine="0"/>
              <w:rPr>
                <w:rFonts w:ascii="Times New Roman" w:hAnsi="Times New Roman" w:cs="Times New Roman"/>
                <w:sz w:val="16"/>
                <w:szCs w:val="16"/>
                <w:highlight w:val="yellow"/>
              </w:rPr>
            </w:pPr>
            <w:r w:rsidRPr="00FC7BB4">
              <w:rPr>
                <w:rFonts w:ascii="Times New Roman" w:hAnsi="Times New Roman" w:cs="Times New Roman"/>
                <w:sz w:val="16"/>
                <w:szCs w:val="16"/>
              </w:rPr>
              <w:t xml:space="preserve">       -6,748</w:t>
            </w:r>
          </w:p>
        </w:tc>
        <w:tc>
          <w:tcPr>
            <w:tcW w:w="1640" w:type="dxa"/>
            <w:tcBorders>
              <w:top w:val="nil"/>
              <w:left w:val="nil"/>
              <w:bottom w:val="single" w:sz="4" w:space="0" w:color="auto"/>
              <w:right w:val="nil"/>
            </w:tcBorders>
            <w:vAlign w:val="bottom"/>
          </w:tcPr>
          <w:p w14:paraId="38B463CD" w14:textId="77777777" w:rsidR="00307155" w:rsidRPr="00FC7BB4" w:rsidRDefault="00307155" w:rsidP="00F3101B">
            <w:pPr>
              <w:spacing w:line="240" w:lineRule="auto"/>
              <w:ind w:right="27" w:firstLine="0"/>
              <w:rPr>
                <w:rFonts w:ascii="Times New Roman" w:hAnsi="Times New Roman" w:cs="Times New Roman"/>
                <w:sz w:val="16"/>
                <w:szCs w:val="16"/>
                <w:highlight w:val="yellow"/>
              </w:rPr>
            </w:pPr>
            <w:r w:rsidRPr="00FC7BB4">
              <w:rPr>
                <w:rFonts w:ascii="Times New Roman" w:hAnsi="Times New Roman" w:cs="Times New Roman"/>
                <w:sz w:val="16"/>
                <w:szCs w:val="16"/>
              </w:rPr>
              <w:t xml:space="preserve">       -32,976</w:t>
            </w:r>
          </w:p>
        </w:tc>
        <w:tc>
          <w:tcPr>
            <w:tcW w:w="1640" w:type="dxa"/>
            <w:tcBorders>
              <w:top w:val="nil"/>
              <w:left w:val="nil"/>
              <w:bottom w:val="single" w:sz="4" w:space="0" w:color="auto"/>
              <w:right w:val="nil"/>
            </w:tcBorders>
          </w:tcPr>
          <w:p w14:paraId="7B6589E8" w14:textId="77777777" w:rsidR="00307155" w:rsidRPr="00FC7BB4" w:rsidRDefault="00307155" w:rsidP="00F3101B">
            <w:pPr>
              <w:spacing w:line="240" w:lineRule="auto"/>
              <w:ind w:right="27" w:firstLine="0"/>
              <w:rPr>
                <w:rFonts w:ascii="Times New Roman" w:hAnsi="Times New Roman" w:cs="Times New Roman"/>
                <w:sz w:val="16"/>
                <w:szCs w:val="16"/>
                <w:highlight w:val="yellow"/>
              </w:rPr>
            </w:pPr>
            <w:r w:rsidRPr="00FC7BB4">
              <w:rPr>
                <w:rFonts w:ascii="Times New Roman" w:hAnsi="Times New Roman" w:cs="Times New Roman"/>
                <w:sz w:val="16"/>
                <w:szCs w:val="16"/>
              </w:rPr>
              <w:t xml:space="preserve">       -19,399</w:t>
            </w:r>
          </w:p>
        </w:tc>
        <w:tc>
          <w:tcPr>
            <w:tcW w:w="1640" w:type="dxa"/>
            <w:tcBorders>
              <w:top w:val="nil"/>
              <w:left w:val="nil"/>
              <w:bottom w:val="single" w:sz="4" w:space="0" w:color="auto"/>
              <w:right w:val="nil"/>
            </w:tcBorders>
            <w:vAlign w:val="bottom"/>
          </w:tcPr>
          <w:p w14:paraId="016892B4" w14:textId="77777777" w:rsidR="00307155" w:rsidRPr="00FC7BB4" w:rsidRDefault="00307155" w:rsidP="00F3101B">
            <w:pPr>
              <w:spacing w:line="240" w:lineRule="auto"/>
              <w:ind w:right="27"/>
              <w:rPr>
                <w:rFonts w:ascii="Times New Roman" w:hAnsi="Times New Roman" w:cs="Times New Roman"/>
                <w:sz w:val="16"/>
                <w:szCs w:val="16"/>
                <w:highlight w:val="yellow"/>
              </w:rPr>
            </w:pPr>
            <w:r w:rsidRPr="00FC7BB4">
              <w:rPr>
                <w:rFonts w:ascii="Times New Roman" w:hAnsi="Times New Roman" w:cs="Times New Roman"/>
                <w:sz w:val="16"/>
                <w:szCs w:val="16"/>
              </w:rPr>
              <w:t>-42,034</w:t>
            </w:r>
          </w:p>
        </w:tc>
      </w:tr>
    </w:tbl>
    <w:p w14:paraId="19C7AB88" w14:textId="77777777" w:rsidR="00307155" w:rsidRPr="00FC7BB4" w:rsidRDefault="00307155" w:rsidP="00F3101B">
      <w:pPr>
        <w:spacing w:after="3" w:line="265" w:lineRule="auto"/>
        <w:ind w:left="-5" w:right="27" w:hanging="10"/>
        <w:rPr>
          <w:rFonts w:ascii="Times New Roman" w:hAnsi="Times New Roman" w:cs="Times New Roman"/>
          <w:sz w:val="18"/>
          <w:szCs w:val="18"/>
        </w:rPr>
      </w:pPr>
      <w:bookmarkStart w:id="102" w:name="_Hlk202257781"/>
    </w:p>
    <w:p w14:paraId="1C0C333F" w14:textId="13807F78" w:rsidR="00307155" w:rsidRPr="00FC7BB4" w:rsidRDefault="00307155" w:rsidP="00F3101B">
      <w:pPr>
        <w:spacing w:after="3" w:line="265" w:lineRule="auto"/>
        <w:ind w:left="-5" w:right="397" w:hanging="10"/>
        <w:rPr>
          <w:rFonts w:ascii="Times New Roman" w:hAnsi="Times New Roman" w:cs="Times New Roman"/>
          <w:sz w:val="18"/>
          <w:szCs w:val="18"/>
        </w:rPr>
      </w:pPr>
      <w:r w:rsidRPr="00FC7BB4">
        <w:rPr>
          <w:rFonts w:ascii="Times New Roman" w:hAnsi="Times New Roman" w:cs="Times New Roman"/>
          <w:sz w:val="18"/>
          <w:szCs w:val="18"/>
        </w:rPr>
        <w:t xml:space="preserve">Notes: </w:t>
      </w:r>
      <w:bookmarkStart w:id="103" w:name="_Hlk213336432"/>
      <w:r w:rsidRPr="00FC7BB4">
        <w:rPr>
          <w:rFonts w:ascii="Times New Roman" w:hAnsi="Times New Roman" w:cs="Times New Roman"/>
          <w:sz w:val="18"/>
          <w:szCs w:val="18"/>
        </w:rPr>
        <w:t xml:space="preserve">C=costs, D=demand, up=increase, </w:t>
      </w:r>
      <w:proofErr w:type="spellStart"/>
      <w:r w:rsidRPr="00FC7BB4">
        <w:rPr>
          <w:rFonts w:ascii="Times New Roman" w:hAnsi="Times New Roman" w:cs="Times New Roman"/>
          <w:sz w:val="18"/>
          <w:szCs w:val="18"/>
        </w:rPr>
        <w:t>nc</w:t>
      </w:r>
      <w:proofErr w:type="spellEnd"/>
      <w:r w:rsidRPr="00FC7BB4">
        <w:rPr>
          <w:rFonts w:ascii="Times New Roman" w:hAnsi="Times New Roman" w:cs="Times New Roman"/>
          <w:sz w:val="18"/>
          <w:szCs w:val="18"/>
        </w:rPr>
        <w:t xml:space="preserve">=no change, </w:t>
      </w:r>
      <w:proofErr w:type="spellStart"/>
      <w:r w:rsidRPr="00FC7BB4">
        <w:rPr>
          <w:rFonts w:ascii="Times New Roman" w:hAnsi="Times New Roman" w:cs="Times New Roman"/>
          <w:sz w:val="18"/>
          <w:szCs w:val="18"/>
        </w:rPr>
        <w:t>dn</w:t>
      </w:r>
      <w:proofErr w:type="spellEnd"/>
      <w:r w:rsidRPr="00FC7BB4">
        <w:rPr>
          <w:rFonts w:ascii="Times New Roman" w:hAnsi="Times New Roman" w:cs="Times New Roman"/>
          <w:sz w:val="18"/>
          <w:szCs w:val="18"/>
        </w:rPr>
        <w:t>=down;</w:t>
      </w:r>
      <w:r w:rsidRPr="00FC7BB4">
        <w:rPr>
          <w:rFonts w:ascii="Times New Roman" w:eastAsia="Cambria" w:hAnsi="Times New Roman" w:cs="Times New Roman"/>
          <w:i/>
          <w:sz w:val="18"/>
          <w:szCs w:val="18"/>
        </w:rPr>
        <w:t xml:space="preserve"> </w:t>
      </w:r>
      <w:r w:rsidRPr="00FC7BB4">
        <w:rPr>
          <w:rFonts w:ascii="Times New Roman" w:hAnsi="Times New Roman" w:cs="Times New Roman"/>
          <w:sz w:val="18"/>
          <w:szCs w:val="18"/>
        </w:rPr>
        <w:t xml:space="preserve">hence for example, Cup=Costs up, and so on. Standard errors are reported in parentheses: </w:t>
      </w:r>
      <w:r w:rsidRPr="00FC7BB4">
        <w:rPr>
          <w:rFonts w:ascii="Cambria Math" w:eastAsia="Cambria" w:hAnsi="Cambria Math" w:cs="Cambria Math"/>
          <w:sz w:val="18"/>
          <w:szCs w:val="18"/>
          <w:vertAlign w:val="superscript"/>
        </w:rPr>
        <w:t>∗∗∗</w:t>
      </w:r>
      <w:r w:rsidRPr="00FC7BB4">
        <w:rPr>
          <w:rFonts w:ascii="Times New Roman" w:eastAsia="Cambria" w:hAnsi="Times New Roman" w:cs="Times New Roman"/>
          <w:i/>
          <w:sz w:val="18"/>
          <w:szCs w:val="18"/>
        </w:rPr>
        <w:t xml:space="preserve">p &lt; </w:t>
      </w:r>
      <w:r w:rsidRPr="00FC7BB4">
        <w:rPr>
          <w:rFonts w:ascii="Times New Roman" w:eastAsia="Cambria" w:hAnsi="Times New Roman" w:cs="Times New Roman"/>
          <w:sz w:val="18"/>
          <w:szCs w:val="18"/>
        </w:rPr>
        <w:t>0</w:t>
      </w:r>
      <w:r w:rsidRPr="00FC7BB4">
        <w:rPr>
          <w:rFonts w:ascii="Times New Roman" w:eastAsia="Cambria" w:hAnsi="Times New Roman" w:cs="Times New Roman"/>
          <w:i/>
          <w:sz w:val="18"/>
          <w:szCs w:val="18"/>
        </w:rPr>
        <w:t>.</w:t>
      </w:r>
      <w:r w:rsidRPr="00FC7BB4">
        <w:rPr>
          <w:rFonts w:ascii="Times New Roman" w:eastAsia="Cambria" w:hAnsi="Times New Roman" w:cs="Times New Roman"/>
          <w:sz w:val="18"/>
          <w:szCs w:val="18"/>
        </w:rPr>
        <w:t>01</w:t>
      </w:r>
      <w:r w:rsidRPr="00FC7BB4">
        <w:rPr>
          <w:rFonts w:ascii="Times New Roman" w:hAnsi="Times New Roman" w:cs="Times New Roman"/>
          <w:sz w:val="18"/>
          <w:szCs w:val="18"/>
        </w:rPr>
        <w:t xml:space="preserve">; </w:t>
      </w:r>
      <w:r w:rsidRPr="00FC7BB4">
        <w:rPr>
          <w:rFonts w:ascii="Cambria Math" w:eastAsia="Cambria" w:hAnsi="Cambria Math" w:cs="Cambria Math"/>
          <w:sz w:val="18"/>
          <w:szCs w:val="18"/>
          <w:vertAlign w:val="superscript"/>
        </w:rPr>
        <w:t>∗∗</w:t>
      </w:r>
      <w:r w:rsidRPr="00FC7BB4">
        <w:rPr>
          <w:rFonts w:ascii="Times New Roman" w:eastAsia="Cambria" w:hAnsi="Times New Roman" w:cs="Times New Roman"/>
          <w:i/>
          <w:sz w:val="18"/>
          <w:szCs w:val="18"/>
        </w:rPr>
        <w:t xml:space="preserve">p &lt; </w:t>
      </w:r>
      <w:r w:rsidRPr="00FC7BB4">
        <w:rPr>
          <w:rFonts w:ascii="Times New Roman" w:eastAsia="Cambria" w:hAnsi="Times New Roman" w:cs="Times New Roman"/>
          <w:sz w:val="18"/>
          <w:szCs w:val="18"/>
        </w:rPr>
        <w:t>0</w:t>
      </w:r>
      <w:r w:rsidRPr="00FC7BB4">
        <w:rPr>
          <w:rFonts w:ascii="Times New Roman" w:eastAsia="Cambria" w:hAnsi="Times New Roman" w:cs="Times New Roman"/>
          <w:i/>
          <w:sz w:val="18"/>
          <w:szCs w:val="18"/>
        </w:rPr>
        <w:t>.</w:t>
      </w:r>
      <w:r w:rsidRPr="00FC7BB4">
        <w:rPr>
          <w:rFonts w:ascii="Times New Roman" w:eastAsia="Cambria" w:hAnsi="Times New Roman" w:cs="Times New Roman"/>
          <w:sz w:val="18"/>
          <w:szCs w:val="18"/>
        </w:rPr>
        <w:t>05</w:t>
      </w:r>
      <w:r w:rsidRPr="00FC7BB4">
        <w:rPr>
          <w:rFonts w:ascii="Times New Roman" w:hAnsi="Times New Roman" w:cs="Times New Roman"/>
          <w:sz w:val="18"/>
          <w:szCs w:val="18"/>
        </w:rPr>
        <w:t xml:space="preserve">; </w:t>
      </w:r>
      <w:r w:rsidRPr="00FC7BB4">
        <w:rPr>
          <w:rFonts w:ascii="Cambria Math" w:eastAsia="Cambria" w:hAnsi="Cambria Math" w:cs="Cambria Math"/>
          <w:sz w:val="18"/>
          <w:szCs w:val="18"/>
          <w:vertAlign w:val="superscript"/>
        </w:rPr>
        <w:t>∗</w:t>
      </w:r>
      <w:r w:rsidRPr="00FC7BB4">
        <w:rPr>
          <w:rFonts w:ascii="Times New Roman" w:eastAsia="Cambria" w:hAnsi="Times New Roman" w:cs="Times New Roman"/>
          <w:i/>
          <w:sz w:val="18"/>
          <w:szCs w:val="18"/>
        </w:rPr>
        <w:t xml:space="preserve">p &lt; </w:t>
      </w:r>
      <w:r w:rsidRPr="00FC7BB4">
        <w:rPr>
          <w:rFonts w:ascii="Times New Roman" w:eastAsia="Cambria" w:hAnsi="Times New Roman" w:cs="Times New Roman"/>
          <w:sz w:val="18"/>
          <w:szCs w:val="18"/>
        </w:rPr>
        <w:t>0</w:t>
      </w:r>
      <w:r w:rsidRPr="00FC7BB4">
        <w:rPr>
          <w:rFonts w:ascii="Times New Roman" w:eastAsia="Cambria" w:hAnsi="Times New Roman" w:cs="Times New Roman"/>
          <w:i/>
          <w:sz w:val="18"/>
          <w:szCs w:val="18"/>
        </w:rPr>
        <w:t>.</w:t>
      </w:r>
      <w:r w:rsidRPr="00FC7BB4">
        <w:rPr>
          <w:rFonts w:ascii="Times New Roman" w:eastAsia="Cambria" w:hAnsi="Times New Roman" w:cs="Times New Roman"/>
          <w:sz w:val="18"/>
          <w:szCs w:val="18"/>
        </w:rPr>
        <w:t xml:space="preserve">1.  The model is </w:t>
      </w:r>
      <w:r w:rsidRPr="00FC7BB4">
        <w:rPr>
          <w:rFonts w:ascii="Times New Roman" w:hAnsi="Times New Roman" w:cs="Times New Roman"/>
          <w:sz w:val="18"/>
          <w:szCs w:val="18"/>
        </w:rPr>
        <w:t xml:space="preserve">estimated using the </w:t>
      </w:r>
      <w:proofErr w:type="spellStart"/>
      <w:r w:rsidRPr="00FC7BB4">
        <w:rPr>
          <w:rFonts w:ascii="Times New Roman" w:hAnsi="Times New Roman" w:cs="Times New Roman"/>
          <w:sz w:val="18"/>
          <w:szCs w:val="18"/>
        </w:rPr>
        <w:t>hetoprobit</w:t>
      </w:r>
      <w:proofErr w:type="spellEnd"/>
      <w:r w:rsidRPr="00FC7BB4">
        <w:rPr>
          <w:rFonts w:ascii="Times New Roman" w:hAnsi="Times New Roman" w:cs="Times New Roman"/>
          <w:sz w:val="18"/>
          <w:szCs w:val="18"/>
        </w:rPr>
        <w:t xml:space="preserve"> command in Stata which implements a version of the ordered probit model that allows for the variance to be a function of specified explanatory variables. In the model estimated on the full dataset the variance is modelled as a function of firm sector, firm size and the inflation rate; in the models estimated for each sector, the variance is modelled as a function of firm size (number of employees) and the inflation rate.  Likelihood ratio chi-square is the Likelihood Ratio test statistic. The Likelihood Ratio test statistic calculates by how much the likelihood improves in the model when heteroskedasticity is allowed for versus a model where the variance is assumed to be </w:t>
      </w:r>
      <w:proofErr w:type="spellStart"/>
      <w:r w:rsidR="00FB5BC3" w:rsidRPr="00FC7BB4">
        <w:rPr>
          <w:rFonts w:ascii="Times New Roman" w:hAnsi="Times New Roman" w:cs="Times New Roman"/>
          <w:sz w:val="18"/>
          <w:szCs w:val="18"/>
        </w:rPr>
        <w:t>homoskedastic</w:t>
      </w:r>
      <w:proofErr w:type="spellEnd"/>
      <w:r w:rsidRPr="00FC7BB4">
        <w:rPr>
          <w:rFonts w:ascii="Times New Roman" w:hAnsi="Times New Roman" w:cs="Times New Roman"/>
          <w:sz w:val="18"/>
          <w:szCs w:val="18"/>
        </w:rPr>
        <w:t>. The specific formula for the test statistic is LR = -2(</w:t>
      </w:r>
      <w:proofErr w:type="gramStart"/>
      <w:r w:rsidRPr="00FC7BB4">
        <w:rPr>
          <w:rFonts w:ascii="Times New Roman" w:hAnsi="Times New Roman" w:cs="Times New Roman"/>
          <w:sz w:val="18"/>
          <w:szCs w:val="18"/>
        </w:rPr>
        <w:t>ln(</w:t>
      </w:r>
      <w:proofErr w:type="spellStart"/>
      <w:proofErr w:type="gramEnd"/>
      <w:r w:rsidRPr="00FC7BB4">
        <w:rPr>
          <w:rFonts w:ascii="Times New Roman" w:hAnsi="Times New Roman" w:cs="Times New Roman"/>
          <w:sz w:val="18"/>
          <w:szCs w:val="18"/>
        </w:rPr>
        <w:t>L</w:t>
      </w:r>
      <w:r w:rsidRPr="00FC7BB4">
        <w:rPr>
          <w:rFonts w:ascii="Times New Roman" w:hAnsi="Times New Roman" w:cs="Times New Roman"/>
          <w:sz w:val="18"/>
          <w:szCs w:val="18"/>
          <w:vertAlign w:val="subscript"/>
        </w:rPr>
        <w:t>Heteroskedastic</w:t>
      </w:r>
      <w:proofErr w:type="spellEnd"/>
      <w:r w:rsidRPr="00FC7BB4">
        <w:rPr>
          <w:rFonts w:ascii="Times New Roman" w:hAnsi="Times New Roman" w:cs="Times New Roman"/>
          <w:sz w:val="18"/>
          <w:szCs w:val="18"/>
        </w:rPr>
        <w:t xml:space="preserve">) – </w:t>
      </w:r>
      <w:proofErr w:type="gramStart"/>
      <w:r w:rsidRPr="00FC7BB4">
        <w:rPr>
          <w:rFonts w:ascii="Times New Roman" w:hAnsi="Times New Roman" w:cs="Times New Roman"/>
          <w:sz w:val="18"/>
          <w:szCs w:val="18"/>
        </w:rPr>
        <w:t>ln(</w:t>
      </w:r>
      <w:proofErr w:type="spellStart"/>
      <w:proofErr w:type="gramEnd"/>
      <w:r w:rsidRPr="00FC7BB4">
        <w:rPr>
          <w:rFonts w:ascii="Times New Roman" w:hAnsi="Times New Roman" w:cs="Times New Roman"/>
          <w:sz w:val="18"/>
          <w:szCs w:val="18"/>
        </w:rPr>
        <w:t>L</w:t>
      </w:r>
      <w:r w:rsidRPr="00FC7BB4">
        <w:rPr>
          <w:rFonts w:ascii="Times New Roman" w:hAnsi="Times New Roman" w:cs="Times New Roman"/>
          <w:sz w:val="18"/>
          <w:szCs w:val="18"/>
          <w:vertAlign w:val="subscript"/>
        </w:rPr>
        <w:t>Homoskedastic</w:t>
      </w:r>
      <w:proofErr w:type="spellEnd"/>
      <w:r w:rsidRPr="00FC7BB4">
        <w:rPr>
          <w:rFonts w:ascii="Times New Roman" w:hAnsi="Times New Roman" w:cs="Times New Roman"/>
          <w:sz w:val="18"/>
          <w:szCs w:val="18"/>
        </w:rPr>
        <w:t>)).  If the null hypothesis is true, the Likelihood Ratio test statistic follows a chi-squared distribution with degrees of freedom equal to the number of additional variance parameters in the heteroskedastic version of the model. Prob&gt;chi</w:t>
      </w:r>
      <w:r w:rsidRPr="00FC7BB4">
        <w:rPr>
          <w:rFonts w:ascii="Times New Roman" w:hAnsi="Times New Roman" w:cs="Times New Roman"/>
          <w:sz w:val="18"/>
          <w:szCs w:val="18"/>
          <w:vertAlign w:val="superscript"/>
        </w:rPr>
        <w:t>2</w:t>
      </w:r>
      <w:r w:rsidRPr="00FC7BB4">
        <w:rPr>
          <w:rFonts w:ascii="Times New Roman" w:hAnsi="Times New Roman" w:cs="Times New Roman"/>
          <w:sz w:val="18"/>
          <w:szCs w:val="18"/>
        </w:rPr>
        <w:t xml:space="preserve"> is the probability based on the chi-squared distribution and the value of the Likelihood Ratio test statistic that </w:t>
      </w:r>
      <w:r w:rsidR="00DF2AF3" w:rsidRPr="00FC7BB4">
        <w:rPr>
          <w:rFonts w:ascii="Times New Roman" w:hAnsi="Times New Roman" w:cs="Times New Roman"/>
          <w:sz w:val="18"/>
          <w:szCs w:val="18"/>
        </w:rPr>
        <w:t xml:space="preserve">one </w:t>
      </w:r>
      <w:r w:rsidRPr="00FC7BB4">
        <w:rPr>
          <w:rFonts w:ascii="Times New Roman" w:hAnsi="Times New Roman" w:cs="Times New Roman"/>
          <w:sz w:val="18"/>
          <w:szCs w:val="18"/>
        </w:rPr>
        <w:t xml:space="preserve">should accept the null hypothesis that there is no difference between the heteroskedastic version of the model and the </w:t>
      </w:r>
      <w:proofErr w:type="spellStart"/>
      <w:r w:rsidRPr="00FC7BB4">
        <w:rPr>
          <w:rFonts w:ascii="Times New Roman" w:hAnsi="Times New Roman" w:cs="Times New Roman"/>
          <w:sz w:val="18"/>
          <w:szCs w:val="18"/>
        </w:rPr>
        <w:t>homoskedastic</w:t>
      </w:r>
      <w:proofErr w:type="spellEnd"/>
      <w:r w:rsidRPr="00FC7BB4">
        <w:rPr>
          <w:rFonts w:ascii="Times New Roman" w:hAnsi="Times New Roman" w:cs="Times New Roman"/>
          <w:sz w:val="18"/>
          <w:szCs w:val="18"/>
        </w:rPr>
        <w:t xml:space="preserve"> version of the model in terms of likelihood.  </w:t>
      </w:r>
    </w:p>
    <w:bookmarkEnd w:id="102"/>
    <w:bookmarkEnd w:id="103"/>
    <w:p w14:paraId="1B16C7E0" w14:textId="77777777" w:rsidR="00307155" w:rsidRPr="00FC7BB4" w:rsidRDefault="00307155" w:rsidP="00F3101B">
      <w:pPr>
        <w:spacing w:after="3" w:line="265" w:lineRule="auto"/>
        <w:ind w:left="-5" w:right="27" w:hanging="10"/>
        <w:rPr>
          <w:rFonts w:ascii="Times New Roman" w:eastAsia="Cambria" w:hAnsi="Times New Roman" w:cs="Times New Roman"/>
          <w:sz w:val="16"/>
          <w:szCs w:val="16"/>
        </w:rPr>
      </w:pPr>
    </w:p>
    <w:p w14:paraId="3CA240DE" w14:textId="77777777" w:rsidR="00717BD6" w:rsidRDefault="00717BD6" w:rsidP="00F3101B">
      <w:pPr>
        <w:spacing w:after="0" w:line="262" w:lineRule="auto"/>
        <w:ind w:left="-5" w:right="27" w:hanging="10"/>
        <w:jc w:val="center"/>
        <w:rPr>
          <w:rFonts w:ascii="Times New Roman" w:eastAsia="Cambria" w:hAnsi="Times New Roman" w:cs="Times New Roman"/>
          <w:sz w:val="16"/>
          <w:szCs w:val="16"/>
        </w:rPr>
      </w:pPr>
    </w:p>
    <w:p w14:paraId="75804F88" w14:textId="77777777" w:rsidR="00717BD6" w:rsidRDefault="00717BD6" w:rsidP="00F3101B">
      <w:pPr>
        <w:spacing w:after="0" w:line="262" w:lineRule="auto"/>
        <w:ind w:left="-5" w:right="27" w:hanging="10"/>
        <w:jc w:val="center"/>
        <w:rPr>
          <w:rFonts w:ascii="Times New Roman" w:eastAsia="Cambria" w:hAnsi="Times New Roman" w:cs="Times New Roman"/>
          <w:sz w:val="16"/>
          <w:szCs w:val="16"/>
        </w:rPr>
      </w:pPr>
    </w:p>
    <w:p w14:paraId="53FE9F3F" w14:textId="379F4E01" w:rsidR="00307155" w:rsidRPr="00FC7BB4" w:rsidRDefault="00307155" w:rsidP="00F3101B">
      <w:pPr>
        <w:spacing w:after="0" w:line="262" w:lineRule="auto"/>
        <w:ind w:left="-5" w:right="27" w:hanging="10"/>
        <w:jc w:val="center"/>
        <w:rPr>
          <w:rFonts w:ascii="Times New Roman" w:hAnsi="Times New Roman" w:cs="Times New Roman"/>
          <w:b/>
          <w:bCs/>
          <w:color w:val="auto"/>
          <w:sz w:val="24"/>
        </w:rPr>
      </w:pPr>
      <w:r w:rsidRPr="00FC7BB4">
        <w:rPr>
          <w:rFonts w:ascii="Times New Roman" w:eastAsia="Cambria" w:hAnsi="Times New Roman" w:cs="Times New Roman"/>
          <w:sz w:val="16"/>
          <w:szCs w:val="16"/>
        </w:rPr>
        <w:lastRenderedPageBreak/>
        <w:t xml:space="preserve"> </w:t>
      </w:r>
      <w:r w:rsidRPr="00FC7BB4">
        <w:rPr>
          <w:rFonts w:ascii="Times New Roman" w:hAnsi="Times New Roman" w:cs="Times New Roman"/>
          <w:b/>
          <w:bCs/>
          <w:sz w:val="24"/>
        </w:rPr>
        <w:t>Table A3: Coefficient estimates from estimating equation</w:t>
      </w:r>
      <w:r w:rsidRPr="00FC7BB4">
        <w:rPr>
          <w:rFonts w:ascii="Times New Roman" w:hAnsi="Times New Roman" w:cs="Times New Roman"/>
          <w:b/>
          <w:bCs/>
          <w:color w:val="auto"/>
          <w:sz w:val="24"/>
        </w:rPr>
        <w:t xml:space="preserve"> 2: Small and large firms</w:t>
      </w:r>
    </w:p>
    <w:p w14:paraId="6A30254A" w14:textId="77777777" w:rsidR="00307155" w:rsidRPr="00FC7BB4" w:rsidRDefault="00307155" w:rsidP="00F3101B">
      <w:pPr>
        <w:spacing w:after="0" w:line="262" w:lineRule="auto"/>
        <w:ind w:left="-6" w:right="27" w:hanging="11"/>
        <w:jc w:val="center"/>
        <w:rPr>
          <w:rFonts w:ascii="Times New Roman" w:hAnsi="Times New Roman" w:cs="Times New Roman"/>
          <w:b/>
          <w:bCs/>
          <w:sz w:val="16"/>
          <w:szCs w:val="16"/>
        </w:rPr>
      </w:pPr>
    </w:p>
    <w:tbl>
      <w:tblPr>
        <w:tblW w:w="5000" w:type="pct"/>
        <w:tblLayout w:type="fixed"/>
        <w:tblLook w:val="0000" w:firstRow="0" w:lastRow="0" w:firstColumn="0" w:lastColumn="0" w:noHBand="0" w:noVBand="0"/>
      </w:tblPr>
      <w:tblGrid>
        <w:gridCol w:w="1340"/>
        <w:gridCol w:w="1188"/>
        <w:gridCol w:w="1112"/>
        <w:gridCol w:w="1190"/>
        <w:gridCol w:w="1212"/>
        <w:gridCol w:w="1190"/>
        <w:gridCol w:w="1274"/>
        <w:gridCol w:w="1134"/>
        <w:gridCol w:w="1160"/>
      </w:tblGrid>
      <w:tr w:rsidR="00307155" w:rsidRPr="00FC7BB4" w14:paraId="7FCEE4FB" w14:textId="77777777" w:rsidTr="00291B27">
        <w:trPr>
          <w:trHeight w:val="238"/>
        </w:trPr>
        <w:tc>
          <w:tcPr>
            <w:tcW w:w="620" w:type="pct"/>
            <w:tcBorders>
              <w:top w:val="single" w:sz="4" w:space="0" w:color="auto"/>
              <w:left w:val="nil"/>
              <w:right w:val="nil"/>
            </w:tcBorders>
          </w:tcPr>
          <w:p w14:paraId="54137188"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 xml:space="preserve">   Coefficients</w:t>
            </w:r>
          </w:p>
        </w:tc>
        <w:tc>
          <w:tcPr>
            <w:tcW w:w="1065" w:type="pct"/>
            <w:gridSpan w:val="2"/>
            <w:tcBorders>
              <w:top w:val="single" w:sz="4" w:space="0" w:color="auto"/>
              <w:left w:val="nil"/>
              <w:right w:val="nil"/>
            </w:tcBorders>
          </w:tcPr>
          <w:p w14:paraId="08F74C9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 xml:space="preserve">                   Builders</w:t>
            </w:r>
          </w:p>
          <w:p w14:paraId="12422310"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Small                              Large</w:t>
            </w:r>
          </w:p>
        </w:tc>
        <w:tc>
          <w:tcPr>
            <w:tcW w:w="1112" w:type="pct"/>
            <w:gridSpan w:val="2"/>
            <w:tcBorders>
              <w:top w:val="single" w:sz="4" w:space="0" w:color="auto"/>
              <w:left w:val="nil"/>
              <w:right w:val="nil"/>
            </w:tcBorders>
          </w:tcPr>
          <w:p w14:paraId="0E47C700"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 xml:space="preserve">                   Manufacturers</w:t>
            </w:r>
          </w:p>
          <w:p w14:paraId="72AA089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Small                             Large</w:t>
            </w:r>
          </w:p>
        </w:tc>
        <w:tc>
          <w:tcPr>
            <w:tcW w:w="1141" w:type="pct"/>
            <w:gridSpan w:val="2"/>
            <w:tcBorders>
              <w:top w:val="single" w:sz="4" w:space="0" w:color="auto"/>
              <w:left w:val="nil"/>
              <w:right w:val="nil"/>
            </w:tcBorders>
          </w:tcPr>
          <w:p w14:paraId="00186E8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 xml:space="preserve">            Merchants</w:t>
            </w:r>
          </w:p>
          <w:p w14:paraId="445543F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Small                            Large</w:t>
            </w:r>
          </w:p>
        </w:tc>
        <w:tc>
          <w:tcPr>
            <w:tcW w:w="1062" w:type="pct"/>
            <w:gridSpan w:val="2"/>
            <w:tcBorders>
              <w:top w:val="single" w:sz="4" w:space="0" w:color="auto"/>
              <w:left w:val="nil"/>
              <w:right w:val="nil"/>
            </w:tcBorders>
          </w:tcPr>
          <w:p w14:paraId="161DAF3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 xml:space="preserve">                Services</w:t>
            </w:r>
          </w:p>
          <w:p w14:paraId="0BD830A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Small                             Large</w:t>
            </w:r>
          </w:p>
        </w:tc>
      </w:tr>
      <w:tr w:rsidR="00307155" w:rsidRPr="00FC7BB4" w14:paraId="28CFB025" w14:textId="77777777" w:rsidTr="00291B27">
        <w:trPr>
          <w:trHeight w:val="142"/>
        </w:trPr>
        <w:tc>
          <w:tcPr>
            <w:tcW w:w="620" w:type="pct"/>
            <w:tcBorders>
              <w:left w:val="nil"/>
              <w:bottom w:val="nil"/>
              <w:right w:val="nil"/>
            </w:tcBorders>
            <w:vAlign w:val="bottom"/>
          </w:tcPr>
          <w:p w14:paraId="3F33767B"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left w:val="nil"/>
              <w:bottom w:val="nil"/>
              <w:right w:val="nil"/>
            </w:tcBorders>
          </w:tcPr>
          <w:p w14:paraId="34552BE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p>
        </w:tc>
        <w:tc>
          <w:tcPr>
            <w:tcW w:w="515" w:type="pct"/>
            <w:tcBorders>
              <w:left w:val="nil"/>
              <w:bottom w:val="nil"/>
              <w:right w:val="nil"/>
            </w:tcBorders>
          </w:tcPr>
          <w:p w14:paraId="4282AB0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p>
        </w:tc>
        <w:tc>
          <w:tcPr>
            <w:tcW w:w="551" w:type="pct"/>
            <w:tcBorders>
              <w:left w:val="nil"/>
              <w:bottom w:val="nil"/>
              <w:right w:val="nil"/>
            </w:tcBorders>
          </w:tcPr>
          <w:p w14:paraId="29E8823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p>
        </w:tc>
        <w:tc>
          <w:tcPr>
            <w:tcW w:w="561" w:type="pct"/>
            <w:tcBorders>
              <w:left w:val="nil"/>
              <w:bottom w:val="nil"/>
              <w:right w:val="nil"/>
            </w:tcBorders>
          </w:tcPr>
          <w:p w14:paraId="57D83AD1"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1" w:type="pct"/>
            <w:tcBorders>
              <w:left w:val="nil"/>
              <w:bottom w:val="nil"/>
              <w:right w:val="nil"/>
            </w:tcBorders>
          </w:tcPr>
          <w:p w14:paraId="1D553EA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p>
        </w:tc>
        <w:tc>
          <w:tcPr>
            <w:tcW w:w="590" w:type="pct"/>
            <w:tcBorders>
              <w:left w:val="nil"/>
              <w:bottom w:val="nil"/>
              <w:right w:val="nil"/>
            </w:tcBorders>
          </w:tcPr>
          <w:p w14:paraId="6A51D85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p>
        </w:tc>
        <w:tc>
          <w:tcPr>
            <w:tcW w:w="525" w:type="pct"/>
            <w:tcBorders>
              <w:left w:val="nil"/>
              <w:bottom w:val="nil"/>
              <w:right w:val="nil"/>
            </w:tcBorders>
          </w:tcPr>
          <w:p w14:paraId="60E4B67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p>
        </w:tc>
        <w:tc>
          <w:tcPr>
            <w:tcW w:w="537" w:type="pct"/>
            <w:tcBorders>
              <w:left w:val="nil"/>
              <w:bottom w:val="nil"/>
              <w:right w:val="nil"/>
            </w:tcBorders>
          </w:tcPr>
          <w:p w14:paraId="413852D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p>
        </w:tc>
      </w:tr>
      <w:tr w:rsidR="00307155" w:rsidRPr="00FC7BB4" w14:paraId="31FAD87D" w14:textId="77777777" w:rsidTr="00291B27">
        <w:trPr>
          <w:trHeight w:val="131"/>
        </w:trPr>
        <w:tc>
          <w:tcPr>
            <w:tcW w:w="620" w:type="pct"/>
            <w:tcBorders>
              <w:top w:val="single" w:sz="4" w:space="0" w:color="auto"/>
              <w:left w:val="nil"/>
              <w:bottom w:val="nil"/>
              <w:right w:val="nil"/>
            </w:tcBorders>
            <w:vAlign w:val="bottom"/>
          </w:tcPr>
          <w:p w14:paraId="42A53656"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b1(Cup)</w:t>
            </w:r>
          </w:p>
        </w:tc>
        <w:tc>
          <w:tcPr>
            <w:tcW w:w="550" w:type="pct"/>
            <w:tcBorders>
              <w:top w:val="single" w:sz="4" w:space="0" w:color="auto"/>
              <w:left w:val="nil"/>
              <w:bottom w:val="nil"/>
              <w:right w:val="nil"/>
            </w:tcBorders>
          </w:tcPr>
          <w:p w14:paraId="5722523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.521***</w:t>
            </w:r>
          </w:p>
        </w:tc>
        <w:tc>
          <w:tcPr>
            <w:tcW w:w="515" w:type="pct"/>
            <w:tcBorders>
              <w:top w:val="single" w:sz="4" w:space="0" w:color="auto"/>
              <w:left w:val="nil"/>
              <w:bottom w:val="nil"/>
              <w:right w:val="nil"/>
            </w:tcBorders>
          </w:tcPr>
          <w:p w14:paraId="5AB9D58F"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.418**</w:t>
            </w:r>
          </w:p>
        </w:tc>
        <w:tc>
          <w:tcPr>
            <w:tcW w:w="551" w:type="pct"/>
            <w:tcBorders>
              <w:top w:val="single" w:sz="4" w:space="0" w:color="auto"/>
              <w:left w:val="nil"/>
              <w:bottom w:val="nil"/>
              <w:right w:val="nil"/>
            </w:tcBorders>
          </w:tcPr>
          <w:p w14:paraId="2642C24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.664***</w:t>
            </w:r>
          </w:p>
        </w:tc>
        <w:tc>
          <w:tcPr>
            <w:tcW w:w="561" w:type="pct"/>
            <w:tcBorders>
              <w:top w:val="single" w:sz="4" w:space="0" w:color="auto"/>
              <w:left w:val="nil"/>
              <w:bottom w:val="nil"/>
              <w:right w:val="nil"/>
            </w:tcBorders>
          </w:tcPr>
          <w:p w14:paraId="6A23731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1.236***</w:t>
            </w:r>
          </w:p>
        </w:tc>
        <w:tc>
          <w:tcPr>
            <w:tcW w:w="551" w:type="pct"/>
            <w:tcBorders>
              <w:top w:val="single" w:sz="4" w:space="0" w:color="auto"/>
              <w:left w:val="nil"/>
              <w:bottom w:val="nil"/>
              <w:right w:val="nil"/>
            </w:tcBorders>
          </w:tcPr>
          <w:p w14:paraId="6D02D84C"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.482***</w:t>
            </w:r>
          </w:p>
        </w:tc>
        <w:tc>
          <w:tcPr>
            <w:tcW w:w="590" w:type="pct"/>
            <w:tcBorders>
              <w:top w:val="single" w:sz="4" w:space="0" w:color="auto"/>
              <w:left w:val="nil"/>
              <w:bottom w:val="nil"/>
              <w:right w:val="nil"/>
            </w:tcBorders>
          </w:tcPr>
          <w:p w14:paraId="2130DC7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1.203***</w:t>
            </w:r>
          </w:p>
        </w:tc>
        <w:tc>
          <w:tcPr>
            <w:tcW w:w="525" w:type="pct"/>
            <w:tcBorders>
              <w:top w:val="single" w:sz="4" w:space="0" w:color="auto"/>
              <w:left w:val="nil"/>
              <w:bottom w:val="nil"/>
              <w:right w:val="nil"/>
            </w:tcBorders>
          </w:tcPr>
          <w:p w14:paraId="6A876B1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1.052***</w:t>
            </w:r>
          </w:p>
        </w:tc>
        <w:tc>
          <w:tcPr>
            <w:tcW w:w="537" w:type="pct"/>
            <w:tcBorders>
              <w:top w:val="single" w:sz="4" w:space="0" w:color="auto"/>
              <w:left w:val="nil"/>
              <w:bottom w:val="nil"/>
              <w:right w:val="nil"/>
            </w:tcBorders>
          </w:tcPr>
          <w:p w14:paraId="68236C3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.887***</w:t>
            </w:r>
          </w:p>
        </w:tc>
      </w:tr>
      <w:tr w:rsidR="00307155" w:rsidRPr="00FC7BB4" w14:paraId="06B8A4FB" w14:textId="77777777" w:rsidTr="00291B27">
        <w:trPr>
          <w:trHeight w:val="266"/>
        </w:trPr>
        <w:tc>
          <w:tcPr>
            <w:tcW w:w="620" w:type="pct"/>
            <w:tcBorders>
              <w:top w:val="nil"/>
              <w:left w:val="nil"/>
              <w:bottom w:val="nil"/>
              <w:right w:val="nil"/>
            </w:tcBorders>
            <w:vAlign w:val="bottom"/>
          </w:tcPr>
          <w:p w14:paraId="7F5005D4"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3BFC8EB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(.091)</w:t>
            </w:r>
          </w:p>
        </w:tc>
        <w:tc>
          <w:tcPr>
            <w:tcW w:w="515" w:type="pct"/>
            <w:tcBorders>
              <w:top w:val="nil"/>
              <w:left w:val="nil"/>
              <w:bottom w:val="nil"/>
              <w:right w:val="nil"/>
            </w:tcBorders>
          </w:tcPr>
          <w:p w14:paraId="62FC410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(.178)</w:t>
            </w:r>
          </w:p>
        </w:tc>
        <w:tc>
          <w:tcPr>
            <w:tcW w:w="551" w:type="pct"/>
            <w:tcBorders>
              <w:top w:val="nil"/>
              <w:left w:val="nil"/>
              <w:bottom w:val="nil"/>
              <w:right w:val="nil"/>
            </w:tcBorders>
          </w:tcPr>
          <w:p w14:paraId="025759A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(.047)</w:t>
            </w:r>
          </w:p>
        </w:tc>
        <w:tc>
          <w:tcPr>
            <w:tcW w:w="561" w:type="pct"/>
            <w:tcBorders>
              <w:top w:val="nil"/>
              <w:left w:val="nil"/>
              <w:bottom w:val="nil"/>
              <w:right w:val="nil"/>
            </w:tcBorders>
          </w:tcPr>
          <w:p w14:paraId="6C17004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(.191)</w:t>
            </w:r>
          </w:p>
        </w:tc>
        <w:tc>
          <w:tcPr>
            <w:tcW w:w="551" w:type="pct"/>
            <w:tcBorders>
              <w:top w:val="nil"/>
              <w:left w:val="nil"/>
              <w:bottom w:val="nil"/>
              <w:right w:val="nil"/>
            </w:tcBorders>
          </w:tcPr>
          <w:p w14:paraId="4973A9B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(.042)</w:t>
            </w:r>
          </w:p>
        </w:tc>
        <w:tc>
          <w:tcPr>
            <w:tcW w:w="590" w:type="pct"/>
            <w:tcBorders>
              <w:top w:val="nil"/>
              <w:left w:val="nil"/>
              <w:bottom w:val="nil"/>
              <w:right w:val="nil"/>
            </w:tcBorders>
          </w:tcPr>
          <w:p w14:paraId="7542F2A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(.264)</w:t>
            </w:r>
          </w:p>
        </w:tc>
        <w:tc>
          <w:tcPr>
            <w:tcW w:w="525" w:type="pct"/>
            <w:tcBorders>
              <w:top w:val="nil"/>
              <w:left w:val="nil"/>
              <w:bottom w:val="nil"/>
              <w:right w:val="nil"/>
            </w:tcBorders>
          </w:tcPr>
          <w:p w14:paraId="2463BF5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(.033)</w:t>
            </w:r>
          </w:p>
        </w:tc>
        <w:tc>
          <w:tcPr>
            <w:tcW w:w="537" w:type="pct"/>
            <w:tcBorders>
              <w:top w:val="nil"/>
              <w:left w:val="nil"/>
              <w:bottom w:val="nil"/>
              <w:right w:val="nil"/>
            </w:tcBorders>
          </w:tcPr>
          <w:p w14:paraId="21B0625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(.129)</w:t>
            </w:r>
          </w:p>
        </w:tc>
      </w:tr>
      <w:tr w:rsidR="00307155" w:rsidRPr="00FC7BB4" w14:paraId="480381DA" w14:textId="77777777" w:rsidTr="00291B27">
        <w:trPr>
          <w:trHeight w:val="160"/>
        </w:trPr>
        <w:tc>
          <w:tcPr>
            <w:tcW w:w="620" w:type="pct"/>
            <w:tcBorders>
              <w:top w:val="nil"/>
              <w:left w:val="nil"/>
              <w:bottom w:val="nil"/>
              <w:right w:val="nil"/>
            </w:tcBorders>
            <w:vAlign w:val="bottom"/>
          </w:tcPr>
          <w:p w14:paraId="749DE5B5"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b2(</w:t>
            </w:r>
            <w:proofErr w:type="gramStart"/>
            <w:r w:rsidRPr="00FC7BB4">
              <w:rPr>
                <w:rFonts w:ascii="Times New Roman" w:hAnsi="Times New Roman" w:cs="Times New Roman"/>
                <w:sz w:val="14"/>
                <w:szCs w:val="14"/>
              </w:rPr>
              <w:t>π.Cup</w:t>
            </w:r>
            <w:proofErr w:type="gramEnd"/>
            <w:r w:rsidRPr="00FC7BB4">
              <w:rPr>
                <w:rFonts w:ascii="Times New Roman" w:hAnsi="Times New Roman" w:cs="Times New Roman"/>
                <w:sz w:val="14"/>
                <w:szCs w:val="14"/>
              </w:rPr>
              <w:t>)</w:t>
            </w:r>
          </w:p>
        </w:tc>
        <w:tc>
          <w:tcPr>
            <w:tcW w:w="550" w:type="pct"/>
            <w:tcBorders>
              <w:top w:val="nil"/>
              <w:left w:val="nil"/>
              <w:bottom w:val="nil"/>
              <w:right w:val="nil"/>
            </w:tcBorders>
          </w:tcPr>
          <w:p w14:paraId="6882374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13.632***</w:t>
            </w:r>
          </w:p>
        </w:tc>
        <w:tc>
          <w:tcPr>
            <w:tcW w:w="515" w:type="pct"/>
            <w:tcBorders>
              <w:top w:val="nil"/>
              <w:left w:val="nil"/>
              <w:bottom w:val="nil"/>
              <w:right w:val="nil"/>
            </w:tcBorders>
          </w:tcPr>
          <w:p w14:paraId="668EA50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3.509*</w:t>
            </w:r>
          </w:p>
        </w:tc>
        <w:tc>
          <w:tcPr>
            <w:tcW w:w="551" w:type="pct"/>
            <w:tcBorders>
              <w:top w:val="nil"/>
              <w:left w:val="nil"/>
              <w:bottom w:val="nil"/>
              <w:right w:val="nil"/>
            </w:tcBorders>
          </w:tcPr>
          <w:p w14:paraId="095E1DB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7.633***</w:t>
            </w:r>
          </w:p>
        </w:tc>
        <w:tc>
          <w:tcPr>
            <w:tcW w:w="561" w:type="pct"/>
            <w:tcBorders>
              <w:top w:val="nil"/>
              <w:left w:val="nil"/>
              <w:bottom w:val="nil"/>
              <w:right w:val="nil"/>
            </w:tcBorders>
          </w:tcPr>
          <w:p w14:paraId="7AA7C2D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16.927***</w:t>
            </w:r>
          </w:p>
        </w:tc>
        <w:tc>
          <w:tcPr>
            <w:tcW w:w="551" w:type="pct"/>
            <w:tcBorders>
              <w:top w:val="nil"/>
              <w:left w:val="nil"/>
              <w:bottom w:val="nil"/>
              <w:right w:val="nil"/>
            </w:tcBorders>
          </w:tcPr>
          <w:p w14:paraId="10EA6A2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18.711***</w:t>
            </w:r>
          </w:p>
        </w:tc>
        <w:tc>
          <w:tcPr>
            <w:tcW w:w="590" w:type="pct"/>
            <w:tcBorders>
              <w:top w:val="nil"/>
              <w:left w:val="nil"/>
              <w:bottom w:val="nil"/>
              <w:right w:val="nil"/>
            </w:tcBorders>
          </w:tcPr>
          <w:p w14:paraId="0BF72EE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46.33***</w:t>
            </w:r>
          </w:p>
        </w:tc>
        <w:tc>
          <w:tcPr>
            <w:tcW w:w="525" w:type="pct"/>
            <w:tcBorders>
              <w:top w:val="nil"/>
              <w:left w:val="nil"/>
              <w:bottom w:val="nil"/>
              <w:right w:val="nil"/>
            </w:tcBorders>
          </w:tcPr>
          <w:p w14:paraId="24CF8B3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1.479***</w:t>
            </w:r>
          </w:p>
        </w:tc>
        <w:tc>
          <w:tcPr>
            <w:tcW w:w="537" w:type="pct"/>
            <w:tcBorders>
              <w:top w:val="nil"/>
              <w:left w:val="nil"/>
              <w:bottom w:val="nil"/>
              <w:right w:val="nil"/>
            </w:tcBorders>
          </w:tcPr>
          <w:p w14:paraId="491BBBE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2.745***</w:t>
            </w:r>
          </w:p>
        </w:tc>
      </w:tr>
      <w:tr w:rsidR="00307155" w:rsidRPr="00FC7BB4" w14:paraId="4C912F99" w14:textId="77777777" w:rsidTr="00291B27">
        <w:trPr>
          <w:trHeight w:val="266"/>
        </w:trPr>
        <w:tc>
          <w:tcPr>
            <w:tcW w:w="620" w:type="pct"/>
            <w:tcBorders>
              <w:top w:val="nil"/>
              <w:left w:val="nil"/>
              <w:bottom w:val="nil"/>
              <w:right w:val="nil"/>
            </w:tcBorders>
            <w:vAlign w:val="bottom"/>
          </w:tcPr>
          <w:p w14:paraId="49995D3D"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1B9ACD3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(2.26)</w:t>
            </w:r>
          </w:p>
        </w:tc>
        <w:tc>
          <w:tcPr>
            <w:tcW w:w="515" w:type="pct"/>
            <w:tcBorders>
              <w:top w:val="nil"/>
              <w:left w:val="nil"/>
              <w:bottom w:val="nil"/>
              <w:right w:val="nil"/>
            </w:tcBorders>
          </w:tcPr>
          <w:p w14:paraId="1CBFB1F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(1.857)</w:t>
            </w:r>
          </w:p>
        </w:tc>
        <w:tc>
          <w:tcPr>
            <w:tcW w:w="551" w:type="pct"/>
            <w:tcBorders>
              <w:top w:val="nil"/>
              <w:left w:val="nil"/>
              <w:bottom w:val="nil"/>
              <w:right w:val="nil"/>
            </w:tcBorders>
          </w:tcPr>
          <w:p w14:paraId="011A20C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(.626)</w:t>
            </w:r>
          </w:p>
        </w:tc>
        <w:tc>
          <w:tcPr>
            <w:tcW w:w="561" w:type="pct"/>
            <w:tcBorders>
              <w:top w:val="nil"/>
              <w:left w:val="nil"/>
              <w:bottom w:val="nil"/>
              <w:right w:val="nil"/>
            </w:tcBorders>
          </w:tcPr>
          <w:p w14:paraId="62691F6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(2.425)</w:t>
            </w:r>
          </w:p>
        </w:tc>
        <w:tc>
          <w:tcPr>
            <w:tcW w:w="551" w:type="pct"/>
            <w:tcBorders>
              <w:top w:val="nil"/>
              <w:left w:val="nil"/>
              <w:bottom w:val="nil"/>
              <w:right w:val="nil"/>
            </w:tcBorders>
          </w:tcPr>
          <w:p w14:paraId="75E7995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(1.112)</w:t>
            </w:r>
          </w:p>
        </w:tc>
        <w:tc>
          <w:tcPr>
            <w:tcW w:w="590" w:type="pct"/>
            <w:tcBorders>
              <w:top w:val="nil"/>
              <w:left w:val="nil"/>
              <w:bottom w:val="nil"/>
              <w:right w:val="nil"/>
            </w:tcBorders>
          </w:tcPr>
          <w:p w14:paraId="50F1ECB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(8.62)</w:t>
            </w:r>
          </w:p>
        </w:tc>
        <w:tc>
          <w:tcPr>
            <w:tcW w:w="525" w:type="pct"/>
            <w:tcBorders>
              <w:top w:val="nil"/>
              <w:left w:val="nil"/>
              <w:bottom w:val="nil"/>
              <w:right w:val="nil"/>
            </w:tcBorders>
          </w:tcPr>
          <w:p w14:paraId="6C12906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(.405)</w:t>
            </w:r>
          </w:p>
        </w:tc>
        <w:tc>
          <w:tcPr>
            <w:tcW w:w="537" w:type="pct"/>
            <w:tcBorders>
              <w:top w:val="nil"/>
              <w:left w:val="nil"/>
              <w:bottom w:val="nil"/>
              <w:right w:val="nil"/>
            </w:tcBorders>
          </w:tcPr>
          <w:p w14:paraId="1F3B9A0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(.776)</w:t>
            </w:r>
          </w:p>
        </w:tc>
      </w:tr>
      <w:tr w:rsidR="00307155" w:rsidRPr="00FC7BB4" w14:paraId="35571C41" w14:textId="77777777" w:rsidTr="00291B27">
        <w:trPr>
          <w:trHeight w:val="166"/>
        </w:trPr>
        <w:tc>
          <w:tcPr>
            <w:tcW w:w="620" w:type="pct"/>
            <w:tcBorders>
              <w:top w:val="nil"/>
              <w:left w:val="nil"/>
              <w:bottom w:val="nil"/>
              <w:right w:val="nil"/>
            </w:tcBorders>
            <w:vAlign w:val="bottom"/>
          </w:tcPr>
          <w:p w14:paraId="78DBE2BC"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b3(Dup)</w:t>
            </w:r>
          </w:p>
        </w:tc>
        <w:tc>
          <w:tcPr>
            <w:tcW w:w="550" w:type="pct"/>
            <w:tcBorders>
              <w:top w:val="nil"/>
              <w:left w:val="nil"/>
              <w:bottom w:val="nil"/>
              <w:right w:val="nil"/>
            </w:tcBorders>
          </w:tcPr>
          <w:p w14:paraId="2696448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.419***</w:t>
            </w:r>
          </w:p>
        </w:tc>
        <w:tc>
          <w:tcPr>
            <w:tcW w:w="515" w:type="pct"/>
            <w:tcBorders>
              <w:top w:val="nil"/>
              <w:left w:val="nil"/>
              <w:bottom w:val="nil"/>
              <w:right w:val="nil"/>
            </w:tcBorders>
          </w:tcPr>
          <w:p w14:paraId="6DD0B19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.107</w:t>
            </w:r>
          </w:p>
        </w:tc>
        <w:tc>
          <w:tcPr>
            <w:tcW w:w="551" w:type="pct"/>
            <w:tcBorders>
              <w:top w:val="nil"/>
              <w:left w:val="nil"/>
              <w:bottom w:val="nil"/>
              <w:right w:val="nil"/>
            </w:tcBorders>
          </w:tcPr>
          <w:p w14:paraId="7A3A861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.076</w:t>
            </w:r>
          </w:p>
        </w:tc>
        <w:tc>
          <w:tcPr>
            <w:tcW w:w="561" w:type="pct"/>
            <w:tcBorders>
              <w:top w:val="nil"/>
              <w:left w:val="nil"/>
              <w:bottom w:val="nil"/>
              <w:right w:val="nil"/>
            </w:tcBorders>
          </w:tcPr>
          <w:p w14:paraId="3236E0B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.182</w:t>
            </w:r>
          </w:p>
        </w:tc>
        <w:tc>
          <w:tcPr>
            <w:tcW w:w="551" w:type="pct"/>
            <w:tcBorders>
              <w:top w:val="nil"/>
              <w:left w:val="nil"/>
              <w:bottom w:val="nil"/>
              <w:right w:val="nil"/>
            </w:tcBorders>
          </w:tcPr>
          <w:p w14:paraId="7E57CDE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.213***</w:t>
            </w:r>
          </w:p>
        </w:tc>
        <w:tc>
          <w:tcPr>
            <w:tcW w:w="590" w:type="pct"/>
            <w:tcBorders>
              <w:top w:val="nil"/>
              <w:left w:val="nil"/>
              <w:bottom w:val="nil"/>
              <w:right w:val="nil"/>
            </w:tcBorders>
          </w:tcPr>
          <w:p w14:paraId="0982252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.499**</w:t>
            </w:r>
          </w:p>
        </w:tc>
        <w:tc>
          <w:tcPr>
            <w:tcW w:w="525" w:type="pct"/>
            <w:tcBorders>
              <w:top w:val="nil"/>
              <w:left w:val="nil"/>
              <w:bottom w:val="nil"/>
              <w:right w:val="nil"/>
            </w:tcBorders>
          </w:tcPr>
          <w:p w14:paraId="60D913A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-.056*</w:t>
            </w:r>
          </w:p>
        </w:tc>
        <w:tc>
          <w:tcPr>
            <w:tcW w:w="537" w:type="pct"/>
            <w:tcBorders>
              <w:top w:val="nil"/>
              <w:left w:val="nil"/>
              <w:bottom w:val="nil"/>
              <w:right w:val="nil"/>
            </w:tcBorders>
          </w:tcPr>
          <w:p w14:paraId="02D4B60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.127**</w:t>
            </w:r>
          </w:p>
        </w:tc>
      </w:tr>
      <w:tr w:rsidR="00307155" w:rsidRPr="00FC7BB4" w14:paraId="461A93F0" w14:textId="77777777" w:rsidTr="00291B27">
        <w:trPr>
          <w:trHeight w:val="266"/>
        </w:trPr>
        <w:tc>
          <w:tcPr>
            <w:tcW w:w="620" w:type="pct"/>
            <w:tcBorders>
              <w:top w:val="nil"/>
              <w:left w:val="nil"/>
              <w:bottom w:val="nil"/>
              <w:right w:val="nil"/>
            </w:tcBorders>
            <w:vAlign w:val="bottom"/>
          </w:tcPr>
          <w:p w14:paraId="69E3C5ED"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622CFD8C"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(.11)</w:t>
            </w:r>
          </w:p>
        </w:tc>
        <w:tc>
          <w:tcPr>
            <w:tcW w:w="515" w:type="pct"/>
            <w:tcBorders>
              <w:top w:val="nil"/>
              <w:left w:val="nil"/>
              <w:bottom w:val="nil"/>
              <w:right w:val="nil"/>
            </w:tcBorders>
          </w:tcPr>
          <w:p w14:paraId="7307C5A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(.077)</w:t>
            </w:r>
          </w:p>
        </w:tc>
        <w:tc>
          <w:tcPr>
            <w:tcW w:w="551" w:type="pct"/>
            <w:tcBorders>
              <w:top w:val="nil"/>
              <w:left w:val="nil"/>
              <w:bottom w:val="nil"/>
              <w:right w:val="nil"/>
            </w:tcBorders>
          </w:tcPr>
          <w:p w14:paraId="0C35FFF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(.051)</w:t>
            </w:r>
          </w:p>
        </w:tc>
        <w:tc>
          <w:tcPr>
            <w:tcW w:w="561" w:type="pct"/>
            <w:tcBorders>
              <w:top w:val="nil"/>
              <w:left w:val="nil"/>
              <w:bottom w:val="nil"/>
              <w:right w:val="nil"/>
            </w:tcBorders>
          </w:tcPr>
          <w:p w14:paraId="0EAA7DD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(.118)</w:t>
            </w:r>
          </w:p>
        </w:tc>
        <w:tc>
          <w:tcPr>
            <w:tcW w:w="551" w:type="pct"/>
            <w:tcBorders>
              <w:top w:val="nil"/>
              <w:left w:val="nil"/>
              <w:bottom w:val="nil"/>
              <w:right w:val="nil"/>
            </w:tcBorders>
          </w:tcPr>
          <w:p w14:paraId="3DA9FD9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(.055)</w:t>
            </w:r>
          </w:p>
        </w:tc>
        <w:tc>
          <w:tcPr>
            <w:tcW w:w="590" w:type="pct"/>
            <w:tcBorders>
              <w:top w:val="nil"/>
              <w:left w:val="nil"/>
              <w:bottom w:val="nil"/>
              <w:right w:val="nil"/>
            </w:tcBorders>
          </w:tcPr>
          <w:p w14:paraId="3D725FF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(.207)</w:t>
            </w:r>
          </w:p>
        </w:tc>
        <w:tc>
          <w:tcPr>
            <w:tcW w:w="525" w:type="pct"/>
            <w:tcBorders>
              <w:top w:val="nil"/>
              <w:left w:val="nil"/>
              <w:bottom w:val="nil"/>
              <w:right w:val="nil"/>
            </w:tcBorders>
          </w:tcPr>
          <w:p w14:paraId="67D7BBC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(.031)</w:t>
            </w:r>
          </w:p>
        </w:tc>
        <w:tc>
          <w:tcPr>
            <w:tcW w:w="537" w:type="pct"/>
            <w:tcBorders>
              <w:top w:val="nil"/>
              <w:left w:val="nil"/>
              <w:bottom w:val="nil"/>
              <w:right w:val="nil"/>
            </w:tcBorders>
          </w:tcPr>
          <w:p w14:paraId="5A4C8F1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(.051)</w:t>
            </w:r>
          </w:p>
        </w:tc>
      </w:tr>
      <w:tr w:rsidR="00307155" w:rsidRPr="00FC7BB4" w14:paraId="7AF3A607" w14:textId="77777777" w:rsidTr="00291B27">
        <w:trPr>
          <w:trHeight w:val="159"/>
        </w:trPr>
        <w:tc>
          <w:tcPr>
            <w:tcW w:w="620" w:type="pct"/>
            <w:tcBorders>
              <w:top w:val="nil"/>
              <w:left w:val="nil"/>
              <w:bottom w:val="nil"/>
              <w:right w:val="nil"/>
            </w:tcBorders>
            <w:vAlign w:val="bottom"/>
          </w:tcPr>
          <w:p w14:paraId="04AA4093"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b4(</w:t>
            </w:r>
            <w:proofErr w:type="gramStart"/>
            <w:r w:rsidRPr="00FC7BB4">
              <w:rPr>
                <w:rFonts w:ascii="Times New Roman" w:hAnsi="Times New Roman" w:cs="Times New Roman"/>
                <w:sz w:val="14"/>
                <w:szCs w:val="14"/>
              </w:rPr>
              <w:t>π.Dup</w:t>
            </w:r>
            <w:proofErr w:type="gramEnd"/>
            <w:r w:rsidRPr="00FC7BB4">
              <w:rPr>
                <w:rFonts w:ascii="Times New Roman" w:hAnsi="Times New Roman" w:cs="Times New Roman"/>
                <w:sz w:val="14"/>
                <w:szCs w:val="14"/>
              </w:rPr>
              <w:t>)</w:t>
            </w:r>
          </w:p>
        </w:tc>
        <w:tc>
          <w:tcPr>
            <w:tcW w:w="550" w:type="pct"/>
            <w:tcBorders>
              <w:top w:val="nil"/>
              <w:left w:val="nil"/>
              <w:bottom w:val="nil"/>
              <w:right w:val="nil"/>
            </w:tcBorders>
          </w:tcPr>
          <w:p w14:paraId="127BE77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1.476</w:t>
            </w:r>
          </w:p>
        </w:tc>
        <w:tc>
          <w:tcPr>
            <w:tcW w:w="515" w:type="pct"/>
            <w:tcBorders>
              <w:top w:val="nil"/>
              <w:left w:val="nil"/>
              <w:bottom w:val="nil"/>
              <w:right w:val="nil"/>
            </w:tcBorders>
          </w:tcPr>
          <w:p w14:paraId="366BDCE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1.4</w:t>
            </w:r>
          </w:p>
        </w:tc>
        <w:tc>
          <w:tcPr>
            <w:tcW w:w="551" w:type="pct"/>
            <w:tcBorders>
              <w:top w:val="nil"/>
              <w:left w:val="nil"/>
              <w:bottom w:val="nil"/>
              <w:right w:val="nil"/>
            </w:tcBorders>
          </w:tcPr>
          <w:p w14:paraId="630682D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2.171***</w:t>
            </w:r>
          </w:p>
        </w:tc>
        <w:tc>
          <w:tcPr>
            <w:tcW w:w="561" w:type="pct"/>
            <w:tcBorders>
              <w:top w:val="nil"/>
              <w:left w:val="nil"/>
              <w:bottom w:val="nil"/>
              <w:right w:val="nil"/>
            </w:tcBorders>
          </w:tcPr>
          <w:p w14:paraId="0BD6C57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4.523***</w:t>
            </w:r>
          </w:p>
        </w:tc>
        <w:tc>
          <w:tcPr>
            <w:tcW w:w="551" w:type="pct"/>
            <w:tcBorders>
              <w:top w:val="nil"/>
              <w:left w:val="nil"/>
              <w:bottom w:val="nil"/>
              <w:right w:val="nil"/>
            </w:tcBorders>
          </w:tcPr>
          <w:p w14:paraId="4962C2D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.639</w:t>
            </w:r>
          </w:p>
        </w:tc>
        <w:tc>
          <w:tcPr>
            <w:tcW w:w="590" w:type="pct"/>
            <w:tcBorders>
              <w:top w:val="nil"/>
              <w:left w:val="nil"/>
              <w:bottom w:val="nil"/>
              <w:right w:val="nil"/>
            </w:tcBorders>
          </w:tcPr>
          <w:p w14:paraId="6CD8C28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2.77</w:t>
            </w:r>
          </w:p>
        </w:tc>
        <w:tc>
          <w:tcPr>
            <w:tcW w:w="525" w:type="pct"/>
            <w:tcBorders>
              <w:top w:val="nil"/>
              <w:left w:val="nil"/>
              <w:bottom w:val="nil"/>
              <w:right w:val="nil"/>
            </w:tcBorders>
          </w:tcPr>
          <w:p w14:paraId="52ABF03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1.93***</w:t>
            </w:r>
          </w:p>
        </w:tc>
        <w:tc>
          <w:tcPr>
            <w:tcW w:w="537" w:type="pct"/>
            <w:tcBorders>
              <w:top w:val="nil"/>
              <w:left w:val="nil"/>
              <w:bottom w:val="nil"/>
              <w:right w:val="nil"/>
            </w:tcBorders>
          </w:tcPr>
          <w:p w14:paraId="292B3DE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.26</w:t>
            </w:r>
          </w:p>
        </w:tc>
      </w:tr>
      <w:tr w:rsidR="00307155" w:rsidRPr="00FC7BB4" w14:paraId="09FBC0E1" w14:textId="77777777" w:rsidTr="00291B27">
        <w:trPr>
          <w:trHeight w:val="318"/>
        </w:trPr>
        <w:tc>
          <w:tcPr>
            <w:tcW w:w="620" w:type="pct"/>
            <w:tcBorders>
              <w:top w:val="nil"/>
              <w:left w:val="nil"/>
              <w:bottom w:val="nil"/>
              <w:right w:val="nil"/>
            </w:tcBorders>
            <w:vAlign w:val="bottom"/>
          </w:tcPr>
          <w:p w14:paraId="70356130"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4ADE580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(2.762)</w:t>
            </w:r>
          </w:p>
        </w:tc>
        <w:tc>
          <w:tcPr>
            <w:tcW w:w="515" w:type="pct"/>
            <w:tcBorders>
              <w:top w:val="nil"/>
              <w:left w:val="nil"/>
              <w:bottom w:val="nil"/>
              <w:right w:val="nil"/>
            </w:tcBorders>
          </w:tcPr>
          <w:p w14:paraId="4EE3426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(1.398)</w:t>
            </w:r>
          </w:p>
        </w:tc>
        <w:tc>
          <w:tcPr>
            <w:tcW w:w="551" w:type="pct"/>
            <w:tcBorders>
              <w:top w:val="nil"/>
              <w:left w:val="nil"/>
              <w:bottom w:val="nil"/>
              <w:right w:val="nil"/>
            </w:tcBorders>
          </w:tcPr>
          <w:p w14:paraId="7F76748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(.717)</w:t>
            </w:r>
          </w:p>
        </w:tc>
        <w:tc>
          <w:tcPr>
            <w:tcW w:w="561" w:type="pct"/>
            <w:tcBorders>
              <w:top w:val="nil"/>
              <w:left w:val="nil"/>
              <w:bottom w:val="nil"/>
              <w:right w:val="nil"/>
            </w:tcBorders>
          </w:tcPr>
          <w:p w14:paraId="7E61517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(1.521)</w:t>
            </w:r>
          </w:p>
        </w:tc>
        <w:tc>
          <w:tcPr>
            <w:tcW w:w="551" w:type="pct"/>
            <w:tcBorders>
              <w:top w:val="nil"/>
              <w:left w:val="nil"/>
              <w:bottom w:val="nil"/>
              <w:right w:val="nil"/>
            </w:tcBorders>
          </w:tcPr>
          <w:p w14:paraId="767EDD6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(1.033)</w:t>
            </w:r>
          </w:p>
        </w:tc>
        <w:tc>
          <w:tcPr>
            <w:tcW w:w="590" w:type="pct"/>
            <w:tcBorders>
              <w:top w:val="nil"/>
              <w:left w:val="nil"/>
              <w:bottom w:val="nil"/>
              <w:right w:val="nil"/>
            </w:tcBorders>
          </w:tcPr>
          <w:p w14:paraId="7C019C6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(3.861)</w:t>
            </w:r>
          </w:p>
        </w:tc>
        <w:tc>
          <w:tcPr>
            <w:tcW w:w="525" w:type="pct"/>
            <w:tcBorders>
              <w:top w:val="nil"/>
              <w:left w:val="nil"/>
              <w:bottom w:val="nil"/>
              <w:right w:val="nil"/>
            </w:tcBorders>
          </w:tcPr>
          <w:p w14:paraId="64D9F45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(.497)</w:t>
            </w:r>
          </w:p>
        </w:tc>
        <w:tc>
          <w:tcPr>
            <w:tcW w:w="537" w:type="pct"/>
            <w:tcBorders>
              <w:top w:val="nil"/>
              <w:left w:val="nil"/>
              <w:bottom w:val="nil"/>
              <w:right w:val="nil"/>
            </w:tcBorders>
          </w:tcPr>
          <w:p w14:paraId="1880384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(.678)</w:t>
            </w:r>
          </w:p>
        </w:tc>
      </w:tr>
      <w:tr w:rsidR="00307155" w:rsidRPr="00FC7BB4" w14:paraId="3C5D2153" w14:textId="77777777" w:rsidTr="00291B27">
        <w:trPr>
          <w:trHeight w:val="95"/>
        </w:trPr>
        <w:tc>
          <w:tcPr>
            <w:tcW w:w="620" w:type="pct"/>
            <w:tcBorders>
              <w:top w:val="nil"/>
              <w:left w:val="nil"/>
              <w:bottom w:val="nil"/>
              <w:right w:val="nil"/>
            </w:tcBorders>
            <w:vAlign w:val="bottom"/>
          </w:tcPr>
          <w:p w14:paraId="1A233D59"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b5(</w:t>
            </w:r>
            <w:proofErr w:type="spellStart"/>
            <w:r w:rsidRPr="00FC7BB4">
              <w:rPr>
                <w:rFonts w:ascii="Times New Roman" w:hAnsi="Times New Roman" w:cs="Times New Roman"/>
                <w:sz w:val="14"/>
                <w:szCs w:val="14"/>
              </w:rPr>
              <w:t>Cdn</w:t>
            </w:r>
            <w:proofErr w:type="spellEnd"/>
            <w:r w:rsidRPr="00FC7BB4">
              <w:rPr>
                <w:rFonts w:ascii="Times New Roman" w:hAnsi="Times New Roman" w:cs="Times New Roman"/>
                <w:sz w:val="14"/>
                <w:szCs w:val="14"/>
              </w:rPr>
              <w:t>)</w:t>
            </w:r>
          </w:p>
        </w:tc>
        <w:tc>
          <w:tcPr>
            <w:tcW w:w="550" w:type="pct"/>
            <w:tcBorders>
              <w:top w:val="nil"/>
              <w:left w:val="nil"/>
              <w:bottom w:val="nil"/>
              <w:right w:val="nil"/>
            </w:tcBorders>
          </w:tcPr>
          <w:p w14:paraId="54F54F5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1.348***</w:t>
            </w:r>
          </w:p>
        </w:tc>
        <w:tc>
          <w:tcPr>
            <w:tcW w:w="515" w:type="pct"/>
            <w:tcBorders>
              <w:top w:val="nil"/>
              <w:left w:val="nil"/>
              <w:bottom w:val="nil"/>
              <w:right w:val="nil"/>
            </w:tcBorders>
          </w:tcPr>
          <w:p w14:paraId="61F22F9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.242</w:t>
            </w:r>
          </w:p>
        </w:tc>
        <w:tc>
          <w:tcPr>
            <w:tcW w:w="551" w:type="pct"/>
            <w:tcBorders>
              <w:top w:val="nil"/>
              <w:left w:val="nil"/>
              <w:bottom w:val="nil"/>
              <w:right w:val="nil"/>
            </w:tcBorders>
          </w:tcPr>
          <w:p w14:paraId="2318DCBF"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.469***</w:t>
            </w:r>
          </w:p>
        </w:tc>
        <w:tc>
          <w:tcPr>
            <w:tcW w:w="561" w:type="pct"/>
            <w:tcBorders>
              <w:top w:val="nil"/>
              <w:left w:val="nil"/>
              <w:bottom w:val="nil"/>
              <w:right w:val="nil"/>
            </w:tcBorders>
          </w:tcPr>
          <w:p w14:paraId="0BD94EE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1.169***</w:t>
            </w:r>
          </w:p>
        </w:tc>
        <w:tc>
          <w:tcPr>
            <w:tcW w:w="551" w:type="pct"/>
            <w:tcBorders>
              <w:top w:val="nil"/>
              <w:left w:val="nil"/>
              <w:bottom w:val="nil"/>
              <w:right w:val="nil"/>
            </w:tcBorders>
          </w:tcPr>
          <w:p w14:paraId="2AB49A4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.681***</w:t>
            </w:r>
          </w:p>
        </w:tc>
        <w:tc>
          <w:tcPr>
            <w:tcW w:w="590" w:type="pct"/>
            <w:tcBorders>
              <w:top w:val="nil"/>
              <w:left w:val="nil"/>
              <w:bottom w:val="nil"/>
              <w:right w:val="nil"/>
            </w:tcBorders>
          </w:tcPr>
          <w:p w14:paraId="6D8F95F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1.272***</w:t>
            </w:r>
          </w:p>
        </w:tc>
        <w:tc>
          <w:tcPr>
            <w:tcW w:w="525" w:type="pct"/>
            <w:tcBorders>
              <w:top w:val="nil"/>
              <w:left w:val="nil"/>
              <w:bottom w:val="nil"/>
              <w:right w:val="nil"/>
            </w:tcBorders>
          </w:tcPr>
          <w:p w14:paraId="387A294F"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.75***</w:t>
            </w:r>
          </w:p>
        </w:tc>
        <w:tc>
          <w:tcPr>
            <w:tcW w:w="537" w:type="pct"/>
            <w:tcBorders>
              <w:top w:val="nil"/>
              <w:left w:val="nil"/>
              <w:bottom w:val="nil"/>
              <w:right w:val="nil"/>
            </w:tcBorders>
          </w:tcPr>
          <w:p w14:paraId="418F953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1.052***</w:t>
            </w:r>
          </w:p>
        </w:tc>
      </w:tr>
      <w:tr w:rsidR="00307155" w:rsidRPr="00FC7BB4" w14:paraId="28DAD963" w14:textId="77777777" w:rsidTr="00291B27">
        <w:trPr>
          <w:trHeight w:val="266"/>
        </w:trPr>
        <w:tc>
          <w:tcPr>
            <w:tcW w:w="620" w:type="pct"/>
            <w:tcBorders>
              <w:top w:val="nil"/>
              <w:left w:val="nil"/>
              <w:bottom w:val="nil"/>
              <w:right w:val="nil"/>
            </w:tcBorders>
            <w:vAlign w:val="bottom"/>
          </w:tcPr>
          <w:p w14:paraId="5BD430A9"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765BB67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(.264)</w:t>
            </w:r>
          </w:p>
        </w:tc>
        <w:tc>
          <w:tcPr>
            <w:tcW w:w="515" w:type="pct"/>
            <w:tcBorders>
              <w:top w:val="nil"/>
              <w:left w:val="nil"/>
              <w:bottom w:val="nil"/>
              <w:right w:val="nil"/>
            </w:tcBorders>
          </w:tcPr>
          <w:p w14:paraId="37748CE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(.157)</w:t>
            </w:r>
          </w:p>
        </w:tc>
        <w:tc>
          <w:tcPr>
            <w:tcW w:w="551" w:type="pct"/>
            <w:tcBorders>
              <w:top w:val="nil"/>
              <w:left w:val="nil"/>
              <w:bottom w:val="nil"/>
              <w:right w:val="nil"/>
            </w:tcBorders>
          </w:tcPr>
          <w:p w14:paraId="0D4DB23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(.103)</w:t>
            </w:r>
          </w:p>
        </w:tc>
        <w:tc>
          <w:tcPr>
            <w:tcW w:w="561" w:type="pct"/>
            <w:tcBorders>
              <w:top w:val="nil"/>
              <w:left w:val="nil"/>
              <w:bottom w:val="nil"/>
              <w:right w:val="nil"/>
            </w:tcBorders>
          </w:tcPr>
          <w:p w14:paraId="78BAA1F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(.205)</w:t>
            </w:r>
          </w:p>
        </w:tc>
        <w:tc>
          <w:tcPr>
            <w:tcW w:w="551" w:type="pct"/>
            <w:tcBorders>
              <w:top w:val="nil"/>
              <w:left w:val="nil"/>
              <w:bottom w:val="nil"/>
              <w:right w:val="nil"/>
            </w:tcBorders>
          </w:tcPr>
          <w:p w14:paraId="2AE4BDE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(.092)</w:t>
            </w:r>
          </w:p>
        </w:tc>
        <w:tc>
          <w:tcPr>
            <w:tcW w:w="590" w:type="pct"/>
            <w:tcBorders>
              <w:top w:val="nil"/>
              <w:left w:val="nil"/>
              <w:bottom w:val="nil"/>
              <w:right w:val="nil"/>
            </w:tcBorders>
          </w:tcPr>
          <w:p w14:paraId="2456F94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(.331)</w:t>
            </w:r>
          </w:p>
        </w:tc>
        <w:tc>
          <w:tcPr>
            <w:tcW w:w="525" w:type="pct"/>
            <w:tcBorders>
              <w:top w:val="nil"/>
              <w:left w:val="nil"/>
              <w:bottom w:val="nil"/>
              <w:right w:val="nil"/>
            </w:tcBorders>
          </w:tcPr>
          <w:p w14:paraId="37A6CE6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(.07)</w:t>
            </w:r>
          </w:p>
        </w:tc>
        <w:tc>
          <w:tcPr>
            <w:tcW w:w="537" w:type="pct"/>
            <w:tcBorders>
              <w:top w:val="nil"/>
              <w:left w:val="nil"/>
              <w:bottom w:val="nil"/>
              <w:right w:val="nil"/>
            </w:tcBorders>
          </w:tcPr>
          <w:p w14:paraId="1548E73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(.156)</w:t>
            </w:r>
          </w:p>
        </w:tc>
      </w:tr>
      <w:tr w:rsidR="00307155" w:rsidRPr="00FC7BB4" w14:paraId="1EE98493" w14:textId="77777777" w:rsidTr="00291B27">
        <w:trPr>
          <w:trHeight w:val="170"/>
        </w:trPr>
        <w:tc>
          <w:tcPr>
            <w:tcW w:w="620" w:type="pct"/>
            <w:tcBorders>
              <w:top w:val="nil"/>
              <w:left w:val="nil"/>
              <w:bottom w:val="nil"/>
              <w:right w:val="nil"/>
            </w:tcBorders>
            <w:vAlign w:val="bottom"/>
          </w:tcPr>
          <w:p w14:paraId="6ED26B7A"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b6(</w:t>
            </w:r>
            <w:proofErr w:type="gramStart"/>
            <w:r w:rsidRPr="00FC7BB4">
              <w:rPr>
                <w:rFonts w:ascii="Times New Roman" w:hAnsi="Times New Roman" w:cs="Times New Roman"/>
                <w:sz w:val="14"/>
                <w:szCs w:val="14"/>
              </w:rPr>
              <w:t>π.</w:t>
            </w:r>
            <w:proofErr w:type="spellStart"/>
            <w:r w:rsidRPr="00FC7BB4">
              <w:rPr>
                <w:rFonts w:ascii="Times New Roman" w:hAnsi="Times New Roman" w:cs="Times New Roman"/>
                <w:sz w:val="14"/>
                <w:szCs w:val="14"/>
              </w:rPr>
              <w:t>Cdn</w:t>
            </w:r>
            <w:proofErr w:type="spellEnd"/>
            <w:proofErr w:type="gramEnd"/>
            <w:r w:rsidRPr="00FC7BB4">
              <w:rPr>
                <w:rFonts w:ascii="Times New Roman" w:hAnsi="Times New Roman" w:cs="Times New Roman"/>
                <w:sz w:val="14"/>
                <w:szCs w:val="14"/>
              </w:rPr>
              <w:t>)</w:t>
            </w:r>
          </w:p>
        </w:tc>
        <w:tc>
          <w:tcPr>
            <w:tcW w:w="550" w:type="pct"/>
            <w:tcBorders>
              <w:top w:val="nil"/>
              <w:left w:val="nil"/>
              <w:bottom w:val="nil"/>
              <w:right w:val="nil"/>
            </w:tcBorders>
          </w:tcPr>
          <w:p w14:paraId="1972103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-5.1</w:t>
            </w:r>
          </w:p>
        </w:tc>
        <w:tc>
          <w:tcPr>
            <w:tcW w:w="515" w:type="pct"/>
            <w:tcBorders>
              <w:top w:val="nil"/>
              <w:left w:val="nil"/>
              <w:bottom w:val="nil"/>
              <w:right w:val="nil"/>
            </w:tcBorders>
          </w:tcPr>
          <w:p w14:paraId="47E5199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.445</w:t>
            </w:r>
          </w:p>
        </w:tc>
        <w:tc>
          <w:tcPr>
            <w:tcW w:w="551" w:type="pct"/>
            <w:tcBorders>
              <w:top w:val="nil"/>
              <w:left w:val="nil"/>
              <w:bottom w:val="nil"/>
              <w:right w:val="nil"/>
            </w:tcBorders>
          </w:tcPr>
          <w:p w14:paraId="3B12DF1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.166</w:t>
            </w:r>
          </w:p>
        </w:tc>
        <w:tc>
          <w:tcPr>
            <w:tcW w:w="561" w:type="pct"/>
            <w:tcBorders>
              <w:top w:val="nil"/>
              <w:left w:val="nil"/>
              <w:bottom w:val="nil"/>
              <w:right w:val="nil"/>
            </w:tcBorders>
          </w:tcPr>
          <w:p w14:paraId="5E05422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-15.724***</w:t>
            </w:r>
          </w:p>
        </w:tc>
        <w:tc>
          <w:tcPr>
            <w:tcW w:w="551" w:type="pct"/>
            <w:tcBorders>
              <w:top w:val="nil"/>
              <w:left w:val="nil"/>
              <w:bottom w:val="nil"/>
              <w:right w:val="nil"/>
            </w:tcBorders>
          </w:tcPr>
          <w:p w14:paraId="0AC7D95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5.006**</w:t>
            </w:r>
          </w:p>
        </w:tc>
        <w:tc>
          <w:tcPr>
            <w:tcW w:w="590" w:type="pct"/>
            <w:tcBorders>
              <w:top w:val="nil"/>
              <w:left w:val="nil"/>
              <w:bottom w:val="nil"/>
              <w:right w:val="nil"/>
            </w:tcBorders>
          </w:tcPr>
          <w:p w14:paraId="2FE9AC2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5.79</w:t>
            </w:r>
          </w:p>
        </w:tc>
        <w:tc>
          <w:tcPr>
            <w:tcW w:w="525" w:type="pct"/>
            <w:tcBorders>
              <w:top w:val="nil"/>
              <w:left w:val="nil"/>
              <w:bottom w:val="nil"/>
              <w:right w:val="nil"/>
            </w:tcBorders>
          </w:tcPr>
          <w:p w14:paraId="327E544C"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1.637</w:t>
            </w:r>
          </w:p>
        </w:tc>
        <w:tc>
          <w:tcPr>
            <w:tcW w:w="537" w:type="pct"/>
            <w:tcBorders>
              <w:top w:val="nil"/>
              <w:left w:val="nil"/>
              <w:bottom w:val="nil"/>
              <w:right w:val="nil"/>
            </w:tcBorders>
          </w:tcPr>
          <w:p w14:paraId="3374B250"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-5.533***</w:t>
            </w:r>
          </w:p>
        </w:tc>
      </w:tr>
      <w:tr w:rsidR="00307155" w:rsidRPr="00FC7BB4" w14:paraId="70DFD1BA" w14:textId="77777777" w:rsidTr="00291B27">
        <w:trPr>
          <w:trHeight w:val="266"/>
        </w:trPr>
        <w:tc>
          <w:tcPr>
            <w:tcW w:w="620" w:type="pct"/>
            <w:tcBorders>
              <w:top w:val="nil"/>
              <w:left w:val="nil"/>
              <w:bottom w:val="nil"/>
              <w:right w:val="nil"/>
            </w:tcBorders>
            <w:vAlign w:val="bottom"/>
          </w:tcPr>
          <w:p w14:paraId="7F8FC940"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4A2891E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(7.604)</w:t>
            </w:r>
          </w:p>
        </w:tc>
        <w:tc>
          <w:tcPr>
            <w:tcW w:w="515" w:type="pct"/>
            <w:tcBorders>
              <w:top w:val="nil"/>
              <w:left w:val="nil"/>
              <w:bottom w:val="nil"/>
              <w:right w:val="nil"/>
            </w:tcBorders>
          </w:tcPr>
          <w:p w14:paraId="1171923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(4.014)</w:t>
            </w:r>
          </w:p>
        </w:tc>
        <w:tc>
          <w:tcPr>
            <w:tcW w:w="551" w:type="pct"/>
            <w:tcBorders>
              <w:top w:val="nil"/>
              <w:left w:val="nil"/>
              <w:bottom w:val="nil"/>
              <w:right w:val="nil"/>
            </w:tcBorders>
          </w:tcPr>
          <w:p w14:paraId="4D02751C"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(2.09)</w:t>
            </w:r>
          </w:p>
        </w:tc>
        <w:tc>
          <w:tcPr>
            <w:tcW w:w="561" w:type="pct"/>
            <w:tcBorders>
              <w:top w:val="nil"/>
              <w:left w:val="nil"/>
              <w:bottom w:val="nil"/>
              <w:right w:val="nil"/>
            </w:tcBorders>
          </w:tcPr>
          <w:p w14:paraId="7253910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(3.273)</w:t>
            </w:r>
          </w:p>
        </w:tc>
        <w:tc>
          <w:tcPr>
            <w:tcW w:w="551" w:type="pct"/>
            <w:tcBorders>
              <w:top w:val="nil"/>
              <w:left w:val="nil"/>
              <w:bottom w:val="nil"/>
              <w:right w:val="nil"/>
            </w:tcBorders>
          </w:tcPr>
          <w:p w14:paraId="0AF0B6C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(2.157)</w:t>
            </w:r>
          </w:p>
        </w:tc>
        <w:tc>
          <w:tcPr>
            <w:tcW w:w="590" w:type="pct"/>
            <w:tcBorders>
              <w:top w:val="nil"/>
              <w:left w:val="nil"/>
              <w:bottom w:val="nil"/>
              <w:right w:val="nil"/>
            </w:tcBorders>
          </w:tcPr>
          <w:p w14:paraId="4FA0D15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(7.027)</w:t>
            </w:r>
          </w:p>
        </w:tc>
        <w:tc>
          <w:tcPr>
            <w:tcW w:w="525" w:type="pct"/>
            <w:tcBorders>
              <w:top w:val="nil"/>
              <w:left w:val="nil"/>
              <w:bottom w:val="nil"/>
              <w:right w:val="nil"/>
            </w:tcBorders>
          </w:tcPr>
          <w:p w14:paraId="678B3F9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(2.082)</w:t>
            </w:r>
          </w:p>
        </w:tc>
        <w:tc>
          <w:tcPr>
            <w:tcW w:w="537" w:type="pct"/>
            <w:tcBorders>
              <w:top w:val="nil"/>
              <w:left w:val="nil"/>
              <w:bottom w:val="nil"/>
              <w:right w:val="nil"/>
            </w:tcBorders>
          </w:tcPr>
          <w:p w14:paraId="6414111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(1.912)</w:t>
            </w:r>
          </w:p>
        </w:tc>
      </w:tr>
      <w:tr w:rsidR="00307155" w:rsidRPr="00FC7BB4" w14:paraId="4A852B49" w14:textId="77777777" w:rsidTr="00291B27">
        <w:trPr>
          <w:trHeight w:val="162"/>
        </w:trPr>
        <w:tc>
          <w:tcPr>
            <w:tcW w:w="620" w:type="pct"/>
            <w:tcBorders>
              <w:top w:val="nil"/>
              <w:left w:val="nil"/>
              <w:bottom w:val="nil"/>
              <w:right w:val="nil"/>
            </w:tcBorders>
            <w:vAlign w:val="bottom"/>
          </w:tcPr>
          <w:p w14:paraId="557DC5E1"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b7(</w:t>
            </w:r>
            <w:proofErr w:type="spellStart"/>
            <w:r w:rsidRPr="00FC7BB4">
              <w:rPr>
                <w:rFonts w:ascii="Times New Roman" w:hAnsi="Times New Roman" w:cs="Times New Roman"/>
                <w:sz w:val="14"/>
                <w:szCs w:val="14"/>
              </w:rPr>
              <w:t>Ddn</w:t>
            </w:r>
            <w:proofErr w:type="spellEnd"/>
            <w:r w:rsidRPr="00FC7BB4">
              <w:rPr>
                <w:rFonts w:ascii="Times New Roman" w:hAnsi="Times New Roman" w:cs="Times New Roman"/>
                <w:sz w:val="14"/>
                <w:szCs w:val="14"/>
              </w:rPr>
              <w:t>)</w:t>
            </w:r>
          </w:p>
        </w:tc>
        <w:tc>
          <w:tcPr>
            <w:tcW w:w="550" w:type="pct"/>
            <w:tcBorders>
              <w:top w:val="nil"/>
              <w:left w:val="nil"/>
              <w:bottom w:val="nil"/>
              <w:right w:val="nil"/>
            </w:tcBorders>
          </w:tcPr>
          <w:p w14:paraId="551D259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1.185***</w:t>
            </w:r>
          </w:p>
        </w:tc>
        <w:tc>
          <w:tcPr>
            <w:tcW w:w="515" w:type="pct"/>
            <w:tcBorders>
              <w:top w:val="nil"/>
              <w:left w:val="nil"/>
              <w:bottom w:val="nil"/>
              <w:right w:val="nil"/>
            </w:tcBorders>
          </w:tcPr>
          <w:p w14:paraId="5A37544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.352**</w:t>
            </w:r>
          </w:p>
        </w:tc>
        <w:tc>
          <w:tcPr>
            <w:tcW w:w="551" w:type="pct"/>
            <w:tcBorders>
              <w:top w:val="nil"/>
              <w:left w:val="nil"/>
              <w:bottom w:val="nil"/>
              <w:right w:val="nil"/>
            </w:tcBorders>
          </w:tcPr>
          <w:p w14:paraId="17A882B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.651***</w:t>
            </w:r>
          </w:p>
        </w:tc>
        <w:tc>
          <w:tcPr>
            <w:tcW w:w="561" w:type="pct"/>
            <w:tcBorders>
              <w:top w:val="nil"/>
              <w:left w:val="nil"/>
              <w:bottom w:val="nil"/>
              <w:right w:val="nil"/>
            </w:tcBorders>
          </w:tcPr>
          <w:p w14:paraId="36AB109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1.227***</w:t>
            </w:r>
          </w:p>
        </w:tc>
        <w:tc>
          <w:tcPr>
            <w:tcW w:w="551" w:type="pct"/>
            <w:tcBorders>
              <w:top w:val="nil"/>
              <w:left w:val="nil"/>
              <w:bottom w:val="nil"/>
              <w:right w:val="nil"/>
            </w:tcBorders>
          </w:tcPr>
          <w:p w14:paraId="5BA8BC4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.355***</w:t>
            </w:r>
          </w:p>
        </w:tc>
        <w:tc>
          <w:tcPr>
            <w:tcW w:w="590" w:type="pct"/>
            <w:tcBorders>
              <w:top w:val="nil"/>
              <w:left w:val="nil"/>
              <w:bottom w:val="nil"/>
              <w:right w:val="nil"/>
            </w:tcBorders>
          </w:tcPr>
          <w:p w14:paraId="734C1C4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1.187***</w:t>
            </w:r>
          </w:p>
        </w:tc>
        <w:tc>
          <w:tcPr>
            <w:tcW w:w="525" w:type="pct"/>
            <w:tcBorders>
              <w:top w:val="nil"/>
              <w:left w:val="nil"/>
              <w:bottom w:val="nil"/>
              <w:right w:val="nil"/>
            </w:tcBorders>
          </w:tcPr>
          <w:p w14:paraId="49E5AEE0"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.239***</w:t>
            </w:r>
          </w:p>
        </w:tc>
        <w:tc>
          <w:tcPr>
            <w:tcW w:w="537" w:type="pct"/>
            <w:tcBorders>
              <w:top w:val="nil"/>
              <w:left w:val="nil"/>
              <w:bottom w:val="nil"/>
              <w:right w:val="nil"/>
            </w:tcBorders>
          </w:tcPr>
          <w:p w14:paraId="0B72B48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.268***</w:t>
            </w:r>
          </w:p>
        </w:tc>
      </w:tr>
      <w:tr w:rsidR="00307155" w:rsidRPr="00FC7BB4" w14:paraId="2E999301" w14:textId="77777777" w:rsidTr="00291B27">
        <w:trPr>
          <w:trHeight w:val="266"/>
        </w:trPr>
        <w:tc>
          <w:tcPr>
            <w:tcW w:w="620" w:type="pct"/>
            <w:tcBorders>
              <w:top w:val="nil"/>
              <w:left w:val="nil"/>
              <w:bottom w:val="nil"/>
              <w:right w:val="nil"/>
            </w:tcBorders>
            <w:vAlign w:val="bottom"/>
          </w:tcPr>
          <w:p w14:paraId="71DA73D9"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649B2DFC"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(.108)</w:t>
            </w:r>
          </w:p>
        </w:tc>
        <w:tc>
          <w:tcPr>
            <w:tcW w:w="515" w:type="pct"/>
            <w:tcBorders>
              <w:top w:val="nil"/>
              <w:left w:val="nil"/>
              <w:bottom w:val="nil"/>
              <w:right w:val="nil"/>
            </w:tcBorders>
          </w:tcPr>
          <w:p w14:paraId="30401AF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(.16)</w:t>
            </w:r>
          </w:p>
        </w:tc>
        <w:tc>
          <w:tcPr>
            <w:tcW w:w="551" w:type="pct"/>
            <w:tcBorders>
              <w:top w:val="nil"/>
              <w:left w:val="nil"/>
              <w:bottom w:val="nil"/>
              <w:right w:val="nil"/>
            </w:tcBorders>
          </w:tcPr>
          <w:p w14:paraId="2656C68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(.054)</w:t>
            </w:r>
          </w:p>
        </w:tc>
        <w:tc>
          <w:tcPr>
            <w:tcW w:w="561" w:type="pct"/>
            <w:tcBorders>
              <w:top w:val="nil"/>
              <w:left w:val="nil"/>
              <w:bottom w:val="nil"/>
              <w:right w:val="nil"/>
            </w:tcBorders>
          </w:tcPr>
          <w:p w14:paraId="6A0AF23F"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(.201)</w:t>
            </w:r>
          </w:p>
        </w:tc>
        <w:tc>
          <w:tcPr>
            <w:tcW w:w="551" w:type="pct"/>
            <w:tcBorders>
              <w:top w:val="nil"/>
              <w:left w:val="nil"/>
              <w:bottom w:val="nil"/>
              <w:right w:val="nil"/>
            </w:tcBorders>
          </w:tcPr>
          <w:p w14:paraId="40FC467C"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(.052)</w:t>
            </w:r>
          </w:p>
        </w:tc>
        <w:tc>
          <w:tcPr>
            <w:tcW w:w="590" w:type="pct"/>
            <w:tcBorders>
              <w:top w:val="nil"/>
              <w:left w:val="nil"/>
              <w:bottom w:val="nil"/>
              <w:right w:val="nil"/>
            </w:tcBorders>
          </w:tcPr>
          <w:p w14:paraId="2928D69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w:t>
            </w:r>
          </w:p>
        </w:tc>
        <w:tc>
          <w:tcPr>
            <w:tcW w:w="525" w:type="pct"/>
            <w:tcBorders>
              <w:top w:val="nil"/>
              <w:left w:val="nil"/>
              <w:bottom w:val="nil"/>
              <w:right w:val="nil"/>
            </w:tcBorders>
          </w:tcPr>
          <w:p w14:paraId="1EBD4D0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(.031)</w:t>
            </w:r>
          </w:p>
        </w:tc>
        <w:tc>
          <w:tcPr>
            <w:tcW w:w="537" w:type="pct"/>
            <w:tcBorders>
              <w:top w:val="nil"/>
              <w:left w:val="nil"/>
              <w:bottom w:val="nil"/>
              <w:right w:val="nil"/>
            </w:tcBorders>
          </w:tcPr>
          <w:p w14:paraId="5F3FD34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(.069)</w:t>
            </w:r>
          </w:p>
        </w:tc>
      </w:tr>
      <w:tr w:rsidR="00307155" w:rsidRPr="00FC7BB4" w14:paraId="637527BB" w14:textId="77777777" w:rsidTr="00291B27">
        <w:trPr>
          <w:trHeight w:val="154"/>
        </w:trPr>
        <w:tc>
          <w:tcPr>
            <w:tcW w:w="620" w:type="pct"/>
            <w:tcBorders>
              <w:top w:val="nil"/>
              <w:left w:val="nil"/>
              <w:bottom w:val="nil"/>
              <w:right w:val="nil"/>
            </w:tcBorders>
            <w:vAlign w:val="bottom"/>
          </w:tcPr>
          <w:p w14:paraId="54A94E07"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b8(</w:t>
            </w:r>
            <w:proofErr w:type="gramStart"/>
            <w:r w:rsidRPr="00FC7BB4">
              <w:rPr>
                <w:rFonts w:ascii="Times New Roman" w:hAnsi="Times New Roman" w:cs="Times New Roman"/>
                <w:sz w:val="14"/>
                <w:szCs w:val="14"/>
              </w:rPr>
              <w:t>π.</w:t>
            </w:r>
            <w:proofErr w:type="spellStart"/>
            <w:r w:rsidRPr="00FC7BB4">
              <w:rPr>
                <w:rFonts w:ascii="Times New Roman" w:hAnsi="Times New Roman" w:cs="Times New Roman"/>
                <w:sz w:val="14"/>
                <w:szCs w:val="14"/>
              </w:rPr>
              <w:t>Ddn</w:t>
            </w:r>
            <w:proofErr w:type="spellEnd"/>
            <w:proofErr w:type="gramEnd"/>
            <w:r w:rsidRPr="00FC7BB4">
              <w:rPr>
                <w:rFonts w:ascii="Times New Roman" w:hAnsi="Times New Roman" w:cs="Times New Roman"/>
                <w:sz w:val="14"/>
                <w:szCs w:val="14"/>
              </w:rPr>
              <w:t>)</w:t>
            </w:r>
          </w:p>
        </w:tc>
        <w:tc>
          <w:tcPr>
            <w:tcW w:w="550" w:type="pct"/>
            <w:tcBorders>
              <w:top w:val="nil"/>
              <w:left w:val="nil"/>
              <w:bottom w:val="nil"/>
              <w:right w:val="nil"/>
            </w:tcBorders>
          </w:tcPr>
          <w:p w14:paraId="7E23330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-2.529</w:t>
            </w:r>
          </w:p>
        </w:tc>
        <w:tc>
          <w:tcPr>
            <w:tcW w:w="515" w:type="pct"/>
            <w:tcBorders>
              <w:top w:val="nil"/>
              <w:left w:val="nil"/>
              <w:bottom w:val="nil"/>
              <w:right w:val="nil"/>
            </w:tcBorders>
          </w:tcPr>
          <w:p w14:paraId="2768FD7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-1.221</w:t>
            </w:r>
          </w:p>
        </w:tc>
        <w:tc>
          <w:tcPr>
            <w:tcW w:w="551" w:type="pct"/>
            <w:tcBorders>
              <w:top w:val="nil"/>
              <w:left w:val="nil"/>
              <w:bottom w:val="nil"/>
              <w:right w:val="nil"/>
            </w:tcBorders>
          </w:tcPr>
          <w:p w14:paraId="01CF9B9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-4.215***</w:t>
            </w:r>
          </w:p>
        </w:tc>
        <w:tc>
          <w:tcPr>
            <w:tcW w:w="561" w:type="pct"/>
            <w:tcBorders>
              <w:top w:val="nil"/>
              <w:left w:val="nil"/>
              <w:bottom w:val="nil"/>
              <w:right w:val="nil"/>
            </w:tcBorders>
          </w:tcPr>
          <w:p w14:paraId="148FB00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-5.528***</w:t>
            </w:r>
          </w:p>
        </w:tc>
        <w:tc>
          <w:tcPr>
            <w:tcW w:w="551" w:type="pct"/>
            <w:tcBorders>
              <w:top w:val="nil"/>
              <w:left w:val="nil"/>
              <w:bottom w:val="nil"/>
              <w:right w:val="nil"/>
            </w:tcBorders>
          </w:tcPr>
          <w:p w14:paraId="6761497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.441</w:t>
            </w:r>
          </w:p>
        </w:tc>
        <w:tc>
          <w:tcPr>
            <w:tcW w:w="590" w:type="pct"/>
            <w:tcBorders>
              <w:top w:val="nil"/>
              <w:left w:val="nil"/>
              <w:bottom w:val="nil"/>
              <w:right w:val="nil"/>
            </w:tcBorders>
          </w:tcPr>
          <w:p w14:paraId="1A4C8FA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5.451</w:t>
            </w:r>
          </w:p>
        </w:tc>
        <w:tc>
          <w:tcPr>
            <w:tcW w:w="525" w:type="pct"/>
            <w:tcBorders>
              <w:top w:val="nil"/>
              <w:left w:val="nil"/>
              <w:bottom w:val="nil"/>
              <w:right w:val="nil"/>
            </w:tcBorders>
          </w:tcPr>
          <w:p w14:paraId="062F0A2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-.993*</w:t>
            </w:r>
          </w:p>
        </w:tc>
        <w:tc>
          <w:tcPr>
            <w:tcW w:w="537" w:type="pct"/>
            <w:tcBorders>
              <w:top w:val="nil"/>
              <w:left w:val="nil"/>
              <w:bottom w:val="nil"/>
              <w:right w:val="nil"/>
            </w:tcBorders>
          </w:tcPr>
          <w:p w14:paraId="55A62F6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-2.393**</w:t>
            </w:r>
          </w:p>
        </w:tc>
      </w:tr>
      <w:tr w:rsidR="00307155" w:rsidRPr="00FC7BB4" w14:paraId="2BEE0E9A" w14:textId="77777777" w:rsidTr="00291B27">
        <w:trPr>
          <w:trHeight w:val="266"/>
        </w:trPr>
        <w:tc>
          <w:tcPr>
            <w:tcW w:w="620" w:type="pct"/>
            <w:tcBorders>
              <w:top w:val="nil"/>
              <w:left w:val="nil"/>
              <w:bottom w:val="nil"/>
              <w:right w:val="nil"/>
            </w:tcBorders>
            <w:vAlign w:val="bottom"/>
          </w:tcPr>
          <w:p w14:paraId="20821C4F"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3A84C15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(2.125)</w:t>
            </w:r>
          </w:p>
        </w:tc>
        <w:tc>
          <w:tcPr>
            <w:tcW w:w="515" w:type="pct"/>
            <w:tcBorders>
              <w:top w:val="nil"/>
              <w:left w:val="nil"/>
              <w:bottom w:val="nil"/>
              <w:right w:val="nil"/>
            </w:tcBorders>
          </w:tcPr>
          <w:p w14:paraId="11F9FAC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(1.175)</w:t>
            </w:r>
          </w:p>
        </w:tc>
        <w:tc>
          <w:tcPr>
            <w:tcW w:w="551" w:type="pct"/>
            <w:tcBorders>
              <w:top w:val="nil"/>
              <w:left w:val="nil"/>
              <w:bottom w:val="nil"/>
              <w:right w:val="nil"/>
            </w:tcBorders>
          </w:tcPr>
          <w:p w14:paraId="3E1570E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(.683)</w:t>
            </w:r>
          </w:p>
        </w:tc>
        <w:tc>
          <w:tcPr>
            <w:tcW w:w="561" w:type="pct"/>
            <w:tcBorders>
              <w:top w:val="nil"/>
              <w:left w:val="nil"/>
              <w:bottom w:val="nil"/>
              <w:right w:val="nil"/>
            </w:tcBorders>
          </w:tcPr>
          <w:p w14:paraId="5799A0B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(1.545)</w:t>
            </w:r>
          </w:p>
        </w:tc>
        <w:tc>
          <w:tcPr>
            <w:tcW w:w="551" w:type="pct"/>
            <w:tcBorders>
              <w:top w:val="nil"/>
              <w:left w:val="nil"/>
              <w:bottom w:val="nil"/>
              <w:right w:val="nil"/>
            </w:tcBorders>
          </w:tcPr>
          <w:p w14:paraId="3BB67E6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(.914)</w:t>
            </w:r>
          </w:p>
        </w:tc>
        <w:tc>
          <w:tcPr>
            <w:tcW w:w="590" w:type="pct"/>
            <w:tcBorders>
              <w:top w:val="nil"/>
              <w:left w:val="nil"/>
              <w:bottom w:val="nil"/>
              <w:right w:val="nil"/>
            </w:tcBorders>
          </w:tcPr>
          <w:p w14:paraId="631C99B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(3.615)</w:t>
            </w:r>
          </w:p>
        </w:tc>
        <w:tc>
          <w:tcPr>
            <w:tcW w:w="525" w:type="pct"/>
            <w:tcBorders>
              <w:top w:val="nil"/>
              <w:left w:val="nil"/>
              <w:bottom w:val="nil"/>
              <w:right w:val="nil"/>
            </w:tcBorders>
          </w:tcPr>
          <w:p w14:paraId="5B4239A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(.533)</w:t>
            </w:r>
          </w:p>
        </w:tc>
        <w:tc>
          <w:tcPr>
            <w:tcW w:w="537" w:type="pct"/>
            <w:tcBorders>
              <w:top w:val="nil"/>
              <w:left w:val="nil"/>
              <w:bottom w:val="nil"/>
              <w:right w:val="nil"/>
            </w:tcBorders>
          </w:tcPr>
          <w:p w14:paraId="16AAA7A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(.964)</w:t>
            </w:r>
          </w:p>
        </w:tc>
      </w:tr>
      <w:tr w:rsidR="00307155" w:rsidRPr="00FC7BB4" w14:paraId="4ACF1413" w14:textId="77777777" w:rsidTr="00291B27">
        <w:trPr>
          <w:trHeight w:val="161"/>
        </w:trPr>
        <w:tc>
          <w:tcPr>
            <w:tcW w:w="620" w:type="pct"/>
            <w:tcBorders>
              <w:top w:val="nil"/>
              <w:left w:val="nil"/>
              <w:bottom w:val="nil"/>
              <w:right w:val="nil"/>
            </w:tcBorders>
            <w:vAlign w:val="bottom"/>
          </w:tcPr>
          <w:p w14:paraId="66B3037C"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a1(</w:t>
            </w:r>
            <w:proofErr w:type="spellStart"/>
            <w:r w:rsidRPr="00FC7BB4">
              <w:rPr>
                <w:rFonts w:ascii="Times New Roman" w:hAnsi="Times New Roman" w:cs="Times New Roman"/>
                <w:sz w:val="14"/>
                <w:szCs w:val="14"/>
              </w:rPr>
              <w:t>Cup.Recent</w:t>
            </w:r>
            <w:proofErr w:type="spellEnd"/>
            <w:r w:rsidRPr="00FC7BB4">
              <w:rPr>
                <w:rFonts w:ascii="Times New Roman" w:hAnsi="Times New Roman" w:cs="Times New Roman"/>
                <w:sz w:val="14"/>
                <w:szCs w:val="14"/>
              </w:rPr>
              <w:t>)</w:t>
            </w:r>
          </w:p>
        </w:tc>
        <w:tc>
          <w:tcPr>
            <w:tcW w:w="550" w:type="pct"/>
            <w:tcBorders>
              <w:top w:val="nil"/>
              <w:left w:val="nil"/>
              <w:bottom w:val="nil"/>
              <w:right w:val="nil"/>
            </w:tcBorders>
          </w:tcPr>
          <w:p w14:paraId="7C99883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-.263**</w:t>
            </w:r>
          </w:p>
        </w:tc>
        <w:tc>
          <w:tcPr>
            <w:tcW w:w="515" w:type="pct"/>
            <w:tcBorders>
              <w:top w:val="nil"/>
              <w:left w:val="nil"/>
              <w:bottom w:val="nil"/>
              <w:right w:val="nil"/>
            </w:tcBorders>
          </w:tcPr>
          <w:p w14:paraId="290B432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-.431*</w:t>
            </w:r>
          </w:p>
        </w:tc>
        <w:tc>
          <w:tcPr>
            <w:tcW w:w="551" w:type="pct"/>
            <w:tcBorders>
              <w:top w:val="nil"/>
              <w:left w:val="nil"/>
              <w:bottom w:val="nil"/>
              <w:right w:val="nil"/>
            </w:tcBorders>
          </w:tcPr>
          <w:p w14:paraId="301B15C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-.445***</w:t>
            </w:r>
          </w:p>
        </w:tc>
        <w:tc>
          <w:tcPr>
            <w:tcW w:w="561" w:type="pct"/>
            <w:tcBorders>
              <w:top w:val="nil"/>
              <w:left w:val="nil"/>
              <w:bottom w:val="nil"/>
              <w:right w:val="nil"/>
            </w:tcBorders>
          </w:tcPr>
          <w:p w14:paraId="1A1FC73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-2.841***</w:t>
            </w:r>
          </w:p>
        </w:tc>
        <w:tc>
          <w:tcPr>
            <w:tcW w:w="551" w:type="pct"/>
            <w:tcBorders>
              <w:top w:val="nil"/>
              <w:left w:val="nil"/>
              <w:bottom w:val="nil"/>
              <w:right w:val="nil"/>
            </w:tcBorders>
          </w:tcPr>
          <w:p w14:paraId="5029705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-.071</w:t>
            </w:r>
          </w:p>
        </w:tc>
        <w:tc>
          <w:tcPr>
            <w:tcW w:w="590" w:type="pct"/>
            <w:tcBorders>
              <w:top w:val="nil"/>
              <w:left w:val="nil"/>
              <w:bottom w:val="nil"/>
              <w:right w:val="nil"/>
            </w:tcBorders>
          </w:tcPr>
          <w:p w14:paraId="60C8067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-1.562***</w:t>
            </w:r>
          </w:p>
        </w:tc>
        <w:tc>
          <w:tcPr>
            <w:tcW w:w="525" w:type="pct"/>
            <w:tcBorders>
              <w:top w:val="nil"/>
              <w:left w:val="nil"/>
              <w:bottom w:val="nil"/>
              <w:right w:val="nil"/>
            </w:tcBorders>
          </w:tcPr>
          <w:p w14:paraId="74ACA79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-.447***</w:t>
            </w:r>
          </w:p>
        </w:tc>
        <w:tc>
          <w:tcPr>
            <w:tcW w:w="537" w:type="pct"/>
            <w:tcBorders>
              <w:top w:val="nil"/>
              <w:left w:val="nil"/>
              <w:bottom w:val="nil"/>
              <w:right w:val="nil"/>
            </w:tcBorders>
          </w:tcPr>
          <w:p w14:paraId="1EA5698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-.343***</w:t>
            </w:r>
          </w:p>
        </w:tc>
      </w:tr>
      <w:tr w:rsidR="00307155" w:rsidRPr="00FC7BB4" w14:paraId="2DB0AF28" w14:textId="77777777" w:rsidTr="00291B27">
        <w:trPr>
          <w:trHeight w:val="266"/>
        </w:trPr>
        <w:tc>
          <w:tcPr>
            <w:tcW w:w="620" w:type="pct"/>
            <w:tcBorders>
              <w:top w:val="nil"/>
              <w:left w:val="nil"/>
              <w:bottom w:val="nil"/>
              <w:right w:val="nil"/>
            </w:tcBorders>
            <w:vAlign w:val="bottom"/>
          </w:tcPr>
          <w:p w14:paraId="0541EC2E"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4D0E5AE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(.122)</w:t>
            </w:r>
          </w:p>
        </w:tc>
        <w:tc>
          <w:tcPr>
            <w:tcW w:w="515" w:type="pct"/>
            <w:tcBorders>
              <w:top w:val="nil"/>
              <w:left w:val="nil"/>
              <w:bottom w:val="nil"/>
              <w:right w:val="nil"/>
            </w:tcBorders>
          </w:tcPr>
          <w:p w14:paraId="3AC33B7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(.222)</w:t>
            </w:r>
          </w:p>
        </w:tc>
        <w:tc>
          <w:tcPr>
            <w:tcW w:w="551" w:type="pct"/>
            <w:tcBorders>
              <w:top w:val="nil"/>
              <w:left w:val="nil"/>
              <w:bottom w:val="nil"/>
              <w:right w:val="nil"/>
            </w:tcBorders>
          </w:tcPr>
          <w:p w14:paraId="6ECD50B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(.081)</w:t>
            </w:r>
          </w:p>
        </w:tc>
        <w:tc>
          <w:tcPr>
            <w:tcW w:w="561" w:type="pct"/>
            <w:tcBorders>
              <w:top w:val="nil"/>
              <w:left w:val="nil"/>
              <w:bottom w:val="nil"/>
              <w:right w:val="nil"/>
            </w:tcBorders>
          </w:tcPr>
          <w:p w14:paraId="559E92C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(.571)</w:t>
            </w:r>
          </w:p>
        </w:tc>
        <w:tc>
          <w:tcPr>
            <w:tcW w:w="551" w:type="pct"/>
            <w:tcBorders>
              <w:top w:val="nil"/>
              <w:left w:val="nil"/>
              <w:bottom w:val="nil"/>
              <w:right w:val="nil"/>
            </w:tcBorders>
          </w:tcPr>
          <w:p w14:paraId="3F72113F"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(.061)</w:t>
            </w:r>
          </w:p>
        </w:tc>
        <w:tc>
          <w:tcPr>
            <w:tcW w:w="590" w:type="pct"/>
            <w:tcBorders>
              <w:top w:val="nil"/>
              <w:left w:val="nil"/>
              <w:bottom w:val="nil"/>
              <w:right w:val="nil"/>
            </w:tcBorders>
          </w:tcPr>
          <w:p w14:paraId="160C6AC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(.468)</w:t>
            </w:r>
          </w:p>
        </w:tc>
        <w:tc>
          <w:tcPr>
            <w:tcW w:w="525" w:type="pct"/>
            <w:tcBorders>
              <w:top w:val="nil"/>
              <w:left w:val="nil"/>
              <w:bottom w:val="nil"/>
              <w:right w:val="nil"/>
            </w:tcBorders>
          </w:tcPr>
          <w:p w14:paraId="7568A29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(.04)</w:t>
            </w:r>
          </w:p>
        </w:tc>
        <w:tc>
          <w:tcPr>
            <w:tcW w:w="537" w:type="pct"/>
            <w:tcBorders>
              <w:top w:val="nil"/>
              <w:left w:val="nil"/>
              <w:bottom w:val="nil"/>
              <w:right w:val="nil"/>
            </w:tcBorders>
          </w:tcPr>
          <w:p w14:paraId="4A3350D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(.12)</w:t>
            </w:r>
          </w:p>
        </w:tc>
      </w:tr>
      <w:tr w:rsidR="00307155" w:rsidRPr="00FC7BB4" w14:paraId="0F2D8613" w14:textId="77777777" w:rsidTr="00291B27">
        <w:trPr>
          <w:trHeight w:val="152"/>
        </w:trPr>
        <w:tc>
          <w:tcPr>
            <w:tcW w:w="620" w:type="pct"/>
            <w:tcBorders>
              <w:top w:val="nil"/>
              <w:left w:val="nil"/>
              <w:bottom w:val="nil"/>
              <w:right w:val="nil"/>
            </w:tcBorders>
            <w:vAlign w:val="bottom"/>
          </w:tcPr>
          <w:p w14:paraId="6E3C58B6"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a2(</w:t>
            </w:r>
            <w:proofErr w:type="gramStart"/>
            <w:r w:rsidRPr="00FC7BB4">
              <w:rPr>
                <w:rFonts w:ascii="Times New Roman" w:hAnsi="Times New Roman" w:cs="Times New Roman"/>
                <w:sz w:val="14"/>
                <w:szCs w:val="14"/>
              </w:rPr>
              <w:t>π.</w:t>
            </w:r>
            <w:proofErr w:type="spellStart"/>
            <w:r w:rsidRPr="00FC7BB4">
              <w:rPr>
                <w:rFonts w:ascii="Times New Roman" w:hAnsi="Times New Roman" w:cs="Times New Roman"/>
                <w:sz w:val="14"/>
                <w:szCs w:val="14"/>
              </w:rPr>
              <w:t>Cup.Recent</w:t>
            </w:r>
            <w:proofErr w:type="spellEnd"/>
            <w:proofErr w:type="gramEnd"/>
            <w:r w:rsidRPr="00FC7BB4">
              <w:rPr>
                <w:rFonts w:ascii="Times New Roman" w:hAnsi="Times New Roman" w:cs="Times New Roman"/>
                <w:sz w:val="14"/>
                <w:szCs w:val="14"/>
              </w:rPr>
              <w:t>)</w:t>
            </w:r>
          </w:p>
        </w:tc>
        <w:tc>
          <w:tcPr>
            <w:tcW w:w="550" w:type="pct"/>
            <w:tcBorders>
              <w:top w:val="nil"/>
              <w:left w:val="nil"/>
              <w:bottom w:val="nil"/>
              <w:right w:val="nil"/>
            </w:tcBorders>
          </w:tcPr>
          <w:p w14:paraId="1C242D6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3.16</w:t>
            </w:r>
          </w:p>
        </w:tc>
        <w:tc>
          <w:tcPr>
            <w:tcW w:w="515" w:type="pct"/>
            <w:tcBorders>
              <w:top w:val="nil"/>
              <w:left w:val="nil"/>
              <w:bottom w:val="nil"/>
              <w:right w:val="nil"/>
            </w:tcBorders>
          </w:tcPr>
          <w:p w14:paraId="32EDFEC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5.594</w:t>
            </w:r>
          </w:p>
        </w:tc>
        <w:tc>
          <w:tcPr>
            <w:tcW w:w="551" w:type="pct"/>
            <w:tcBorders>
              <w:top w:val="nil"/>
              <w:left w:val="nil"/>
              <w:bottom w:val="nil"/>
              <w:right w:val="nil"/>
            </w:tcBorders>
          </w:tcPr>
          <w:p w14:paraId="6F5369D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10.888***</w:t>
            </w:r>
          </w:p>
        </w:tc>
        <w:tc>
          <w:tcPr>
            <w:tcW w:w="561" w:type="pct"/>
            <w:tcBorders>
              <w:top w:val="nil"/>
              <w:left w:val="nil"/>
              <w:bottom w:val="nil"/>
              <w:right w:val="nil"/>
            </w:tcBorders>
          </w:tcPr>
          <w:p w14:paraId="6E101F4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58.781***</w:t>
            </w:r>
          </w:p>
        </w:tc>
        <w:tc>
          <w:tcPr>
            <w:tcW w:w="551" w:type="pct"/>
            <w:tcBorders>
              <w:top w:val="nil"/>
              <w:left w:val="nil"/>
              <w:bottom w:val="nil"/>
              <w:right w:val="nil"/>
            </w:tcBorders>
          </w:tcPr>
          <w:p w14:paraId="7B8C5C8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-7.078***</w:t>
            </w:r>
          </w:p>
        </w:tc>
        <w:tc>
          <w:tcPr>
            <w:tcW w:w="590" w:type="pct"/>
            <w:tcBorders>
              <w:top w:val="nil"/>
              <w:left w:val="nil"/>
              <w:bottom w:val="nil"/>
              <w:right w:val="nil"/>
            </w:tcBorders>
          </w:tcPr>
          <w:p w14:paraId="52C68560"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38.314**</w:t>
            </w:r>
          </w:p>
        </w:tc>
        <w:tc>
          <w:tcPr>
            <w:tcW w:w="525" w:type="pct"/>
            <w:tcBorders>
              <w:top w:val="nil"/>
              <w:left w:val="nil"/>
              <w:bottom w:val="nil"/>
              <w:right w:val="nil"/>
            </w:tcBorders>
          </w:tcPr>
          <w:p w14:paraId="24F7A81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17.605***</w:t>
            </w:r>
          </w:p>
        </w:tc>
        <w:tc>
          <w:tcPr>
            <w:tcW w:w="537" w:type="pct"/>
            <w:tcBorders>
              <w:top w:val="nil"/>
              <w:left w:val="nil"/>
              <w:bottom w:val="nil"/>
              <w:right w:val="nil"/>
            </w:tcBorders>
          </w:tcPr>
          <w:p w14:paraId="4BF849A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11.626***</w:t>
            </w:r>
          </w:p>
        </w:tc>
      </w:tr>
      <w:tr w:rsidR="00307155" w:rsidRPr="00FC7BB4" w14:paraId="10A35EA0" w14:textId="77777777" w:rsidTr="00291B27">
        <w:trPr>
          <w:trHeight w:val="266"/>
        </w:trPr>
        <w:tc>
          <w:tcPr>
            <w:tcW w:w="620" w:type="pct"/>
            <w:tcBorders>
              <w:top w:val="nil"/>
              <w:left w:val="nil"/>
              <w:bottom w:val="nil"/>
              <w:right w:val="nil"/>
            </w:tcBorders>
            <w:vAlign w:val="bottom"/>
          </w:tcPr>
          <w:p w14:paraId="607D3F8C"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3FFBC3F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(3.191)</w:t>
            </w:r>
          </w:p>
        </w:tc>
        <w:tc>
          <w:tcPr>
            <w:tcW w:w="515" w:type="pct"/>
            <w:tcBorders>
              <w:top w:val="nil"/>
              <w:left w:val="nil"/>
              <w:bottom w:val="nil"/>
              <w:right w:val="nil"/>
            </w:tcBorders>
          </w:tcPr>
          <w:p w14:paraId="389A8A7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(4.836)</w:t>
            </w:r>
          </w:p>
        </w:tc>
        <w:tc>
          <w:tcPr>
            <w:tcW w:w="551" w:type="pct"/>
            <w:tcBorders>
              <w:top w:val="nil"/>
              <w:left w:val="nil"/>
              <w:bottom w:val="nil"/>
              <w:right w:val="nil"/>
            </w:tcBorders>
          </w:tcPr>
          <w:p w14:paraId="1BBFC57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(2.025)</w:t>
            </w:r>
          </w:p>
        </w:tc>
        <w:tc>
          <w:tcPr>
            <w:tcW w:w="561" w:type="pct"/>
            <w:tcBorders>
              <w:top w:val="nil"/>
              <w:left w:val="nil"/>
              <w:bottom w:val="nil"/>
              <w:right w:val="nil"/>
            </w:tcBorders>
          </w:tcPr>
          <w:p w14:paraId="27080B5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(18.198)</w:t>
            </w:r>
          </w:p>
        </w:tc>
        <w:tc>
          <w:tcPr>
            <w:tcW w:w="551" w:type="pct"/>
            <w:tcBorders>
              <w:top w:val="nil"/>
              <w:left w:val="nil"/>
              <w:bottom w:val="nil"/>
              <w:right w:val="nil"/>
            </w:tcBorders>
          </w:tcPr>
          <w:p w14:paraId="7AA8455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(1.801)</w:t>
            </w:r>
          </w:p>
        </w:tc>
        <w:tc>
          <w:tcPr>
            <w:tcW w:w="590" w:type="pct"/>
            <w:tcBorders>
              <w:top w:val="nil"/>
              <w:left w:val="nil"/>
              <w:bottom w:val="nil"/>
              <w:right w:val="nil"/>
            </w:tcBorders>
          </w:tcPr>
          <w:p w14:paraId="2479566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(17.223)</w:t>
            </w:r>
          </w:p>
        </w:tc>
        <w:tc>
          <w:tcPr>
            <w:tcW w:w="525" w:type="pct"/>
            <w:tcBorders>
              <w:top w:val="nil"/>
              <w:left w:val="nil"/>
              <w:bottom w:val="nil"/>
              <w:right w:val="nil"/>
            </w:tcBorders>
          </w:tcPr>
          <w:p w14:paraId="5DF3823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(.937)</w:t>
            </w:r>
          </w:p>
        </w:tc>
        <w:tc>
          <w:tcPr>
            <w:tcW w:w="537" w:type="pct"/>
            <w:tcBorders>
              <w:top w:val="nil"/>
              <w:left w:val="nil"/>
              <w:bottom w:val="nil"/>
              <w:right w:val="nil"/>
            </w:tcBorders>
          </w:tcPr>
          <w:p w14:paraId="61D7033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(4.081)</w:t>
            </w:r>
          </w:p>
        </w:tc>
      </w:tr>
      <w:tr w:rsidR="00307155" w:rsidRPr="00FC7BB4" w14:paraId="31AAA6E4" w14:textId="77777777" w:rsidTr="00291B27">
        <w:trPr>
          <w:trHeight w:val="158"/>
        </w:trPr>
        <w:tc>
          <w:tcPr>
            <w:tcW w:w="620" w:type="pct"/>
            <w:tcBorders>
              <w:top w:val="nil"/>
              <w:left w:val="nil"/>
              <w:bottom w:val="nil"/>
              <w:right w:val="nil"/>
            </w:tcBorders>
            <w:vAlign w:val="bottom"/>
          </w:tcPr>
          <w:p w14:paraId="6671ED73"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a3(</w:t>
            </w:r>
            <w:proofErr w:type="spellStart"/>
            <w:r w:rsidRPr="00FC7BB4">
              <w:rPr>
                <w:rFonts w:ascii="Times New Roman" w:hAnsi="Times New Roman" w:cs="Times New Roman"/>
                <w:sz w:val="14"/>
                <w:szCs w:val="14"/>
              </w:rPr>
              <w:t>Dup.Recent</w:t>
            </w:r>
            <w:proofErr w:type="spellEnd"/>
            <w:r w:rsidRPr="00FC7BB4">
              <w:rPr>
                <w:rFonts w:ascii="Times New Roman" w:hAnsi="Times New Roman" w:cs="Times New Roman"/>
                <w:sz w:val="14"/>
                <w:szCs w:val="14"/>
              </w:rPr>
              <w:t>)</w:t>
            </w:r>
          </w:p>
        </w:tc>
        <w:tc>
          <w:tcPr>
            <w:tcW w:w="550" w:type="pct"/>
            <w:tcBorders>
              <w:top w:val="nil"/>
              <w:left w:val="nil"/>
              <w:bottom w:val="nil"/>
              <w:right w:val="nil"/>
            </w:tcBorders>
          </w:tcPr>
          <w:p w14:paraId="3BAF4000"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.131</w:t>
            </w:r>
          </w:p>
        </w:tc>
        <w:tc>
          <w:tcPr>
            <w:tcW w:w="515" w:type="pct"/>
            <w:tcBorders>
              <w:top w:val="nil"/>
              <w:left w:val="nil"/>
              <w:bottom w:val="nil"/>
              <w:right w:val="nil"/>
            </w:tcBorders>
          </w:tcPr>
          <w:p w14:paraId="4D37171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.272</w:t>
            </w:r>
          </w:p>
        </w:tc>
        <w:tc>
          <w:tcPr>
            <w:tcW w:w="551" w:type="pct"/>
            <w:tcBorders>
              <w:top w:val="nil"/>
              <w:left w:val="nil"/>
              <w:bottom w:val="nil"/>
              <w:right w:val="nil"/>
            </w:tcBorders>
          </w:tcPr>
          <w:p w14:paraId="557CC390"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.174*</w:t>
            </w:r>
          </w:p>
        </w:tc>
        <w:tc>
          <w:tcPr>
            <w:tcW w:w="561" w:type="pct"/>
            <w:tcBorders>
              <w:top w:val="nil"/>
              <w:left w:val="nil"/>
              <w:bottom w:val="nil"/>
              <w:right w:val="nil"/>
            </w:tcBorders>
          </w:tcPr>
          <w:p w14:paraId="2E6743B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.114</w:t>
            </w:r>
          </w:p>
        </w:tc>
        <w:tc>
          <w:tcPr>
            <w:tcW w:w="551" w:type="pct"/>
            <w:tcBorders>
              <w:top w:val="nil"/>
              <w:left w:val="nil"/>
              <w:bottom w:val="nil"/>
              <w:right w:val="nil"/>
            </w:tcBorders>
          </w:tcPr>
          <w:p w14:paraId="4A9E1D4C"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.018</w:t>
            </w:r>
          </w:p>
        </w:tc>
        <w:tc>
          <w:tcPr>
            <w:tcW w:w="590" w:type="pct"/>
            <w:tcBorders>
              <w:top w:val="nil"/>
              <w:left w:val="nil"/>
              <w:bottom w:val="nil"/>
              <w:right w:val="nil"/>
            </w:tcBorders>
          </w:tcPr>
          <w:p w14:paraId="2ED6C79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.098</w:t>
            </w:r>
          </w:p>
        </w:tc>
        <w:tc>
          <w:tcPr>
            <w:tcW w:w="525" w:type="pct"/>
            <w:tcBorders>
              <w:top w:val="nil"/>
              <w:left w:val="nil"/>
              <w:bottom w:val="nil"/>
              <w:right w:val="nil"/>
            </w:tcBorders>
          </w:tcPr>
          <w:p w14:paraId="00B3198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-.041</w:t>
            </w:r>
          </w:p>
        </w:tc>
        <w:tc>
          <w:tcPr>
            <w:tcW w:w="537" w:type="pct"/>
            <w:tcBorders>
              <w:top w:val="nil"/>
              <w:left w:val="nil"/>
              <w:bottom w:val="nil"/>
              <w:right w:val="nil"/>
            </w:tcBorders>
          </w:tcPr>
          <w:p w14:paraId="71E6788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-.151</w:t>
            </w:r>
          </w:p>
        </w:tc>
      </w:tr>
      <w:tr w:rsidR="00307155" w:rsidRPr="00FC7BB4" w14:paraId="5EDB24E2" w14:textId="77777777" w:rsidTr="00291B27">
        <w:trPr>
          <w:trHeight w:val="266"/>
        </w:trPr>
        <w:tc>
          <w:tcPr>
            <w:tcW w:w="620" w:type="pct"/>
            <w:tcBorders>
              <w:top w:val="nil"/>
              <w:left w:val="nil"/>
              <w:bottom w:val="nil"/>
              <w:right w:val="nil"/>
            </w:tcBorders>
            <w:vAlign w:val="bottom"/>
          </w:tcPr>
          <w:p w14:paraId="7AD141BB"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48D3990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(.149)</w:t>
            </w:r>
          </w:p>
        </w:tc>
        <w:tc>
          <w:tcPr>
            <w:tcW w:w="515" w:type="pct"/>
            <w:tcBorders>
              <w:top w:val="nil"/>
              <w:left w:val="nil"/>
              <w:bottom w:val="nil"/>
              <w:right w:val="nil"/>
            </w:tcBorders>
          </w:tcPr>
          <w:p w14:paraId="78A238D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(.184)</w:t>
            </w:r>
          </w:p>
        </w:tc>
        <w:tc>
          <w:tcPr>
            <w:tcW w:w="551" w:type="pct"/>
            <w:tcBorders>
              <w:top w:val="nil"/>
              <w:left w:val="nil"/>
              <w:bottom w:val="nil"/>
              <w:right w:val="nil"/>
            </w:tcBorders>
          </w:tcPr>
          <w:p w14:paraId="026BA31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(.097)</w:t>
            </w:r>
          </w:p>
        </w:tc>
        <w:tc>
          <w:tcPr>
            <w:tcW w:w="561" w:type="pct"/>
            <w:tcBorders>
              <w:top w:val="nil"/>
              <w:left w:val="nil"/>
              <w:bottom w:val="nil"/>
              <w:right w:val="nil"/>
            </w:tcBorders>
          </w:tcPr>
          <w:p w14:paraId="765D780F"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(.467)</w:t>
            </w:r>
          </w:p>
        </w:tc>
        <w:tc>
          <w:tcPr>
            <w:tcW w:w="551" w:type="pct"/>
            <w:tcBorders>
              <w:top w:val="nil"/>
              <w:left w:val="nil"/>
              <w:bottom w:val="nil"/>
              <w:right w:val="nil"/>
            </w:tcBorders>
          </w:tcPr>
          <w:p w14:paraId="7AD3C03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(.098)</w:t>
            </w:r>
          </w:p>
        </w:tc>
        <w:tc>
          <w:tcPr>
            <w:tcW w:w="590" w:type="pct"/>
            <w:tcBorders>
              <w:top w:val="nil"/>
              <w:left w:val="nil"/>
              <w:bottom w:val="nil"/>
              <w:right w:val="nil"/>
            </w:tcBorders>
          </w:tcPr>
          <w:p w14:paraId="288152E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(.563)</w:t>
            </w:r>
          </w:p>
        </w:tc>
        <w:tc>
          <w:tcPr>
            <w:tcW w:w="525" w:type="pct"/>
            <w:tcBorders>
              <w:top w:val="nil"/>
              <w:left w:val="nil"/>
              <w:bottom w:val="nil"/>
              <w:right w:val="nil"/>
            </w:tcBorders>
          </w:tcPr>
          <w:p w14:paraId="04560A7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(.044)</w:t>
            </w:r>
          </w:p>
        </w:tc>
        <w:tc>
          <w:tcPr>
            <w:tcW w:w="537" w:type="pct"/>
            <w:tcBorders>
              <w:top w:val="nil"/>
              <w:left w:val="nil"/>
              <w:bottom w:val="nil"/>
              <w:right w:val="nil"/>
            </w:tcBorders>
          </w:tcPr>
          <w:p w14:paraId="73DC209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(.097)</w:t>
            </w:r>
          </w:p>
        </w:tc>
      </w:tr>
      <w:tr w:rsidR="00307155" w:rsidRPr="00FC7BB4" w14:paraId="4DAB4928" w14:textId="77777777" w:rsidTr="00291B27">
        <w:trPr>
          <w:trHeight w:val="165"/>
        </w:trPr>
        <w:tc>
          <w:tcPr>
            <w:tcW w:w="620" w:type="pct"/>
            <w:tcBorders>
              <w:top w:val="nil"/>
              <w:left w:val="nil"/>
              <w:bottom w:val="nil"/>
              <w:right w:val="nil"/>
            </w:tcBorders>
            <w:vAlign w:val="bottom"/>
          </w:tcPr>
          <w:p w14:paraId="1822DED3"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a4(</w:t>
            </w:r>
            <w:proofErr w:type="gramStart"/>
            <w:r w:rsidRPr="00FC7BB4">
              <w:rPr>
                <w:rFonts w:ascii="Times New Roman" w:hAnsi="Times New Roman" w:cs="Times New Roman"/>
                <w:sz w:val="14"/>
                <w:szCs w:val="14"/>
              </w:rPr>
              <w:t>π.</w:t>
            </w:r>
            <w:proofErr w:type="spellStart"/>
            <w:r w:rsidRPr="00FC7BB4">
              <w:rPr>
                <w:rFonts w:ascii="Times New Roman" w:hAnsi="Times New Roman" w:cs="Times New Roman"/>
                <w:sz w:val="14"/>
                <w:szCs w:val="14"/>
              </w:rPr>
              <w:t>Dup.Recent</w:t>
            </w:r>
            <w:proofErr w:type="spellEnd"/>
            <w:proofErr w:type="gramEnd"/>
            <w:r w:rsidRPr="00FC7BB4">
              <w:rPr>
                <w:rFonts w:ascii="Times New Roman" w:hAnsi="Times New Roman" w:cs="Times New Roman"/>
                <w:sz w:val="14"/>
                <w:szCs w:val="14"/>
              </w:rPr>
              <w:t>)</w:t>
            </w:r>
          </w:p>
        </w:tc>
        <w:tc>
          <w:tcPr>
            <w:tcW w:w="550" w:type="pct"/>
            <w:tcBorders>
              <w:top w:val="nil"/>
              <w:left w:val="nil"/>
              <w:bottom w:val="nil"/>
              <w:right w:val="nil"/>
            </w:tcBorders>
          </w:tcPr>
          <w:p w14:paraId="0CCB0DA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-5.316</w:t>
            </w:r>
          </w:p>
        </w:tc>
        <w:tc>
          <w:tcPr>
            <w:tcW w:w="515" w:type="pct"/>
            <w:tcBorders>
              <w:top w:val="nil"/>
              <w:left w:val="nil"/>
              <w:bottom w:val="nil"/>
              <w:right w:val="nil"/>
            </w:tcBorders>
          </w:tcPr>
          <w:p w14:paraId="64D6D68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-3.624</w:t>
            </w:r>
          </w:p>
        </w:tc>
        <w:tc>
          <w:tcPr>
            <w:tcW w:w="551" w:type="pct"/>
            <w:tcBorders>
              <w:top w:val="nil"/>
              <w:left w:val="nil"/>
              <w:bottom w:val="nil"/>
              <w:right w:val="nil"/>
            </w:tcBorders>
          </w:tcPr>
          <w:p w14:paraId="20F1726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-1.519</w:t>
            </w:r>
          </w:p>
        </w:tc>
        <w:tc>
          <w:tcPr>
            <w:tcW w:w="561" w:type="pct"/>
            <w:tcBorders>
              <w:top w:val="nil"/>
              <w:left w:val="nil"/>
              <w:bottom w:val="nil"/>
              <w:right w:val="nil"/>
            </w:tcBorders>
          </w:tcPr>
          <w:p w14:paraId="69BEC670"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6.021</w:t>
            </w:r>
          </w:p>
        </w:tc>
        <w:tc>
          <w:tcPr>
            <w:tcW w:w="551" w:type="pct"/>
            <w:tcBorders>
              <w:top w:val="nil"/>
              <w:left w:val="nil"/>
              <w:bottom w:val="nil"/>
              <w:right w:val="nil"/>
            </w:tcBorders>
          </w:tcPr>
          <w:p w14:paraId="56CF9B8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5.917*</w:t>
            </w:r>
          </w:p>
        </w:tc>
        <w:tc>
          <w:tcPr>
            <w:tcW w:w="590" w:type="pct"/>
            <w:tcBorders>
              <w:top w:val="nil"/>
              <w:left w:val="nil"/>
              <w:bottom w:val="nil"/>
              <w:right w:val="nil"/>
            </w:tcBorders>
          </w:tcPr>
          <w:p w14:paraId="758EE9B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9.73</w:t>
            </w:r>
          </w:p>
        </w:tc>
        <w:tc>
          <w:tcPr>
            <w:tcW w:w="525" w:type="pct"/>
            <w:tcBorders>
              <w:top w:val="nil"/>
              <w:left w:val="nil"/>
              <w:bottom w:val="nil"/>
              <w:right w:val="nil"/>
            </w:tcBorders>
          </w:tcPr>
          <w:p w14:paraId="06A87FC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7.876***</w:t>
            </w:r>
          </w:p>
        </w:tc>
        <w:tc>
          <w:tcPr>
            <w:tcW w:w="537" w:type="pct"/>
            <w:tcBorders>
              <w:top w:val="nil"/>
              <w:left w:val="nil"/>
              <w:bottom w:val="nil"/>
              <w:right w:val="nil"/>
            </w:tcBorders>
          </w:tcPr>
          <w:p w14:paraId="093B940C"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11.613***</w:t>
            </w:r>
          </w:p>
        </w:tc>
      </w:tr>
      <w:tr w:rsidR="00307155" w:rsidRPr="00FC7BB4" w14:paraId="5C763554" w14:textId="77777777" w:rsidTr="00291B27">
        <w:trPr>
          <w:trHeight w:val="266"/>
        </w:trPr>
        <w:tc>
          <w:tcPr>
            <w:tcW w:w="620" w:type="pct"/>
            <w:tcBorders>
              <w:top w:val="nil"/>
              <w:left w:val="nil"/>
              <w:bottom w:val="nil"/>
              <w:right w:val="nil"/>
            </w:tcBorders>
            <w:vAlign w:val="bottom"/>
          </w:tcPr>
          <w:p w14:paraId="3F22513B"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22932C2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(4.995)</w:t>
            </w:r>
          </w:p>
        </w:tc>
        <w:tc>
          <w:tcPr>
            <w:tcW w:w="515" w:type="pct"/>
            <w:tcBorders>
              <w:top w:val="nil"/>
              <w:left w:val="nil"/>
              <w:bottom w:val="nil"/>
              <w:right w:val="nil"/>
            </w:tcBorders>
          </w:tcPr>
          <w:p w14:paraId="0310FD2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(6.418)</w:t>
            </w:r>
          </w:p>
        </w:tc>
        <w:tc>
          <w:tcPr>
            <w:tcW w:w="551" w:type="pct"/>
            <w:tcBorders>
              <w:top w:val="nil"/>
              <w:left w:val="nil"/>
              <w:bottom w:val="nil"/>
              <w:right w:val="nil"/>
            </w:tcBorders>
          </w:tcPr>
          <w:p w14:paraId="3DCD859C"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(3.042)</w:t>
            </w:r>
          </w:p>
        </w:tc>
        <w:tc>
          <w:tcPr>
            <w:tcW w:w="561" w:type="pct"/>
            <w:tcBorders>
              <w:top w:val="nil"/>
              <w:left w:val="nil"/>
              <w:bottom w:val="nil"/>
              <w:right w:val="nil"/>
            </w:tcBorders>
          </w:tcPr>
          <w:p w14:paraId="108B787C"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(20.804)</w:t>
            </w:r>
          </w:p>
        </w:tc>
        <w:tc>
          <w:tcPr>
            <w:tcW w:w="551" w:type="pct"/>
            <w:tcBorders>
              <w:top w:val="nil"/>
              <w:left w:val="nil"/>
              <w:bottom w:val="nil"/>
              <w:right w:val="nil"/>
            </w:tcBorders>
          </w:tcPr>
          <w:p w14:paraId="5199EA1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(3.455)</w:t>
            </w:r>
          </w:p>
        </w:tc>
        <w:tc>
          <w:tcPr>
            <w:tcW w:w="590" w:type="pct"/>
            <w:tcBorders>
              <w:top w:val="nil"/>
              <w:left w:val="nil"/>
              <w:bottom w:val="nil"/>
              <w:right w:val="nil"/>
            </w:tcBorders>
          </w:tcPr>
          <w:p w14:paraId="18B735C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(25.922)</w:t>
            </w:r>
          </w:p>
        </w:tc>
        <w:tc>
          <w:tcPr>
            <w:tcW w:w="525" w:type="pct"/>
            <w:tcBorders>
              <w:top w:val="nil"/>
              <w:left w:val="nil"/>
              <w:bottom w:val="nil"/>
              <w:right w:val="nil"/>
            </w:tcBorders>
          </w:tcPr>
          <w:p w14:paraId="4797B61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(1.219)</w:t>
            </w:r>
          </w:p>
        </w:tc>
        <w:tc>
          <w:tcPr>
            <w:tcW w:w="537" w:type="pct"/>
            <w:tcBorders>
              <w:top w:val="nil"/>
              <w:left w:val="nil"/>
              <w:bottom w:val="nil"/>
              <w:right w:val="nil"/>
            </w:tcBorders>
          </w:tcPr>
          <w:p w14:paraId="2231682C"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(4.483)</w:t>
            </w:r>
          </w:p>
        </w:tc>
      </w:tr>
      <w:tr w:rsidR="00307155" w:rsidRPr="00FC7BB4" w14:paraId="7C436F02" w14:textId="77777777" w:rsidTr="00291B27">
        <w:trPr>
          <w:trHeight w:val="157"/>
        </w:trPr>
        <w:tc>
          <w:tcPr>
            <w:tcW w:w="620" w:type="pct"/>
            <w:tcBorders>
              <w:top w:val="nil"/>
              <w:left w:val="nil"/>
              <w:bottom w:val="nil"/>
              <w:right w:val="nil"/>
            </w:tcBorders>
            <w:vAlign w:val="bottom"/>
          </w:tcPr>
          <w:p w14:paraId="3DE8AD16"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a5(</w:t>
            </w:r>
            <w:proofErr w:type="spellStart"/>
            <w:r w:rsidRPr="00FC7BB4">
              <w:rPr>
                <w:rFonts w:ascii="Times New Roman" w:hAnsi="Times New Roman" w:cs="Times New Roman"/>
                <w:sz w:val="14"/>
                <w:szCs w:val="14"/>
              </w:rPr>
              <w:t>Cdn.Recent</w:t>
            </w:r>
            <w:proofErr w:type="spellEnd"/>
            <w:r w:rsidRPr="00FC7BB4">
              <w:rPr>
                <w:rFonts w:ascii="Times New Roman" w:hAnsi="Times New Roman" w:cs="Times New Roman"/>
                <w:sz w:val="14"/>
                <w:szCs w:val="14"/>
              </w:rPr>
              <w:t>)</w:t>
            </w:r>
          </w:p>
        </w:tc>
        <w:tc>
          <w:tcPr>
            <w:tcW w:w="550" w:type="pct"/>
            <w:tcBorders>
              <w:top w:val="nil"/>
              <w:left w:val="nil"/>
              <w:bottom w:val="nil"/>
              <w:right w:val="nil"/>
            </w:tcBorders>
          </w:tcPr>
          <w:p w14:paraId="2244E91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-1.032**</w:t>
            </w:r>
          </w:p>
        </w:tc>
        <w:tc>
          <w:tcPr>
            <w:tcW w:w="515" w:type="pct"/>
            <w:tcBorders>
              <w:top w:val="nil"/>
              <w:left w:val="nil"/>
              <w:bottom w:val="nil"/>
              <w:right w:val="nil"/>
            </w:tcBorders>
          </w:tcPr>
          <w:p w14:paraId="48AF688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5.047</w:t>
            </w:r>
          </w:p>
        </w:tc>
        <w:tc>
          <w:tcPr>
            <w:tcW w:w="551" w:type="pct"/>
            <w:tcBorders>
              <w:top w:val="nil"/>
              <w:left w:val="nil"/>
              <w:bottom w:val="nil"/>
              <w:right w:val="nil"/>
            </w:tcBorders>
          </w:tcPr>
          <w:p w14:paraId="0C4AEED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.447*</w:t>
            </w:r>
          </w:p>
        </w:tc>
        <w:tc>
          <w:tcPr>
            <w:tcW w:w="561" w:type="pct"/>
            <w:tcBorders>
              <w:top w:val="nil"/>
              <w:left w:val="nil"/>
              <w:bottom w:val="nil"/>
              <w:right w:val="nil"/>
            </w:tcBorders>
          </w:tcPr>
          <w:p w14:paraId="31B8C2F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.818</w:t>
            </w:r>
          </w:p>
        </w:tc>
        <w:tc>
          <w:tcPr>
            <w:tcW w:w="551" w:type="pct"/>
            <w:tcBorders>
              <w:top w:val="nil"/>
              <w:left w:val="nil"/>
              <w:bottom w:val="nil"/>
              <w:right w:val="nil"/>
            </w:tcBorders>
          </w:tcPr>
          <w:p w14:paraId="181C149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-.242</w:t>
            </w:r>
          </w:p>
        </w:tc>
        <w:tc>
          <w:tcPr>
            <w:tcW w:w="590" w:type="pct"/>
            <w:tcBorders>
              <w:top w:val="nil"/>
              <w:left w:val="nil"/>
              <w:bottom w:val="nil"/>
              <w:right w:val="nil"/>
            </w:tcBorders>
          </w:tcPr>
          <w:p w14:paraId="084E815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.102</w:t>
            </w:r>
          </w:p>
        </w:tc>
        <w:tc>
          <w:tcPr>
            <w:tcW w:w="525" w:type="pct"/>
            <w:tcBorders>
              <w:top w:val="nil"/>
              <w:left w:val="nil"/>
              <w:bottom w:val="nil"/>
              <w:right w:val="nil"/>
            </w:tcBorders>
          </w:tcPr>
          <w:p w14:paraId="46C44E4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.169*</w:t>
            </w:r>
          </w:p>
        </w:tc>
        <w:tc>
          <w:tcPr>
            <w:tcW w:w="537" w:type="pct"/>
            <w:tcBorders>
              <w:top w:val="nil"/>
              <w:left w:val="nil"/>
              <w:bottom w:val="nil"/>
              <w:right w:val="nil"/>
            </w:tcBorders>
          </w:tcPr>
          <w:p w14:paraId="73FAEC2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-.289</w:t>
            </w:r>
          </w:p>
        </w:tc>
      </w:tr>
      <w:tr w:rsidR="00307155" w:rsidRPr="00FC7BB4" w14:paraId="01800F85" w14:textId="77777777" w:rsidTr="00291B27">
        <w:trPr>
          <w:trHeight w:val="266"/>
        </w:trPr>
        <w:tc>
          <w:tcPr>
            <w:tcW w:w="620" w:type="pct"/>
            <w:tcBorders>
              <w:top w:val="nil"/>
              <w:left w:val="nil"/>
              <w:bottom w:val="nil"/>
              <w:right w:val="nil"/>
            </w:tcBorders>
            <w:vAlign w:val="bottom"/>
          </w:tcPr>
          <w:p w14:paraId="420698E3"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12240B5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(.435)</w:t>
            </w:r>
          </w:p>
        </w:tc>
        <w:tc>
          <w:tcPr>
            <w:tcW w:w="515" w:type="pct"/>
            <w:tcBorders>
              <w:top w:val="nil"/>
              <w:left w:val="nil"/>
              <w:bottom w:val="nil"/>
              <w:right w:val="nil"/>
            </w:tcBorders>
          </w:tcPr>
          <w:p w14:paraId="0BD4D2E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(730.724)</w:t>
            </w:r>
          </w:p>
        </w:tc>
        <w:tc>
          <w:tcPr>
            <w:tcW w:w="551" w:type="pct"/>
            <w:tcBorders>
              <w:top w:val="nil"/>
              <w:left w:val="nil"/>
              <w:bottom w:val="nil"/>
              <w:right w:val="nil"/>
            </w:tcBorders>
          </w:tcPr>
          <w:p w14:paraId="7EAB421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(.246)</w:t>
            </w:r>
          </w:p>
        </w:tc>
        <w:tc>
          <w:tcPr>
            <w:tcW w:w="561" w:type="pct"/>
            <w:tcBorders>
              <w:top w:val="nil"/>
              <w:left w:val="nil"/>
              <w:bottom w:val="nil"/>
              <w:right w:val="nil"/>
            </w:tcBorders>
          </w:tcPr>
          <w:p w14:paraId="0B12DD8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(.636)</w:t>
            </w:r>
          </w:p>
        </w:tc>
        <w:tc>
          <w:tcPr>
            <w:tcW w:w="551" w:type="pct"/>
            <w:tcBorders>
              <w:top w:val="nil"/>
              <w:left w:val="nil"/>
              <w:bottom w:val="nil"/>
              <w:right w:val="nil"/>
            </w:tcBorders>
          </w:tcPr>
          <w:p w14:paraId="6DC912A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(.187)</w:t>
            </w:r>
          </w:p>
        </w:tc>
        <w:tc>
          <w:tcPr>
            <w:tcW w:w="590" w:type="pct"/>
            <w:tcBorders>
              <w:top w:val="nil"/>
              <w:left w:val="nil"/>
              <w:bottom w:val="nil"/>
              <w:right w:val="nil"/>
            </w:tcBorders>
          </w:tcPr>
          <w:p w14:paraId="55DD7A9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(.813)</w:t>
            </w:r>
          </w:p>
        </w:tc>
        <w:tc>
          <w:tcPr>
            <w:tcW w:w="525" w:type="pct"/>
            <w:tcBorders>
              <w:top w:val="nil"/>
              <w:left w:val="nil"/>
              <w:bottom w:val="nil"/>
              <w:right w:val="nil"/>
            </w:tcBorders>
          </w:tcPr>
          <w:p w14:paraId="2CB5D33F"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(.095)</w:t>
            </w:r>
          </w:p>
        </w:tc>
        <w:tc>
          <w:tcPr>
            <w:tcW w:w="537" w:type="pct"/>
            <w:tcBorders>
              <w:top w:val="nil"/>
              <w:left w:val="nil"/>
              <w:bottom w:val="nil"/>
              <w:right w:val="nil"/>
            </w:tcBorders>
          </w:tcPr>
          <w:p w14:paraId="5675D52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(.185)</w:t>
            </w:r>
          </w:p>
        </w:tc>
      </w:tr>
      <w:tr w:rsidR="00307155" w:rsidRPr="00FC7BB4" w14:paraId="5E4A7AF9" w14:textId="77777777" w:rsidTr="00291B27">
        <w:trPr>
          <w:trHeight w:val="162"/>
        </w:trPr>
        <w:tc>
          <w:tcPr>
            <w:tcW w:w="620" w:type="pct"/>
            <w:tcBorders>
              <w:top w:val="nil"/>
              <w:left w:val="nil"/>
              <w:bottom w:val="nil"/>
              <w:right w:val="nil"/>
            </w:tcBorders>
            <w:vAlign w:val="bottom"/>
          </w:tcPr>
          <w:p w14:paraId="28E01192"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a6(</w:t>
            </w:r>
            <w:proofErr w:type="gramStart"/>
            <w:r w:rsidRPr="00FC7BB4">
              <w:rPr>
                <w:rFonts w:ascii="Times New Roman" w:hAnsi="Times New Roman" w:cs="Times New Roman"/>
                <w:sz w:val="14"/>
                <w:szCs w:val="14"/>
              </w:rPr>
              <w:t>π.</w:t>
            </w:r>
            <w:proofErr w:type="spellStart"/>
            <w:r w:rsidRPr="00FC7BB4">
              <w:rPr>
                <w:rFonts w:ascii="Times New Roman" w:hAnsi="Times New Roman" w:cs="Times New Roman"/>
                <w:sz w:val="14"/>
                <w:szCs w:val="14"/>
              </w:rPr>
              <w:t>Cdn.Recent</w:t>
            </w:r>
            <w:proofErr w:type="spellEnd"/>
            <w:proofErr w:type="gramEnd"/>
            <w:r w:rsidRPr="00FC7BB4">
              <w:rPr>
                <w:rFonts w:ascii="Times New Roman" w:hAnsi="Times New Roman" w:cs="Times New Roman"/>
                <w:sz w:val="14"/>
                <w:szCs w:val="14"/>
              </w:rPr>
              <w:t>)</w:t>
            </w:r>
          </w:p>
        </w:tc>
        <w:tc>
          <w:tcPr>
            <w:tcW w:w="550" w:type="pct"/>
            <w:tcBorders>
              <w:top w:val="nil"/>
              <w:left w:val="nil"/>
              <w:bottom w:val="nil"/>
              <w:right w:val="nil"/>
            </w:tcBorders>
          </w:tcPr>
          <w:p w14:paraId="370EE6F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45.066***</w:t>
            </w:r>
          </w:p>
        </w:tc>
        <w:tc>
          <w:tcPr>
            <w:tcW w:w="515" w:type="pct"/>
            <w:tcBorders>
              <w:top w:val="nil"/>
              <w:left w:val="nil"/>
              <w:bottom w:val="nil"/>
              <w:right w:val="nil"/>
            </w:tcBorders>
          </w:tcPr>
          <w:p w14:paraId="51C0017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-405.811</w:t>
            </w:r>
          </w:p>
        </w:tc>
        <w:tc>
          <w:tcPr>
            <w:tcW w:w="551" w:type="pct"/>
            <w:tcBorders>
              <w:top w:val="nil"/>
              <w:left w:val="nil"/>
              <w:bottom w:val="nil"/>
              <w:right w:val="nil"/>
            </w:tcBorders>
          </w:tcPr>
          <w:p w14:paraId="4E04FEF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-10.664</w:t>
            </w:r>
          </w:p>
        </w:tc>
        <w:tc>
          <w:tcPr>
            <w:tcW w:w="561" w:type="pct"/>
            <w:tcBorders>
              <w:top w:val="nil"/>
              <w:left w:val="nil"/>
              <w:bottom w:val="nil"/>
              <w:right w:val="nil"/>
            </w:tcBorders>
          </w:tcPr>
          <w:p w14:paraId="30B5D6D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20.597</w:t>
            </w:r>
          </w:p>
        </w:tc>
        <w:tc>
          <w:tcPr>
            <w:tcW w:w="551" w:type="pct"/>
            <w:tcBorders>
              <w:top w:val="nil"/>
              <w:left w:val="nil"/>
              <w:bottom w:val="nil"/>
              <w:right w:val="nil"/>
            </w:tcBorders>
          </w:tcPr>
          <w:p w14:paraId="4AFFEE2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-9.312</w:t>
            </w:r>
          </w:p>
        </w:tc>
        <w:tc>
          <w:tcPr>
            <w:tcW w:w="590" w:type="pct"/>
            <w:tcBorders>
              <w:top w:val="nil"/>
              <w:left w:val="nil"/>
              <w:bottom w:val="nil"/>
              <w:right w:val="nil"/>
            </w:tcBorders>
          </w:tcPr>
          <w:p w14:paraId="575FB47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6.938</w:t>
            </w:r>
          </w:p>
        </w:tc>
        <w:tc>
          <w:tcPr>
            <w:tcW w:w="525" w:type="pct"/>
            <w:tcBorders>
              <w:top w:val="nil"/>
              <w:left w:val="nil"/>
              <w:bottom w:val="nil"/>
              <w:right w:val="nil"/>
            </w:tcBorders>
          </w:tcPr>
          <w:p w14:paraId="0D9B2DD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-15.44***</w:t>
            </w:r>
          </w:p>
        </w:tc>
        <w:tc>
          <w:tcPr>
            <w:tcW w:w="537" w:type="pct"/>
            <w:tcBorders>
              <w:top w:val="nil"/>
              <w:left w:val="nil"/>
              <w:bottom w:val="nil"/>
              <w:right w:val="nil"/>
            </w:tcBorders>
          </w:tcPr>
          <w:p w14:paraId="15399D0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-24.601**</w:t>
            </w:r>
          </w:p>
        </w:tc>
      </w:tr>
      <w:tr w:rsidR="00307155" w:rsidRPr="00FC7BB4" w14:paraId="2921FAA1" w14:textId="77777777" w:rsidTr="00291B27">
        <w:trPr>
          <w:trHeight w:val="266"/>
        </w:trPr>
        <w:tc>
          <w:tcPr>
            <w:tcW w:w="620" w:type="pct"/>
            <w:tcBorders>
              <w:top w:val="nil"/>
              <w:left w:val="nil"/>
              <w:bottom w:val="nil"/>
              <w:right w:val="nil"/>
            </w:tcBorders>
            <w:vAlign w:val="bottom"/>
          </w:tcPr>
          <w:p w14:paraId="6A5C8356"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7A27751F"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(17.241)</w:t>
            </w:r>
          </w:p>
        </w:tc>
        <w:tc>
          <w:tcPr>
            <w:tcW w:w="515" w:type="pct"/>
            <w:tcBorders>
              <w:top w:val="nil"/>
              <w:left w:val="nil"/>
              <w:bottom w:val="nil"/>
              <w:right w:val="nil"/>
            </w:tcBorders>
          </w:tcPr>
          <w:p w14:paraId="56C52244"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 xml:space="preserve">        (54713.02)</w:t>
            </w:r>
          </w:p>
        </w:tc>
        <w:tc>
          <w:tcPr>
            <w:tcW w:w="551" w:type="pct"/>
            <w:tcBorders>
              <w:top w:val="nil"/>
              <w:left w:val="nil"/>
              <w:bottom w:val="nil"/>
              <w:right w:val="nil"/>
            </w:tcBorders>
          </w:tcPr>
          <w:p w14:paraId="63C07C3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(9.089)</w:t>
            </w:r>
          </w:p>
        </w:tc>
        <w:tc>
          <w:tcPr>
            <w:tcW w:w="561" w:type="pct"/>
            <w:tcBorders>
              <w:top w:val="nil"/>
              <w:left w:val="nil"/>
              <w:bottom w:val="nil"/>
              <w:right w:val="nil"/>
            </w:tcBorders>
          </w:tcPr>
          <w:p w14:paraId="6A6A514C"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(28.735)</w:t>
            </w:r>
          </w:p>
        </w:tc>
        <w:tc>
          <w:tcPr>
            <w:tcW w:w="551" w:type="pct"/>
            <w:tcBorders>
              <w:top w:val="nil"/>
              <w:left w:val="nil"/>
              <w:bottom w:val="nil"/>
              <w:right w:val="nil"/>
            </w:tcBorders>
          </w:tcPr>
          <w:p w14:paraId="0BBDD27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(6.571)</w:t>
            </w:r>
          </w:p>
        </w:tc>
        <w:tc>
          <w:tcPr>
            <w:tcW w:w="590" w:type="pct"/>
            <w:tcBorders>
              <w:top w:val="nil"/>
              <w:left w:val="nil"/>
              <w:bottom w:val="nil"/>
              <w:right w:val="nil"/>
            </w:tcBorders>
          </w:tcPr>
          <w:p w14:paraId="0C3FCA6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(48.805)</w:t>
            </w:r>
          </w:p>
        </w:tc>
        <w:tc>
          <w:tcPr>
            <w:tcW w:w="525" w:type="pct"/>
            <w:tcBorders>
              <w:top w:val="nil"/>
              <w:left w:val="nil"/>
              <w:bottom w:val="nil"/>
              <w:right w:val="nil"/>
            </w:tcBorders>
          </w:tcPr>
          <w:p w14:paraId="064429C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(3.005)</w:t>
            </w:r>
          </w:p>
        </w:tc>
        <w:tc>
          <w:tcPr>
            <w:tcW w:w="537" w:type="pct"/>
            <w:tcBorders>
              <w:top w:val="nil"/>
              <w:left w:val="nil"/>
              <w:bottom w:val="nil"/>
              <w:right w:val="nil"/>
            </w:tcBorders>
          </w:tcPr>
          <w:p w14:paraId="0003B42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(9.891)</w:t>
            </w:r>
          </w:p>
        </w:tc>
      </w:tr>
      <w:tr w:rsidR="00307155" w:rsidRPr="00FC7BB4" w14:paraId="35044835" w14:textId="77777777" w:rsidTr="00291B27">
        <w:trPr>
          <w:trHeight w:val="154"/>
        </w:trPr>
        <w:tc>
          <w:tcPr>
            <w:tcW w:w="620" w:type="pct"/>
            <w:tcBorders>
              <w:top w:val="nil"/>
              <w:left w:val="nil"/>
              <w:bottom w:val="nil"/>
              <w:right w:val="nil"/>
            </w:tcBorders>
            <w:vAlign w:val="bottom"/>
          </w:tcPr>
          <w:p w14:paraId="1798C583"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a7(</w:t>
            </w:r>
            <w:proofErr w:type="spellStart"/>
            <w:r w:rsidRPr="00FC7BB4">
              <w:rPr>
                <w:rFonts w:ascii="Times New Roman" w:hAnsi="Times New Roman" w:cs="Times New Roman"/>
                <w:sz w:val="14"/>
                <w:szCs w:val="14"/>
              </w:rPr>
              <w:t>Ddn.Recent</w:t>
            </w:r>
            <w:proofErr w:type="spellEnd"/>
            <w:r w:rsidRPr="00FC7BB4">
              <w:rPr>
                <w:rFonts w:ascii="Times New Roman" w:hAnsi="Times New Roman" w:cs="Times New Roman"/>
                <w:sz w:val="14"/>
                <w:szCs w:val="14"/>
              </w:rPr>
              <w:t>)</w:t>
            </w:r>
          </w:p>
        </w:tc>
        <w:tc>
          <w:tcPr>
            <w:tcW w:w="550" w:type="pct"/>
            <w:tcBorders>
              <w:top w:val="nil"/>
              <w:left w:val="nil"/>
              <w:bottom w:val="nil"/>
              <w:right w:val="nil"/>
            </w:tcBorders>
          </w:tcPr>
          <w:p w14:paraId="5ADDFDC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-.241*</w:t>
            </w:r>
          </w:p>
        </w:tc>
        <w:tc>
          <w:tcPr>
            <w:tcW w:w="515" w:type="pct"/>
            <w:tcBorders>
              <w:top w:val="nil"/>
              <w:left w:val="nil"/>
              <w:bottom w:val="nil"/>
              <w:right w:val="nil"/>
            </w:tcBorders>
          </w:tcPr>
          <w:p w14:paraId="115DB2E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-.145</w:t>
            </w:r>
          </w:p>
        </w:tc>
        <w:tc>
          <w:tcPr>
            <w:tcW w:w="551" w:type="pct"/>
            <w:tcBorders>
              <w:top w:val="nil"/>
              <w:left w:val="nil"/>
              <w:bottom w:val="nil"/>
              <w:right w:val="nil"/>
            </w:tcBorders>
          </w:tcPr>
          <w:p w14:paraId="52A5A7A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-.287***</w:t>
            </w:r>
          </w:p>
        </w:tc>
        <w:tc>
          <w:tcPr>
            <w:tcW w:w="561" w:type="pct"/>
            <w:tcBorders>
              <w:top w:val="nil"/>
              <w:left w:val="nil"/>
              <w:bottom w:val="nil"/>
              <w:right w:val="nil"/>
            </w:tcBorders>
          </w:tcPr>
          <w:p w14:paraId="381D9A0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.621</w:t>
            </w:r>
          </w:p>
        </w:tc>
        <w:tc>
          <w:tcPr>
            <w:tcW w:w="551" w:type="pct"/>
            <w:tcBorders>
              <w:top w:val="nil"/>
              <w:left w:val="nil"/>
              <w:bottom w:val="nil"/>
              <w:right w:val="nil"/>
            </w:tcBorders>
          </w:tcPr>
          <w:p w14:paraId="62AB72CF"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-.001</w:t>
            </w:r>
          </w:p>
        </w:tc>
        <w:tc>
          <w:tcPr>
            <w:tcW w:w="590" w:type="pct"/>
            <w:tcBorders>
              <w:top w:val="nil"/>
              <w:left w:val="nil"/>
              <w:bottom w:val="nil"/>
              <w:right w:val="nil"/>
            </w:tcBorders>
          </w:tcPr>
          <w:p w14:paraId="66604EB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.289</w:t>
            </w:r>
          </w:p>
        </w:tc>
        <w:tc>
          <w:tcPr>
            <w:tcW w:w="525" w:type="pct"/>
            <w:tcBorders>
              <w:top w:val="nil"/>
              <w:left w:val="nil"/>
              <w:bottom w:val="nil"/>
              <w:right w:val="nil"/>
            </w:tcBorders>
          </w:tcPr>
          <w:p w14:paraId="17B94C7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.042</w:t>
            </w:r>
          </w:p>
        </w:tc>
        <w:tc>
          <w:tcPr>
            <w:tcW w:w="537" w:type="pct"/>
            <w:tcBorders>
              <w:top w:val="nil"/>
              <w:left w:val="nil"/>
              <w:bottom w:val="nil"/>
              <w:right w:val="nil"/>
            </w:tcBorders>
          </w:tcPr>
          <w:p w14:paraId="3AB7B76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.006</w:t>
            </w:r>
          </w:p>
        </w:tc>
      </w:tr>
      <w:tr w:rsidR="00307155" w:rsidRPr="00FC7BB4" w14:paraId="10E7E046" w14:textId="77777777" w:rsidTr="00291B27">
        <w:trPr>
          <w:trHeight w:val="266"/>
        </w:trPr>
        <w:tc>
          <w:tcPr>
            <w:tcW w:w="620" w:type="pct"/>
            <w:tcBorders>
              <w:top w:val="nil"/>
              <w:left w:val="nil"/>
              <w:bottom w:val="nil"/>
              <w:right w:val="nil"/>
            </w:tcBorders>
            <w:vAlign w:val="bottom"/>
          </w:tcPr>
          <w:p w14:paraId="0052E5E9"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074AC82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(.138)</w:t>
            </w:r>
          </w:p>
        </w:tc>
        <w:tc>
          <w:tcPr>
            <w:tcW w:w="515" w:type="pct"/>
            <w:tcBorders>
              <w:top w:val="nil"/>
              <w:left w:val="nil"/>
              <w:bottom w:val="nil"/>
              <w:right w:val="nil"/>
            </w:tcBorders>
          </w:tcPr>
          <w:p w14:paraId="5AED55F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(.171)</w:t>
            </w:r>
          </w:p>
        </w:tc>
        <w:tc>
          <w:tcPr>
            <w:tcW w:w="551" w:type="pct"/>
            <w:tcBorders>
              <w:top w:val="nil"/>
              <w:left w:val="nil"/>
              <w:bottom w:val="nil"/>
              <w:right w:val="nil"/>
            </w:tcBorders>
          </w:tcPr>
          <w:p w14:paraId="5E07A5C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(.099)</w:t>
            </w:r>
          </w:p>
        </w:tc>
        <w:tc>
          <w:tcPr>
            <w:tcW w:w="561" w:type="pct"/>
            <w:tcBorders>
              <w:top w:val="nil"/>
              <w:left w:val="nil"/>
              <w:bottom w:val="nil"/>
              <w:right w:val="nil"/>
            </w:tcBorders>
          </w:tcPr>
          <w:p w14:paraId="666EE78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(.521)</w:t>
            </w:r>
          </w:p>
        </w:tc>
        <w:tc>
          <w:tcPr>
            <w:tcW w:w="551" w:type="pct"/>
            <w:tcBorders>
              <w:top w:val="nil"/>
              <w:left w:val="nil"/>
              <w:bottom w:val="nil"/>
              <w:right w:val="nil"/>
            </w:tcBorders>
          </w:tcPr>
          <w:p w14:paraId="47B42C8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(.091)</w:t>
            </w:r>
          </w:p>
        </w:tc>
        <w:tc>
          <w:tcPr>
            <w:tcW w:w="590" w:type="pct"/>
            <w:tcBorders>
              <w:top w:val="nil"/>
              <w:left w:val="nil"/>
              <w:bottom w:val="nil"/>
              <w:right w:val="nil"/>
            </w:tcBorders>
          </w:tcPr>
          <w:p w14:paraId="661C5F9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(.743)</w:t>
            </w:r>
          </w:p>
        </w:tc>
        <w:tc>
          <w:tcPr>
            <w:tcW w:w="525" w:type="pct"/>
            <w:tcBorders>
              <w:top w:val="nil"/>
              <w:left w:val="nil"/>
              <w:bottom w:val="nil"/>
              <w:right w:val="nil"/>
            </w:tcBorders>
          </w:tcPr>
          <w:p w14:paraId="698C71C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(.042)</w:t>
            </w:r>
          </w:p>
        </w:tc>
        <w:tc>
          <w:tcPr>
            <w:tcW w:w="537" w:type="pct"/>
            <w:tcBorders>
              <w:top w:val="nil"/>
              <w:left w:val="nil"/>
              <w:bottom w:val="nil"/>
              <w:right w:val="nil"/>
            </w:tcBorders>
          </w:tcPr>
          <w:p w14:paraId="4BF4FF0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(.129)</w:t>
            </w:r>
          </w:p>
        </w:tc>
      </w:tr>
      <w:tr w:rsidR="00307155" w:rsidRPr="00FC7BB4" w14:paraId="05FCB354" w14:textId="77777777" w:rsidTr="00291B27">
        <w:trPr>
          <w:trHeight w:val="160"/>
        </w:trPr>
        <w:tc>
          <w:tcPr>
            <w:tcW w:w="620" w:type="pct"/>
            <w:tcBorders>
              <w:top w:val="nil"/>
              <w:left w:val="nil"/>
              <w:bottom w:val="nil"/>
              <w:right w:val="nil"/>
            </w:tcBorders>
            <w:vAlign w:val="bottom"/>
          </w:tcPr>
          <w:p w14:paraId="2A938A2A"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a8(</w:t>
            </w:r>
            <w:proofErr w:type="gramStart"/>
            <w:r w:rsidRPr="00FC7BB4">
              <w:rPr>
                <w:rFonts w:ascii="Times New Roman" w:hAnsi="Times New Roman" w:cs="Times New Roman"/>
                <w:sz w:val="14"/>
                <w:szCs w:val="14"/>
              </w:rPr>
              <w:t>π.</w:t>
            </w:r>
            <w:proofErr w:type="spellStart"/>
            <w:r w:rsidRPr="00FC7BB4">
              <w:rPr>
                <w:rFonts w:ascii="Times New Roman" w:hAnsi="Times New Roman" w:cs="Times New Roman"/>
                <w:sz w:val="14"/>
                <w:szCs w:val="14"/>
              </w:rPr>
              <w:t>Ddn.Recent</w:t>
            </w:r>
            <w:proofErr w:type="spellEnd"/>
            <w:proofErr w:type="gramEnd"/>
            <w:r w:rsidRPr="00FC7BB4">
              <w:rPr>
                <w:rFonts w:ascii="Times New Roman" w:hAnsi="Times New Roman" w:cs="Times New Roman"/>
                <w:sz w:val="14"/>
                <w:szCs w:val="14"/>
              </w:rPr>
              <w:t>)</w:t>
            </w:r>
          </w:p>
        </w:tc>
        <w:tc>
          <w:tcPr>
            <w:tcW w:w="550" w:type="pct"/>
            <w:tcBorders>
              <w:top w:val="nil"/>
              <w:left w:val="nil"/>
              <w:bottom w:val="nil"/>
              <w:right w:val="nil"/>
            </w:tcBorders>
          </w:tcPr>
          <w:p w14:paraId="7928319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-.932</w:t>
            </w:r>
          </w:p>
        </w:tc>
        <w:tc>
          <w:tcPr>
            <w:tcW w:w="515" w:type="pct"/>
            <w:tcBorders>
              <w:top w:val="nil"/>
              <w:left w:val="nil"/>
              <w:bottom w:val="nil"/>
              <w:right w:val="nil"/>
            </w:tcBorders>
          </w:tcPr>
          <w:p w14:paraId="160360E0"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1.871</w:t>
            </w:r>
          </w:p>
        </w:tc>
        <w:tc>
          <w:tcPr>
            <w:tcW w:w="551" w:type="pct"/>
            <w:tcBorders>
              <w:top w:val="nil"/>
              <w:left w:val="nil"/>
              <w:bottom w:val="nil"/>
              <w:right w:val="nil"/>
            </w:tcBorders>
          </w:tcPr>
          <w:p w14:paraId="1AA81DF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6.307**</w:t>
            </w:r>
          </w:p>
        </w:tc>
        <w:tc>
          <w:tcPr>
            <w:tcW w:w="561" w:type="pct"/>
            <w:tcBorders>
              <w:top w:val="nil"/>
              <w:left w:val="nil"/>
              <w:bottom w:val="nil"/>
              <w:right w:val="nil"/>
            </w:tcBorders>
          </w:tcPr>
          <w:p w14:paraId="3E921CC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-32.041</w:t>
            </w:r>
          </w:p>
        </w:tc>
        <w:tc>
          <w:tcPr>
            <w:tcW w:w="551" w:type="pct"/>
            <w:tcBorders>
              <w:top w:val="nil"/>
              <w:left w:val="nil"/>
              <w:bottom w:val="nil"/>
              <w:right w:val="nil"/>
            </w:tcBorders>
          </w:tcPr>
          <w:p w14:paraId="0666601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-5.613**</w:t>
            </w:r>
          </w:p>
        </w:tc>
        <w:tc>
          <w:tcPr>
            <w:tcW w:w="590" w:type="pct"/>
            <w:tcBorders>
              <w:top w:val="nil"/>
              <w:left w:val="nil"/>
              <w:bottom w:val="nil"/>
              <w:right w:val="nil"/>
            </w:tcBorders>
          </w:tcPr>
          <w:p w14:paraId="2081713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-36.665</w:t>
            </w:r>
          </w:p>
        </w:tc>
        <w:tc>
          <w:tcPr>
            <w:tcW w:w="525" w:type="pct"/>
            <w:tcBorders>
              <w:top w:val="nil"/>
              <w:left w:val="nil"/>
              <w:bottom w:val="nil"/>
              <w:right w:val="nil"/>
            </w:tcBorders>
          </w:tcPr>
          <w:p w14:paraId="20E0B4B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-8.617***</w:t>
            </w:r>
          </w:p>
        </w:tc>
        <w:tc>
          <w:tcPr>
            <w:tcW w:w="537" w:type="pct"/>
            <w:tcBorders>
              <w:top w:val="nil"/>
              <w:left w:val="nil"/>
              <w:bottom w:val="nil"/>
              <w:right w:val="nil"/>
            </w:tcBorders>
          </w:tcPr>
          <w:p w14:paraId="67821F6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-6.885</w:t>
            </w:r>
          </w:p>
        </w:tc>
      </w:tr>
      <w:tr w:rsidR="00307155" w:rsidRPr="00FC7BB4" w14:paraId="01945C57" w14:textId="77777777" w:rsidTr="00291B27">
        <w:trPr>
          <w:trHeight w:val="266"/>
        </w:trPr>
        <w:tc>
          <w:tcPr>
            <w:tcW w:w="620" w:type="pct"/>
            <w:tcBorders>
              <w:top w:val="nil"/>
              <w:left w:val="nil"/>
              <w:bottom w:val="nil"/>
              <w:right w:val="nil"/>
            </w:tcBorders>
            <w:vAlign w:val="bottom"/>
          </w:tcPr>
          <w:p w14:paraId="4A78545D"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05494C2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(3.859)</w:t>
            </w:r>
          </w:p>
        </w:tc>
        <w:tc>
          <w:tcPr>
            <w:tcW w:w="515" w:type="pct"/>
            <w:tcBorders>
              <w:top w:val="nil"/>
              <w:left w:val="nil"/>
              <w:bottom w:val="nil"/>
              <w:right w:val="nil"/>
            </w:tcBorders>
          </w:tcPr>
          <w:p w14:paraId="67FA476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(6.069)</w:t>
            </w:r>
          </w:p>
        </w:tc>
        <w:tc>
          <w:tcPr>
            <w:tcW w:w="551" w:type="pct"/>
            <w:tcBorders>
              <w:top w:val="nil"/>
              <w:left w:val="nil"/>
              <w:bottom w:val="nil"/>
              <w:right w:val="nil"/>
            </w:tcBorders>
          </w:tcPr>
          <w:p w14:paraId="079159B0"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(2.72)</w:t>
            </w:r>
          </w:p>
        </w:tc>
        <w:tc>
          <w:tcPr>
            <w:tcW w:w="561" w:type="pct"/>
            <w:tcBorders>
              <w:top w:val="nil"/>
              <w:left w:val="nil"/>
              <w:bottom w:val="nil"/>
              <w:right w:val="nil"/>
            </w:tcBorders>
          </w:tcPr>
          <w:p w14:paraId="6E2A7BA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(21.757)</w:t>
            </w:r>
          </w:p>
        </w:tc>
        <w:tc>
          <w:tcPr>
            <w:tcW w:w="551" w:type="pct"/>
            <w:tcBorders>
              <w:top w:val="nil"/>
              <w:left w:val="nil"/>
              <w:bottom w:val="nil"/>
              <w:right w:val="nil"/>
            </w:tcBorders>
          </w:tcPr>
          <w:p w14:paraId="6ED73AF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(2.624)</w:t>
            </w:r>
          </w:p>
        </w:tc>
        <w:tc>
          <w:tcPr>
            <w:tcW w:w="590" w:type="pct"/>
            <w:tcBorders>
              <w:top w:val="nil"/>
              <w:left w:val="nil"/>
              <w:bottom w:val="nil"/>
              <w:right w:val="nil"/>
            </w:tcBorders>
          </w:tcPr>
          <w:p w14:paraId="51FD181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(28.463)</w:t>
            </w:r>
          </w:p>
        </w:tc>
        <w:tc>
          <w:tcPr>
            <w:tcW w:w="525" w:type="pct"/>
            <w:tcBorders>
              <w:top w:val="nil"/>
              <w:left w:val="nil"/>
              <w:bottom w:val="nil"/>
              <w:right w:val="nil"/>
            </w:tcBorders>
          </w:tcPr>
          <w:p w14:paraId="759179B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(1.056)</w:t>
            </w:r>
          </w:p>
        </w:tc>
        <w:tc>
          <w:tcPr>
            <w:tcW w:w="537" w:type="pct"/>
            <w:tcBorders>
              <w:top w:val="nil"/>
              <w:left w:val="nil"/>
              <w:bottom w:val="nil"/>
              <w:right w:val="nil"/>
            </w:tcBorders>
          </w:tcPr>
          <w:p w14:paraId="68F7B2D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(4.902)</w:t>
            </w:r>
          </w:p>
        </w:tc>
      </w:tr>
      <w:tr w:rsidR="00307155" w:rsidRPr="00FC7BB4" w14:paraId="2EF40C82" w14:textId="77777777" w:rsidTr="00291B27">
        <w:trPr>
          <w:trHeight w:val="167"/>
        </w:trPr>
        <w:tc>
          <w:tcPr>
            <w:tcW w:w="620" w:type="pct"/>
            <w:tcBorders>
              <w:top w:val="nil"/>
              <w:left w:val="nil"/>
              <w:bottom w:val="nil"/>
              <w:right w:val="nil"/>
            </w:tcBorders>
            <w:vAlign w:val="bottom"/>
          </w:tcPr>
          <w:p w14:paraId="33A7299B"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eastAsia="Cambria" w:hAnsi="Times New Roman" w:cs="Times New Roman"/>
                <w:i/>
                <w:sz w:val="14"/>
                <w:szCs w:val="14"/>
              </w:rPr>
              <w:t>K</w:t>
            </w:r>
            <w:r w:rsidRPr="00FC7BB4">
              <w:rPr>
                <w:rFonts w:ascii="Times New Roman" w:eastAsia="Cambria" w:hAnsi="Times New Roman" w:cs="Times New Roman"/>
                <w:sz w:val="14"/>
                <w:szCs w:val="14"/>
                <w:vertAlign w:val="subscript"/>
              </w:rPr>
              <w:t xml:space="preserve">1 </w:t>
            </w:r>
            <w:r w:rsidRPr="00FC7BB4">
              <w:rPr>
                <w:rFonts w:ascii="Times New Roman" w:hAnsi="Times New Roman" w:cs="Times New Roman"/>
                <w:sz w:val="14"/>
                <w:szCs w:val="14"/>
              </w:rPr>
              <w:t>(down |</w:t>
            </w:r>
            <w:proofErr w:type="spellStart"/>
            <w:r w:rsidRPr="00FC7BB4">
              <w:rPr>
                <w:rFonts w:ascii="Times New Roman" w:hAnsi="Times New Roman" w:cs="Times New Roman"/>
                <w:sz w:val="14"/>
                <w:szCs w:val="14"/>
              </w:rPr>
              <w:t>nc</w:t>
            </w:r>
            <w:proofErr w:type="spellEnd"/>
            <w:r w:rsidRPr="00FC7BB4">
              <w:rPr>
                <w:rFonts w:ascii="Times New Roman" w:hAnsi="Times New Roman" w:cs="Times New Roman"/>
                <w:sz w:val="14"/>
                <w:szCs w:val="14"/>
              </w:rPr>
              <w:t>)</w:t>
            </w:r>
          </w:p>
        </w:tc>
        <w:tc>
          <w:tcPr>
            <w:tcW w:w="550" w:type="pct"/>
            <w:tcBorders>
              <w:top w:val="nil"/>
              <w:left w:val="nil"/>
              <w:bottom w:val="nil"/>
              <w:right w:val="nil"/>
            </w:tcBorders>
          </w:tcPr>
          <w:p w14:paraId="2EF3FB6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-1.301***</w:t>
            </w:r>
          </w:p>
        </w:tc>
        <w:tc>
          <w:tcPr>
            <w:tcW w:w="515" w:type="pct"/>
            <w:tcBorders>
              <w:top w:val="nil"/>
              <w:left w:val="nil"/>
              <w:bottom w:val="nil"/>
              <w:right w:val="nil"/>
            </w:tcBorders>
          </w:tcPr>
          <w:p w14:paraId="6100401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-.334**</w:t>
            </w:r>
          </w:p>
        </w:tc>
        <w:tc>
          <w:tcPr>
            <w:tcW w:w="551" w:type="pct"/>
            <w:tcBorders>
              <w:top w:val="nil"/>
              <w:left w:val="nil"/>
              <w:bottom w:val="nil"/>
              <w:right w:val="nil"/>
            </w:tcBorders>
          </w:tcPr>
          <w:p w14:paraId="61A7DE9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-1.489***</w:t>
            </w:r>
          </w:p>
        </w:tc>
        <w:tc>
          <w:tcPr>
            <w:tcW w:w="561" w:type="pct"/>
            <w:tcBorders>
              <w:top w:val="nil"/>
              <w:left w:val="nil"/>
              <w:bottom w:val="nil"/>
              <w:right w:val="nil"/>
            </w:tcBorders>
          </w:tcPr>
          <w:p w14:paraId="0012ADAF"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-2.663***</w:t>
            </w:r>
          </w:p>
        </w:tc>
        <w:tc>
          <w:tcPr>
            <w:tcW w:w="551" w:type="pct"/>
            <w:tcBorders>
              <w:top w:val="nil"/>
              <w:left w:val="nil"/>
              <w:bottom w:val="nil"/>
              <w:right w:val="nil"/>
            </w:tcBorders>
          </w:tcPr>
          <w:p w14:paraId="679DC4D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-.927***</w:t>
            </w:r>
          </w:p>
        </w:tc>
        <w:tc>
          <w:tcPr>
            <w:tcW w:w="590" w:type="pct"/>
            <w:tcBorders>
              <w:top w:val="nil"/>
              <w:left w:val="nil"/>
              <w:bottom w:val="nil"/>
              <w:right w:val="nil"/>
            </w:tcBorders>
          </w:tcPr>
          <w:p w14:paraId="2A95B47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-2.232***</w:t>
            </w:r>
          </w:p>
        </w:tc>
        <w:tc>
          <w:tcPr>
            <w:tcW w:w="525" w:type="pct"/>
            <w:tcBorders>
              <w:top w:val="nil"/>
              <w:left w:val="nil"/>
              <w:bottom w:val="nil"/>
              <w:right w:val="nil"/>
            </w:tcBorders>
          </w:tcPr>
          <w:p w14:paraId="4C39157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-1.42***</w:t>
            </w:r>
          </w:p>
        </w:tc>
        <w:tc>
          <w:tcPr>
            <w:tcW w:w="537" w:type="pct"/>
            <w:tcBorders>
              <w:top w:val="nil"/>
              <w:left w:val="nil"/>
              <w:bottom w:val="nil"/>
              <w:right w:val="nil"/>
            </w:tcBorders>
          </w:tcPr>
          <w:p w14:paraId="44F9671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-1.111***</w:t>
            </w:r>
          </w:p>
        </w:tc>
      </w:tr>
      <w:tr w:rsidR="00307155" w:rsidRPr="00FC7BB4" w14:paraId="62132342" w14:textId="77777777" w:rsidTr="00291B27">
        <w:trPr>
          <w:trHeight w:val="266"/>
        </w:trPr>
        <w:tc>
          <w:tcPr>
            <w:tcW w:w="620" w:type="pct"/>
            <w:tcBorders>
              <w:top w:val="nil"/>
              <w:left w:val="nil"/>
              <w:bottom w:val="nil"/>
              <w:right w:val="nil"/>
            </w:tcBorders>
            <w:vAlign w:val="bottom"/>
          </w:tcPr>
          <w:p w14:paraId="6390B170"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p>
        </w:tc>
        <w:tc>
          <w:tcPr>
            <w:tcW w:w="550" w:type="pct"/>
            <w:tcBorders>
              <w:top w:val="nil"/>
              <w:left w:val="nil"/>
              <w:bottom w:val="nil"/>
              <w:right w:val="nil"/>
            </w:tcBorders>
          </w:tcPr>
          <w:p w14:paraId="40F40A3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(.073)</w:t>
            </w:r>
          </w:p>
        </w:tc>
        <w:tc>
          <w:tcPr>
            <w:tcW w:w="515" w:type="pct"/>
            <w:tcBorders>
              <w:top w:val="nil"/>
              <w:left w:val="nil"/>
              <w:bottom w:val="nil"/>
              <w:right w:val="nil"/>
            </w:tcBorders>
          </w:tcPr>
          <w:p w14:paraId="6D3831AC"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(.145)</w:t>
            </w:r>
          </w:p>
        </w:tc>
        <w:tc>
          <w:tcPr>
            <w:tcW w:w="551" w:type="pct"/>
            <w:tcBorders>
              <w:top w:val="nil"/>
              <w:left w:val="nil"/>
              <w:bottom w:val="nil"/>
              <w:right w:val="nil"/>
            </w:tcBorders>
          </w:tcPr>
          <w:p w14:paraId="1FD689F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(.047)</w:t>
            </w:r>
          </w:p>
        </w:tc>
        <w:tc>
          <w:tcPr>
            <w:tcW w:w="561" w:type="pct"/>
            <w:tcBorders>
              <w:top w:val="nil"/>
              <w:left w:val="nil"/>
              <w:bottom w:val="nil"/>
              <w:right w:val="nil"/>
            </w:tcBorders>
          </w:tcPr>
          <w:p w14:paraId="0476E980"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(.336)</w:t>
            </w:r>
          </w:p>
        </w:tc>
        <w:tc>
          <w:tcPr>
            <w:tcW w:w="551" w:type="pct"/>
            <w:tcBorders>
              <w:top w:val="nil"/>
              <w:left w:val="nil"/>
              <w:bottom w:val="nil"/>
              <w:right w:val="nil"/>
            </w:tcBorders>
          </w:tcPr>
          <w:p w14:paraId="60E88C2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(.033)</w:t>
            </w:r>
          </w:p>
        </w:tc>
        <w:tc>
          <w:tcPr>
            <w:tcW w:w="590" w:type="pct"/>
            <w:tcBorders>
              <w:top w:val="nil"/>
              <w:left w:val="nil"/>
              <w:bottom w:val="nil"/>
              <w:right w:val="nil"/>
            </w:tcBorders>
          </w:tcPr>
          <w:p w14:paraId="54554D9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(.397)</w:t>
            </w:r>
          </w:p>
        </w:tc>
        <w:tc>
          <w:tcPr>
            <w:tcW w:w="525" w:type="pct"/>
            <w:tcBorders>
              <w:top w:val="nil"/>
              <w:left w:val="nil"/>
              <w:bottom w:val="nil"/>
              <w:right w:val="nil"/>
            </w:tcBorders>
          </w:tcPr>
          <w:p w14:paraId="678DA39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(.027)</w:t>
            </w:r>
          </w:p>
        </w:tc>
        <w:tc>
          <w:tcPr>
            <w:tcW w:w="537" w:type="pct"/>
            <w:tcBorders>
              <w:top w:val="nil"/>
              <w:left w:val="nil"/>
              <w:bottom w:val="nil"/>
              <w:right w:val="nil"/>
            </w:tcBorders>
          </w:tcPr>
          <w:p w14:paraId="3FCACC7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(.149)</w:t>
            </w:r>
          </w:p>
        </w:tc>
      </w:tr>
      <w:tr w:rsidR="00307155" w:rsidRPr="00FC7BB4" w14:paraId="1F7783DB" w14:textId="77777777" w:rsidTr="00291B27">
        <w:trPr>
          <w:trHeight w:val="158"/>
        </w:trPr>
        <w:tc>
          <w:tcPr>
            <w:tcW w:w="620" w:type="pct"/>
            <w:tcBorders>
              <w:top w:val="nil"/>
              <w:left w:val="nil"/>
              <w:right w:val="nil"/>
            </w:tcBorders>
            <w:vAlign w:val="bottom"/>
          </w:tcPr>
          <w:p w14:paraId="133C8AFF"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eastAsia="Cambria" w:hAnsi="Times New Roman" w:cs="Times New Roman"/>
                <w:i/>
                <w:sz w:val="14"/>
                <w:szCs w:val="14"/>
              </w:rPr>
              <w:t>k</w:t>
            </w:r>
            <w:r w:rsidRPr="00FC7BB4">
              <w:rPr>
                <w:rFonts w:ascii="Times New Roman" w:eastAsia="Cambria" w:hAnsi="Times New Roman" w:cs="Times New Roman"/>
                <w:sz w:val="14"/>
                <w:szCs w:val="14"/>
                <w:vertAlign w:val="subscript"/>
              </w:rPr>
              <w:t xml:space="preserve">2 </w:t>
            </w:r>
            <w:r w:rsidRPr="00FC7BB4">
              <w:rPr>
                <w:rFonts w:ascii="Times New Roman" w:hAnsi="Times New Roman" w:cs="Times New Roman"/>
                <w:sz w:val="14"/>
                <w:szCs w:val="14"/>
              </w:rPr>
              <w:t>(</w:t>
            </w:r>
            <w:proofErr w:type="spellStart"/>
            <w:r w:rsidRPr="00FC7BB4">
              <w:rPr>
                <w:rFonts w:ascii="Times New Roman" w:hAnsi="Times New Roman" w:cs="Times New Roman"/>
                <w:sz w:val="14"/>
                <w:szCs w:val="14"/>
              </w:rPr>
              <w:t>nc</w:t>
            </w:r>
            <w:proofErr w:type="spellEnd"/>
            <w:r w:rsidRPr="00FC7BB4">
              <w:rPr>
                <w:rFonts w:ascii="Times New Roman" w:hAnsi="Times New Roman" w:cs="Times New Roman"/>
                <w:sz w:val="14"/>
                <w:szCs w:val="14"/>
              </w:rPr>
              <w:t xml:space="preserve"> | up)</w:t>
            </w:r>
          </w:p>
        </w:tc>
        <w:tc>
          <w:tcPr>
            <w:tcW w:w="550" w:type="pct"/>
            <w:tcBorders>
              <w:top w:val="nil"/>
              <w:left w:val="nil"/>
              <w:right w:val="nil"/>
            </w:tcBorders>
          </w:tcPr>
          <w:p w14:paraId="14AD215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1.277***</w:t>
            </w:r>
          </w:p>
        </w:tc>
        <w:tc>
          <w:tcPr>
            <w:tcW w:w="515" w:type="pct"/>
            <w:tcBorders>
              <w:top w:val="nil"/>
              <w:left w:val="nil"/>
              <w:right w:val="nil"/>
            </w:tcBorders>
          </w:tcPr>
          <w:p w14:paraId="50E4019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.585**</w:t>
            </w:r>
          </w:p>
        </w:tc>
        <w:tc>
          <w:tcPr>
            <w:tcW w:w="551" w:type="pct"/>
            <w:tcBorders>
              <w:top w:val="nil"/>
              <w:left w:val="nil"/>
              <w:right w:val="nil"/>
            </w:tcBorders>
          </w:tcPr>
          <w:p w14:paraId="561E87B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1.434***</w:t>
            </w:r>
          </w:p>
        </w:tc>
        <w:tc>
          <w:tcPr>
            <w:tcW w:w="561" w:type="pct"/>
            <w:tcBorders>
              <w:top w:val="nil"/>
              <w:left w:val="nil"/>
              <w:right w:val="nil"/>
            </w:tcBorders>
          </w:tcPr>
          <w:p w14:paraId="6C48C98C"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2.566***</w:t>
            </w:r>
          </w:p>
        </w:tc>
        <w:tc>
          <w:tcPr>
            <w:tcW w:w="551" w:type="pct"/>
            <w:tcBorders>
              <w:top w:val="nil"/>
              <w:left w:val="nil"/>
              <w:right w:val="nil"/>
            </w:tcBorders>
          </w:tcPr>
          <w:p w14:paraId="3F68F2C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1.068***</w:t>
            </w:r>
          </w:p>
        </w:tc>
        <w:tc>
          <w:tcPr>
            <w:tcW w:w="590" w:type="pct"/>
            <w:tcBorders>
              <w:top w:val="nil"/>
              <w:left w:val="nil"/>
              <w:right w:val="nil"/>
            </w:tcBorders>
          </w:tcPr>
          <w:p w14:paraId="38376E8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2.572***</w:t>
            </w:r>
          </w:p>
        </w:tc>
        <w:tc>
          <w:tcPr>
            <w:tcW w:w="525" w:type="pct"/>
            <w:tcBorders>
              <w:top w:val="nil"/>
              <w:left w:val="nil"/>
              <w:right w:val="nil"/>
            </w:tcBorders>
          </w:tcPr>
          <w:p w14:paraId="4197F28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.897***</w:t>
            </w:r>
          </w:p>
        </w:tc>
        <w:tc>
          <w:tcPr>
            <w:tcW w:w="537" w:type="pct"/>
            <w:tcBorders>
              <w:top w:val="nil"/>
              <w:left w:val="nil"/>
              <w:right w:val="nil"/>
            </w:tcBorders>
          </w:tcPr>
          <w:p w14:paraId="7D401BC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1.03***</w:t>
            </w:r>
          </w:p>
        </w:tc>
      </w:tr>
      <w:tr w:rsidR="00307155" w:rsidRPr="00FC7BB4" w14:paraId="23573C95" w14:textId="77777777" w:rsidTr="00291B27">
        <w:trPr>
          <w:trHeight w:val="266"/>
        </w:trPr>
        <w:tc>
          <w:tcPr>
            <w:tcW w:w="620" w:type="pct"/>
            <w:tcBorders>
              <w:top w:val="nil"/>
              <w:left w:val="nil"/>
              <w:bottom w:val="single" w:sz="4" w:space="0" w:color="auto"/>
              <w:right w:val="nil"/>
            </w:tcBorders>
          </w:tcPr>
          <w:p w14:paraId="470A301D"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 xml:space="preserve">  </w:t>
            </w:r>
          </w:p>
        </w:tc>
        <w:tc>
          <w:tcPr>
            <w:tcW w:w="550" w:type="pct"/>
            <w:tcBorders>
              <w:top w:val="nil"/>
              <w:left w:val="nil"/>
              <w:bottom w:val="single" w:sz="4" w:space="0" w:color="auto"/>
              <w:right w:val="nil"/>
            </w:tcBorders>
          </w:tcPr>
          <w:p w14:paraId="6CE4B44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(.072)</w:t>
            </w:r>
          </w:p>
        </w:tc>
        <w:tc>
          <w:tcPr>
            <w:tcW w:w="515" w:type="pct"/>
            <w:tcBorders>
              <w:top w:val="nil"/>
              <w:left w:val="nil"/>
              <w:bottom w:val="single" w:sz="4" w:space="0" w:color="auto"/>
              <w:right w:val="nil"/>
            </w:tcBorders>
          </w:tcPr>
          <w:p w14:paraId="1CE50FA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(.243)</w:t>
            </w:r>
          </w:p>
        </w:tc>
        <w:tc>
          <w:tcPr>
            <w:tcW w:w="551" w:type="pct"/>
            <w:tcBorders>
              <w:top w:val="nil"/>
              <w:left w:val="nil"/>
              <w:bottom w:val="single" w:sz="4" w:space="0" w:color="auto"/>
              <w:right w:val="nil"/>
            </w:tcBorders>
          </w:tcPr>
          <w:p w14:paraId="1A95C632"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(.046)</w:t>
            </w:r>
          </w:p>
        </w:tc>
        <w:tc>
          <w:tcPr>
            <w:tcW w:w="561" w:type="pct"/>
            <w:tcBorders>
              <w:top w:val="nil"/>
              <w:left w:val="nil"/>
              <w:bottom w:val="single" w:sz="4" w:space="0" w:color="auto"/>
              <w:right w:val="nil"/>
            </w:tcBorders>
          </w:tcPr>
          <w:p w14:paraId="7EE127CE"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(.327)</w:t>
            </w:r>
          </w:p>
        </w:tc>
        <w:tc>
          <w:tcPr>
            <w:tcW w:w="551" w:type="pct"/>
            <w:tcBorders>
              <w:top w:val="nil"/>
              <w:left w:val="nil"/>
              <w:bottom w:val="single" w:sz="4" w:space="0" w:color="auto"/>
              <w:right w:val="nil"/>
            </w:tcBorders>
          </w:tcPr>
          <w:p w14:paraId="1EC0FA28"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(.037)</w:t>
            </w:r>
          </w:p>
        </w:tc>
        <w:tc>
          <w:tcPr>
            <w:tcW w:w="590" w:type="pct"/>
            <w:tcBorders>
              <w:top w:val="nil"/>
              <w:left w:val="nil"/>
              <w:bottom w:val="single" w:sz="4" w:space="0" w:color="auto"/>
              <w:right w:val="nil"/>
            </w:tcBorders>
          </w:tcPr>
          <w:p w14:paraId="6C498EC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(.451)</w:t>
            </w:r>
          </w:p>
        </w:tc>
        <w:tc>
          <w:tcPr>
            <w:tcW w:w="525" w:type="pct"/>
            <w:tcBorders>
              <w:top w:val="nil"/>
              <w:left w:val="nil"/>
              <w:bottom w:val="single" w:sz="4" w:space="0" w:color="auto"/>
              <w:right w:val="nil"/>
            </w:tcBorders>
          </w:tcPr>
          <w:p w14:paraId="5CF7FFC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(.019)</w:t>
            </w:r>
          </w:p>
        </w:tc>
        <w:tc>
          <w:tcPr>
            <w:tcW w:w="537" w:type="pct"/>
            <w:tcBorders>
              <w:top w:val="nil"/>
              <w:left w:val="nil"/>
              <w:bottom w:val="single" w:sz="4" w:space="0" w:color="auto"/>
              <w:right w:val="nil"/>
            </w:tcBorders>
          </w:tcPr>
          <w:p w14:paraId="311C3CD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(.139)</w:t>
            </w:r>
          </w:p>
        </w:tc>
      </w:tr>
      <w:tr w:rsidR="00307155" w:rsidRPr="00FC7BB4" w14:paraId="0CC1ADAB" w14:textId="77777777" w:rsidTr="00291B27">
        <w:trPr>
          <w:trHeight w:val="214"/>
        </w:trPr>
        <w:tc>
          <w:tcPr>
            <w:tcW w:w="620" w:type="pct"/>
            <w:tcBorders>
              <w:top w:val="single" w:sz="4" w:space="0" w:color="auto"/>
              <w:left w:val="nil"/>
              <w:bottom w:val="nil"/>
              <w:right w:val="nil"/>
            </w:tcBorders>
          </w:tcPr>
          <w:p w14:paraId="64BBDB3F"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Observations</w:t>
            </w:r>
          </w:p>
        </w:tc>
        <w:tc>
          <w:tcPr>
            <w:tcW w:w="550" w:type="pct"/>
            <w:tcBorders>
              <w:top w:val="single" w:sz="4" w:space="0" w:color="auto"/>
              <w:left w:val="nil"/>
              <w:bottom w:val="nil"/>
              <w:right w:val="nil"/>
            </w:tcBorders>
          </w:tcPr>
          <w:p w14:paraId="15D6E5C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5438</w:t>
            </w:r>
          </w:p>
        </w:tc>
        <w:tc>
          <w:tcPr>
            <w:tcW w:w="515" w:type="pct"/>
            <w:tcBorders>
              <w:top w:val="single" w:sz="4" w:space="0" w:color="auto"/>
              <w:left w:val="nil"/>
              <w:bottom w:val="nil"/>
              <w:right w:val="nil"/>
            </w:tcBorders>
          </w:tcPr>
          <w:p w14:paraId="703A516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1011</w:t>
            </w:r>
          </w:p>
        </w:tc>
        <w:tc>
          <w:tcPr>
            <w:tcW w:w="551" w:type="pct"/>
            <w:tcBorders>
              <w:top w:val="single" w:sz="4" w:space="0" w:color="auto"/>
              <w:left w:val="nil"/>
              <w:bottom w:val="nil"/>
              <w:right w:val="nil"/>
            </w:tcBorders>
          </w:tcPr>
          <w:p w14:paraId="08526A50"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15168</w:t>
            </w:r>
          </w:p>
        </w:tc>
        <w:tc>
          <w:tcPr>
            <w:tcW w:w="561" w:type="pct"/>
            <w:tcBorders>
              <w:top w:val="single" w:sz="4" w:space="0" w:color="auto"/>
              <w:left w:val="nil"/>
              <w:bottom w:val="nil"/>
              <w:right w:val="nil"/>
            </w:tcBorders>
          </w:tcPr>
          <w:p w14:paraId="5CC53D0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11185</w:t>
            </w:r>
          </w:p>
        </w:tc>
        <w:tc>
          <w:tcPr>
            <w:tcW w:w="551" w:type="pct"/>
            <w:tcBorders>
              <w:top w:val="single" w:sz="4" w:space="0" w:color="auto"/>
              <w:left w:val="nil"/>
              <w:bottom w:val="nil"/>
              <w:right w:val="nil"/>
            </w:tcBorders>
          </w:tcPr>
          <w:p w14:paraId="15C317B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13868</w:t>
            </w:r>
          </w:p>
        </w:tc>
        <w:tc>
          <w:tcPr>
            <w:tcW w:w="590" w:type="pct"/>
            <w:tcBorders>
              <w:top w:val="single" w:sz="4" w:space="0" w:color="auto"/>
              <w:left w:val="nil"/>
              <w:bottom w:val="nil"/>
              <w:right w:val="nil"/>
            </w:tcBorders>
          </w:tcPr>
          <w:p w14:paraId="787105E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5516</w:t>
            </w:r>
          </w:p>
        </w:tc>
        <w:tc>
          <w:tcPr>
            <w:tcW w:w="525" w:type="pct"/>
            <w:tcBorders>
              <w:top w:val="single" w:sz="4" w:space="0" w:color="auto"/>
              <w:left w:val="nil"/>
              <w:bottom w:val="nil"/>
              <w:right w:val="nil"/>
            </w:tcBorders>
          </w:tcPr>
          <w:p w14:paraId="22FCE4AF"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37792</w:t>
            </w:r>
          </w:p>
        </w:tc>
        <w:tc>
          <w:tcPr>
            <w:tcW w:w="537" w:type="pct"/>
            <w:tcBorders>
              <w:top w:val="single" w:sz="4" w:space="0" w:color="auto"/>
              <w:left w:val="nil"/>
              <w:bottom w:val="nil"/>
              <w:right w:val="nil"/>
            </w:tcBorders>
          </w:tcPr>
          <w:p w14:paraId="5ADDDF0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8215</w:t>
            </w:r>
          </w:p>
        </w:tc>
      </w:tr>
      <w:tr w:rsidR="00307155" w:rsidRPr="00FC7BB4" w14:paraId="44ABA760" w14:textId="77777777" w:rsidTr="00291B27">
        <w:trPr>
          <w:trHeight w:val="266"/>
        </w:trPr>
        <w:tc>
          <w:tcPr>
            <w:tcW w:w="620" w:type="pct"/>
            <w:tcBorders>
              <w:top w:val="nil"/>
              <w:left w:val="nil"/>
              <w:bottom w:val="nil"/>
              <w:right w:val="nil"/>
            </w:tcBorders>
          </w:tcPr>
          <w:p w14:paraId="7D302D58"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Chi-squared</w:t>
            </w:r>
          </w:p>
        </w:tc>
        <w:tc>
          <w:tcPr>
            <w:tcW w:w="550" w:type="pct"/>
            <w:tcBorders>
              <w:top w:val="nil"/>
              <w:left w:val="nil"/>
              <w:bottom w:val="nil"/>
              <w:right w:val="nil"/>
            </w:tcBorders>
          </w:tcPr>
          <w:p w14:paraId="3C4879F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1391</w:t>
            </w:r>
          </w:p>
        </w:tc>
        <w:tc>
          <w:tcPr>
            <w:tcW w:w="515" w:type="pct"/>
            <w:tcBorders>
              <w:top w:val="nil"/>
              <w:left w:val="nil"/>
              <w:bottom w:val="nil"/>
              <w:right w:val="nil"/>
            </w:tcBorders>
          </w:tcPr>
          <w:p w14:paraId="437BA8E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369</w:t>
            </w:r>
          </w:p>
        </w:tc>
        <w:tc>
          <w:tcPr>
            <w:tcW w:w="551" w:type="pct"/>
            <w:tcBorders>
              <w:top w:val="nil"/>
              <w:left w:val="nil"/>
              <w:bottom w:val="nil"/>
              <w:right w:val="nil"/>
            </w:tcBorders>
          </w:tcPr>
          <w:p w14:paraId="7A0BC49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2980</w:t>
            </w:r>
          </w:p>
        </w:tc>
        <w:tc>
          <w:tcPr>
            <w:tcW w:w="561" w:type="pct"/>
            <w:tcBorders>
              <w:top w:val="nil"/>
              <w:left w:val="nil"/>
              <w:bottom w:val="nil"/>
              <w:right w:val="nil"/>
            </w:tcBorders>
          </w:tcPr>
          <w:p w14:paraId="3082B04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2581</w:t>
            </w:r>
          </w:p>
        </w:tc>
        <w:tc>
          <w:tcPr>
            <w:tcW w:w="551" w:type="pct"/>
            <w:tcBorders>
              <w:top w:val="nil"/>
              <w:left w:val="nil"/>
              <w:bottom w:val="nil"/>
              <w:right w:val="nil"/>
            </w:tcBorders>
          </w:tcPr>
          <w:p w14:paraId="20B237CA"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5234</w:t>
            </w:r>
          </w:p>
        </w:tc>
        <w:tc>
          <w:tcPr>
            <w:tcW w:w="590" w:type="pct"/>
            <w:tcBorders>
              <w:top w:val="nil"/>
              <w:left w:val="nil"/>
              <w:bottom w:val="nil"/>
              <w:right w:val="nil"/>
            </w:tcBorders>
          </w:tcPr>
          <w:p w14:paraId="7013149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2379</w:t>
            </w:r>
          </w:p>
        </w:tc>
        <w:tc>
          <w:tcPr>
            <w:tcW w:w="525" w:type="pct"/>
            <w:tcBorders>
              <w:top w:val="nil"/>
              <w:left w:val="nil"/>
              <w:bottom w:val="nil"/>
              <w:right w:val="nil"/>
            </w:tcBorders>
          </w:tcPr>
          <w:p w14:paraId="270A381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10229</w:t>
            </w:r>
          </w:p>
        </w:tc>
        <w:tc>
          <w:tcPr>
            <w:tcW w:w="537" w:type="pct"/>
            <w:tcBorders>
              <w:top w:val="nil"/>
              <w:left w:val="nil"/>
              <w:bottom w:val="nil"/>
              <w:right w:val="nil"/>
            </w:tcBorders>
          </w:tcPr>
          <w:p w14:paraId="4E1632E7"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1916</w:t>
            </w:r>
          </w:p>
        </w:tc>
      </w:tr>
      <w:tr w:rsidR="00307155" w:rsidRPr="00FC7BB4" w14:paraId="2D6FB43D" w14:textId="77777777" w:rsidTr="00291B27">
        <w:trPr>
          <w:trHeight w:val="266"/>
        </w:trPr>
        <w:tc>
          <w:tcPr>
            <w:tcW w:w="620" w:type="pct"/>
            <w:tcBorders>
              <w:top w:val="nil"/>
              <w:left w:val="nil"/>
              <w:right w:val="nil"/>
            </w:tcBorders>
          </w:tcPr>
          <w:p w14:paraId="0840F774"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Prob&gt;chi2</w:t>
            </w:r>
          </w:p>
        </w:tc>
        <w:tc>
          <w:tcPr>
            <w:tcW w:w="550" w:type="pct"/>
            <w:tcBorders>
              <w:top w:val="nil"/>
              <w:left w:val="nil"/>
              <w:right w:val="nil"/>
            </w:tcBorders>
          </w:tcPr>
          <w:p w14:paraId="3F61CDFF"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0.000</w:t>
            </w:r>
          </w:p>
        </w:tc>
        <w:tc>
          <w:tcPr>
            <w:tcW w:w="515" w:type="pct"/>
            <w:tcBorders>
              <w:top w:val="nil"/>
              <w:left w:val="nil"/>
              <w:right w:val="nil"/>
            </w:tcBorders>
          </w:tcPr>
          <w:p w14:paraId="2628739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0.000</w:t>
            </w:r>
          </w:p>
        </w:tc>
        <w:tc>
          <w:tcPr>
            <w:tcW w:w="551" w:type="pct"/>
            <w:tcBorders>
              <w:top w:val="nil"/>
              <w:left w:val="nil"/>
              <w:right w:val="nil"/>
            </w:tcBorders>
          </w:tcPr>
          <w:p w14:paraId="78E784C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0.000</w:t>
            </w:r>
          </w:p>
        </w:tc>
        <w:tc>
          <w:tcPr>
            <w:tcW w:w="561" w:type="pct"/>
            <w:tcBorders>
              <w:top w:val="nil"/>
              <w:left w:val="nil"/>
              <w:right w:val="nil"/>
            </w:tcBorders>
          </w:tcPr>
          <w:p w14:paraId="64DCC796"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0.000</w:t>
            </w:r>
          </w:p>
        </w:tc>
        <w:tc>
          <w:tcPr>
            <w:tcW w:w="551" w:type="pct"/>
            <w:tcBorders>
              <w:top w:val="nil"/>
              <w:left w:val="nil"/>
              <w:right w:val="nil"/>
            </w:tcBorders>
          </w:tcPr>
          <w:p w14:paraId="04E1BFDB"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0.000</w:t>
            </w:r>
          </w:p>
        </w:tc>
        <w:tc>
          <w:tcPr>
            <w:tcW w:w="590" w:type="pct"/>
            <w:tcBorders>
              <w:top w:val="nil"/>
              <w:left w:val="nil"/>
              <w:right w:val="nil"/>
            </w:tcBorders>
          </w:tcPr>
          <w:p w14:paraId="6389D96C" w14:textId="77777777" w:rsidR="00307155" w:rsidRPr="00FC7BB4" w:rsidRDefault="00307155" w:rsidP="00F3101B">
            <w:pPr>
              <w:widowControl w:val="0"/>
              <w:autoSpaceDE w:val="0"/>
              <w:autoSpaceDN w:val="0"/>
              <w:adjustRightInd w:val="0"/>
              <w:spacing w:after="100" w:afterAutospacing="1" w:line="240" w:lineRule="auto"/>
              <w:ind w:right="27"/>
              <w:rPr>
                <w:rFonts w:ascii="Times New Roman" w:hAnsi="Times New Roman" w:cs="Times New Roman"/>
                <w:sz w:val="14"/>
                <w:szCs w:val="14"/>
              </w:rPr>
            </w:pPr>
            <w:r w:rsidRPr="00FC7BB4">
              <w:rPr>
                <w:rFonts w:ascii="Times New Roman" w:hAnsi="Times New Roman" w:cs="Times New Roman"/>
                <w:sz w:val="14"/>
                <w:szCs w:val="14"/>
              </w:rPr>
              <w:t>0.000</w:t>
            </w:r>
          </w:p>
        </w:tc>
        <w:tc>
          <w:tcPr>
            <w:tcW w:w="525" w:type="pct"/>
            <w:tcBorders>
              <w:top w:val="nil"/>
              <w:left w:val="nil"/>
              <w:right w:val="nil"/>
            </w:tcBorders>
          </w:tcPr>
          <w:p w14:paraId="3A66EC29" w14:textId="77777777" w:rsidR="00307155" w:rsidRPr="00FC7BB4" w:rsidRDefault="00307155" w:rsidP="00F3101B">
            <w:pPr>
              <w:widowControl w:val="0"/>
              <w:autoSpaceDE w:val="0"/>
              <w:autoSpaceDN w:val="0"/>
              <w:adjustRightInd w:val="0"/>
              <w:spacing w:after="100" w:afterAutospacing="1" w:line="240" w:lineRule="auto"/>
              <w:ind w:right="27"/>
              <w:rPr>
                <w:rFonts w:ascii="Times New Roman" w:hAnsi="Times New Roman" w:cs="Times New Roman"/>
                <w:sz w:val="14"/>
                <w:szCs w:val="14"/>
              </w:rPr>
            </w:pPr>
            <w:r w:rsidRPr="00FC7BB4">
              <w:rPr>
                <w:rFonts w:ascii="Times New Roman" w:hAnsi="Times New Roman" w:cs="Times New Roman"/>
                <w:sz w:val="14"/>
                <w:szCs w:val="14"/>
              </w:rPr>
              <w:t>0.000</w:t>
            </w:r>
          </w:p>
        </w:tc>
        <w:tc>
          <w:tcPr>
            <w:tcW w:w="537" w:type="pct"/>
            <w:tcBorders>
              <w:top w:val="nil"/>
              <w:left w:val="nil"/>
              <w:right w:val="nil"/>
            </w:tcBorders>
          </w:tcPr>
          <w:p w14:paraId="197EB84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0.000</w:t>
            </w:r>
          </w:p>
        </w:tc>
      </w:tr>
      <w:tr w:rsidR="00307155" w:rsidRPr="00FC7BB4" w14:paraId="712728EC" w14:textId="77777777" w:rsidTr="00291B27">
        <w:trPr>
          <w:trHeight w:val="266"/>
        </w:trPr>
        <w:tc>
          <w:tcPr>
            <w:tcW w:w="620" w:type="pct"/>
            <w:tcBorders>
              <w:top w:val="nil"/>
              <w:left w:val="nil"/>
              <w:bottom w:val="single" w:sz="4" w:space="0" w:color="auto"/>
              <w:right w:val="nil"/>
            </w:tcBorders>
          </w:tcPr>
          <w:p w14:paraId="31625018" w14:textId="77777777" w:rsidR="00307155" w:rsidRPr="00FC7BB4" w:rsidRDefault="00307155" w:rsidP="00F3101B">
            <w:pPr>
              <w:widowControl w:val="0"/>
              <w:autoSpaceDE w:val="0"/>
              <w:autoSpaceDN w:val="0"/>
              <w:adjustRightInd w:val="0"/>
              <w:spacing w:after="0" w:line="240" w:lineRule="auto"/>
              <w:ind w:right="27" w:firstLine="0"/>
              <w:rPr>
                <w:rFonts w:ascii="Times New Roman" w:hAnsi="Times New Roman" w:cs="Times New Roman"/>
                <w:sz w:val="14"/>
                <w:szCs w:val="14"/>
              </w:rPr>
            </w:pPr>
            <w:r w:rsidRPr="00FC7BB4">
              <w:rPr>
                <w:rFonts w:ascii="Times New Roman" w:hAnsi="Times New Roman" w:cs="Times New Roman"/>
                <w:sz w:val="14"/>
                <w:szCs w:val="14"/>
              </w:rPr>
              <w:t>Log likelihood</w:t>
            </w:r>
          </w:p>
        </w:tc>
        <w:tc>
          <w:tcPr>
            <w:tcW w:w="550" w:type="pct"/>
            <w:tcBorders>
              <w:top w:val="nil"/>
              <w:left w:val="nil"/>
              <w:bottom w:val="single" w:sz="4" w:space="0" w:color="auto"/>
              <w:right w:val="nil"/>
            </w:tcBorders>
          </w:tcPr>
          <w:p w14:paraId="23A76A95"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-4456</w:t>
            </w:r>
          </w:p>
        </w:tc>
        <w:tc>
          <w:tcPr>
            <w:tcW w:w="515" w:type="pct"/>
            <w:tcBorders>
              <w:top w:val="nil"/>
              <w:left w:val="nil"/>
              <w:bottom w:val="single" w:sz="4" w:space="0" w:color="auto"/>
              <w:right w:val="nil"/>
            </w:tcBorders>
          </w:tcPr>
          <w:p w14:paraId="68B0A30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-813</w:t>
            </w:r>
          </w:p>
        </w:tc>
        <w:tc>
          <w:tcPr>
            <w:tcW w:w="551" w:type="pct"/>
            <w:tcBorders>
              <w:top w:val="nil"/>
              <w:left w:val="nil"/>
              <w:bottom w:val="single" w:sz="4" w:space="0" w:color="auto"/>
              <w:right w:val="nil"/>
            </w:tcBorders>
          </w:tcPr>
          <w:p w14:paraId="5B6A452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-11264</w:t>
            </w:r>
          </w:p>
        </w:tc>
        <w:tc>
          <w:tcPr>
            <w:tcW w:w="561" w:type="pct"/>
            <w:tcBorders>
              <w:top w:val="nil"/>
              <w:left w:val="nil"/>
              <w:bottom w:val="single" w:sz="4" w:space="0" w:color="auto"/>
              <w:right w:val="nil"/>
            </w:tcBorders>
          </w:tcPr>
          <w:p w14:paraId="16EB3F8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-9662</w:t>
            </w:r>
          </w:p>
        </w:tc>
        <w:tc>
          <w:tcPr>
            <w:tcW w:w="551" w:type="pct"/>
            <w:tcBorders>
              <w:top w:val="nil"/>
              <w:left w:val="nil"/>
              <w:bottom w:val="single" w:sz="4" w:space="0" w:color="auto"/>
              <w:right w:val="nil"/>
            </w:tcBorders>
          </w:tcPr>
          <w:p w14:paraId="59F0385D"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-10531</w:t>
            </w:r>
          </w:p>
        </w:tc>
        <w:tc>
          <w:tcPr>
            <w:tcW w:w="590" w:type="pct"/>
            <w:tcBorders>
              <w:top w:val="nil"/>
              <w:left w:val="nil"/>
              <w:bottom w:val="single" w:sz="4" w:space="0" w:color="auto"/>
              <w:right w:val="nil"/>
            </w:tcBorders>
          </w:tcPr>
          <w:p w14:paraId="6FAF3554"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-4226</w:t>
            </w:r>
          </w:p>
        </w:tc>
        <w:tc>
          <w:tcPr>
            <w:tcW w:w="525" w:type="pct"/>
            <w:tcBorders>
              <w:top w:val="nil"/>
              <w:left w:val="nil"/>
              <w:bottom w:val="single" w:sz="4" w:space="0" w:color="auto"/>
              <w:right w:val="nil"/>
            </w:tcBorders>
          </w:tcPr>
          <w:p w14:paraId="2F9DC6C9"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-26783</w:t>
            </w:r>
          </w:p>
        </w:tc>
        <w:tc>
          <w:tcPr>
            <w:tcW w:w="537" w:type="pct"/>
            <w:tcBorders>
              <w:top w:val="nil"/>
              <w:left w:val="nil"/>
              <w:bottom w:val="single" w:sz="4" w:space="0" w:color="auto"/>
              <w:right w:val="nil"/>
            </w:tcBorders>
          </w:tcPr>
          <w:p w14:paraId="52DFDCD1"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14"/>
                <w:szCs w:val="14"/>
              </w:rPr>
            </w:pPr>
            <w:r w:rsidRPr="00FC7BB4">
              <w:rPr>
                <w:rFonts w:ascii="Times New Roman" w:hAnsi="Times New Roman" w:cs="Times New Roman"/>
                <w:sz w:val="14"/>
                <w:szCs w:val="14"/>
              </w:rPr>
              <w:t>-6849</w:t>
            </w:r>
          </w:p>
        </w:tc>
      </w:tr>
    </w:tbl>
    <w:p w14:paraId="0659CE43" w14:textId="77777777" w:rsidR="00307155" w:rsidRPr="00FC7BB4" w:rsidRDefault="00307155" w:rsidP="00F3101B">
      <w:pPr>
        <w:widowControl w:val="0"/>
        <w:autoSpaceDE w:val="0"/>
        <w:autoSpaceDN w:val="0"/>
        <w:adjustRightInd w:val="0"/>
        <w:spacing w:after="0" w:line="240" w:lineRule="auto"/>
        <w:ind w:right="27"/>
        <w:rPr>
          <w:rFonts w:ascii="Times New Roman" w:hAnsi="Times New Roman" w:cs="Times New Roman"/>
          <w:sz w:val="8"/>
          <w:szCs w:val="8"/>
        </w:rPr>
      </w:pPr>
    </w:p>
    <w:p w14:paraId="3E4AA2CD" w14:textId="4CDB3D93" w:rsidR="00307155" w:rsidRPr="00FC7BB4" w:rsidRDefault="00307155" w:rsidP="00F3101B">
      <w:pPr>
        <w:spacing w:after="3" w:line="265" w:lineRule="auto"/>
        <w:ind w:left="-5" w:right="27" w:hanging="10"/>
        <w:rPr>
          <w:rFonts w:ascii="Times New Roman" w:hAnsi="Times New Roman" w:cs="Times New Roman"/>
          <w:sz w:val="18"/>
          <w:szCs w:val="18"/>
        </w:rPr>
      </w:pPr>
      <w:r w:rsidRPr="00FC7BB4">
        <w:rPr>
          <w:rFonts w:ascii="Times New Roman" w:hAnsi="Times New Roman" w:cs="Times New Roman"/>
          <w:sz w:val="18"/>
          <w:szCs w:val="18"/>
        </w:rPr>
        <w:t xml:space="preserve">Notes: </w:t>
      </w:r>
      <w:bookmarkStart w:id="104" w:name="_Hlk213336665"/>
      <w:r w:rsidRPr="00FC7BB4">
        <w:rPr>
          <w:rFonts w:ascii="Times New Roman" w:hAnsi="Times New Roman" w:cs="Times New Roman"/>
          <w:sz w:val="18"/>
          <w:szCs w:val="18"/>
        </w:rPr>
        <w:t>Large firms are firms with more than 200 employees; small firms are firms with 20</w:t>
      </w:r>
      <w:r w:rsidR="00C135D5" w:rsidRPr="00FC7BB4">
        <w:rPr>
          <w:rFonts w:ascii="Times New Roman" w:hAnsi="Times New Roman" w:cs="Times New Roman"/>
          <w:sz w:val="18"/>
          <w:szCs w:val="18"/>
        </w:rPr>
        <w:t xml:space="preserve"> or fewer</w:t>
      </w:r>
      <w:r w:rsidRPr="00FC7BB4">
        <w:rPr>
          <w:rFonts w:ascii="Times New Roman" w:hAnsi="Times New Roman" w:cs="Times New Roman"/>
          <w:sz w:val="18"/>
          <w:szCs w:val="18"/>
        </w:rPr>
        <w:t xml:space="preserve"> employees. C=costs, D=demand, up=increase, </w:t>
      </w:r>
      <w:proofErr w:type="spellStart"/>
      <w:r w:rsidRPr="00FC7BB4">
        <w:rPr>
          <w:rFonts w:ascii="Times New Roman" w:hAnsi="Times New Roman" w:cs="Times New Roman"/>
          <w:sz w:val="18"/>
          <w:szCs w:val="18"/>
        </w:rPr>
        <w:t>nc</w:t>
      </w:r>
      <w:proofErr w:type="spellEnd"/>
      <w:r w:rsidRPr="00FC7BB4">
        <w:rPr>
          <w:rFonts w:ascii="Times New Roman" w:hAnsi="Times New Roman" w:cs="Times New Roman"/>
          <w:sz w:val="18"/>
          <w:szCs w:val="18"/>
        </w:rPr>
        <w:t xml:space="preserve">=no change, </w:t>
      </w:r>
      <w:proofErr w:type="spellStart"/>
      <w:r w:rsidRPr="00FC7BB4">
        <w:rPr>
          <w:rFonts w:ascii="Times New Roman" w:hAnsi="Times New Roman" w:cs="Times New Roman"/>
          <w:sz w:val="18"/>
          <w:szCs w:val="18"/>
        </w:rPr>
        <w:t>dn</w:t>
      </w:r>
      <w:proofErr w:type="spellEnd"/>
      <w:r w:rsidRPr="00FC7BB4">
        <w:rPr>
          <w:rFonts w:ascii="Times New Roman" w:hAnsi="Times New Roman" w:cs="Times New Roman"/>
          <w:sz w:val="18"/>
          <w:szCs w:val="18"/>
        </w:rPr>
        <w:t>=down;</w:t>
      </w:r>
      <w:r w:rsidRPr="00FC7BB4">
        <w:rPr>
          <w:rFonts w:ascii="Times New Roman" w:eastAsia="Cambria" w:hAnsi="Times New Roman" w:cs="Times New Roman"/>
          <w:i/>
          <w:sz w:val="18"/>
          <w:szCs w:val="18"/>
        </w:rPr>
        <w:t xml:space="preserve"> </w:t>
      </w:r>
      <w:r w:rsidRPr="00FC7BB4">
        <w:rPr>
          <w:rFonts w:ascii="Times New Roman" w:hAnsi="Times New Roman" w:cs="Times New Roman"/>
          <w:sz w:val="18"/>
          <w:szCs w:val="18"/>
        </w:rPr>
        <w:t xml:space="preserve">hence for example, Cup=Costs up, and so on. Standard errors are reported in parentheses: </w:t>
      </w:r>
      <w:r w:rsidRPr="00FC7BB4">
        <w:rPr>
          <w:rFonts w:ascii="Cambria Math" w:eastAsia="Cambria" w:hAnsi="Cambria Math" w:cs="Cambria Math"/>
          <w:sz w:val="18"/>
          <w:szCs w:val="18"/>
          <w:vertAlign w:val="superscript"/>
        </w:rPr>
        <w:t>∗∗∗</w:t>
      </w:r>
      <w:r w:rsidRPr="00FC7BB4">
        <w:rPr>
          <w:rFonts w:ascii="Times New Roman" w:eastAsia="Cambria" w:hAnsi="Times New Roman" w:cs="Times New Roman"/>
          <w:i/>
          <w:sz w:val="18"/>
          <w:szCs w:val="18"/>
        </w:rPr>
        <w:t xml:space="preserve">p &lt; </w:t>
      </w:r>
      <w:r w:rsidRPr="00FC7BB4">
        <w:rPr>
          <w:rFonts w:ascii="Times New Roman" w:eastAsia="Cambria" w:hAnsi="Times New Roman" w:cs="Times New Roman"/>
          <w:sz w:val="18"/>
          <w:szCs w:val="18"/>
        </w:rPr>
        <w:t>0</w:t>
      </w:r>
      <w:r w:rsidRPr="00FC7BB4">
        <w:rPr>
          <w:rFonts w:ascii="Times New Roman" w:eastAsia="Cambria" w:hAnsi="Times New Roman" w:cs="Times New Roman"/>
          <w:i/>
          <w:sz w:val="18"/>
          <w:szCs w:val="18"/>
        </w:rPr>
        <w:t>.</w:t>
      </w:r>
      <w:r w:rsidRPr="00FC7BB4">
        <w:rPr>
          <w:rFonts w:ascii="Times New Roman" w:eastAsia="Cambria" w:hAnsi="Times New Roman" w:cs="Times New Roman"/>
          <w:sz w:val="18"/>
          <w:szCs w:val="18"/>
        </w:rPr>
        <w:t>01</w:t>
      </w:r>
      <w:r w:rsidRPr="00FC7BB4">
        <w:rPr>
          <w:rFonts w:ascii="Times New Roman" w:hAnsi="Times New Roman" w:cs="Times New Roman"/>
          <w:sz w:val="18"/>
          <w:szCs w:val="18"/>
        </w:rPr>
        <w:t xml:space="preserve">; </w:t>
      </w:r>
      <w:r w:rsidRPr="00FC7BB4">
        <w:rPr>
          <w:rFonts w:ascii="Cambria Math" w:eastAsia="Cambria" w:hAnsi="Cambria Math" w:cs="Cambria Math"/>
          <w:sz w:val="18"/>
          <w:szCs w:val="18"/>
          <w:vertAlign w:val="superscript"/>
        </w:rPr>
        <w:t>∗∗</w:t>
      </w:r>
      <w:r w:rsidRPr="00FC7BB4">
        <w:rPr>
          <w:rFonts w:ascii="Times New Roman" w:eastAsia="Cambria" w:hAnsi="Times New Roman" w:cs="Times New Roman"/>
          <w:i/>
          <w:sz w:val="18"/>
          <w:szCs w:val="18"/>
        </w:rPr>
        <w:t xml:space="preserve">p &lt; </w:t>
      </w:r>
      <w:r w:rsidRPr="00FC7BB4">
        <w:rPr>
          <w:rFonts w:ascii="Times New Roman" w:eastAsia="Cambria" w:hAnsi="Times New Roman" w:cs="Times New Roman"/>
          <w:sz w:val="18"/>
          <w:szCs w:val="18"/>
        </w:rPr>
        <w:t>0</w:t>
      </w:r>
      <w:r w:rsidRPr="00FC7BB4">
        <w:rPr>
          <w:rFonts w:ascii="Times New Roman" w:eastAsia="Cambria" w:hAnsi="Times New Roman" w:cs="Times New Roman"/>
          <w:i/>
          <w:sz w:val="18"/>
          <w:szCs w:val="18"/>
        </w:rPr>
        <w:t>.</w:t>
      </w:r>
      <w:r w:rsidRPr="00FC7BB4">
        <w:rPr>
          <w:rFonts w:ascii="Times New Roman" w:eastAsia="Cambria" w:hAnsi="Times New Roman" w:cs="Times New Roman"/>
          <w:sz w:val="18"/>
          <w:szCs w:val="18"/>
        </w:rPr>
        <w:t>05</w:t>
      </w:r>
      <w:r w:rsidRPr="00FC7BB4">
        <w:rPr>
          <w:rFonts w:ascii="Times New Roman" w:hAnsi="Times New Roman" w:cs="Times New Roman"/>
          <w:sz w:val="18"/>
          <w:szCs w:val="18"/>
        </w:rPr>
        <w:t xml:space="preserve">; </w:t>
      </w:r>
      <w:r w:rsidRPr="00FC7BB4">
        <w:rPr>
          <w:rFonts w:ascii="Cambria Math" w:eastAsia="Cambria" w:hAnsi="Cambria Math" w:cs="Cambria Math"/>
          <w:sz w:val="18"/>
          <w:szCs w:val="18"/>
          <w:vertAlign w:val="superscript"/>
        </w:rPr>
        <w:t>∗</w:t>
      </w:r>
      <w:r w:rsidRPr="00FC7BB4">
        <w:rPr>
          <w:rFonts w:ascii="Times New Roman" w:eastAsia="Cambria" w:hAnsi="Times New Roman" w:cs="Times New Roman"/>
          <w:i/>
          <w:sz w:val="18"/>
          <w:szCs w:val="18"/>
        </w:rPr>
        <w:t xml:space="preserve">p &lt; </w:t>
      </w:r>
      <w:r w:rsidRPr="00FC7BB4">
        <w:rPr>
          <w:rFonts w:ascii="Times New Roman" w:eastAsia="Cambria" w:hAnsi="Times New Roman" w:cs="Times New Roman"/>
          <w:sz w:val="18"/>
          <w:szCs w:val="18"/>
        </w:rPr>
        <w:t>0</w:t>
      </w:r>
      <w:r w:rsidRPr="00FC7BB4">
        <w:rPr>
          <w:rFonts w:ascii="Times New Roman" w:eastAsia="Cambria" w:hAnsi="Times New Roman" w:cs="Times New Roman"/>
          <w:i/>
          <w:sz w:val="18"/>
          <w:szCs w:val="18"/>
        </w:rPr>
        <w:t>.</w:t>
      </w:r>
      <w:r w:rsidRPr="00FC7BB4">
        <w:rPr>
          <w:rFonts w:ascii="Times New Roman" w:eastAsia="Cambria" w:hAnsi="Times New Roman" w:cs="Times New Roman"/>
          <w:sz w:val="18"/>
          <w:szCs w:val="18"/>
        </w:rPr>
        <w:t xml:space="preserve">1. The model is </w:t>
      </w:r>
      <w:r w:rsidRPr="00FC7BB4">
        <w:rPr>
          <w:rFonts w:ascii="Times New Roman" w:hAnsi="Times New Roman" w:cs="Times New Roman"/>
          <w:sz w:val="18"/>
          <w:szCs w:val="18"/>
        </w:rPr>
        <w:t xml:space="preserve">estimated using the </w:t>
      </w:r>
      <w:proofErr w:type="spellStart"/>
      <w:r w:rsidRPr="00FC7BB4">
        <w:rPr>
          <w:rFonts w:ascii="Times New Roman" w:hAnsi="Times New Roman" w:cs="Times New Roman"/>
          <w:sz w:val="18"/>
          <w:szCs w:val="18"/>
        </w:rPr>
        <w:t>hetoprobit</w:t>
      </w:r>
      <w:proofErr w:type="spellEnd"/>
      <w:r w:rsidRPr="00FC7BB4">
        <w:rPr>
          <w:rFonts w:ascii="Times New Roman" w:hAnsi="Times New Roman" w:cs="Times New Roman"/>
          <w:sz w:val="18"/>
          <w:szCs w:val="18"/>
        </w:rPr>
        <w:t xml:space="preserve"> command in Stata which implements a version of the ordered probit model that allows for the variance to be a function of specified explanatory variables. The variance is modelled as a function </w:t>
      </w:r>
      <w:proofErr w:type="gramStart"/>
      <w:r w:rsidRPr="00FC7BB4">
        <w:rPr>
          <w:rFonts w:ascii="Times New Roman" w:hAnsi="Times New Roman" w:cs="Times New Roman"/>
          <w:sz w:val="18"/>
          <w:szCs w:val="18"/>
        </w:rPr>
        <w:t>of  the</w:t>
      </w:r>
      <w:proofErr w:type="gramEnd"/>
      <w:r w:rsidRPr="00FC7BB4">
        <w:rPr>
          <w:rFonts w:ascii="Times New Roman" w:hAnsi="Times New Roman" w:cs="Times New Roman"/>
          <w:sz w:val="18"/>
          <w:szCs w:val="18"/>
        </w:rPr>
        <w:t xml:space="preserve"> inflation rate.  Likelihood ratio chi-square is the Likelihood Ratio test statistic. The Likelihood Ratio test statistic calculates by how much the likelihood improves in the model when heteroskedasticity is allowed for versus a model where the variance is assumed to be </w:t>
      </w:r>
      <w:proofErr w:type="spellStart"/>
      <w:r w:rsidR="00FB5BC3" w:rsidRPr="00FC7BB4">
        <w:rPr>
          <w:rFonts w:ascii="Times New Roman" w:hAnsi="Times New Roman" w:cs="Times New Roman"/>
          <w:sz w:val="18"/>
          <w:szCs w:val="18"/>
        </w:rPr>
        <w:t>homoskedastic</w:t>
      </w:r>
      <w:proofErr w:type="spellEnd"/>
      <w:r w:rsidRPr="00FC7BB4">
        <w:rPr>
          <w:rFonts w:ascii="Times New Roman" w:hAnsi="Times New Roman" w:cs="Times New Roman"/>
          <w:sz w:val="18"/>
          <w:szCs w:val="18"/>
        </w:rPr>
        <w:t>. The specific formula for the test statistic is LR = -2(</w:t>
      </w:r>
      <w:proofErr w:type="gramStart"/>
      <w:r w:rsidRPr="00FC7BB4">
        <w:rPr>
          <w:rFonts w:ascii="Times New Roman" w:hAnsi="Times New Roman" w:cs="Times New Roman"/>
          <w:sz w:val="18"/>
          <w:szCs w:val="18"/>
        </w:rPr>
        <w:t>ln(</w:t>
      </w:r>
      <w:proofErr w:type="spellStart"/>
      <w:proofErr w:type="gramEnd"/>
      <w:r w:rsidRPr="00FC7BB4">
        <w:rPr>
          <w:rFonts w:ascii="Times New Roman" w:hAnsi="Times New Roman" w:cs="Times New Roman"/>
          <w:sz w:val="18"/>
          <w:szCs w:val="18"/>
        </w:rPr>
        <w:t>L</w:t>
      </w:r>
      <w:r w:rsidRPr="00FC7BB4">
        <w:rPr>
          <w:rFonts w:ascii="Times New Roman" w:hAnsi="Times New Roman" w:cs="Times New Roman"/>
          <w:sz w:val="18"/>
          <w:szCs w:val="18"/>
          <w:vertAlign w:val="subscript"/>
        </w:rPr>
        <w:t>Heteroskedastic</w:t>
      </w:r>
      <w:proofErr w:type="spellEnd"/>
      <w:r w:rsidRPr="00FC7BB4">
        <w:rPr>
          <w:rFonts w:ascii="Times New Roman" w:hAnsi="Times New Roman" w:cs="Times New Roman"/>
          <w:sz w:val="18"/>
          <w:szCs w:val="18"/>
        </w:rPr>
        <w:t xml:space="preserve">) – </w:t>
      </w:r>
      <w:proofErr w:type="gramStart"/>
      <w:r w:rsidRPr="00FC7BB4">
        <w:rPr>
          <w:rFonts w:ascii="Times New Roman" w:hAnsi="Times New Roman" w:cs="Times New Roman"/>
          <w:sz w:val="18"/>
          <w:szCs w:val="18"/>
        </w:rPr>
        <w:t>ln(</w:t>
      </w:r>
      <w:proofErr w:type="spellStart"/>
      <w:proofErr w:type="gramEnd"/>
      <w:r w:rsidRPr="00FC7BB4">
        <w:rPr>
          <w:rFonts w:ascii="Times New Roman" w:hAnsi="Times New Roman" w:cs="Times New Roman"/>
          <w:sz w:val="18"/>
          <w:szCs w:val="18"/>
        </w:rPr>
        <w:t>L</w:t>
      </w:r>
      <w:r w:rsidRPr="00FC7BB4">
        <w:rPr>
          <w:rFonts w:ascii="Times New Roman" w:hAnsi="Times New Roman" w:cs="Times New Roman"/>
          <w:sz w:val="18"/>
          <w:szCs w:val="18"/>
          <w:vertAlign w:val="subscript"/>
        </w:rPr>
        <w:t>Homoskedastic</w:t>
      </w:r>
      <w:proofErr w:type="spellEnd"/>
      <w:r w:rsidRPr="00FC7BB4">
        <w:rPr>
          <w:rFonts w:ascii="Times New Roman" w:hAnsi="Times New Roman" w:cs="Times New Roman"/>
          <w:sz w:val="18"/>
          <w:szCs w:val="18"/>
        </w:rPr>
        <w:t>)).  If the null hypothesis is true, the Likelihood Ratio test statistic follows a chi-squared distribution with degrees of freedom equal to the number of additional variance parameters in the heteroskedastic version of the model.  Prob&gt;chi</w:t>
      </w:r>
      <w:r w:rsidRPr="00FC7BB4">
        <w:rPr>
          <w:rFonts w:ascii="Times New Roman" w:hAnsi="Times New Roman" w:cs="Times New Roman"/>
          <w:sz w:val="18"/>
          <w:szCs w:val="18"/>
          <w:vertAlign w:val="superscript"/>
        </w:rPr>
        <w:t>2</w:t>
      </w:r>
      <w:r w:rsidRPr="00FC7BB4">
        <w:rPr>
          <w:rFonts w:ascii="Times New Roman" w:hAnsi="Times New Roman" w:cs="Times New Roman"/>
          <w:sz w:val="18"/>
          <w:szCs w:val="18"/>
        </w:rPr>
        <w:t xml:space="preserve"> is the probability based on the chi-squared distribution and the value of the Likelihood Ratio test statistic that </w:t>
      </w:r>
      <w:r w:rsidR="001D37B9" w:rsidRPr="00FC7BB4">
        <w:rPr>
          <w:rFonts w:ascii="Times New Roman" w:hAnsi="Times New Roman" w:cs="Times New Roman"/>
          <w:sz w:val="18"/>
          <w:szCs w:val="18"/>
        </w:rPr>
        <w:t xml:space="preserve">one </w:t>
      </w:r>
      <w:r w:rsidRPr="00FC7BB4">
        <w:rPr>
          <w:rFonts w:ascii="Times New Roman" w:hAnsi="Times New Roman" w:cs="Times New Roman"/>
          <w:sz w:val="18"/>
          <w:szCs w:val="18"/>
        </w:rPr>
        <w:t xml:space="preserve">should accept the null hypothesis that there is no difference between the heteroskedastic version of the model and the </w:t>
      </w:r>
      <w:proofErr w:type="spellStart"/>
      <w:r w:rsidRPr="00FC7BB4">
        <w:rPr>
          <w:rFonts w:ascii="Times New Roman" w:hAnsi="Times New Roman" w:cs="Times New Roman"/>
          <w:sz w:val="18"/>
          <w:szCs w:val="18"/>
        </w:rPr>
        <w:t>homoskedastic</w:t>
      </w:r>
      <w:proofErr w:type="spellEnd"/>
      <w:r w:rsidRPr="00FC7BB4">
        <w:rPr>
          <w:rFonts w:ascii="Times New Roman" w:hAnsi="Times New Roman" w:cs="Times New Roman"/>
          <w:sz w:val="18"/>
          <w:szCs w:val="18"/>
        </w:rPr>
        <w:t xml:space="preserve"> version of the model in terms of likelihood.  </w:t>
      </w:r>
    </w:p>
    <w:bookmarkEnd w:id="104"/>
    <w:p w14:paraId="505470BB" w14:textId="77777777" w:rsidR="00307155" w:rsidRPr="00FC7BB4" w:rsidRDefault="00307155" w:rsidP="00F3101B">
      <w:pPr>
        <w:spacing w:after="3" w:line="265" w:lineRule="auto"/>
        <w:ind w:left="-5" w:right="27" w:hanging="10"/>
        <w:rPr>
          <w:rFonts w:ascii="Times New Roman" w:hAnsi="Times New Roman" w:cs="Times New Roman"/>
          <w:sz w:val="16"/>
          <w:szCs w:val="16"/>
        </w:rPr>
      </w:pPr>
    </w:p>
    <w:p w14:paraId="5275A31A" w14:textId="77777777" w:rsidR="00307155" w:rsidRPr="00FC7BB4" w:rsidRDefault="00307155" w:rsidP="00F3101B">
      <w:pPr>
        <w:spacing w:after="21" w:line="262" w:lineRule="auto"/>
        <w:ind w:left="111" w:right="27" w:hanging="10"/>
        <w:rPr>
          <w:rFonts w:ascii="Times New Roman" w:hAnsi="Times New Roman" w:cs="Times New Roman"/>
          <w:b/>
          <w:bCs/>
          <w:sz w:val="24"/>
        </w:rPr>
      </w:pPr>
    </w:p>
    <w:p w14:paraId="05FF0F3D" w14:textId="77777777" w:rsidR="00307155" w:rsidRPr="00FC7BB4" w:rsidRDefault="00307155" w:rsidP="00F3101B">
      <w:pPr>
        <w:spacing w:after="21" w:line="262" w:lineRule="auto"/>
        <w:ind w:left="111" w:right="27" w:hanging="10"/>
        <w:jc w:val="center"/>
        <w:rPr>
          <w:rFonts w:ascii="Times New Roman" w:hAnsi="Times New Roman" w:cs="Times New Roman"/>
          <w:b/>
          <w:bCs/>
          <w:sz w:val="24"/>
        </w:rPr>
      </w:pPr>
    </w:p>
    <w:p w14:paraId="558DCF82" w14:textId="77777777" w:rsidR="00717BD6" w:rsidRDefault="00307155" w:rsidP="00F3101B">
      <w:pPr>
        <w:spacing w:after="21" w:line="262" w:lineRule="auto"/>
        <w:ind w:left="111" w:right="27" w:hanging="10"/>
        <w:rPr>
          <w:rFonts w:ascii="Times New Roman" w:hAnsi="Times New Roman" w:cs="Times New Roman"/>
          <w:b/>
          <w:bCs/>
          <w:sz w:val="24"/>
        </w:rPr>
      </w:pPr>
      <w:r w:rsidRPr="00FC7BB4">
        <w:rPr>
          <w:rFonts w:ascii="Times New Roman" w:hAnsi="Times New Roman" w:cs="Times New Roman"/>
          <w:b/>
          <w:bCs/>
          <w:sz w:val="24"/>
        </w:rPr>
        <w:t xml:space="preserve">               </w:t>
      </w:r>
      <w:bookmarkStart w:id="105" w:name="_Hlk203487158"/>
    </w:p>
    <w:p w14:paraId="24F85521" w14:textId="56780612" w:rsidR="00307155" w:rsidRPr="00FC7BB4" w:rsidRDefault="00307155" w:rsidP="00F3101B">
      <w:pPr>
        <w:spacing w:after="21" w:line="262" w:lineRule="auto"/>
        <w:ind w:left="111" w:right="27" w:hanging="10"/>
        <w:rPr>
          <w:rFonts w:ascii="Times New Roman" w:hAnsi="Times New Roman" w:cs="Times New Roman"/>
          <w:b/>
          <w:bCs/>
          <w:sz w:val="24"/>
        </w:rPr>
      </w:pPr>
      <w:r w:rsidRPr="00FC7BB4">
        <w:rPr>
          <w:rFonts w:ascii="Times New Roman" w:hAnsi="Times New Roman" w:cs="Times New Roman"/>
          <w:b/>
          <w:bCs/>
          <w:sz w:val="24"/>
        </w:rPr>
        <w:lastRenderedPageBreak/>
        <w:t>Table A4: Conditional probabilities of price changes for small and large firms:</w:t>
      </w:r>
    </w:p>
    <w:p w14:paraId="65E68EC7" w14:textId="77777777" w:rsidR="00307155" w:rsidRPr="00FC7BB4" w:rsidRDefault="00307155" w:rsidP="00F3101B">
      <w:pPr>
        <w:spacing w:after="21" w:line="262" w:lineRule="auto"/>
        <w:ind w:left="111" w:right="27" w:hanging="10"/>
        <w:rPr>
          <w:rFonts w:ascii="Times New Roman" w:hAnsi="Times New Roman" w:cs="Times New Roman"/>
          <w:b/>
          <w:bCs/>
          <w:sz w:val="24"/>
        </w:rPr>
      </w:pPr>
      <w:r w:rsidRPr="00FC7BB4">
        <w:rPr>
          <w:rFonts w:ascii="Times New Roman" w:hAnsi="Times New Roman" w:cs="Times New Roman"/>
          <w:b/>
          <w:bCs/>
          <w:sz w:val="24"/>
        </w:rPr>
        <w:t xml:space="preserve">                                                               Pre- and </w:t>
      </w:r>
      <w:proofErr w:type="gramStart"/>
      <w:r w:rsidRPr="00FC7BB4">
        <w:rPr>
          <w:rFonts w:ascii="Times New Roman" w:hAnsi="Times New Roman" w:cs="Times New Roman"/>
          <w:b/>
          <w:bCs/>
          <w:sz w:val="24"/>
        </w:rPr>
        <w:t>Post-2011Q2</w:t>
      </w:r>
      <w:proofErr w:type="gramEnd"/>
    </w:p>
    <w:bookmarkEnd w:id="105"/>
    <w:p w14:paraId="5900668C" w14:textId="77777777" w:rsidR="00307155" w:rsidRPr="00FC7BB4" w:rsidRDefault="00307155" w:rsidP="00F3101B">
      <w:pPr>
        <w:spacing w:after="21" w:line="262" w:lineRule="auto"/>
        <w:ind w:left="111" w:right="27" w:hanging="10"/>
        <w:rPr>
          <w:rFonts w:ascii="Times New Roman" w:hAnsi="Times New Roman" w:cs="Times New Roman"/>
          <w:b/>
          <w:bCs/>
          <w:sz w:val="24"/>
        </w:rPr>
      </w:pPr>
      <w:r w:rsidRPr="00FC7BB4">
        <w:rPr>
          <w:rFonts w:ascii="Times New Roman" w:hAnsi="Times New Roman" w:cs="Times New Roman"/>
          <w:b/>
          <w:bCs/>
          <w:sz w:val="24"/>
        </w:rPr>
        <w:t xml:space="preserve">        ________________________________________________________________________ </w:t>
      </w:r>
    </w:p>
    <w:p w14:paraId="7F6AE52B" w14:textId="77777777" w:rsidR="00307155" w:rsidRPr="00FC7BB4" w:rsidRDefault="00307155" w:rsidP="00F3101B">
      <w:pPr>
        <w:spacing w:after="89" w:line="259" w:lineRule="auto"/>
        <w:ind w:left="493" w:right="27" w:firstLine="0"/>
        <w:rPr>
          <w:rFonts w:ascii="Times New Roman" w:hAnsi="Times New Roman" w:cs="Times New Roman"/>
        </w:rPr>
      </w:pPr>
      <w:r w:rsidRPr="00FC7BB4">
        <w:rPr>
          <w:rFonts w:ascii="Times New Roman" w:hAnsi="Times New Roman" w:cs="Times New Roman"/>
        </w:rPr>
        <w:t xml:space="preserve">                                                                                                       Pre-2011Q2                           </w:t>
      </w:r>
      <w:proofErr w:type="gramStart"/>
      <w:r w:rsidRPr="00FC7BB4">
        <w:rPr>
          <w:rFonts w:ascii="Times New Roman" w:hAnsi="Times New Roman" w:cs="Times New Roman"/>
        </w:rPr>
        <w:t>Post-2011Q2</w:t>
      </w:r>
      <w:proofErr w:type="gramEnd"/>
    </w:p>
    <w:tbl>
      <w:tblPr>
        <w:tblStyle w:val="TableGrid"/>
        <w:tblW w:w="8863" w:type="dxa"/>
        <w:tblInd w:w="493" w:type="dxa"/>
        <w:tblCellMar>
          <w:right w:w="120" w:type="dxa"/>
        </w:tblCellMar>
        <w:tblLook w:val="04A0" w:firstRow="1" w:lastRow="0" w:firstColumn="1" w:lastColumn="0" w:noHBand="0" w:noVBand="1"/>
      </w:tblPr>
      <w:tblGrid>
        <w:gridCol w:w="1984"/>
        <w:gridCol w:w="1268"/>
        <w:gridCol w:w="743"/>
        <w:gridCol w:w="754"/>
        <w:gridCol w:w="753"/>
        <w:gridCol w:w="751"/>
        <w:gridCol w:w="909"/>
        <w:gridCol w:w="850"/>
        <w:gridCol w:w="851"/>
      </w:tblGrid>
      <w:tr w:rsidR="00307155" w:rsidRPr="00FC7BB4" w14:paraId="1253D12A" w14:textId="77777777" w:rsidTr="00291B27">
        <w:trPr>
          <w:trHeight w:val="292"/>
        </w:trPr>
        <w:tc>
          <w:tcPr>
            <w:tcW w:w="1984" w:type="dxa"/>
            <w:tcBorders>
              <w:top w:val="nil"/>
              <w:left w:val="nil"/>
              <w:bottom w:val="single" w:sz="4" w:space="0" w:color="000000"/>
              <w:right w:val="nil"/>
            </w:tcBorders>
          </w:tcPr>
          <w:p w14:paraId="42E69A6E" w14:textId="77777777" w:rsidR="00307155" w:rsidRPr="00FC7BB4" w:rsidRDefault="00307155" w:rsidP="00F3101B">
            <w:pPr>
              <w:pBdr>
                <w:top w:val="single" w:sz="4" w:space="1" w:color="auto"/>
              </w:pBdr>
              <w:spacing w:after="0" w:line="259" w:lineRule="auto"/>
              <w:ind w:left="57" w:right="27" w:firstLine="0"/>
              <w:rPr>
                <w:rFonts w:ascii="Times New Roman" w:hAnsi="Times New Roman" w:cs="Times New Roman"/>
                <w:szCs w:val="20"/>
              </w:rPr>
            </w:pPr>
            <w:r w:rsidRPr="00FC7BB4">
              <w:rPr>
                <w:rFonts w:ascii="Times New Roman" w:eastAsia="Times New Roman" w:hAnsi="Times New Roman" w:cs="Times New Roman"/>
                <w:color w:val="auto"/>
                <w:kern w:val="0"/>
                <w:szCs w:val="20"/>
                <w14:ligatures w14:val="none"/>
              </w:rPr>
              <w:t>Type of Probability:</w:t>
            </w:r>
          </w:p>
        </w:tc>
        <w:tc>
          <w:tcPr>
            <w:tcW w:w="1268" w:type="dxa"/>
            <w:tcBorders>
              <w:top w:val="nil"/>
              <w:left w:val="nil"/>
              <w:bottom w:val="single" w:sz="4" w:space="0" w:color="000000"/>
              <w:right w:val="nil"/>
            </w:tcBorders>
          </w:tcPr>
          <w:p w14:paraId="23BF58E3" w14:textId="77777777" w:rsidR="00307155" w:rsidRPr="00FC7BB4" w:rsidRDefault="00307155" w:rsidP="00F3101B">
            <w:pPr>
              <w:pBdr>
                <w:top w:val="single" w:sz="4" w:space="1" w:color="auto"/>
              </w:pBdr>
              <w:spacing w:after="0" w:line="259" w:lineRule="auto"/>
              <w:ind w:right="27" w:firstLine="0"/>
              <w:rPr>
                <w:rFonts w:ascii="Times New Roman" w:hAnsi="Times New Roman" w:cs="Times New Roman"/>
                <w:szCs w:val="20"/>
              </w:rPr>
            </w:pPr>
            <w:r w:rsidRPr="00FC7BB4">
              <w:rPr>
                <w:rFonts w:ascii="Times New Roman" w:hAnsi="Times New Roman" w:cs="Times New Roman"/>
                <w:szCs w:val="20"/>
              </w:rPr>
              <w:t>Sector</w:t>
            </w:r>
          </w:p>
        </w:tc>
        <w:tc>
          <w:tcPr>
            <w:tcW w:w="743" w:type="dxa"/>
            <w:tcBorders>
              <w:top w:val="nil"/>
              <w:left w:val="nil"/>
              <w:bottom w:val="single" w:sz="4" w:space="0" w:color="000000"/>
              <w:right w:val="nil"/>
            </w:tcBorders>
          </w:tcPr>
          <w:p w14:paraId="7EC1B7A8" w14:textId="77777777" w:rsidR="00307155" w:rsidRPr="00FC7BB4" w:rsidRDefault="00307155" w:rsidP="00F3101B">
            <w:pPr>
              <w:pBdr>
                <w:top w:val="single" w:sz="4" w:space="1" w:color="auto"/>
              </w:pBdr>
              <w:spacing w:after="0" w:line="259" w:lineRule="auto"/>
              <w:ind w:right="27" w:firstLine="0"/>
              <w:rPr>
                <w:rFonts w:ascii="Times New Roman" w:hAnsi="Times New Roman" w:cs="Times New Roman"/>
                <w:szCs w:val="20"/>
              </w:rPr>
            </w:pPr>
            <w:r w:rsidRPr="00FC7BB4">
              <w:rPr>
                <w:rFonts w:ascii="Times New Roman" w:hAnsi="Times New Roman" w:cs="Times New Roman"/>
                <w:szCs w:val="20"/>
              </w:rPr>
              <w:t>Size</w:t>
            </w:r>
          </w:p>
        </w:tc>
        <w:tc>
          <w:tcPr>
            <w:tcW w:w="754" w:type="dxa"/>
            <w:tcBorders>
              <w:top w:val="nil"/>
              <w:left w:val="nil"/>
              <w:bottom w:val="single" w:sz="4" w:space="0" w:color="000000"/>
              <w:right w:val="nil"/>
            </w:tcBorders>
          </w:tcPr>
          <w:p w14:paraId="68AF94E6" w14:textId="77777777" w:rsidR="00307155" w:rsidRPr="00FC7BB4" w:rsidRDefault="00307155" w:rsidP="00F3101B">
            <w:pPr>
              <w:pBdr>
                <w:top w:val="single" w:sz="4" w:space="1" w:color="auto"/>
              </w:pBdr>
              <w:spacing w:after="0" w:line="259" w:lineRule="auto"/>
              <w:ind w:left="89" w:right="27" w:firstLine="0"/>
              <w:rPr>
                <w:rFonts w:ascii="Times New Roman" w:hAnsi="Times New Roman" w:cs="Times New Roman"/>
                <w:szCs w:val="20"/>
              </w:rPr>
            </w:pPr>
            <w:r w:rsidRPr="00FC7BB4">
              <w:rPr>
                <w:rFonts w:ascii="Times New Roman" w:hAnsi="Times New Roman" w:cs="Times New Roman"/>
                <w:szCs w:val="20"/>
              </w:rPr>
              <w:t>2%</w:t>
            </w:r>
          </w:p>
        </w:tc>
        <w:tc>
          <w:tcPr>
            <w:tcW w:w="753" w:type="dxa"/>
            <w:tcBorders>
              <w:top w:val="nil"/>
              <w:left w:val="nil"/>
              <w:bottom w:val="single" w:sz="4" w:space="0" w:color="000000"/>
              <w:right w:val="nil"/>
            </w:tcBorders>
          </w:tcPr>
          <w:p w14:paraId="32F038E9" w14:textId="77777777" w:rsidR="00307155" w:rsidRPr="00FC7BB4" w:rsidRDefault="00307155" w:rsidP="00F3101B">
            <w:pPr>
              <w:pBdr>
                <w:top w:val="single" w:sz="4" w:space="1" w:color="auto"/>
              </w:pBdr>
              <w:spacing w:after="0" w:line="259" w:lineRule="auto"/>
              <w:ind w:left="89" w:right="27" w:firstLine="0"/>
              <w:rPr>
                <w:rFonts w:ascii="Times New Roman" w:hAnsi="Times New Roman" w:cs="Times New Roman"/>
                <w:szCs w:val="20"/>
              </w:rPr>
            </w:pPr>
            <w:r w:rsidRPr="00FC7BB4">
              <w:rPr>
                <w:rFonts w:ascii="Times New Roman" w:hAnsi="Times New Roman" w:cs="Times New Roman"/>
                <w:szCs w:val="20"/>
              </w:rPr>
              <w:t>5%</w:t>
            </w:r>
          </w:p>
        </w:tc>
        <w:tc>
          <w:tcPr>
            <w:tcW w:w="751" w:type="dxa"/>
            <w:tcBorders>
              <w:top w:val="nil"/>
              <w:left w:val="nil"/>
              <w:bottom w:val="single" w:sz="4" w:space="0" w:color="000000"/>
              <w:right w:val="nil"/>
            </w:tcBorders>
          </w:tcPr>
          <w:p w14:paraId="44C41810" w14:textId="77777777" w:rsidR="00307155" w:rsidRPr="00FC7BB4" w:rsidRDefault="00307155" w:rsidP="00F3101B">
            <w:pPr>
              <w:pBdr>
                <w:top w:val="single" w:sz="4" w:space="1" w:color="auto"/>
              </w:pBdr>
              <w:spacing w:after="0" w:line="259" w:lineRule="auto"/>
              <w:ind w:left="89" w:right="27" w:firstLine="0"/>
              <w:rPr>
                <w:rFonts w:ascii="Times New Roman" w:hAnsi="Times New Roman" w:cs="Times New Roman"/>
                <w:szCs w:val="20"/>
              </w:rPr>
            </w:pPr>
            <w:r w:rsidRPr="00FC7BB4">
              <w:rPr>
                <w:rFonts w:ascii="Times New Roman" w:hAnsi="Times New Roman" w:cs="Times New Roman"/>
                <w:szCs w:val="20"/>
              </w:rPr>
              <w:t>7%</w:t>
            </w:r>
          </w:p>
        </w:tc>
        <w:tc>
          <w:tcPr>
            <w:tcW w:w="909" w:type="dxa"/>
            <w:tcBorders>
              <w:top w:val="nil"/>
              <w:left w:val="nil"/>
              <w:bottom w:val="single" w:sz="4" w:space="0" w:color="000000"/>
              <w:right w:val="nil"/>
            </w:tcBorders>
          </w:tcPr>
          <w:p w14:paraId="31DBFA5A" w14:textId="77777777" w:rsidR="00307155" w:rsidRPr="00FC7BB4" w:rsidRDefault="00307155" w:rsidP="00F3101B">
            <w:pPr>
              <w:pBdr>
                <w:top w:val="single" w:sz="4" w:space="1" w:color="auto"/>
              </w:pBdr>
              <w:spacing w:after="0" w:line="259" w:lineRule="auto"/>
              <w:ind w:left="89" w:right="27" w:firstLine="0"/>
              <w:rPr>
                <w:rFonts w:ascii="Times New Roman" w:hAnsi="Times New Roman" w:cs="Times New Roman"/>
                <w:szCs w:val="20"/>
              </w:rPr>
            </w:pPr>
            <w:r w:rsidRPr="00FC7BB4">
              <w:rPr>
                <w:rFonts w:ascii="Times New Roman" w:hAnsi="Times New Roman" w:cs="Times New Roman"/>
                <w:szCs w:val="20"/>
              </w:rPr>
              <w:t>2%</w:t>
            </w:r>
          </w:p>
        </w:tc>
        <w:tc>
          <w:tcPr>
            <w:tcW w:w="850" w:type="dxa"/>
            <w:tcBorders>
              <w:top w:val="nil"/>
              <w:left w:val="nil"/>
              <w:bottom w:val="single" w:sz="4" w:space="0" w:color="000000"/>
              <w:right w:val="nil"/>
            </w:tcBorders>
          </w:tcPr>
          <w:p w14:paraId="5F200EAF" w14:textId="77777777" w:rsidR="00307155" w:rsidRPr="00FC7BB4" w:rsidRDefault="00307155" w:rsidP="00F3101B">
            <w:pPr>
              <w:pBdr>
                <w:top w:val="single" w:sz="4" w:space="1" w:color="auto"/>
              </w:pBdr>
              <w:spacing w:after="0" w:line="259" w:lineRule="auto"/>
              <w:ind w:left="89" w:right="27" w:firstLine="0"/>
              <w:rPr>
                <w:rFonts w:ascii="Times New Roman" w:hAnsi="Times New Roman" w:cs="Times New Roman"/>
                <w:szCs w:val="20"/>
              </w:rPr>
            </w:pPr>
            <w:r w:rsidRPr="00FC7BB4">
              <w:rPr>
                <w:rFonts w:ascii="Times New Roman" w:hAnsi="Times New Roman" w:cs="Times New Roman"/>
                <w:szCs w:val="20"/>
              </w:rPr>
              <w:t>5%</w:t>
            </w:r>
          </w:p>
        </w:tc>
        <w:tc>
          <w:tcPr>
            <w:tcW w:w="851" w:type="dxa"/>
            <w:tcBorders>
              <w:top w:val="nil"/>
              <w:left w:val="nil"/>
              <w:bottom w:val="single" w:sz="4" w:space="0" w:color="000000"/>
              <w:right w:val="nil"/>
            </w:tcBorders>
          </w:tcPr>
          <w:p w14:paraId="6BE02E0E" w14:textId="77777777" w:rsidR="00307155" w:rsidRPr="00FC7BB4" w:rsidRDefault="00307155" w:rsidP="00F3101B">
            <w:pPr>
              <w:pBdr>
                <w:top w:val="single" w:sz="4" w:space="1" w:color="auto"/>
              </w:pBdr>
              <w:spacing w:after="0" w:line="259" w:lineRule="auto"/>
              <w:ind w:left="89" w:right="27" w:firstLine="0"/>
              <w:rPr>
                <w:rFonts w:ascii="Times New Roman" w:hAnsi="Times New Roman" w:cs="Times New Roman"/>
                <w:szCs w:val="20"/>
              </w:rPr>
            </w:pPr>
            <w:r w:rsidRPr="00FC7BB4">
              <w:rPr>
                <w:rFonts w:ascii="Times New Roman" w:hAnsi="Times New Roman" w:cs="Times New Roman"/>
                <w:szCs w:val="20"/>
              </w:rPr>
              <w:t>7%</w:t>
            </w:r>
          </w:p>
        </w:tc>
      </w:tr>
      <w:tr w:rsidR="00307155" w:rsidRPr="00FC7BB4" w14:paraId="5033ED1D" w14:textId="77777777" w:rsidTr="00291B27">
        <w:trPr>
          <w:trHeight w:val="352"/>
        </w:trPr>
        <w:tc>
          <w:tcPr>
            <w:tcW w:w="8863" w:type="dxa"/>
            <w:gridSpan w:val="9"/>
            <w:tcBorders>
              <w:top w:val="single" w:sz="4" w:space="0" w:color="000000"/>
              <w:left w:val="nil"/>
              <w:right w:val="nil"/>
            </w:tcBorders>
          </w:tcPr>
          <w:p w14:paraId="348BF853" w14:textId="77777777" w:rsidR="00307155" w:rsidRPr="00FC7BB4" w:rsidRDefault="00307155" w:rsidP="00F3101B">
            <w:pPr>
              <w:spacing w:after="0" w:line="240" w:lineRule="auto"/>
              <w:ind w:right="27" w:firstLine="0"/>
              <w:rPr>
                <w:rFonts w:ascii="Times New Roman" w:hAnsi="Times New Roman" w:cs="Times New Roman"/>
                <w:b/>
                <w:bCs/>
                <w:i/>
                <w:iCs/>
                <w:sz w:val="18"/>
                <w:szCs w:val="18"/>
              </w:rPr>
            </w:pPr>
          </w:p>
          <w:p w14:paraId="78C2473D" w14:textId="77777777" w:rsidR="00307155" w:rsidRPr="00FC7BB4" w:rsidRDefault="00307155" w:rsidP="00F3101B">
            <w:pPr>
              <w:spacing w:after="0" w:line="240" w:lineRule="auto"/>
              <w:ind w:right="27" w:firstLine="0"/>
              <w:rPr>
                <w:rFonts w:ascii="Times New Roman" w:hAnsi="Times New Roman" w:cs="Times New Roman"/>
                <w:szCs w:val="20"/>
              </w:rPr>
            </w:pPr>
            <w:r w:rsidRPr="00FC7BB4">
              <w:rPr>
                <w:rFonts w:ascii="Times New Roman" w:hAnsi="Times New Roman" w:cs="Times New Roman"/>
                <w:i/>
                <w:iCs/>
                <w:szCs w:val="20"/>
              </w:rPr>
              <w:t>The probability of firms increasing prices (Pup) when costs increase (Cup) and …</w:t>
            </w:r>
          </w:p>
        </w:tc>
      </w:tr>
      <w:tr w:rsidR="00307155" w:rsidRPr="00FC7BB4" w14:paraId="4AC065B1" w14:textId="77777777" w:rsidTr="00291B27">
        <w:trPr>
          <w:trHeight w:val="174"/>
        </w:trPr>
        <w:tc>
          <w:tcPr>
            <w:tcW w:w="1984" w:type="dxa"/>
            <w:tcBorders>
              <w:left w:val="nil"/>
              <w:right w:val="nil"/>
            </w:tcBorders>
          </w:tcPr>
          <w:p w14:paraId="731C5869" w14:textId="77777777" w:rsidR="00307155" w:rsidRPr="00FC7BB4" w:rsidRDefault="00307155" w:rsidP="00F3101B">
            <w:pPr>
              <w:spacing w:after="0" w:line="240" w:lineRule="auto"/>
              <w:ind w:right="27" w:firstLine="0"/>
              <w:rPr>
                <w:rFonts w:ascii="Times New Roman" w:hAnsi="Times New Roman" w:cs="Times New Roman"/>
                <w:sz w:val="18"/>
                <w:szCs w:val="18"/>
              </w:rPr>
            </w:pPr>
          </w:p>
          <w:p w14:paraId="21789D0C" w14:textId="77777777" w:rsidR="00307155" w:rsidRPr="00FC7BB4" w:rsidRDefault="00307155" w:rsidP="00F3101B">
            <w:pPr>
              <w:spacing w:after="0" w:line="240" w:lineRule="auto"/>
              <w:ind w:left="120" w:right="27" w:firstLine="0"/>
              <w:rPr>
                <w:rFonts w:ascii="Times New Roman" w:hAnsi="Times New Roman" w:cs="Times New Roman"/>
                <w:sz w:val="18"/>
                <w:szCs w:val="18"/>
              </w:rPr>
            </w:pPr>
            <w:r w:rsidRPr="00FC7BB4">
              <w:rPr>
                <w:rFonts w:ascii="Times New Roman" w:hAnsi="Times New Roman" w:cs="Times New Roman"/>
                <w:sz w:val="18"/>
                <w:szCs w:val="18"/>
              </w:rPr>
              <w:t xml:space="preserve">Dup </w:t>
            </w:r>
          </w:p>
        </w:tc>
        <w:tc>
          <w:tcPr>
            <w:tcW w:w="1268" w:type="dxa"/>
            <w:tcBorders>
              <w:left w:val="nil"/>
              <w:right w:val="nil"/>
            </w:tcBorders>
          </w:tcPr>
          <w:p w14:paraId="2B2D943A" w14:textId="77777777" w:rsidR="00307155" w:rsidRPr="00FC7BB4" w:rsidRDefault="00307155" w:rsidP="00F3101B">
            <w:pPr>
              <w:spacing w:after="0" w:line="240" w:lineRule="auto"/>
              <w:ind w:right="27" w:firstLine="0"/>
              <w:rPr>
                <w:rFonts w:ascii="Times New Roman" w:hAnsi="Times New Roman" w:cs="Times New Roman"/>
                <w:sz w:val="18"/>
                <w:szCs w:val="18"/>
              </w:rPr>
            </w:pPr>
          </w:p>
          <w:p w14:paraId="0E9C37C3" w14:textId="77777777" w:rsidR="00307155" w:rsidRPr="00FC7BB4" w:rsidRDefault="00307155"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Manufacturers</w:t>
            </w:r>
          </w:p>
        </w:tc>
        <w:tc>
          <w:tcPr>
            <w:tcW w:w="743" w:type="dxa"/>
            <w:tcBorders>
              <w:left w:val="nil"/>
              <w:right w:val="nil"/>
            </w:tcBorders>
          </w:tcPr>
          <w:p w14:paraId="1A13DA48" w14:textId="77777777" w:rsidR="00307155" w:rsidRPr="00FC7BB4" w:rsidRDefault="00307155" w:rsidP="00F3101B">
            <w:pPr>
              <w:spacing w:after="0" w:line="240" w:lineRule="auto"/>
              <w:ind w:right="27" w:firstLine="0"/>
              <w:rPr>
                <w:rFonts w:ascii="Times New Roman" w:hAnsi="Times New Roman" w:cs="Times New Roman"/>
                <w:sz w:val="18"/>
                <w:szCs w:val="18"/>
              </w:rPr>
            </w:pPr>
          </w:p>
          <w:p w14:paraId="06A9B69B" w14:textId="1A92A014" w:rsidR="00307155" w:rsidRPr="00FC7BB4" w:rsidRDefault="00210450"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left w:val="nil"/>
              <w:right w:val="nil"/>
            </w:tcBorders>
            <w:vAlign w:val="bottom"/>
          </w:tcPr>
          <w:p w14:paraId="37CEFF7F" w14:textId="77777777" w:rsidR="00307155" w:rsidRPr="00FC7BB4" w:rsidRDefault="00307155"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0.35</w:t>
            </w:r>
          </w:p>
        </w:tc>
        <w:tc>
          <w:tcPr>
            <w:tcW w:w="753" w:type="dxa"/>
            <w:tcBorders>
              <w:left w:val="nil"/>
              <w:right w:val="nil"/>
            </w:tcBorders>
            <w:vAlign w:val="bottom"/>
          </w:tcPr>
          <w:p w14:paraId="1B2C84E7" w14:textId="77777777" w:rsidR="00307155" w:rsidRPr="00FC7BB4" w:rsidRDefault="00307155"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0.44</w:t>
            </w:r>
          </w:p>
        </w:tc>
        <w:tc>
          <w:tcPr>
            <w:tcW w:w="751" w:type="dxa"/>
            <w:tcBorders>
              <w:left w:val="nil"/>
              <w:right w:val="nil"/>
            </w:tcBorders>
            <w:vAlign w:val="bottom"/>
          </w:tcPr>
          <w:p w14:paraId="15F35CA0" w14:textId="77777777" w:rsidR="00307155" w:rsidRPr="00FC7BB4" w:rsidRDefault="00307155"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0.50</w:t>
            </w:r>
          </w:p>
        </w:tc>
        <w:tc>
          <w:tcPr>
            <w:tcW w:w="909" w:type="dxa"/>
            <w:tcBorders>
              <w:left w:val="nil"/>
              <w:right w:val="nil"/>
            </w:tcBorders>
            <w:vAlign w:val="bottom"/>
          </w:tcPr>
          <w:p w14:paraId="34351D46" w14:textId="77777777" w:rsidR="00307155" w:rsidRPr="00FC7BB4" w:rsidRDefault="00307155"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0.33</w:t>
            </w:r>
          </w:p>
        </w:tc>
        <w:tc>
          <w:tcPr>
            <w:tcW w:w="850" w:type="dxa"/>
            <w:tcBorders>
              <w:left w:val="nil"/>
              <w:right w:val="nil"/>
            </w:tcBorders>
            <w:vAlign w:val="bottom"/>
          </w:tcPr>
          <w:p w14:paraId="74B0D447" w14:textId="77777777" w:rsidR="00307155" w:rsidRPr="00FC7BB4" w:rsidRDefault="00307155"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0.50</w:t>
            </w:r>
          </w:p>
        </w:tc>
        <w:tc>
          <w:tcPr>
            <w:tcW w:w="851" w:type="dxa"/>
            <w:tcBorders>
              <w:left w:val="nil"/>
              <w:right w:val="nil"/>
            </w:tcBorders>
            <w:vAlign w:val="bottom"/>
          </w:tcPr>
          <w:p w14:paraId="3ECC9D6E" w14:textId="77777777" w:rsidR="00307155" w:rsidRPr="00FC7BB4" w:rsidRDefault="00307155"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0.61</w:t>
            </w:r>
          </w:p>
        </w:tc>
      </w:tr>
      <w:tr w:rsidR="00307155" w:rsidRPr="00FC7BB4" w14:paraId="0AB2C07D" w14:textId="77777777" w:rsidTr="00291B27">
        <w:trPr>
          <w:trHeight w:val="174"/>
        </w:trPr>
        <w:tc>
          <w:tcPr>
            <w:tcW w:w="1984" w:type="dxa"/>
            <w:tcBorders>
              <w:left w:val="nil"/>
              <w:bottom w:val="nil"/>
              <w:right w:val="nil"/>
            </w:tcBorders>
          </w:tcPr>
          <w:p w14:paraId="520A243F" w14:textId="77777777" w:rsidR="00307155" w:rsidRPr="00FC7BB4" w:rsidRDefault="00307155" w:rsidP="00F3101B">
            <w:pPr>
              <w:spacing w:after="0" w:line="240" w:lineRule="auto"/>
              <w:ind w:left="120" w:right="27" w:firstLine="0"/>
              <w:rPr>
                <w:rFonts w:ascii="Times New Roman" w:hAnsi="Times New Roman" w:cs="Times New Roman"/>
                <w:i/>
                <w:iCs/>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left w:val="nil"/>
              <w:bottom w:val="nil"/>
              <w:right w:val="nil"/>
            </w:tcBorders>
          </w:tcPr>
          <w:p w14:paraId="6A1D62C5" w14:textId="77777777" w:rsidR="00307155" w:rsidRPr="00FC7BB4" w:rsidRDefault="00307155" w:rsidP="00F3101B">
            <w:pPr>
              <w:spacing w:after="0" w:line="240" w:lineRule="auto"/>
              <w:ind w:right="27" w:firstLine="0"/>
              <w:rPr>
                <w:rFonts w:ascii="Times New Roman" w:hAnsi="Times New Roman" w:cs="Times New Roman"/>
                <w:i/>
                <w:iCs/>
                <w:sz w:val="18"/>
                <w:szCs w:val="18"/>
              </w:rPr>
            </w:pPr>
          </w:p>
        </w:tc>
        <w:tc>
          <w:tcPr>
            <w:tcW w:w="743" w:type="dxa"/>
            <w:tcBorders>
              <w:left w:val="nil"/>
              <w:bottom w:val="nil"/>
              <w:right w:val="nil"/>
            </w:tcBorders>
          </w:tcPr>
          <w:p w14:paraId="04631043" w14:textId="77777777" w:rsidR="00307155" w:rsidRPr="00FC7BB4" w:rsidRDefault="00307155" w:rsidP="00F3101B">
            <w:pPr>
              <w:spacing w:after="0" w:line="240" w:lineRule="auto"/>
              <w:ind w:right="27" w:firstLine="0"/>
              <w:rPr>
                <w:rFonts w:ascii="Times New Roman" w:hAnsi="Times New Roman" w:cs="Times New Roman"/>
                <w:i/>
                <w:iCs/>
                <w:sz w:val="18"/>
                <w:szCs w:val="18"/>
              </w:rPr>
            </w:pPr>
          </w:p>
        </w:tc>
        <w:tc>
          <w:tcPr>
            <w:tcW w:w="754" w:type="dxa"/>
            <w:tcBorders>
              <w:left w:val="nil"/>
              <w:bottom w:val="nil"/>
              <w:right w:val="nil"/>
            </w:tcBorders>
            <w:vAlign w:val="bottom"/>
          </w:tcPr>
          <w:p w14:paraId="67739502" w14:textId="77777777" w:rsidR="00307155" w:rsidRPr="00FC7BB4" w:rsidRDefault="00307155" w:rsidP="00F3101B">
            <w:pPr>
              <w:spacing w:after="0" w:line="240" w:lineRule="auto"/>
              <w:ind w:right="27" w:firstLine="0"/>
              <w:rPr>
                <w:rFonts w:ascii="Times New Roman" w:hAnsi="Times New Roman" w:cs="Times New Roman"/>
                <w:i/>
                <w:iCs/>
                <w:sz w:val="18"/>
                <w:szCs w:val="18"/>
              </w:rPr>
            </w:pPr>
          </w:p>
        </w:tc>
        <w:tc>
          <w:tcPr>
            <w:tcW w:w="753" w:type="dxa"/>
            <w:tcBorders>
              <w:left w:val="nil"/>
              <w:bottom w:val="nil"/>
              <w:right w:val="nil"/>
            </w:tcBorders>
            <w:vAlign w:val="bottom"/>
          </w:tcPr>
          <w:p w14:paraId="5828502E" w14:textId="77777777" w:rsidR="00307155" w:rsidRPr="00FC7BB4" w:rsidRDefault="00307155" w:rsidP="00F3101B">
            <w:pPr>
              <w:spacing w:after="0" w:line="240" w:lineRule="auto"/>
              <w:ind w:right="27" w:firstLine="0"/>
              <w:rPr>
                <w:rFonts w:ascii="Times New Roman" w:hAnsi="Times New Roman" w:cs="Times New Roman"/>
                <w:i/>
                <w:iCs/>
                <w:sz w:val="18"/>
                <w:szCs w:val="18"/>
              </w:rPr>
            </w:pPr>
          </w:p>
        </w:tc>
        <w:tc>
          <w:tcPr>
            <w:tcW w:w="751" w:type="dxa"/>
            <w:tcBorders>
              <w:left w:val="nil"/>
              <w:bottom w:val="nil"/>
              <w:right w:val="nil"/>
            </w:tcBorders>
            <w:vAlign w:val="bottom"/>
          </w:tcPr>
          <w:p w14:paraId="1D98E87A" w14:textId="77777777" w:rsidR="00307155" w:rsidRPr="00FC7BB4" w:rsidRDefault="00307155" w:rsidP="00F3101B">
            <w:pPr>
              <w:spacing w:after="0" w:line="240" w:lineRule="auto"/>
              <w:ind w:right="27" w:firstLine="0"/>
              <w:rPr>
                <w:rFonts w:ascii="Times New Roman" w:hAnsi="Times New Roman" w:cs="Times New Roman"/>
                <w:i/>
                <w:iCs/>
                <w:sz w:val="18"/>
                <w:szCs w:val="18"/>
              </w:rPr>
            </w:pPr>
          </w:p>
        </w:tc>
        <w:tc>
          <w:tcPr>
            <w:tcW w:w="909" w:type="dxa"/>
            <w:tcBorders>
              <w:left w:val="nil"/>
              <w:bottom w:val="nil"/>
              <w:right w:val="nil"/>
            </w:tcBorders>
            <w:vAlign w:val="bottom"/>
          </w:tcPr>
          <w:p w14:paraId="0E1B5C27" w14:textId="77777777" w:rsidR="00307155" w:rsidRPr="00FC7BB4" w:rsidRDefault="00307155" w:rsidP="00F3101B">
            <w:pPr>
              <w:spacing w:after="0" w:line="240"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-0.02</w:t>
            </w:r>
          </w:p>
        </w:tc>
        <w:tc>
          <w:tcPr>
            <w:tcW w:w="850" w:type="dxa"/>
            <w:tcBorders>
              <w:left w:val="nil"/>
              <w:bottom w:val="nil"/>
              <w:right w:val="nil"/>
            </w:tcBorders>
            <w:vAlign w:val="bottom"/>
          </w:tcPr>
          <w:p w14:paraId="4AAAF0C0" w14:textId="77777777" w:rsidR="00307155" w:rsidRPr="00FC7BB4" w:rsidRDefault="00307155" w:rsidP="00F3101B">
            <w:pPr>
              <w:spacing w:after="0" w:line="240"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0.06**</w:t>
            </w:r>
          </w:p>
        </w:tc>
        <w:tc>
          <w:tcPr>
            <w:tcW w:w="851" w:type="dxa"/>
            <w:tcBorders>
              <w:left w:val="nil"/>
              <w:bottom w:val="nil"/>
              <w:right w:val="nil"/>
            </w:tcBorders>
            <w:vAlign w:val="bottom"/>
          </w:tcPr>
          <w:p w14:paraId="1AE2D284" w14:textId="77777777" w:rsidR="00307155" w:rsidRPr="00FC7BB4" w:rsidRDefault="00307155" w:rsidP="00F3101B">
            <w:pPr>
              <w:spacing w:after="0" w:line="240"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0.12***</w:t>
            </w:r>
          </w:p>
        </w:tc>
      </w:tr>
      <w:tr w:rsidR="00307155" w:rsidRPr="00FC7BB4" w14:paraId="5E2822DF" w14:textId="77777777" w:rsidTr="00291B27">
        <w:trPr>
          <w:trHeight w:val="157"/>
        </w:trPr>
        <w:tc>
          <w:tcPr>
            <w:tcW w:w="1984" w:type="dxa"/>
            <w:tcBorders>
              <w:top w:val="nil"/>
              <w:left w:val="nil"/>
              <w:bottom w:val="nil"/>
              <w:right w:val="nil"/>
            </w:tcBorders>
          </w:tcPr>
          <w:p w14:paraId="068F272C" w14:textId="77777777" w:rsidR="00307155" w:rsidRPr="00FC7BB4" w:rsidRDefault="00307155" w:rsidP="00F3101B">
            <w:pPr>
              <w:spacing w:after="0" w:line="240" w:lineRule="auto"/>
              <w:ind w:left="120" w:right="27" w:firstLine="0"/>
              <w:rPr>
                <w:rFonts w:ascii="Times New Roman" w:hAnsi="Times New Roman" w:cs="Times New Roman"/>
                <w:sz w:val="18"/>
                <w:szCs w:val="18"/>
              </w:rPr>
            </w:pPr>
            <w:r w:rsidRPr="00FC7BB4">
              <w:rPr>
                <w:rFonts w:ascii="Times New Roman" w:hAnsi="Times New Roman" w:cs="Times New Roman"/>
                <w:sz w:val="18"/>
                <w:szCs w:val="18"/>
              </w:rPr>
              <w:t xml:space="preserve">Dup </w:t>
            </w:r>
          </w:p>
        </w:tc>
        <w:tc>
          <w:tcPr>
            <w:tcW w:w="1268" w:type="dxa"/>
            <w:tcBorders>
              <w:top w:val="nil"/>
              <w:left w:val="nil"/>
              <w:bottom w:val="nil"/>
              <w:right w:val="nil"/>
            </w:tcBorders>
          </w:tcPr>
          <w:p w14:paraId="3CDE7975" w14:textId="77777777" w:rsidR="00307155" w:rsidRPr="00FC7BB4" w:rsidRDefault="00307155" w:rsidP="00F3101B">
            <w:pPr>
              <w:spacing w:after="0" w:line="240"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3DE6595E" w14:textId="77777777" w:rsidR="00307155" w:rsidRPr="00FC7BB4" w:rsidRDefault="00307155"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bottom"/>
          </w:tcPr>
          <w:p w14:paraId="48FF3926" w14:textId="77777777" w:rsidR="00307155" w:rsidRPr="00FC7BB4" w:rsidRDefault="00307155"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0.41</w:t>
            </w:r>
          </w:p>
        </w:tc>
        <w:tc>
          <w:tcPr>
            <w:tcW w:w="753" w:type="dxa"/>
            <w:tcBorders>
              <w:top w:val="nil"/>
              <w:left w:val="nil"/>
              <w:bottom w:val="nil"/>
              <w:right w:val="nil"/>
            </w:tcBorders>
            <w:vAlign w:val="bottom"/>
          </w:tcPr>
          <w:p w14:paraId="02404405" w14:textId="77777777" w:rsidR="00307155" w:rsidRPr="00FC7BB4" w:rsidRDefault="00307155"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0.49</w:t>
            </w:r>
          </w:p>
        </w:tc>
        <w:tc>
          <w:tcPr>
            <w:tcW w:w="751" w:type="dxa"/>
            <w:tcBorders>
              <w:top w:val="nil"/>
              <w:left w:val="nil"/>
              <w:bottom w:val="nil"/>
              <w:right w:val="nil"/>
            </w:tcBorders>
            <w:vAlign w:val="bottom"/>
          </w:tcPr>
          <w:p w14:paraId="767E25CA" w14:textId="77777777" w:rsidR="00307155" w:rsidRPr="00FC7BB4" w:rsidRDefault="00307155"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0.55</w:t>
            </w:r>
          </w:p>
        </w:tc>
        <w:tc>
          <w:tcPr>
            <w:tcW w:w="909" w:type="dxa"/>
            <w:tcBorders>
              <w:top w:val="nil"/>
              <w:left w:val="nil"/>
              <w:bottom w:val="nil"/>
              <w:right w:val="nil"/>
            </w:tcBorders>
            <w:vAlign w:val="bottom"/>
          </w:tcPr>
          <w:p w14:paraId="607CBC81" w14:textId="77777777" w:rsidR="00307155" w:rsidRPr="00FC7BB4" w:rsidRDefault="00307155"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0.24</w:t>
            </w:r>
          </w:p>
        </w:tc>
        <w:tc>
          <w:tcPr>
            <w:tcW w:w="850" w:type="dxa"/>
            <w:tcBorders>
              <w:top w:val="nil"/>
              <w:left w:val="nil"/>
              <w:bottom w:val="nil"/>
              <w:right w:val="nil"/>
            </w:tcBorders>
            <w:vAlign w:val="bottom"/>
          </w:tcPr>
          <w:p w14:paraId="2C589707" w14:textId="77777777" w:rsidR="00307155" w:rsidRPr="00FC7BB4" w:rsidRDefault="00307155"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0.55</w:t>
            </w:r>
          </w:p>
        </w:tc>
        <w:tc>
          <w:tcPr>
            <w:tcW w:w="851" w:type="dxa"/>
            <w:tcBorders>
              <w:top w:val="nil"/>
              <w:left w:val="nil"/>
              <w:bottom w:val="nil"/>
              <w:right w:val="nil"/>
            </w:tcBorders>
            <w:vAlign w:val="bottom"/>
          </w:tcPr>
          <w:p w14:paraId="5DA6AC2D" w14:textId="77777777" w:rsidR="00307155" w:rsidRPr="00FC7BB4" w:rsidRDefault="00307155" w:rsidP="00F3101B">
            <w:pPr>
              <w:spacing w:after="0"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0.75</w:t>
            </w:r>
          </w:p>
        </w:tc>
      </w:tr>
      <w:tr w:rsidR="00307155" w:rsidRPr="00FC7BB4" w14:paraId="560D47E0" w14:textId="77777777" w:rsidTr="00291B27">
        <w:trPr>
          <w:trHeight w:val="157"/>
        </w:trPr>
        <w:tc>
          <w:tcPr>
            <w:tcW w:w="1984" w:type="dxa"/>
            <w:tcBorders>
              <w:top w:val="nil"/>
              <w:left w:val="nil"/>
              <w:bottom w:val="nil"/>
              <w:right w:val="nil"/>
            </w:tcBorders>
          </w:tcPr>
          <w:p w14:paraId="44CEADC3" w14:textId="77777777" w:rsidR="00307155" w:rsidRPr="00FC7BB4" w:rsidRDefault="00307155" w:rsidP="00F3101B">
            <w:pPr>
              <w:spacing w:after="0" w:line="240" w:lineRule="auto"/>
              <w:ind w:left="120" w:right="27" w:firstLine="0"/>
              <w:rPr>
                <w:rFonts w:ascii="Times New Roman" w:hAnsi="Times New Roman" w:cs="Times New Roman"/>
                <w:i/>
                <w:iCs/>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47ECE922" w14:textId="77777777" w:rsidR="00307155" w:rsidRPr="00FC7BB4" w:rsidRDefault="00307155" w:rsidP="00F3101B">
            <w:pPr>
              <w:spacing w:after="0" w:line="240"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66B88847" w14:textId="77777777" w:rsidR="00307155" w:rsidRPr="00FC7BB4" w:rsidRDefault="00307155" w:rsidP="00F3101B">
            <w:pPr>
              <w:spacing w:after="0" w:line="240"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bottom"/>
          </w:tcPr>
          <w:p w14:paraId="5050FE35" w14:textId="77777777" w:rsidR="00307155" w:rsidRPr="00FC7BB4" w:rsidRDefault="00307155" w:rsidP="00F3101B">
            <w:pPr>
              <w:spacing w:after="0" w:line="240"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bottom"/>
          </w:tcPr>
          <w:p w14:paraId="4E351F1B" w14:textId="77777777" w:rsidR="00307155" w:rsidRPr="00FC7BB4" w:rsidRDefault="00307155" w:rsidP="00F3101B">
            <w:pPr>
              <w:spacing w:after="0" w:line="240"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bottom"/>
          </w:tcPr>
          <w:p w14:paraId="66F71F34" w14:textId="77777777" w:rsidR="00307155" w:rsidRPr="00FC7BB4" w:rsidRDefault="00307155" w:rsidP="00F3101B">
            <w:pPr>
              <w:spacing w:after="0" w:line="240"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bottom"/>
          </w:tcPr>
          <w:p w14:paraId="31750A46" w14:textId="77777777" w:rsidR="00307155" w:rsidRPr="00FC7BB4" w:rsidRDefault="00307155" w:rsidP="00F3101B">
            <w:pPr>
              <w:spacing w:after="0" w:line="240"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-0.16***</w:t>
            </w:r>
          </w:p>
        </w:tc>
        <w:tc>
          <w:tcPr>
            <w:tcW w:w="850" w:type="dxa"/>
            <w:tcBorders>
              <w:top w:val="nil"/>
              <w:left w:val="nil"/>
              <w:bottom w:val="nil"/>
              <w:right w:val="nil"/>
            </w:tcBorders>
            <w:vAlign w:val="bottom"/>
          </w:tcPr>
          <w:p w14:paraId="7217E6FC" w14:textId="77777777" w:rsidR="00307155" w:rsidRPr="00FC7BB4" w:rsidRDefault="00307155" w:rsidP="00F3101B">
            <w:pPr>
              <w:spacing w:after="0" w:line="240"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0.06</w:t>
            </w:r>
          </w:p>
        </w:tc>
        <w:tc>
          <w:tcPr>
            <w:tcW w:w="851" w:type="dxa"/>
            <w:tcBorders>
              <w:top w:val="nil"/>
              <w:left w:val="nil"/>
              <w:bottom w:val="nil"/>
              <w:right w:val="nil"/>
            </w:tcBorders>
            <w:vAlign w:val="bottom"/>
          </w:tcPr>
          <w:p w14:paraId="1A053D4C" w14:textId="77777777" w:rsidR="00307155" w:rsidRPr="00FC7BB4" w:rsidRDefault="00307155" w:rsidP="00F3101B">
            <w:pPr>
              <w:spacing w:after="0" w:line="240"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0.20*</w:t>
            </w:r>
          </w:p>
        </w:tc>
      </w:tr>
      <w:tr w:rsidR="00307155" w:rsidRPr="00FC7BB4" w14:paraId="6FD39E7F" w14:textId="77777777" w:rsidTr="00291B27">
        <w:trPr>
          <w:trHeight w:val="102"/>
        </w:trPr>
        <w:tc>
          <w:tcPr>
            <w:tcW w:w="1984" w:type="dxa"/>
            <w:tcBorders>
              <w:top w:val="nil"/>
              <w:left w:val="nil"/>
              <w:bottom w:val="nil"/>
              <w:right w:val="nil"/>
            </w:tcBorders>
          </w:tcPr>
          <w:p w14:paraId="568B5037"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sz w:val="18"/>
                <w:szCs w:val="18"/>
              </w:rPr>
              <w:t xml:space="preserve">Dup </w:t>
            </w:r>
          </w:p>
        </w:tc>
        <w:tc>
          <w:tcPr>
            <w:tcW w:w="1268" w:type="dxa"/>
            <w:tcBorders>
              <w:top w:val="nil"/>
              <w:left w:val="nil"/>
              <w:bottom w:val="nil"/>
              <w:right w:val="nil"/>
            </w:tcBorders>
          </w:tcPr>
          <w:p w14:paraId="399120C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Merchants</w:t>
            </w:r>
          </w:p>
        </w:tc>
        <w:tc>
          <w:tcPr>
            <w:tcW w:w="743" w:type="dxa"/>
            <w:tcBorders>
              <w:top w:val="nil"/>
              <w:left w:val="nil"/>
              <w:bottom w:val="nil"/>
              <w:right w:val="nil"/>
            </w:tcBorders>
          </w:tcPr>
          <w:p w14:paraId="0FA3411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bottom"/>
          </w:tcPr>
          <w:p w14:paraId="0505F90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0.51</w:t>
            </w:r>
          </w:p>
        </w:tc>
        <w:tc>
          <w:tcPr>
            <w:tcW w:w="753" w:type="dxa"/>
            <w:tcBorders>
              <w:top w:val="nil"/>
              <w:left w:val="nil"/>
              <w:bottom w:val="nil"/>
              <w:right w:val="nil"/>
            </w:tcBorders>
            <w:vAlign w:val="bottom"/>
          </w:tcPr>
          <w:p w14:paraId="512F9FA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0.70</w:t>
            </w:r>
          </w:p>
        </w:tc>
        <w:tc>
          <w:tcPr>
            <w:tcW w:w="751" w:type="dxa"/>
            <w:tcBorders>
              <w:top w:val="nil"/>
              <w:left w:val="nil"/>
              <w:bottom w:val="nil"/>
              <w:right w:val="nil"/>
            </w:tcBorders>
            <w:vAlign w:val="bottom"/>
          </w:tcPr>
          <w:p w14:paraId="2B0C3A7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0.80</w:t>
            </w:r>
          </w:p>
        </w:tc>
        <w:tc>
          <w:tcPr>
            <w:tcW w:w="909" w:type="dxa"/>
            <w:tcBorders>
              <w:top w:val="nil"/>
              <w:left w:val="nil"/>
              <w:bottom w:val="nil"/>
              <w:right w:val="nil"/>
            </w:tcBorders>
            <w:vAlign w:val="bottom"/>
          </w:tcPr>
          <w:p w14:paraId="0F2B793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0.48</w:t>
            </w:r>
          </w:p>
        </w:tc>
        <w:tc>
          <w:tcPr>
            <w:tcW w:w="850" w:type="dxa"/>
            <w:tcBorders>
              <w:top w:val="nil"/>
              <w:left w:val="nil"/>
              <w:bottom w:val="nil"/>
              <w:right w:val="nil"/>
            </w:tcBorders>
            <w:vAlign w:val="bottom"/>
          </w:tcPr>
          <w:p w14:paraId="11D5FD3D"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0.66</w:t>
            </w:r>
          </w:p>
        </w:tc>
        <w:tc>
          <w:tcPr>
            <w:tcW w:w="851" w:type="dxa"/>
            <w:tcBorders>
              <w:top w:val="nil"/>
              <w:left w:val="nil"/>
              <w:bottom w:val="nil"/>
              <w:right w:val="nil"/>
            </w:tcBorders>
            <w:vAlign w:val="bottom"/>
          </w:tcPr>
          <w:p w14:paraId="5960C0DC"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0.77</w:t>
            </w:r>
          </w:p>
        </w:tc>
      </w:tr>
      <w:tr w:rsidR="00307155" w:rsidRPr="00FC7BB4" w14:paraId="09F39811" w14:textId="77777777" w:rsidTr="00291B27">
        <w:trPr>
          <w:trHeight w:val="102"/>
        </w:trPr>
        <w:tc>
          <w:tcPr>
            <w:tcW w:w="1984" w:type="dxa"/>
            <w:tcBorders>
              <w:top w:val="nil"/>
              <w:left w:val="nil"/>
              <w:bottom w:val="nil"/>
              <w:right w:val="nil"/>
            </w:tcBorders>
          </w:tcPr>
          <w:p w14:paraId="24746187"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1FCE4765"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4795AEE1"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bottom"/>
          </w:tcPr>
          <w:p w14:paraId="5462C8A0"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bottom"/>
          </w:tcPr>
          <w:p w14:paraId="6CB788A0"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bottom"/>
          </w:tcPr>
          <w:p w14:paraId="58014E8C"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bottom"/>
          </w:tcPr>
          <w:p w14:paraId="452F2468"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-0.03</w:t>
            </w:r>
          </w:p>
        </w:tc>
        <w:tc>
          <w:tcPr>
            <w:tcW w:w="850" w:type="dxa"/>
            <w:tcBorders>
              <w:top w:val="nil"/>
              <w:left w:val="nil"/>
              <w:bottom w:val="nil"/>
              <w:right w:val="nil"/>
            </w:tcBorders>
            <w:vAlign w:val="bottom"/>
          </w:tcPr>
          <w:p w14:paraId="3C947190"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-0.04</w:t>
            </w:r>
          </w:p>
        </w:tc>
        <w:tc>
          <w:tcPr>
            <w:tcW w:w="851" w:type="dxa"/>
            <w:tcBorders>
              <w:top w:val="nil"/>
              <w:left w:val="nil"/>
              <w:bottom w:val="nil"/>
              <w:right w:val="nil"/>
            </w:tcBorders>
            <w:vAlign w:val="bottom"/>
          </w:tcPr>
          <w:p w14:paraId="25D57B9A"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-0.03</w:t>
            </w:r>
          </w:p>
        </w:tc>
      </w:tr>
      <w:tr w:rsidR="00307155" w:rsidRPr="00FC7BB4" w14:paraId="56BA3421" w14:textId="77777777" w:rsidTr="00291B27">
        <w:trPr>
          <w:trHeight w:val="176"/>
        </w:trPr>
        <w:tc>
          <w:tcPr>
            <w:tcW w:w="1984" w:type="dxa"/>
            <w:tcBorders>
              <w:top w:val="nil"/>
              <w:left w:val="nil"/>
              <w:bottom w:val="nil"/>
              <w:right w:val="nil"/>
            </w:tcBorders>
          </w:tcPr>
          <w:p w14:paraId="611D84D6"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sz w:val="18"/>
                <w:szCs w:val="18"/>
              </w:rPr>
              <w:t xml:space="preserve">Dup </w:t>
            </w:r>
          </w:p>
        </w:tc>
        <w:tc>
          <w:tcPr>
            <w:tcW w:w="1268" w:type="dxa"/>
            <w:tcBorders>
              <w:top w:val="nil"/>
              <w:left w:val="nil"/>
              <w:bottom w:val="nil"/>
              <w:right w:val="nil"/>
            </w:tcBorders>
          </w:tcPr>
          <w:p w14:paraId="447DFC94"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304F96C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bottom"/>
          </w:tcPr>
          <w:p w14:paraId="78572D8C"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0.52</w:t>
            </w:r>
          </w:p>
        </w:tc>
        <w:tc>
          <w:tcPr>
            <w:tcW w:w="753" w:type="dxa"/>
            <w:tcBorders>
              <w:top w:val="nil"/>
              <w:left w:val="nil"/>
              <w:bottom w:val="nil"/>
              <w:right w:val="nil"/>
            </w:tcBorders>
            <w:vAlign w:val="bottom"/>
          </w:tcPr>
          <w:p w14:paraId="437B3FF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0.70</w:t>
            </w:r>
          </w:p>
        </w:tc>
        <w:tc>
          <w:tcPr>
            <w:tcW w:w="751" w:type="dxa"/>
            <w:tcBorders>
              <w:top w:val="nil"/>
              <w:left w:val="nil"/>
              <w:bottom w:val="nil"/>
              <w:right w:val="nil"/>
            </w:tcBorders>
            <w:vAlign w:val="bottom"/>
          </w:tcPr>
          <w:p w14:paraId="6A525E3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0.79</w:t>
            </w:r>
          </w:p>
        </w:tc>
        <w:tc>
          <w:tcPr>
            <w:tcW w:w="909" w:type="dxa"/>
            <w:tcBorders>
              <w:top w:val="nil"/>
              <w:left w:val="nil"/>
              <w:bottom w:val="nil"/>
              <w:right w:val="nil"/>
            </w:tcBorders>
            <w:vAlign w:val="bottom"/>
          </w:tcPr>
          <w:p w14:paraId="74F5629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0.46</w:t>
            </w:r>
          </w:p>
        </w:tc>
        <w:tc>
          <w:tcPr>
            <w:tcW w:w="850" w:type="dxa"/>
            <w:tcBorders>
              <w:top w:val="nil"/>
              <w:left w:val="nil"/>
              <w:bottom w:val="nil"/>
              <w:right w:val="nil"/>
            </w:tcBorders>
            <w:vAlign w:val="bottom"/>
          </w:tcPr>
          <w:p w14:paraId="04D4D37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0.79</w:t>
            </w:r>
          </w:p>
        </w:tc>
        <w:tc>
          <w:tcPr>
            <w:tcW w:w="851" w:type="dxa"/>
            <w:tcBorders>
              <w:top w:val="nil"/>
              <w:left w:val="nil"/>
              <w:bottom w:val="nil"/>
              <w:right w:val="nil"/>
            </w:tcBorders>
            <w:vAlign w:val="bottom"/>
          </w:tcPr>
          <w:p w14:paraId="73C1392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0.91</w:t>
            </w:r>
          </w:p>
        </w:tc>
      </w:tr>
      <w:tr w:rsidR="00307155" w:rsidRPr="00FC7BB4" w14:paraId="77F21DA3" w14:textId="77777777" w:rsidTr="00291B27">
        <w:trPr>
          <w:trHeight w:val="176"/>
        </w:trPr>
        <w:tc>
          <w:tcPr>
            <w:tcW w:w="1984" w:type="dxa"/>
            <w:tcBorders>
              <w:top w:val="nil"/>
              <w:left w:val="nil"/>
              <w:bottom w:val="nil"/>
              <w:right w:val="nil"/>
            </w:tcBorders>
          </w:tcPr>
          <w:p w14:paraId="406EC136"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73F70BAE"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678814F5" w14:textId="77777777" w:rsidR="00307155" w:rsidRPr="00FC7BB4" w:rsidRDefault="00307155" w:rsidP="00F3101B">
            <w:pPr>
              <w:spacing w:after="0" w:line="259" w:lineRule="auto"/>
              <w:ind w:right="27" w:firstLine="0"/>
              <w:rPr>
                <w:rFonts w:ascii="Times New Roman" w:hAnsi="Times New Roman" w:cs="Times New Roman"/>
                <w:i/>
                <w:iCs/>
                <w:sz w:val="18"/>
                <w:szCs w:val="18"/>
                <w:highlight w:val="yellow"/>
              </w:rPr>
            </w:pPr>
          </w:p>
        </w:tc>
        <w:tc>
          <w:tcPr>
            <w:tcW w:w="754" w:type="dxa"/>
            <w:tcBorders>
              <w:top w:val="nil"/>
              <w:left w:val="nil"/>
              <w:bottom w:val="nil"/>
              <w:right w:val="nil"/>
            </w:tcBorders>
            <w:vAlign w:val="bottom"/>
          </w:tcPr>
          <w:p w14:paraId="6A98F9DB" w14:textId="77777777" w:rsidR="00307155" w:rsidRPr="00FC7BB4" w:rsidRDefault="00307155" w:rsidP="00F3101B">
            <w:pPr>
              <w:spacing w:after="0" w:line="259" w:lineRule="auto"/>
              <w:ind w:right="27" w:firstLine="0"/>
              <w:rPr>
                <w:rFonts w:ascii="Times New Roman" w:hAnsi="Times New Roman" w:cs="Times New Roman"/>
                <w:i/>
                <w:iCs/>
                <w:sz w:val="18"/>
                <w:szCs w:val="18"/>
                <w:highlight w:val="yellow"/>
              </w:rPr>
            </w:pPr>
          </w:p>
        </w:tc>
        <w:tc>
          <w:tcPr>
            <w:tcW w:w="753" w:type="dxa"/>
            <w:tcBorders>
              <w:top w:val="nil"/>
              <w:left w:val="nil"/>
              <w:bottom w:val="nil"/>
              <w:right w:val="nil"/>
            </w:tcBorders>
            <w:vAlign w:val="bottom"/>
          </w:tcPr>
          <w:p w14:paraId="09B63442" w14:textId="77777777" w:rsidR="00307155" w:rsidRPr="00FC7BB4" w:rsidRDefault="00307155" w:rsidP="00F3101B">
            <w:pPr>
              <w:spacing w:after="0" w:line="259" w:lineRule="auto"/>
              <w:ind w:right="27" w:firstLine="0"/>
              <w:rPr>
                <w:rFonts w:ascii="Times New Roman" w:hAnsi="Times New Roman" w:cs="Times New Roman"/>
                <w:i/>
                <w:iCs/>
                <w:sz w:val="18"/>
                <w:szCs w:val="18"/>
                <w:highlight w:val="yellow"/>
              </w:rPr>
            </w:pPr>
          </w:p>
        </w:tc>
        <w:tc>
          <w:tcPr>
            <w:tcW w:w="751" w:type="dxa"/>
            <w:tcBorders>
              <w:top w:val="nil"/>
              <w:left w:val="nil"/>
              <w:bottom w:val="nil"/>
              <w:right w:val="nil"/>
            </w:tcBorders>
            <w:vAlign w:val="bottom"/>
          </w:tcPr>
          <w:p w14:paraId="2DFF7875" w14:textId="77777777" w:rsidR="00307155" w:rsidRPr="00FC7BB4" w:rsidRDefault="00307155" w:rsidP="00F3101B">
            <w:pPr>
              <w:spacing w:after="0" w:line="259" w:lineRule="auto"/>
              <w:ind w:right="27" w:firstLine="0"/>
              <w:rPr>
                <w:rFonts w:ascii="Times New Roman" w:hAnsi="Times New Roman" w:cs="Times New Roman"/>
                <w:i/>
                <w:iCs/>
                <w:sz w:val="18"/>
                <w:szCs w:val="18"/>
                <w:highlight w:val="yellow"/>
              </w:rPr>
            </w:pPr>
          </w:p>
        </w:tc>
        <w:tc>
          <w:tcPr>
            <w:tcW w:w="909" w:type="dxa"/>
            <w:tcBorders>
              <w:top w:val="nil"/>
              <w:left w:val="nil"/>
              <w:bottom w:val="nil"/>
              <w:right w:val="nil"/>
            </w:tcBorders>
            <w:vAlign w:val="bottom"/>
          </w:tcPr>
          <w:p w14:paraId="3CBCE7FC"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-0.05</w:t>
            </w:r>
          </w:p>
        </w:tc>
        <w:tc>
          <w:tcPr>
            <w:tcW w:w="850" w:type="dxa"/>
            <w:tcBorders>
              <w:top w:val="nil"/>
              <w:left w:val="nil"/>
              <w:bottom w:val="nil"/>
              <w:right w:val="nil"/>
            </w:tcBorders>
            <w:vAlign w:val="bottom"/>
          </w:tcPr>
          <w:p w14:paraId="361C9354"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0.10</w:t>
            </w:r>
          </w:p>
        </w:tc>
        <w:tc>
          <w:tcPr>
            <w:tcW w:w="851" w:type="dxa"/>
            <w:tcBorders>
              <w:top w:val="nil"/>
              <w:left w:val="nil"/>
              <w:bottom w:val="nil"/>
              <w:right w:val="nil"/>
            </w:tcBorders>
            <w:vAlign w:val="bottom"/>
          </w:tcPr>
          <w:p w14:paraId="014CBCC2"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0.12**</w:t>
            </w:r>
          </w:p>
        </w:tc>
      </w:tr>
      <w:tr w:rsidR="00307155" w:rsidRPr="00FC7BB4" w14:paraId="79500DF0" w14:textId="77777777" w:rsidTr="00291B27">
        <w:trPr>
          <w:trHeight w:val="109"/>
        </w:trPr>
        <w:tc>
          <w:tcPr>
            <w:tcW w:w="1984" w:type="dxa"/>
            <w:tcBorders>
              <w:top w:val="nil"/>
              <w:left w:val="nil"/>
              <w:bottom w:val="nil"/>
              <w:right w:val="nil"/>
            </w:tcBorders>
          </w:tcPr>
          <w:p w14:paraId="1E67FB24"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sz w:val="18"/>
                <w:szCs w:val="18"/>
              </w:rPr>
              <w:t xml:space="preserve">Dup </w:t>
            </w:r>
          </w:p>
        </w:tc>
        <w:tc>
          <w:tcPr>
            <w:tcW w:w="1268" w:type="dxa"/>
            <w:tcBorders>
              <w:top w:val="nil"/>
              <w:left w:val="nil"/>
              <w:bottom w:val="nil"/>
              <w:right w:val="nil"/>
            </w:tcBorders>
          </w:tcPr>
          <w:p w14:paraId="161A5BF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Services</w:t>
            </w:r>
          </w:p>
        </w:tc>
        <w:tc>
          <w:tcPr>
            <w:tcW w:w="743" w:type="dxa"/>
            <w:tcBorders>
              <w:top w:val="nil"/>
              <w:left w:val="nil"/>
              <w:bottom w:val="nil"/>
              <w:right w:val="nil"/>
            </w:tcBorders>
          </w:tcPr>
          <w:p w14:paraId="0C45C11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bottom"/>
          </w:tcPr>
          <w:p w14:paraId="6B0D13A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0.57</w:t>
            </w:r>
          </w:p>
        </w:tc>
        <w:tc>
          <w:tcPr>
            <w:tcW w:w="753" w:type="dxa"/>
            <w:tcBorders>
              <w:top w:val="nil"/>
              <w:left w:val="nil"/>
              <w:bottom w:val="nil"/>
              <w:right w:val="nil"/>
            </w:tcBorders>
            <w:vAlign w:val="bottom"/>
          </w:tcPr>
          <w:p w14:paraId="6FB6C88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0.60</w:t>
            </w:r>
          </w:p>
        </w:tc>
        <w:tc>
          <w:tcPr>
            <w:tcW w:w="751" w:type="dxa"/>
            <w:tcBorders>
              <w:top w:val="nil"/>
              <w:left w:val="nil"/>
              <w:bottom w:val="nil"/>
              <w:right w:val="nil"/>
            </w:tcBorders>
            <w:vAlign w:val="bottom"/>
          </w:tcPr>
          <w:p w14:paraId="5237AFF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0.63</w:t>
            </w:r>
          </w:p>
        </w:tc>
        <w:tc>
          <w:tcPr>
            <w:tcW w:w="909" w:type="dxa"/>
            <w:tcBorders>
              <w:top w:val="nil"/>
              <w:left w:val="nil"/>
              <w:bottom w:val="nil"/>
              <w:right w:val="nil"/>
            </w:tcBorders>
            <w:vAlign w:val="bottom"/>
          </w:tcPr>
          <w:p w14:paraId="3D679218"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0.57</w:t>
            </w:r>
          </w:p>
        </w:tc>
        <w:tc>
          <w:tcPr>
            <w:tcW w:w="850" w:type="dxa"/>
            <w:tcBorders>
              <w:top w:val="nil"/>
              <w:left w:val="nil"/>
              <w:bottom w:val="nil"/>
              <w:right w:val="nil"/>
            </w:tcBorders>
            <w:vAlign w:val="bottom"/>
          </w:tcPr>
          <w:p w14:paraId="495C6EF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0.85</w:t>
            </w:r>
          </w:p>
        </w:tc>
        <w:tc>
          <w:tcPr>
            <w:tcW w:w="851" w:type="dxa"/>
            <w:tcBorders>
              <w:top w:val="nil"/>
              <w:left w:val="nil"/>
              <w:bottom w:val="nil"/>
              <w:right w:val="nil"/>
            </w:tcBorders>
            <w:vAlign w:val="bottom"/>
          </w:tcPr>
          <w:p w14:paraId="7A1B030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0.94</w:t>
            </w:r>
          </w:p>
        </w:tc>
      </w:tr>
      <w:tr w:rsidR="00307155" w:rsidRPr="00FC7BB4" w14:paraId="443D3D18" w14:textId="77777777" w:rsidTr="00291B27">
        <w:trPr>
          <w:trHeight w:val="109"/>
        </w:trPr>
        <w:tc>
          <w:tcPr>
            <w:tcW w:w="1984" w:type="dxa"/>
            <w:tcBorders>
              <w:top w:val="nil"/>
              <w:left w:val="nil"/>
              <w:bottom w:val="nil"/>
              <w:right w:val="nil"/>
            </w:tcBorders>
          </w:tcPr>
          <w:p w14:paraId="0F33ADB2"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4C9B42BB"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7B5BDB31"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bottom"/>
          </w:tcPr>
          <w:p w14:paraId="0DF4F026"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bottom"/>
          </w:tcPr>
          <w:p w14:paraId="08AD9356"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bottom"/>
          </w:tcPr>
          <w:p w14:paraId="05FA0032"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bottom"/>
          </w:tcPr>
          <w:p w14:paraId="62E6293F"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0.01</w:t>
            </w:r>
          </w:p>
        </w:tc>
        <w:tc>
          <w:tcPr>
            <w:tcW w:w="850" w:type="dxa"/>
            <w:tcBorders>
              <w:top w:val="nil"/>
              <w:left w:val="nil"/>
              <w:bottom w:val="nil"/>
              <w:right w:val="nil"/>
            </w:tcBorders>
            <w:vAlign w:val="bottom"/>
          </w:tcPr>
          <w:p w14:paraId="32C940BC"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0.24***</w:t>
            </w:r>
          </w:p>
        </w:tc>
        <w:tc>
          <w:tcPr>
            <w:tcW w:w="851" w:type="dxa"/>
            <w:tcBorders>
              <w:top w:val="nil"/>
              <w:left w:val="nil"/>
              <w:bottom w:val="nil"/>
              <w:right w:val="nil"/>
            </w:tcBorders>
            <w:vAlign w:val="bottom"/>
          </w:tcPr>
          <w:p w14:paraId="6DC546E2"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0.31***</w:t>
            </w:r>
          </w:p>
        </w:tc>
      </w:tr>
      <w:tr w:rsidR="00307155" w:rsidRPr="00FC7BB4" w14:paraId="2AB9EC3E" w14:textId="77777777" w:rsidTr="00291B27">
        <w:trPr>
          <w:trHeight w:val="168"/>
        </w:trPr>
        <w:tc>
          <w:tcPr>
            <w:tcW w:w="1984" w:type="dxa"/>
            <w:tcBorders>
              <w:top w:val="nil"/>
              <w:left w:val="nil"/>
              <w:bottom w:val="nil"/>
              <w:right w:val="nil"/>
            </w:tcBorders>
          </w:tcPr>
          <w:p w14:paraId="7C5D9842"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sz w:val="18"/>
                <w:szCs w:val="18"/>
              </w:rPr>
              <w:t xml:space="preserve">Dup </w:t>
            </w:r>
          </w:p>
        </w:tc>
        <w:tc>
          <w:tcPr>
            <w:tcW w:w="1268" w:type="dxa"/>
            <w:tcBorders>
              <w:top w:val="nil"/>
              <w:left w:val="nil"/>
              <w:bottom w:val="nil"/>
              <w:right w:val="nil"/>
            </w:tcBorders>
          </w:tcPr>
          <w:p w14:paraId="2DA71450"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7DC3101C"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bottom"/>
          </w:tcPr>
          <w:p w14:paraId="3F4DF43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0.52</w:t>
            </w:r>
          </w:p>
        </w:tc>
        <w:tc>
          <w:tcPr>
            <w:tcW w:w="753" w:type="dxa"/>
            <w:tcBorders>
              <w:top w:val="nil"/>
              <w:left w:val="nil"/>
              <w:bottom w:val="nil"/>
              <w:right w:val="nil"/>
            </w:tcBorders>
            <w:vAlign w:val="bottom"/>
          </w:tcPr>
          <w:p w14:paraId="2C9EA72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0.55</w:t>
            </w:r>
          </w:p>
        </w:tc>
        <w:tc>
          <w:tcPr>
            <w:tcW w:w="751" w:type="dxa"/>
            <w:tcBorders>
              <w:top w:val="nil"/>
              <w:left w:val="nil"/>
              <w:bottom w:val="nil"/>
              <w:right w:val="nil"/>
            </w:tcBorders>
            <w:vAlign w:val="bottom"/>
          </w:tcPr>
          <w:p w14:paraId="5D7EDCA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0.57</w:t>
            </w:r>
          </w:p>
        </w:tc>
        <w:tc>
          <w:tcPr>
            <w:tcW w:w="909" w:type="dxa"/>
            <w:tcBorders>
              <w:top w:val="nil"/>
              <w:left w:val="nil"/>
              <w:bottom w:val="nil"/>
              <w:right w:val="nil"/>
            </w:tcBorders>
            <w:vAlign w:val="bottom"/>
          </w:tcPr>
          <w:p w14:paraId="66E3E4E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0.51</w:t>
            </w:r>
          </w:p>
        </w:tc>
        <w:tc>
          <w:tcPr>
            <w:tcW w:w="850" w:type="dxa"/>
            <w:tcBorders>
              <w:top w:val="nil"/>
              <w:left w:val="nil"/>
              <w:bottom w:val="nil"/>
              <w:right w:val="nil"/>
            </w:tcBorders>
            <w:vAlign w:val="bottom"/>
          </w:tcPr>
          <w:p w14:paraId="4FD27EBD"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0.76</w:t>
            </w:r>
          </w:p>
        </w:tc>
        <w:tc>
          <w:tcPr>
            <w:tcW w:w="851" w:type="dxa"/>
            <w:tcBorders>
              <w:top w:val="nil"/>
              <w:left w:val="nil"/>
              <w:bottom w:val="nil"/>
              <w:right w:val="nil"/>
            </w:tcBorders>
            <w:vAlign w:val="bottom"/>
          </w:tcPr>
          <w:p w14:paraId="5954F14D"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0.88</w:t>
            </w:r>
          </w:p>
        </w:tc>
      </w:tr>
      <w:tr w:rsidR="00307155" w:rsidRPr="00FC7BB4" w14:paraId="2506B4AB" w14:textId="77777777" w:rsidTr="00291B27">
        <w:trPr>
          <w:trHeight w:val="168"/>
        </w:trPr>
        <w:tc>
          <w:tcPr>
            <w:tcW w:w="1984" w:type="dxa"/>
            <w:tcBorders>
              <w:top w:val="nil"/>
              <w:left w:val="nil"/>
              <w:bottom w:val="nil"/>
              <w:right w:val="nil"/>
            </w:tcBorders>
          </w:tcPr>
          <w:p w14:paraId="39A8D520"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1D04F4DC"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6232534B"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bottom"/>
          </w:tcPr>
          <w:p w14:paraId="3FB24700"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bottom"/>
          </w:tcPr>
          <w:p w14:paraId="355AB446"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bottom"/>
          </w:tcPr>
          <w:p w14:paraId="73C2C322"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bottom"/>
          </w:tcPr>
          <w:p w14:paraId="11C4EA2A"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-0.01</w:t>
            </w:r>
          </w:p>
        </w:tc>
        <w:tc>
          <w:tcPr>
            <w:tcW w:w="850" w:type="dxa"/>
            <w:tcBorders>
              <w:top w:val="nil"/>
              <w:left w:val="nil"/>
              <w:bottom w:val="nil"/>
              <w:right w:val="nil"/>
            </w:tcBorders>
            <w:vAlign w:val="bottom"/>
          </w:tcPr>
          <w:p w14:paraId="4A57F5A5"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0.21***</w:t>
            </w:r>
          </w:p>
        </w:tc>
        <w:tc>
          <w:tcPr>
            <w:tcW w:w="851" w:type="dxa"/>
            <w:tcBorders>
              <w:top w:val="nil"/>
              <w:left w:val="nil"/>
              <w:bottom w:val="nil"/>
              <w:right w:val="nil"/>
            </w:tcBorders>
            <w:vAlign w:val="bottom"/>
          </w:tcPr>
          <w:p w14:paraId="2B77911C"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0.31***</w:t>
            </w:r>
          </w:p>
        </w:tc>
      </w:tr>
      <w:tr w:rsidR="00307155" w:rsidRPr="00FC7BB4" w14:paraId="0E96EAB5" w14:textId="77777777" w:rsidTr="00291B27">
        <w:trPr>
          <w:trHeight w:val="101"/>
        </w:trPr>
        <w:tc>
          <w:tcPr>
            <w:tcW w:w="1984" w:type="dxa"/>
            <w:tcBorders>
              <w:top w:val="nil"/>
              <w:left w:val="nil"/>
              <w:bottom w:val="nil"/>
              <w:right w:val="nil"/>
            </w:tcBorders>
          </w:tcPr>
          <w:p w14:paraId="0D4DC144" w14:textId="77777777" w:rsidR="00307155" w:rsidRPr="00FC7BB4" w:rsidRDefault="00307155" w:rsidP="00F3101B">
            <w:pPr>
              <w:spacing w:after="0" w:line="259" w:lineRule="auto"/>
              <w:ind w:left="120"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Dnc</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7AFC099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Manufacturers</w:t>
            </w:r>
          </w:p>
        </w:tc>
        <w:tc>
          <w:tcPr>
            <w:tcW w:w="743" w:type="dxa"/>
            <w:tcBorders>
              <w:top w:val="nil"/>
              <w:left w:val="nil"/>
              <w:bottom w:val="nil"/>
              <w:right w:val="nil"/>
            </w:tcBorders>
          </w:tcPr>
          <w:p w14:paraId="320804E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bottom"/>
          </w:tcPr>
          <w:p w14:paraId="78B0C3E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0.32</w:t>
            </w:r>
          </w:p>
        </w:tc>
        <w:tc>
          <w:tcPr>
            <w:tcW w:w="753" w:type="dxa"/>
            <w:tcBorders>
              <w:top w:val="nil"/>
              <w:left w:val="nil"/>
              <w:bottom w:val="nil"/>
              <w:right w:val="nil"/>
            </w:tcBorders>
            <w:vAlign w:val="bottom"/>
          </w:tcPr>
          <w:p w14:paraId="305807F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0.38</w:t>
            </w:r>
          </w:p>
        </w:tc>
        <w:tc>
          <w:tcPr>
            <w:tcW w:w="751" w:type="dxa"/>
            <w:tcBorders>
              <w:top w:val="nil"/>
              <w:left w:val="nil"/>
              <w:bottom w:val="nil"/>
              <w:right w:val="nil"/>
            </w:tcBorders>
            <w:vAlign w:val="bottom"/>
          </w:tcPr>
          <w:p w14:paraId="3C35D48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0.43</w:t>
            </w:r>
          </w:p>
        </w:tc>
        <w:tc>
          <w:tcPr>
            <w:tcW w:w="909" w:type="dxa"/>
            <w:tcBorders>
              <w:top w:val="nil"/>
              <w:left w:val="nil"/>
              <w:bottom w:val="nil"/>
              <w:right w:val="nil"/>
            </w:tcBorders>
            <w:vAlign w:val="bottom"/>
          </w:tcPr>
          <w:p w14:paraId="78267A4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0.26</w:t>
            </w:r>
          </w:p>
        </w:tc>
        <w:tc>
          <w:tcPr>
            <w:tcW w:w="850" w:type="dxa"/>
            <w:tcBorders>
              <w:top w:val="nil"/>
              <w:left w:val="nil"/>
              <w:bottom w:val="nil"/>
              <w:right w:val="nil"/>
            </w:tcBorders>
            <w:vAlign w:val="bottom"/>
          </w:tcPr>
          <w:p w14:paraId="772D198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0.41</w:t>
            </w:r>
          </w:p>
        </w:tc>
        <w:tc>
          <w:tcPr>
            <w:tcW w:w="851" w:type="dxa"/>
            <w:tcBorders>
              <w:top w:val="nil"/>
              <w:left w:val="nil"/>
              <w:bottom w:val="nil"/>
              <w:right w:val="nil"/>
            </w:tcBorders>
            <w:vAlign w:val="bottom"/>
          </w:tcPr>
          <w:p w14:paraId="183A45DD"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0.52</w:t>
            </w:r>
          </w:p>
        </w:tc>
      </w:tr>
      <w:tr w:rsidR="00307155" w:rsidRPr="00FC7BB4" w14:paraId="55D04078" w14:textId="77777777" w:rsidTr="00291B27">
        <w:trPr>
          <w:trHeight w:val="101"/>
        </w:trPr>
        <w:tc>
          <w:tcPr>
            <w:tcW w:w="1984" w:type="dxa"/>
            <w:tcBorders>
              <w:top w:val="nil"/>
              <w:left w:val="nil"/>
              <w:bottom w:val="nil"/>
              <w:right w:val="nil"/>
            </w:tcBorders>
          </w:tcPr>
          <w:p w14:paraId="4EB6D6CD"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575B6763"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689A36E6"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bottom"/>
          </w:tcPr>
          <w:p w14:paraId="7F391202"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bottom"/>
          </w:tcPr>
          <w:p w14:paraId="4B74CB9D"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bottom"/>
          </w:tcPr>
          <w:p w14:paraId="5AB42DA9"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bottom"/>
          </w:tcPr>
          <w:p w14:paraId="4D488E40"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-0.06***</w:t>
            </w:r>
          </w:p>
        </w:tc>
        <w:tc>
          <w:tcPr>
            <w:tcW w:w="850" w:type="dxa"/>
            <w:tcBorders>
              <w:top w:val="nil"/>
              <w:left w:val="nil"/>
              <w:bottom w:val="nil"/>
              <w:right w:val="nil"/>
            </w:tcBorders>
            <w:vAlign w:val="bottom"/>
          </w:tcPr>
          <w:p w14:paraId="73860FA1"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0.03</w:t>
            </w:r>
          </w:p>
        </w:tc>
        <w:tc>
          <w:tcPr>
            <w:tcW w:w="851" w:type="dxa"/>
            <w:tcBorders>
              <w:top w:val="nil"/>
              <w:left w:val="nil"/>
              <w:bottom w:val="nil"/>
              <w:right w:val="nil"/>
            </w:tcBorders>
            <w:vAlign w:val="bottom"/>
          </w:tcPr>
          <w:p w14:paraId="79128048"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0.10***</w:t>
            </w:r>
          </w:p>
        </w:tc>
      </w:tr>
      <w:tr w:rsidR="00307155" w:rsidRPr="00FC7BB4" w14:paraId="1DA9063D" w14:textId="77777777" w:rsidTr="00291B27">
        <w:trPr>
          <w:trHeight w:val="189"/>
        </w:trPr>
        <w:tc>
          <w:tcPr>
            <w:tcW w:w="1984" w:type="dxa"/>
            <w:tcBorders>
              <w:top w:val="nil"/>
              <w:left w:val="nil"/>
              <w:bottom w:val="nil"/>
              <w:right w:val="nil"/>
            </w:tcBorders>
          </w:tcPr>
          <w:p w14:paraId="31460E3E" w14:textId="77777777" w:rsidR="00307155" w:rsidRPr="00FC7BB4" w:rsidRDefault="00307155" w:rsidP="00F3101B">
            <w:pPr>
              <w:spacing w:after="0" w:line="259" w:lineRule="auto"/>
              <w:ind w:left="120"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Dnc</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679D2169"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12179E8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bottom"/>
          </w:tcPr>
          <w:p w14:paraId="2F294B4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0.37</w:t>
            </w:r>
          </w:p>
        </w:tc>
        <w:tc>
          <w:tcPr>
            <w:tcW w:w="753" w:type="dxa"/>
            <w:tcBorders>
              <w:top w:val="nil"/>
              <w:left w:val="nil"/>
              <w:bottom w:val="nil"/>
              <w:right w:val="nil"/>
            </w:tcBorders>
            <w:vAlign w:val="bottom"/>
          </w:tcPr>
          <w:p w14:paraId="5E3AB3E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0.44</w:t>
            </w:r>
          </w:p>
        </w:tc>
        <w:tc>
          <w:tcPr>
            <w:tcW w:w="751" w:type="dxa"/>
            <w:tcBorders>
              <w:top w:val="nil"/>
              <w:left w:val="nil"/>
              <w:bottom w:val="nil"/>
              <w:right w:val="nil"/>
            </w:tcBorders>
            <w:vAlign w:val="bottom"/>
          </w:tcPr>
          <w:p w14:paraId="0D1439C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0.48</w:t>
            </w:r>
          </w:p>
        </w:tc>
        <w:tc>
          <w:tcPr>
            <w:tcW w:w="909" w:type="dxa"/>
            <w:tcBorders>
              <w:top w:val="nil"/>
              <w:left w:val="nil"/>
              <w:bottom w:val="nil"/>
              <w:right w:val="nil"/>
            </w:tcBorders>
            <w:vAlign w:val="bottom"/>
          </w:tcPr>
          <w:p w14:paraId="5BF84142"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0.20</w:t>
            </w:r>
          </w:p>
        </w:tc>
        <w:tc>
          <w:tcPr>
            <w:tcW w:w="850" w:type="dxa"/>
            <w:tcBorders>
              <w:top w:val="nil"/>
              <w:left w:val="nil"/>
              <w:bottom w:val="nil"/>
              <w:right w:val="nil"/>
            </w:tcBorders>
            <w:vAlign w:val="bottom"/>
          </w:tcPr>
          <w:p w14:paraId="5DEC57E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0.47</w:t>
            </w:r>
          </w:p>
        </w:tc>
        <w:tc>
          <w:tcPr>
            <w:tcW w:w="851" w:type="dxa"/>
            <w:tcBorders>
              <w:top w:val="nil"/>
              <w:left w:val="nil"/>
              <w:bottom w:val="nil"/>
              <w:right w:val="nil"/>
            </w:tcBorders>
            <w:vAlign w:val="bottom"/>
          </w:tcPr>
          <w:p w14:paraId="4EF4BAA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0.67</w:t>
            </w:r>
          </w:p>
        </w:tc>
      </w:tr>
      <w:tr w:rsidR="00307155" w:rsidRPr="00FC7BB4" w14:paraId="05350207" w14:textId="77777777" w:rsidTr="00291B27">
        <w:trPr>
          <w:trHeight w:val="189"/>
        </w:trPr>
        <w:tc>
          <w:tcPr>
            <w:tcW w:w="1984" w:type="dxa"/>
            <w:tcBorders>
              <w:top w:val="nil"/>
              <w:left w:val="nil"/>
              <w:bottom w:val="nil"/>
              <w:right w:val="nil"/>
            </w:tcBorders>
          </w:tcPr>
          <w:p w14:paraId="786111C5"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3EF3BAF0"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27575325"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bottom"/>
          </w:tcPr>
          <w:p w14:paraId="5C1D70A1"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bottom"/>
          </w:tcPr>
          <w:p w14:paraId="7076C78C"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bottom"/>
          </w:tcPr>
          <w:p w14:paraId="17D237C1"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bottom"/>
          </w:tcPr>
          <w:p w14:paraId="76B19E2F"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-0.18***</w:t>
            </w:r>
          </w:p>
        </w:tc>
        <w:tc>
          <w:tcPr>
            <w:tcW w:w="850" w:type="dxa"/>
            <w:tcBorders>
              <w:top w:val="nil"/>
              <w:left w:val="nil"/>
              <w:bottom w:val="nil"/>
              <w:right w:val="nil"/>
            </w:tcBorders>
            <w:vAlign w:val="bottom"/>
          </w:tcPr>
          <w:p w14:paraId="170E5E53"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0.03</w:t>
            </w:r>
          </w:p>
        </w:tc>
        <w:tc>
          <w:tcPr>
            <w:tcW w:w="851" w:type="dxa"/>
            <w:tcBorders>
              <w:top w:val="nil"/>
              <w:left w:val="nil"/>
              <w:bottom w:val="nil"/>
              <w:right w:val="nil"/>
            </w:tcBorders>
            <w:vAlign w:val="bottom"/>
          </w:tcPr>
          <w:p w14:paraId="1D454356"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0.19</w:t>
            </w:r>
          </w:p>
        </w:tc>
      </w:tr>
      <w:tr w:rsidR="00307155" w:rsidRPr="00FC7BB4" w14:paraId="6999ABF8" w14:textId="77777777" w:rsidTr="00291B27">
        <w:trPr>
          <w:trHeight w:val="49"/>
        </w:trPr>
        <w:tc>
          <w:tcPr>
            <w:tcW w:w="1984" w:type="dxa"/>
            <w:tcBorders>
              <w:top w:val="nil"/>
              <w:left w:val="nil"/>
              <w:bottom w:val="nil"/>
              <w:right w:val="nil"/>
            </w:tcBorders>
          </w:tcPr>
          <w:p w14:paraId="5D9B7A78" w14:textId="77777777" w:rsidR="00307155" w:rsidRPr="00FC7BB4" w:rsidRDefault="00307155" w:rsidP="00F3101B">
            <w:pPr>
              <w:spacing w:after="0" w:line="259" w:lineRule="auto"/>
              <w:ind w:left="120"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Dnc</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30B622B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Merchants</w:t>
            </w:r>
          </w:p>
        </w:tc>
        <w:tc>
          <w:tcPr>
            <w:tcW w:w="743" w:type="dxa"/>
            <w:tcBorders>
              <w:top w:val="nil"/>
              <w:left w:val="nil"/>
              <w:bottom w:val="nil"/>
              <w:right w:val="nil"/>
            </w:tcBorders>
          </w:tcPr>
          <w:p w14:paraId="565E872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bottom"/>
          </w:tcPr>
          <w:p w14:paraId="037366E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0.43</w:t>
            </w:r>
          </w:p>
        </w:tc>
        <w:tc>
          <w:tcPr>
            <w:tcW w:w="753" w:type="dxa"/>
            <w:tcBorders>
              <w:top w:val="nil"/>
              <w:left w:val="nil"/>
              <w:bottom w:val="nil"/>
              <w:right w:val="nil"/>
            </w:tcBorders>
            <w:vAlign w:val="bottom"/>
          </w:tcPr>
          <w:p w14:paraId="7D3FFBF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0.62</w:t>
            </w:r>
          </w:p>
        </w:tc>
        <w:tc>
          <w:tcPr>
            <w:tcW w:w="751" w:type="dxa"/>
            <w:tcBorders>
              <w:top w:val="nil"/>
              <w:left w:val="nil"/>
              <w:bottom w:val="nil"/>
              <w:right w:val="nil"/>
            </w:tcBorders>
            <w:vAlign w:val="bottom"/>
          </w:tcPr>
          <w:p w14:paraId="1AB3291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0.73</w:t>
            </w:r>
          </w:p>
        </w:tc>
        <w:tc>
          <w:tcPr>
            <w:tcW w:w="909" w:type="dxa"/>
            <w:tcBorders>
              <w:top w:val="nil"/>
              <w:left w:val="nil"/>
              <w:bottom w:val="nil"/>
              <w:right w:val="nil"/>
            </w:tcBorders>
            <w:vAlign w:val="bottom"/>
          </w:tcPr>
          <w:p w14:paraId="663B83A9"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0.36</w:t>
            </w:r>
          </w:p>
        </w:tc>
        <w:tc>
          <w:tcPr>
            <w:tcW w:w="850" w:type="dxa"/>
            <w:tcBorders>
              <w:top w:val="nil"/>
              <w:left w:val="nil"/>
              <w:bottom w:val="nil"/>
              <w:right w:val="nil"/>
            </w:tcBorders>
            <w:vAlign w:val="bottom"/>
          </w:tcPr>
          <w:p w14:paraId="1436C85C"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0.47</w:t>
            </w:r>
          </w:p>
        </w:tc>
        <w:tc>
          <w:tcPr>
            <w:tcW w:w="851" w:type="dxa"/>
            <w:tcBorders>
              <w:top w:val="nil"/>
              <w:left w:val="nil"/>
              <w:bottom w:val="nil"/>
              <w:right w:val="nil"/>
            </w:tcBorders>
            <w:vAlign w:val="bottom"/>
          </w:tcPr>
          <w:p w14:paraId="14B11C5C"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0.55</w:t>
            </w:r>
          </w:p>
        </w:tc>
      </w:tr>
      <w:tr w:rsidR="00307155" w:rsidRPr="00FC7BB4" w14:paraId="01C52481" w14:textId="77777777" w:rsidTr="00291B27">
        <w:trPr>
          <w:trHeight w:val="49"/>
        </w:trPr>
        <w:tc>
          <w:tcPr>
            <w:tcW w:w="1984" w:type="dxa"/>
            <w:tcBorders>
              <w:top w:val="nil"/>
              <w:left w:val="nil"/>
              <w:bottom w:val="nil"/>
              <w:right w:val="nil"/>
            </w:tcBorders>
          </w:tcPr>
          <w:p w14:paraId="47672BED"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5C0CECFA"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76EC1067"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bottom"/>
          </w:tcPr>
          <w:p w14:paraId="593E3A99"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bottom"/>
          </w:tcPr>
          <w:p w14:paraId="435AF119"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bottom"/>
          </w:tcPr>
          <w:p w14:paraId="12E02D0B"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bottom"/>
          </w:tcPr>
          <w:p w14:paraId="3D2CB41F"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-0.07***</w:t>
            </w:r>
          </w:p>
        </w:tc>
        <w:tc>
          <w:tcPr>
            <w:tcW w:w="850" w:type="dxa"/>
            <w:tcBorders>
              <w:top w:val="nil"/>
              <w:left w:val="nil"/>
              <w:bottom w:val="nil"/>
              <w:right w:val="nil"/>
            </w:tcBorders>
            <w:vAlign w:val="bottom"/>
          </w:tcPr>
          <w:p w14:paraId="7706DAC8"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-0.15***</w:t>
            </w:r>
          </w:p>
        </w:tc>
        <w:tc>
          <w:tcPr>
            <w:tcW w:w="851" w:type="dxa"/>
            <w:tcBorders>
              <w:top w:val="nil"/>
              <w:left w:val="nil"/>
              <w:bottom w:val="nil"/>
              <w:right w:val="nil"/>
            </w:tcBorders>
            <w:vAlign w:val="bottom"/>
          </w:tcPr>
          <w:p w14:paraId="5D041C79"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-0.18***</w:t>
            </w:r>
          </w:p>
        </w:tc>
      </w:tr>
      <w:tr w:rsidR="00307155" w:rsidRPr="00FC7BB4" w14:paraId="7886DC24" w14:textId="77777777" w:rsidTr="00291B27">
        <w:trPr>
          <w:trHeight w:val="181"/>
        </w:trPr>
        <w:tc>
          <w:tcPr>
            <w:tcW w:w="1984" w:type="dxa"/>
            <w:tcBorders>
              <w:top w:val="nil"/>
              <w:left w:val="nil"/>
              <w:bottom w:val="nil"/>
              <w:right w:val="nil"/>
            </w:tcBorders>
          </w:tcPr>
          <w:p w14:paraId="0316147A" w14:textId="77777777" w:rsidR="00307155" w:rsidRPr="00FC7BB4" w:rsidRDefault="00307155" w:rsidP="00F3101B">
            <w:pPr>
              <w:spacing w:after="0" w:line="259" w:lineRule="auto"/>
              <w:ind w:left="120"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Dnc</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011C34DD"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3224B0A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bottom"/>
          </w:tcPr>
          <w:p w14:paraId="449A265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0.44</w:t>
            </w:r>
          </w:p>
        </w:tc>
        <w:tc>
          <w:tcPr>
            <w:tcW w:w="753" w:type="dxa"/>
            <w:tcBorders>
              <w:top w:val="nil"/>
              <w:left w:val="nil"/>
              <w:bottom w:val="nil"/>
              <w:right w:val="nil"/>
            </w:tcBorders>
            <w:vAlign w:val="bottom"/>
          </w:tcPr>
          <w:p w14:paraId="68BCBE4D"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0.62</w:t>
            </w:r>
          </w:p>
        </w:tc>
        <w:tc>
          <w:tcPr>
            <w:tcW w:w="751" w:type="dxa"/>
            <w:tcBorders>
              <w:top w:val="nil"/>
              <w:left w:val="nil"/>
              <w:bottom w:val="nil"/>
              <w:right w:val="nil"/>
            </w:tcBorders>
            <w:vAlign w:val="bottom"/>
          </w:tcPr>
          <w:p w14:paraId="2BDD77C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0.72</w:t>
            </w:r>
          </w:p>
        </w:tc>
        <w:tc>
          <w:tcPr>
            <w:tcW w:w="909" w:type="dxa"/>
            <w:tcBorders>
              <w:top w:val="nil"/>
              <w:left w:val="nil"/>
              <w:bottom w:val="nil"/>
              <w:right w:val="nil"/>
            </w:tcBorders>
            <w:vAlign w:val="bottom"/>
          </w:tcPr>
          <w:p w14:paraId="6A47CA2D"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0.35</w:t>
            </w:r>
          </w:p>
        </w:tc>
        <w:tc>
          <w:tcPr>
            <w:tcW w:w="850" w:type="dxa"/>
            <w:tcBorders>
              <w:top w:val="nil"/>
              <w:left w:val="nil"/>
              <w:bottom w:val="nil"/>
              <w:right w:val="nil"/>
            </w:tcBorders>
            <w:vAlign w:val="bottom"/>
          </w:tcPr>
          <w:p w14:paraId="5F2420D9"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0.63</w:t>
            </w:r>
          </w:p>
        </w:tc>
        <w:tc>
          <w:tcPr>
            <w:tcW w:w="851" w:type="dxa"/>
            <w:tcBorders>
              <w:top w:val="nil"/>
              <w:left w:val="nil"/>
              <w:bottom w:val="nil"/>
              <w:right w:val="nil"/>
            </w:tcBorders>
            <w:vAlign w:val="bottom"/>
          </w:tcPr>
          <w:p w14:paraId="080D1262"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0.80</w:t>
            </w:r>
          </w:p>
        </w:tc>
      </w:tr>
      <w:tr w:rsidR="00307155" w:rsidRPr="00FC7BB4" w14:paraId="6FC1F4CE" w14:textId="77777777" w:rsidTr="00291B27">
        <w:trPr>
          <w:trHeight w:val="181"/>
        </w:trPr>
        <w:tc>
          <w:tcPr>
            <w:tcW w:w="1984" w:type="dxa"/>
            <w:tcBorders>
              <w:top w:val="nil"/>
              <w:left w:val="nil"/>
              <w:bottom w:val="nil"/>
              <w:right w:val="nil"/>
            </w:tcBorders>
          </w:tcPr>
          <w:p w14:paraId="68B8472A"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008EFA4B"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0824AF2B"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bottom"/>
          </w:tcPr>
          <w:p w14:paraId="0260C6A3"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bottom"/>
          </w:tcPr>
          <w:p w14:paraId="55B11B2A"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bottom"/>
          </w:tcPr>
          <w:p w14:paraId="066C0872"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bottom"/>
          </w:tcPr>
          <w:p w14:paraId="798CB89B"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-0.10***</w:t>
            </w:r>
          </w:p>
        </w:tc>
        <w:tc>
          <w:tcPr>
            <w:tcW w:w="850" w:type="dxa"/>
            <w:tcBorders>
              <w:top w:val="nil"/>
              <w:left w:val="nil"/>
              <w:bottom w:val="nil"/>
              <w:right w:val="nil"/>
            </w:tcBorders>
            <w:vAlign w:val="bottom"/>
          </w:tcPr>
          <w:p w14:paraId="2692FF2E"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0.02</w:t>
            </w:r>
          </w:p>
        </w:tc>
        <w:tc>
          <w:tcPr>
            <w:tcW w:w="851" w:type="dxa"/>
            <w:tcBorders>
              <w:top w:val="nil"/>
              <w:left w:val="nil"/>
              <w:bottom w:val="nil"/>
              <w:right w:val="nil"/>
            </w:tcBorders>
            <w:vAlign w:val="bottom"/>
          </w:tcPr>
          <w:p w14:paraId="70545EB3"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0.08</w:t>
            </w:r>
          </w:p>
        </w:tc>
      </w:tr>
      <w:tr w:rsidR="00307155" w:rsidRPr="00FC7BB4" w14:paraId="18DF9775" w14:textId="77777777" w:rsidTr="00291B27">
        <w:trPr>
          <w:trHeight w:val="113"/>
        </w:trPr>
        <w:tc>
          <w:tcPr>
            <w:tcW w:w="1984" w:type="dxa"/>
            <w:tcBorders>
              <w:top w:val="nil"/>
              <w:left w:val="nil"/>
              <w:bottom w:val="nil"/>
              <w:right w:val="nil"/>
            </w:tcBorders>
          </w:tcPr>
          <w:p w14:paraId="7ED985BB" w14:textId="77777777" w:rsidR="00307155" w:rsidRPr="00FC7BB4" w:rsidRDefault="00307155" w:rsidP="00F3101B">
            <w:pPr>
              <w:spacing w:after="0" w:line="259" w:lineRule="auto"/>
              <w:ind w:left="120"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Dnc</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79EC63B8"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Services</w:t>
            </w:r>
          </w:p>
        </w:tc>
        <w:tc>
          <w:tcPr>
            <w:tcW w:w="743" w:type="dxa"/>
            <w:tcBorders>
              <w:top w:val="nil"/>
              <w:left w:val="nil"/>
              <w:bottom w:val="nil"/>
              <w:right w:val="nil"/>
            </w:tcBorders>
          </w:tcPr>
          <w:p w14:paraId="7CBA95B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bottom"/>
          </w:tcPr>
          <w:p w14:paraId="1D0F2BE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0.57</w:t>
            </w:r>
          </w:p>
        </w:tc>
        <w:tc>
          <w:tcPr>
            <w:tcW w:w="753" w:type="dxa"/>
            <w:tcBorders>
              <w:top w:val="nil"/>
              <w:left w:val="nil"/>
              <w:bottom w:val="nil"/>
              <w:right w:val="nil"/>
            </w:tcBorders>
            <w:vAlign w:val="bottom"/>
          </w:tcPr>
          <w:p w14:paraId="6A15332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0.59</w:t>
            </w:r>
          </w:p>
        </w:tc>
        <w:tc>
          <w:tcPr>
            <w:tcW w:w="751" w:type="dxa"/>
            <w:tcBorders>
              <w:top w:val="nil"/>
              <w:left w:val="nil"/>
              <w:bottom w:val="nil"/>
              <w:right w:val="nil"/>
            </w:tcBorders>
            <w:vAlign w:val="bottom"/>
          </w:tcPr>
          <w:p w14:paraId="4A59773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0.60</w:t>
            </w:r>
          </w:p>
        </w:tc>
        <w:tc>
          <w:tcPr>
            <w:tcW w:w="909" w:type="dxa"/>
            <w:tcBorders>
              <w:top w:val="nil"/>
              <w:left w:val="nil"/>
              <w:bottom w:val="nil"/>
              <w:right w:val="nil"/>
            </w:tcBorders>
            <w:vAlign w:val="bottom"/>
          </w:tcPr>
          <w:p w14:paraId="653FCE2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0.53</w:t>
            </w:r>
          </w:p>
        </w:tc>
        <w:tc>
          <w:tcPr>
            <w:tcW w:w="850" w:type="dxa"/>
            <w:tcBorders>
              <w:top w:val="nil"/>
              <w:left w:val="nil"/>
              <w:bottom w:val="nil"/>
              <w:right w:val="nil"/>
            </w:tcBorders>
            <w:vAlign w:val="bottom"/>
          </w:tcPr>
          <w:p w14:paraId="5BD47F1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0.74</w:t>
            </w:r>
          </w:p>
        </w:tc>
        <w:tc>
          <w:tcPr>
            <w:tcW w:w="851" w:type="dxa"/>
            <w:tcBorders>
              <w:top w:val="nil"/>
              <w:left w:val="nil"/>
              <w:bottom w:val="nil"/>
              <w:right w:val="nil"/>
            </w:tcBorders>
            <w:vAlign w:val="bottom"/>
          </w:tcPr>
          <w:p w14:paraId="021C75C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0.84</w:t>
            </w:r>
          </w:p>
        </w:tc>
      </w:tr>
      <w:tr w:rsidR="00307155" w:rsidRPr="00FC7BB4" w14:paraId="033A036F" w14:textId="77777777" w:rsidTr="00291B27">
        <w:trPr>
          <w:trHeight w:val="113"/>
        </w:trPr>
        <w:tc>
          <w:tcPr>
            <w:tcW w:w="1984" w:type="dxa"/>
            <w:tcBorders>
              <w:top w:val="nil"/>
              <w:left w:val="nil"/>
              <w:bottom w:val="nil"/>
              <w:right w:val="nil"/>
            </w:tcBorders>
          </w:tcPr>
          <w:p w14:paraId="54C22B83"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380C206D"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4444B549"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bottom"/>
          </w:tcPr>
          <w:p w14:paraId="1AEB9A7F"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bottom"/>
          </w:tcPr>
          <w:p w14:paraId="5B92BFF8"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bottom"/>
          </w:tcPr>
          <w:p w14:paraId="27DB7206"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bottom"/>
          </w:tcPr>
          <w:p w14:paraId="28B21D5C"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-0.04***</w:t>
            </w:r>
          </w:p>
        </w:tc>
        <w:tc>
          <w:tcPr>
            <w:tcW w:w="850" w:type="dxa"/>
            <w:tcBorders>
              <w:top w:val="nil"/>
              <w:left w:val="nil"/>
              <w:bottom w:val="nil"/>
              <w:right w:val="nil"/>
            </w:tcBorders>
            <w:vAlign w:val="bottom"/>
          </w:tcPr>
          <w:p w14:paraId="541D0958"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0.15***</w:t>
            </w:r>
          </w:p>
        </w:tc>
        <w:tc>
          <w:tcPr>
            <w:tcW w:w="851" w:type="dxa"/>
            <w:tcBorders>
              <w:top w:val="nil"/>
              <w:left w:val="nil"/>
              <w:bottom w:val="nil"/>
              <w:right w:val="nil"/>
            </w:tcBorders>
            <w:vAlign w:val="bottom"/>
          </w:tcPr>
          <w:p w14:paraId="78FC5446"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0.24***</w:t>
            </w:r>
          </w:p>
        </w:tc>
      </w:tr>
      <w:tr w:rsidR="00307155" w:rsidRPr="00FC7BB4" w14:paraId="66E4EF09" w14:textId="77777777" w:rsidTr="00291B27">
        <w:trPr>
          <w:trHeight w:val="186"/>
        </w:trPr>
        <w:tc>
          <w:tcPr>
            <w:tcW w:w="1984" w:type="dxa"/>
            <w:tcBorders>
              <w:top w:val="nil"/>
              <w:left w:val="nil"/>
              <w:bottom w:val="nil"/>
              <w:right w:val="nil"/>
            </w:tcBorders>
          </w:tcPr>
          <w:p w14:paraId="63A2727E" w14:textId="77777777" w:rsidR="00307155" w:rsidRPr="00FC7BB4" w:rsidRDefault="00307155" w:rsidP="00F3101B">
            <w:pPr>
              <w:spacing w:after="0" w:line="259" w:lineRule="auto"/>
              <w:ind w:left="120"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Dnc</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6A0F3C51"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6589D98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bottom"/>
          </w:tcPr>
          <w:p w14:paraId="746ACB4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0.47</w:t>
            </w:r>
          </w:p>
        </w:tc>
        <w:tc>
          <w:tcPr>
            <w:tcW w:w="753" w:type="dxa"/>
            <w:tcBorders>
              <w:top w:val="nil"/>
              <w:left w:val="nil"/>
              <w:bottom w:val="nil"/>
              <w:right w:val="nil"/>
            </w:tcBorders>
            <w:vAlign w:val="bottom"/>
          </w:tcPr>
          <w:p w14:paraId="4006898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0.50</w:t>
            </w:r>
          </w:p>
        </w:tc>
        <w:tc>
          <w:tcPr>
            <w:tcW w:w="751" w:type="dxa"/>
            <w:tcBorders>
              <w:top w:val="nil"/>
              <w:left w:val="nil"/>
              <w:bottom w:val="nil"/>
              <w:right w:val="nil"/>
            </w:tcBorders>
            <w:vAlign w:val="bottom"/>
          </w:tcPr>
          <w:p w14:paraId="55D7461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0.52</w:t>
            </w:r>
          </w:p>
        </w:tc>
        <w:tc>
          <w:tcPr>
            <w:tcW w:w="909" w:type="dxa"/>
            <w:tcBorders>
              <w:top w:val="nil"/>
              <w:left w:val="nil"/>
              <w:bottom w:val="nil"/>
              <w:right w:val="nil"/>
            </w:tcBorders>
            <w:vAlign w:val="bottom"/>
          </w:tcPr>
          <w:p w14:paraId="3EA84A0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0.43</w:t>
            </w:r>
          </w:p>
        </w:tc>
        <w:tc>
          <w:tcPr>
            <w:tcW w:w="850" w:type="dxa"/>
            <w:tcBorders>
              <w:top w:val="nil"/>
              <w:left w:val="nil"/>
              <w:bottom w:val="nil"/>
              <w:right w:val="nil"/>
            </w:tcBorders>
            <w:vAlign w:val="bottom"/>
          </w:tcPr>
          <w:p w14:paraId="592CC36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0.58</w:t>
            </w:r>
          </w:p>
        </w:tc>
        <w:tc>
          <w:tcPr>
            <w:tcW w:w="851" w:type="dxa"/>
            <w:tcBorders>
              <w:top w:val="nil"/>
              <w:left w:val="nil"/>
              <w:bottom w:val="nil"/>
              <w:right w:val="nil"/>
            </w:tcBorders>
            <w:vAlign w:val="bottom"/>
          </w:tcPr>
          <w:p w14:paraId="255271D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0.68</w:t>
            </w:r>
          </w:p>
        </w:tc>
      </w:tr>
      <w:tr w:rsidR="00307155" w:rsidRPr="00FC7BB4" w14:paraId="1A33CE84" w14:textId="77777777" w:rsidTr="00291B27">
        <w:trPr>
          <w:trHeight w:val="186"/>
        </w:trPr>
        <w:tc>
          <w:tcPr>
            <w:tcW w:w="1984" w:type="dxa"/>
            <w:tcBorders>
              <w:top w:val="nil"/>
              <w:left w:val="nil"/>
              <w:bottom w:val="nil"/>
              <w:right w:val="nil"/>
            </w:tcBorders>
          </w:tcPr>
          <w:p w14:paraId="77B30821"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2A4BCE5B"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39382FFB"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bottom"/>
          </w:tcPr>
          <w:p w14:paraId="3B958F7E"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bottom"/>
          </w:tcPr>
          <w:p w14:paraId="73AEB068"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bottom"/>
          </w:tcPr>
          <w:p w14:paraId="0FB28B9B"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bottom"/>
          </w:tcPr>
          <w:p w14:paraId="4FA27CAB"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-0.04</w:t>
            </w:r>
          </w:p>
        </w:tc>
        <w:tc>
          <w:tcPr>
            <w:tcW w:w="850" w:type="dxa"/>
            <w:tcBorders>
              <w:top w:val="nil"/>
              <w:left w:val="nil"/>
              <w:bottom w:val="nil"/>
              <w:right w:val="nil"/>
            </w:tcBorders>
            <w:vAlign w:val="bottom"/>
          </w:tcPr>
          <w:p w14:paraId="27959147"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0.08*</w:t>
            </w:r>
          </w:p>
        </w:tc>
        <w:tc>
          <w:tcPr>
            <w:tcW w:w="851" w:type="dxa"/>
            <w:tcBorders>
              <w:top w:val="nil"/>
              <w:left w:val="nil"/>
              <w:bottom w:val="nil"/>
              <w:right w:val="nil"/>
            </w:tcBorders>
            <w:vAlign w:val="bottom"/>
          </w:tcPr>
          <w:p w14:paraId="2FF30C83"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0.16**</w:t>
            </w:r>
          </w:p>
        </w:tc>
      </w:tr>
      <w:tr w:rsidR="00307155" w:rsidRPr="00FC7BB4" w14:paraId="23D5B13A" w14:textId="77777777" w:rsidTr="00291B27">
        <w:trPr>
          <w:trHeight w:val="119"/>
        </w:trPr>
        <w:tc>
          <w:tcPr>
            <w:tcW w:w="1984" w:type="dxa"/>
            <w:tcBorders>
              <w:top w:val="nil"/>
              <w:left w:val="nil"/>
              <w:bottom w:val="nil"/>
              <w:right w:val="nil"/>
            </w:tcBorders>
          </w:tcPr>
          <w:p w14:paraId="50865806" w14:textId="77777777" w:rsidR="00307155" w:rsidRPr="00FC7BB4" w:rsidRDefault="00307155" w:rsidP="00F3101B">
            <w:pPr>
              <w:spacing w:after="0" w:line="259" w:lineRule="auto"/>
              <w:ind w:left="120"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Ddn</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4CEBAF4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Manufacturers</w:t>
            </w:r>
          </w:p>
        </w:tc>
        <w:tc>
          <w:tcPr>
            <w:tcW w:w="743" w:type="dxa"/>
            <w:tcBorders>
              <w:top w:val="nil"/>
              <w:left w:val="nil"/>
              <w:bottom w:val="nil"/>
              <w:right w:val="nil"/>
            </w:tcBorders>
          </w:tcPr>
          <w:p w14:paraId="08AF18A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bottom"/>
          </w:tcPr>
          <w:p w14:paraId="40505498"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0.18</w:t>
            </w:r>
          </w:p>
        </w:tc>
        <w:tc>
          <w:tcPr>
            <w:tcW w:w="753" w:type="dxa"/>
            <w:tcBorders>
              <w:top w:val="nil"/>
              <w:left w:val="nil"/>
              <w:bottom w:val="nil"/>
              <w:right w:val="nil"/>
            </w:tcBorders>
            <w:vAlign w:val="bottom"/>
          </w:tcPr>
          <w:p w14:paraId="64CA13F9"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0.26</w:t>
            </w:r>
          </w:p>
        </w:tc>
        <w:tc>
          <w:tcPr>
            <w:tcW w:w="751" w:type="dxa"/>
            <w:tcBorders>
              <w:top w:val="nil"/>
              <w:left w:val="nil"/>
              <w:bottom w:val="nil"/>
              <w:right w:val="nil"/>
            </w:tcBorders>
            <w:vAlign w:val="bottom"/>
          </w:tcPr>
          <w:p w14:paraId="376D1F9C"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0.32</w:t>
            </w:r>
          </w:p>
        </w:tc>
        <w:tc>
          <w:tcPr>
            <w:tcW w:w="909" w:type="dxa"/>
            <w:tcBorders>
              <w:top w:val="nil"/>
              <w:left w:val="nil"/>
              <w:bottom w:val="nil"/>
              <w:right w:val="nil"/>
            </w:tcBorders>
            <w:vAlign w:val="bottom"/>
          </w:tcPr>
          <w:p w14:paraId="7062699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0.17</w:t>
            </w:r>
          </w:p>
        </w:tc>
        <w:tc>
          <w:tcPr>
            <w:tcW w:w="850" w:type="dxa"/>
            <w:tcBorders>
              <w:top w:val="nil"/>
              <w:left w:val="nil"/>
              <w:bottom w:val="nil"/>
              <w:right w:val="nil"/>
            </w:tcBorders>
            <w:vAlign w:val="bottom"/>
          </w:tcPr>
          <w:p w14:paraId="0A793EA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0.28</w:t>
            </w:r>
          </w:p>
        </w:tc>
        <w:tc>
          <w:tcPr>
            <w:tcW w:w="851" w:type="dxa"/>
            <w:tcBorders>
              <w:top w:val="nil"/>
              <w:left w:val="nil"/>
              <w:bottom w:val="nil"/>
              <w:right w:val="nil"/>
            </w:tcBorders>
            <w:vAlign w:val="bottom"/>
          </w:tcPr>
          <w:p w14:paraId="6865C8D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0.37</w:t>
            </w:r>
          </w:p>
        </w:tc>
      </w:tr>
      <w:tr w:rsidR="00307155" w:rsidRPr="00FC7BB4" w14:paraId="3689544A" w14:textId="77777777" w:rsidTr="00291B27">
        <w:trPr>
          <w:trHeight w:val="119"/>
        </w:trPr>
        <w:tc>
          <w:tcPr>
            <w:tcW w:w="1984" w:type="dxa"/>
            <w:tcBorders>
              <w:top w:val="nil"/>
              <w:left w:val="nil"/>
              <w:bottom w:val="nil"/>
              <w:right w:val="nil"/>
            </w:tcBorders>
          </w:tcPr>
          <w:p w14:paraId="57FCB37E" w14:textId="77777777" w:rsidR="00307155" w:rsidRPr="00FC7BB4" w:rsidRDefault="00307155" w:rsidP="00F3101B">
            <w:pPr>
              <w:spacing w:after="0" w:line="259" w:lineRule="auto"/>
              <w:ind w:left="120" w:right="27" w:firstLine="0"/>
              <w:rPr>
                <w:rFonts w:ascii="Times New Roman" w:hAnsi="Times New Roman" w:cs="Times New Roman"/>
                <w:i/>
                <w:iCs/>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147ED62C"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60EB10F4"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bottom"/>
          </w:tcPr>
          <w:p w14:paraId="34F6389C"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bottom"/>
          </w:tcPr>
          <w:p w14:paraId="64E67596"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bottom"/>
          </w:tcPr>
          <w:p w14:paraId="7839EF2E"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bottom"/>
          </w:tcPr>
          <w:p w14:paraId="6199A2EE"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-0.01</w:t>
            </w:r>
          </w:p>
        </w:tc>
        <w:tc>
          <w:tcPr>
            <w:tcW w:w="850" w:type="dxa"/>
            <w:tcBorders>
              <w:top w:val="nil"/>
              <w:left w:val="nil"/>
              <w:bottom w:val="nil"/>
              <w:right w:val="nil"/>
            </w:tcBorders>
            <w:vAlign w:val="bottom"/>
          </w:tcPr>
          <w:p w14:paraId="5E0C81F7"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0.02</w:t>
            </w:r>
          </w:p>
        </w:tc>
        <w:tc>
          <w:tcPr>
            <w:tcW w:w="851" w:type="dxa"/>
            <w:tcBorders>
              <w:top w:val="nil"/>
              <w:left w:val="nil"/>
              <w:bottom w:val="nil"/>
              <w:right w:val="nil"/>
            </w:tcBorders>
            <w:vAlign w:val="bottom"/>
          </w:tcPr>
          <w:p w14:paraId="20E2C416"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0.05</w:t>
            </w:r>
          </w:p>
        </w:tc>
      </w:tr>
      <w:tr w:rsidR="00307155" w:rsidRPr="00FC7BB4" w14:paraId="517151D7" w14:textId="77777777" w:rsidTr="00291B27">
        <w:trPr>
          <w:trHeight w:val="51"/>
        </w:trPr>
        <w:tc>
          <w:tcPr>
            <w:tcW w:w="1984" w:type="dxa"/>
            <w:tcBorders>
              <w:top w:val="nil"/>
              <w:left w:val="nil"/>
              <w:bottom w:val="nil"/>
              <w:right w:val="nil"/>
            </w:tcBorders>
          </w:tcPr>
          <w:p w14:paraId="4D735B9F" w14:textId="77777777" w:rsidR="00307155" w:rsidRPr="00FC7BB4" w:rsidRDefault="00307155" w:rsidP="00F3101B">
            <w:pPr>
              <w:spacing w:after="0" w:line="259" w:lineRule="auto"/>
              <w:ind w:left="120"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Ddn</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5D8EBA34"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478A35C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bottom"/>
          </w:tcPr>
          <w:p w14:paraId="1C3D174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0.24</w:t>
            </w:r>
          </w:p>
        </w:tc>
        <w:tc>
          <w:tcPr>
            <w:tcW w:w="753" w:type="dxa"/>
            <w:tcBorders>
              <w:top w:val="nil"/>
              <w:left w:val="nil"/>
              <w:bottom w:val="nil"/>
              <w:right w:val="nil"/>
            </w:tcBorders>
            <w:vAlign w:val="bottom"/>
          </w:tcPr>
          <w:p w14:paraId="6EB3341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0.32</w:t>
            </w:r>
          </w:p>
        </w:tc>
        <w:tc>
          <w:tcPr>
            <w:tcW w:w="751" w:type="dxa"/>
            <w:tcBorders>
              <w:top w:val="nil"/>
              <w:left w:val="nil"/>
              <w:bottom w:val="nil"/>
              <w:right w:val="nil"/>
            </w:tcBorders>
            <w:vAlign w:val="bottom"/>
          </w:tcPr>
          <w:p w14:paraId="6BE3529D"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0.37</w:t>
            </w:r>
          </w:p>
        </w:tc>
        <w:tc>
          <w:tcPr>
            <w:tcW w:w="909" w:type="dxa"/>
            <w:tcBorders>
              <w:top w:val="nil"/>
              <w:left w:val="nil"/>
              <w:bottom w:val="nil"/>
              <w:right w:val="nil"/>
            </w:tcBorders>
            <w:vAlign w:val="bottom"/>
          </w:tcPr>
          <w:p w14:paraId="0AE54AA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0.11</w:t>
            </w:r>
          </w:p>
        </w:tc>
        <w:tc>
          <w:tcPr>
            <w:tcW w:w="850" w:type="dxa"/>
            <w:tcBorders>
              <w:top w:val="nil"/>
              <w:left w:val="nil"/>
              <w:bottom w:val="nil"/>
              <w:right w:val="nil"/>
            </w:tcBorders>
            <w:vAlign w:val="bottom"/>
          </w:tcPr>
          <w:p w14:paraId="196D6E4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0.46</w:t>
            </w:r>
          </w:p>
        </w:tc>
        <w:tc>
          <w:tcPr>
            <w:tcW w:w="851" w:type="dxa"/>
            <w:tcBorders>
              <w:top w:val="nil"/>
              <w:left w:val="nil"/>
              <w:bottom w:val="nil"/>
              <w:right w:val="nil"/>
            </w:tcBorders>
            <w:vAlign w:val="bottom"/>
          </w:tcPr>
          <w:p w14:paraId="162CD84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0.74</w:t>
            </w:r>
          </w:p>
        </w:tc>
      </w:tr>
      <w:tr w:rsidR="00307155" w:rsidRPr="00FC7BB4" w14:paraId="36D0B3A4" w14:textId="77777777" w:rsidTr="00291B27">
        <w:trPr>
          <w:trHeight w:val="51"/>
        </w:trPr>
        <w:tc>
          <w:tcPr>
            <w:tcW w:w="1984" w:type="dxa"/>
            <w:tcBorders>
              <w:top w:val="nil"/>
              <w:left w:val="nil"/>
              <w:bottom w:val="nil"/>
              <w:right w:val="nil"/>
            </w:tcBorders>
          </w:tcPr>
          <w:p w14:paraId="035D743C" w14:textId="77777777" w:rsidR="00307155" w:rsidRPr="00FC7BB4" w:rsidRDefault="00307155" w:rsidP="00F3101B">
            <w:pPr>
              <w:spacing w:after="0" w:line="259" w:lineRule="auto"/>
              <w:ind w:left="120" w:right="27" w:firstLine="0"/>
              <w:rPr>
                <w:rFonts w:ascii="Times New Roman" w:hAnsi="Times New Roman" w:cs="Times New Roman"/>
                <w:i/>
                <w:iCs/>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3340CE15"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582EBC84"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bottom"/>
          </w:tcPr>
          <w:p w14:paraId="1402F956"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bottom"/>
          </w:tcPr>
          <w:p w14:paraId="51240280"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bottom"/>
          </w:tcPr>
          <w:p w14:paraId="6D80D36C"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bottom"/>
          </w:tcPr>
          <w:p w14:paraId="023BB7CC"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-0.14***</w:t>
            </w:r>
          </w:p>
        </w:tc>
        <w:tc>
          <w:tcPr>
            <w:tcW w:w="850" w:type="dxa"/>
            <w:tcBorders>
              <w:top w:val="nil"/>
              <w:left w:val="nil"/>
              <w:bottom w:val="nil"/>
              <w:right w:val="nil"/>
            </w:tcBorders>
            <w:vAlign w:val="bottom"/>
          </w:tcPr>
          <w:p w14:paraId="4806AD67"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0.14</w:t>
            </w:r>
          </w:p>
        </w:tc>
        <w:tc>
          <w:tcPr>
            <w:tcW w:w="851" w:type="dxa"/>
            <w:tcBorders>
              <w:top w:val="nil"/>
              <w:left w:val="nil"/>
              <w:bottom w:val="nil"/>
              <w:right w:val="nil"/>
            </w:tcBorders>
            <w:vAlign w:val="bottom"/>
          </w:tcPr>
          <w:p w14:paraId="43372D46"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0.37***</w:t>
            </w:r>
          </w:p>
        </w:tc>
      </w:tr>
      <w:tr w:rsidR="00307155" w:rsidRPr="00FC7BB4" w14:paraId="65AB1555" w14:textId="77777777" w:rsidTr="00291B27">
        <w:trPr>
          <w:trHeight w:val="125"/>
        </w:trPr>
        <w:tc>
          <w:tcPr>
            <w:tcW w:w="1984" w:type="dxa"/>
            <w:tcBorders>
              <w:top w:val="nil"/>
              <w:left w:val="nil"/>
              <w:bottom w:val="nil"/>
              <w:right w:val="nil"/>
            </w:tcBorders>
          </w:tcPr>
          <w:p w14:paraId="7F8872EA" w14:textId="77777777" w:rsidR="00307155" w:rsidRPr="00FC7BB4" w:rsidRDefault="00307155" w:rsidP="00F3101B">
            <w:pPr>
              <w:spacing w:after="0" w:line="259" w:lineRule="auto"/>
              <w:ind w:left="120"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Ddn</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30AD812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Merchants</w:t>
            </w:r>
          </w:p>
        </w:tc>
        <w:tc>
          <w:tcPr>
            <w:tcW w:w="743" w:type="dxa"/>
            <w:tcBorders>
              <w:top w:val="nil"/>
              <w:left w:val="nil"/>
              <w:bottom w:val="nil"/>
              <w:right w:val="nil"/>
            </w:tcBorders>
          </w:tcPr>
          <w:p w14:paraId="0B3FAE3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bottom"/>
          </w:tcPr>
          <w:p w14:paraId="250B956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0.31</w:t>
            </w:r>
          </w:p>
        </w:tc>
        <w:tc>
          <w:tcPr>
            <w:tcW w:w="753" w:type="dxa"/>
            <w:tcBorders>
              <w:top w:val="nil"/>
              <w:left w:val="nil"/>
              <w:bottom w:val="nil"/>
              <w:right w:val="nil"/>
            </w:tcBorders>
            <w:vAlign w:val="bottom"/>
          </w:tcPr>
          <w:p w14:paraId="486E677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0.49</w:t>
            </w:r>
          </w:p>
        </w:tc>
        <w:tc>
          <w:tcPr>
            <w:tcW w:w="751" w:type="dxa"/>
            <w:tcBorders>
              <w:top w:val="nil"/>
              <w:left w:val="nil"/>
              <w:bottom w:val="nil"/>
              <w:right w:val="nil"/>
            </w:tcBorders>
            <w:vAlign w:val="bottom"/>
          </w:tcPr>
          <w:p w14:paraId="4E83B65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0.61</w:t>
            </w:r>
          </w:p>
        </w:tc>
        <w:tc>
          <w:tcPr>
            <w:tcW w:w="909" w:type="dxa"/>
            <w:tcBorders>
              <w:top w:val="nil"/>
              <w:left w:val="nil"/>
              <w:bottom w:val="nil"/>
              <w:right w:val="nil"/>
            </w:tcBorders>
            <w:vAlign w:val="bottom"/>
          </w:tcPr>
          <w:p w14:paraId="2DF70258"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0.28</w:t>
            </w:r>
          </w:p>
        </w:tc>
        <w:tc>
          <w:tcPr>
            <w:tcW w:w="850" w:type="dxa"/>
            <w:tcBorders>
              <w:top w:val="nil"/>
              <w:left w:val="nil"/>
              <w:bottom w:val="nil"/>
              <w:right w:val="nil"/>
            </w:tcBorders>
            <w:vAlign w:val="bottom"/>
          </w:tcPr>
          <w:p w14:paraId="7821C288"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0.44</w:t>
            </w:r>
          </w:p>
        </w:tc>
        <w:tc>
          <w:tcPr>
            <w:tcW w:w="851" w:type="dxa"/>
            <w:tcBorders>
              <w:top w:val="nil"/>
              <w:left w:val="nil"/>
              <w:bottom w:val="nil"/>
              <w:right w:val="nil"/>
            </w:tcBorders>
            <w:vAlign w:val="bottom"/>
          </w:tcPr>
          <w:p w14:paraId="4230D012"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0.55</w:t>
            </w:r>
          </w:p>
        </w:tc>
      </w:tr>
      <w:tr w:rsidR="00307155" w:rsidRPr="00FC7BB4" w14:paraId="00D569DD" w14:textId="77777777" w:rsidTr="00291B27">
        <w:trPr>
          <w:trHeight w:val="125"/>
        </w:trPr>
        <w:tc>
          <w:tcPr>
            <w:tcW w:w="1984" w:type="dxa"/>
            <w:tcBorders>
              <w:top w:val="nil"/>
              <w:left w:val="nil"/>
              <w:bottom w:val="nil"/>
              <w:right w:val="nil"/>
            </w:tcBorders>
          </w:tcPr>
          <w:p w14:paraId="6F5E5310"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10A59051"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3A9E1E83"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bottom"/>
          </w:tcPr>
          <w:p w14:paraId="5F054C13"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bottom"/>
          </w:tcPr>
          <w:p w14:paraId="69444F7D"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bottom"/>
          </w:tcPr>
          <w:p w14:paraId="7CAA5F66"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bottom"/>
          </w:tcPr>
          <w:p w14:paraId="2F1AC8F6"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-0.03</w:t>
            </w:r>
          </w:p>
        </w:tc>
        <w:tc>
          <w:tcPr>
            <w:tcW w:w="850" w:type="dxa"/>
            <w:tcBorders>
              <w:top w:val="nil"/>
              <w:left w:val="nil"/>
              <w:bottom w:val="nil"/>
              <w:right w:val="nil"/>
            </w:tcBorders>
            <w:vAlign w:val="bottom"/>
          </w:tcPr>
          <w:p w14:paraId="319C576A"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-0.05*</w:t>
            </w:r>
          </w:p>
        </w:tc>
        <w:tc>
          <w:tcPr>
            <w:tcW w:w="851" w:type="dxa"/>
            <w:tcBorders>
              <w:top w:val="nil"/>
              <w:left w:val="nil"/>
              <w:bottom w:val="nil"/>
              <w:right w:val="nil"/>
            </w:tcBorders>
            <w:vAlign w:val="bottom"/>
          </w:tcPr>
          <w:p w14:paraId="55D25360"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-0.06</w:t>
            </w:r>
          </w:p>
        </w:tc>
      </w:tr>
      <w:tr w:rsidR="00307155" w:rsidRPr="00FC7BB4" w14:paraId="5A463804" w14:textId="77777777" w:rsidTr="00291B27">
        <w:trPr>
          <w:trHeight w:val="199"/>
        </w:trPr>
        <w:tc>
          <w:tcPr>
            <w:tcW w:w="1984" w:type="dxa"/>
            <w:tcBorders>
              <w:top w:val="nil"/>
              <w:left w:val="nil"/>
              <w:bottom w:val="nil"/>
              <w:right w:val="nil"/>
            </w:tcBorders>
          </w:tcPr>
          <w:p w14:paraId="164AEA8D" w14:textId="77777777" w:rsidR="00307155" w:rsidRPr="00FC7BB4" w:rsidRDefault="00307155" w:rsidP="00F3101B">
            <w:pPr>
              <w:spacing w:after="0" w:line="259" w:lineRule="auto"/>
              <w:ind w:left="120"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Ddn</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5314DD98"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6285E24D"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bottom"/>
          </w:tcPr>
          <w:p w14:paraId="45479078"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0.29</w:t>
            </w:r>
          </w:p>
        </w:tc>
        <w:tc>
          <w:tcPr>
            <w:tcW w:w="753" w:type="dxa"/>
            <w:tcBorders>
              <w:top w:val="nil"/>
              <w:left w:val="nil"/>
              <w:bottom w:val="nil"/>
              <w:right w:val="nil"/>
            </w:tcBorders>
            <w:vAlign w:val="bottom"/>
          </w:tcPr>
          <w:p w14:paraId="657E2608"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0.43</w:t>
            </w:r>
          </w:p>
        </w:tc>
        <w:tc>
          <w:tcPr>
            <w:tcW w:w="751" w:type="dxa"/>
            <w:tcBorders>
              <w:top w:val="nil"/>
              <w:left w:val="nil"/>
              <w:bottom w:val="nil"/>
              <w:right w:val="nil"/>
            </w:tcBorders>
            <w:vAlign w:val="bottom"/>
          </w:tcPr>
          <w:p w14:paraId="3385E3F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0.53</w:t>
            </w:r>
          </w:p>
        </w:tc>
        <w:tc>
          <w:tcPr>
            <w:tcW w:w="909" w:type="dxa"/>
            <w:tcBorders>
              <w:top w:val="nil"/>
              <w:left w:val="nil"/>
              <w:bottom w:val="nil"/>
              <w:right w:val="nil"/>
            </w:tcBorders>
            <w:vAlign w:val="bottom"/>
          </w:tcPr>
          <w:p w14:paraId="3287332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0.25</w:t>
            </w:r>
          </w:p>
        </w:tc>
        <w:tc>
          <w:tcPr>
            <w:tcW w:w="850" w:type="dxa"/>
            <w:tcBorders>
              <w:top w:val="nil"/>
              <w:left w:val="nil"/>
              <w:bottom w:val="nil"/>
              <w:right w:val="nil"/>
            </w:tcBorders>
            <w:vAlign w:val="bottom"/>
          </w:tcPr>
          <w:p w14:paraId="07C2306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0.65</w:t>
            </w:r>
          </w:p>
        </w:tc>
        <w:tc>
          <w:tcPr>
            <w:tcW w:w="851" w:type="dxa"/>
            <w:tcBorders>
              <w:top w:val="nil"/>
              <w:left w:val="nil"/>
              <w:bottom w:val="nil"/>
              <w:right w:val="nil"/>
            </w:tcBorders>
            <w:vAlign w:val="bottom"/>
          </w:tcPr>
          <w:p w14:paraId="3FC7424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0.86</w:t>
            </w:r>
          </w:p>
        </w:tc>
      </w:tr>
      <w:tr w:rsidR="00307155" w:rsidRPr="00FC7BB4" w14:paraId="1713B43A" w14:textId="77777777" w:rsidTr="00291B27">
        <w:trPr>
          <w:trHeight w:val="199"/>
        </w:trPr>
        <w:tc>
          <w:tcPr>
            <w:tcW w:w="1984" w:type="dxa"/>
            <w:tcBorders>
              <w:top w:val="nil"/>
              <w:left w:val="nil"/>
              <w:bottom w:val="nil"/>
              <w:right w:val="nil"/>
            </w:tcBorders>
          </w:tcPr>
          <w:p w14:paraId="52DFE152" w14:textId="77777777" w:rsidR="00307155" w:rsidRPr="00FC7BB4" w:rsidRDefault="00307155" w:rsidP="00F3101B">
            <w:pPr>
              <w:spacing w:after="0" w:line="259" w:lineRule="auto"/>
              <w:ind w:left="120" w:right="27" w:firstLine="0"/>
              <w:rPr>
                <w:rFonts w:ascii="Times New Roman" w:hAnsi="Times New Roman" w:cs="Times New Roman"/>
                <w:sz w:val="18"/>
                <w:szCs w:val="18"/>
                <w:highlight w:val="yellow"/>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71D3E7E5" w14:textId="77777777" w:rsidR="00307155" w:rsidRPr="00FC7BB4" w:rsidRDefault="00307155" w:rsidP="00F3101B">
            <w:pPr>
              <w:spacing w:after="0" w:line="259" w:lineRule="auto"/>
              <w:ind w:right="27" w:firstLine="0"/>
              <w:rPr>
                <w:rFonts w:ascii="Times New Roman" w:hAnsi="Times New Roman" w:cs="Times New Roman"/>
                <w:sz w:val="18"/>
                <w:szCs w:val="18"/>
                <w:highlight w:val="yellow"/>
              </w:rPr>
            </w:pPr>
          </w:p>
        </w:tc>
        <w:tc>
          <w:tcPr>
            <w:tcW w:w="743" w:type="dxa"/>
            <w:tcBorders>
              <w:top w:val="nil"/>
              <w:left w:val="nil"/>
              <w:bottom w:val="nil"/>
              <w:right w:val="nil"/>
            </w:tcBorders>
          </w:tcPr>
          <w:p w14:paraId="6974259D" w14:textId="77777777" w:rsidR="00307155" w:rsidRPr="00FC7BB4" w:rsidRDefault="00307155" w:rsidP="00F3101B">
            <w:pPr>
              <w:spacing w:after="0" w:line="259" w:lineRule="auto"/>
              <w:ind w:right="27" w:firstLine="0"/>
              <w:rPr>
                <w:rFonts w:ascii="Times New Roman" w:hAnsi="Times New Roman" w:cs="Times New Roman"/>
                <w:sz w:val="18"/>
                <w:szCs w:val="18"/>
                <w:highlight w:val="yellow"/>
              </w:rPr>
            </w:pPr>
          </w:p>
        </w:tc>
        <w:tc>
          <w:tcPr>
            <w:tcW w:w="754" w:type="dxa"/>
            <w:tcBorders>
              <w:top w:val="nil"/>
              <w:left w:val="nil"/>
              <w:bottom w:val="nil"/>
              <w:right w:val="nil"/>
            </w:tcBorders>
            <w:vAlign w:val="bottom"/>
          </w:tcPr>
          <w:p w14:paraId="27D3E7C1" w14:textId="77777777" w:rsidR="00307155" w:rsidRPr="00FC7BB4" w:rsidRDefault="00307155" w:rsidP="00F3101B">
            <w:pPr>
              <w:spacing w:after="0" w:line="259" w:lineRule="auto"/>
              <w:ind w:right="27" w:firstLine="0"/>
              <w:rPr>
                <w:rFonts w:ascii="Times New Roman" w:hAnsi="Times New Roman" w:cs="Times New Roman"/>
                <w:sz w:val="18"/>
                <w:szCs w:val="18"/>
                <w:highlight w:val="yellow"/>
              </w:rPr>
            </w:pPr>
          </w:p>
        </w:tc>
        <w:tc>
          <w:tcPr>
            <w:tcW w:w="753" w:type="dxa"/>
            <w:tcBorders>
              <w:top w:val="nil"/>
              <w:left w:val="nil"/>
              <w:bottom w:val="nil"/>
              <w:right w:val="nil"/>
            </w:tcBorders>
            <w:vAlign w:val="bottom"/>
          </w:tcPr>
          <w:p w14:paraId="076EAA4A" w14:textId="77777777" w:rsidR="00307155" w:rsidRPr="00FC7BB4" w:rsidRDefault="00307155" w:rsidP="00F3101B">
            <w:pPr>
              <w:spacing w:after="0" w:line="259" w:lineRule="auto"/>
              <w:ind w:right="27" w:firstLine="0"/>
              <w:rPr>
                <w:rFonts w:ascii="Times New Roman" w:hAnsi="Times New Roman" w:cs="Times New Roman"/>
                <w:sz w:val="18"/>
                <w:szCs w:val="18"/>
                <w:highlight w:val="yellow"/>
              </w:rPr>
            </w:pPr>
          </w:p>
        </w:tc>
        <w:tc>
          <w:tcPr>
            <w:tcW w:w="751" w:type="dxa"/>
            <w:tcBorders>
              <w:top w:val="nil"/>
              <w:left w:val="nil"/>
              <w:bottom w:val="nil"/>
              <w:right w:val="nil"/>
            </w:tcBorders>
            <w:vAlign w:val="bottom"/>
          </w:tcPr>
          <w:p w14:paraId="3B877DD3" w14:textId="77777777" w:rsidR="00307155" w:rsidRPr="00FC7BB4" w:rsidRDefault="00307155" w:rsidP="00F3101B">
            <w:pPr>
              <w:spacing w:after="0" w:line="259" w:lineRule="auto"/>
              <w:ind w:right="27" w:firstLine="0"/>
              <w:rPr>
                <w:rFonts w:ascii="Times New Roman" w:hAnsi="Times New Roman" w:cs="Times New Roman"/>
                <w:i/>
                <w:iCs/>
                <w:sz w:val="18"/>
                <w:szCs w:val="18"/>
                <w:highlight w:val="yellow"/>
              </w:rPr>
            </w:pPr>
          </w:p>
        </w:tc>
        <w:tc>
          <w:tcPr>
            <w:tcW w:w="909" w:type="dxa"/>
            <w:tcBorders>
              <w:top w:val="nil"/>
              <w:left w:val="nil"/>
              <w:bottom w:val="nil"/>
              <w:right w:val="nil"/>
            </w:tcBorders>
            <w:vAlign w:val="bottom"/>
          </w:tcPr>
          <w:p w14:paraId="57F2D02F"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-0.03</w:t>
            </w:r>
          </w:p>
        </w:tc>
        <w:tc>
          <w:tcPr>
            <w:tcW w:w="850" w:type="dxa"/>
            <w:tcBorders>
              <w:top w:val="nil"/>
              <w:left w:val="nil"/>
              <w:bottom w:val="nil"/>
              <w:right w:val="nil"/>
            </w:tcBorders>
            <w:vAlign w:val="bottom"/>
          </w:tcPr>
          <w:p w14:paraId="19296E52"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0.22**</w:t>
            </w:r>
          </w:p>
        </w:tc>
        <w:tc>
          <w:tcPr>
            <w:tcW w:w="851" w:type="dxa"/>
            <w:tcBorders>
              <w:top w:val="nil"/>
              <w:left w:val="nil"/>
              <w:bottom w:val="nil"/>
              <w:right w:val="nil"/>
            </w:tcBorders>
            <w:vAlign w:val="bottom"/>
          </w:tcPr>
          <w:p w14:paraId="657A120F"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0.33***</w:t>
            </w:r>
          </w:p>
        </w:tc>
      </w:tr>
      <w:tr w:rsidR="00307155" w:rsidRPr="00FC7BB4" w14:paraId="6CF51593" w14:textId="77777777" w:rsidTr="00291B27">
        <w:trPr>
          <w:trHeight w:val="130"/>
        </w:trPr>
        <w:tc>
          <w:tcPr>
            <w:tcW w:w="1984" w:type="dxa"/>
            <w:tcBorders>
              <w:top w:val="nil"/>
              <w:left w:val="nil"/>
              <w:bottom w:val="nil"/>
              <w:right w:val="nil"/>
            </w:tcBorders>
          </w:tcPr>
          <w:p w14:paraId="69F5C253" w14:textId="77777777" w:rsidR="00307155" w:rsidRPr="00FC7BB4" w:rsidRDefault="00307155" w:rsidP="00F3101B">
            <w:pPr>
              <w:spacing w:after="0" w:line="259" w:lineRule="auto"/>
              <w:ind w:left="120"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Ddn</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142CDF4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Services</w:t>
            </w:r>
          </w:p>
        </w:tc>
        <w:tc>
          <w:tcPr>
            <w:tcW w:w="743" w:type="dxa"/>
            <w:tcBorders>
              <w:top w:val="nil"/>
              <w:left w:val="nil"/>
              <w:bottom w:val="nil"/>
              <w:right w:val="nil"/>
            </w:tcBorders>
          </w:tcPr>
          <w:p w14:paraId="187E09E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bottom"/>
          </w:tcPr>
          <w:p w14:paraId="364D858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0.49</w:t>
            </w:r>
          </w:p>
        </w:tc>
        <w:tc>
          <w:tcPr>
            <w:tcW w:w="753" w:type="dxa"/>
            <w:tcBorders>
              <w:top w:val="nil"/>
              <w:left w:val="nil"/>
              <w:bottom w:val="nil"/>
              <w:right w:val="nil"/>
            </w:tcBorders>
            <w:vAlign w:val="bottom"/>
          </w:tcPr>
          <w:p w14:paraId="5707895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0.52</w:t>
            </w:r>
          </w:p>
        </w:tc>
        <w:tc>
          <w:tcPr>
            <w:tcW w:w="751" w:type="dxa"/>
            <w:tcBorders>
              <w:top w:val="nil"/>
              <w:left w:val="nil"/>
              <w:bottom w:val="nil"/>
              <w:right w:val="nil"/>
            </w:tcBorders>
            <w:vAlign w:val="bottom"/>
          </w:tcPr>
          <w:p w14:paraId="572DBD6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0.54</w:t>
            </w:r>
          </w:p>
        </w:tc>
        <w:tc>
          <w:tcPr>
            <w:tcW w:w="909" w:type="dxa"/>
            <w:tcBorders>
              <w:top w:val="nil"/>
              <w:left w:val="nil"/>
              <w:bottom w:val="nil"/>
              <w:right w:val="nil"/>
            </w:tcBorders>
            <w:vAlign w:val="bottom"/>
          </w:tcPr>
          <w:p w14:paraId="10C7111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0.50</w:t>
            </w:r>
          </w:p>
        </w:tc>
        <w:tc>
          <w:tcPr>
            <w:tcW w:w="850" w:type="dxa"/>
            <w:tcBorders>
              <w:top w:val="nil"/>
              <w:left w:val="nil"/>
              <w:bottom w:val="nil"/>
              <w:right w:val="nil"/>
            </w:tcBorders>
            <w:vAlign w:val="bottom"/>
          </w:tcPr>
          <w:p w14:paraId="3FE7C44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0.80</w:t>
            </w:r>
          </w:p>
        </w:tc>
        <w:tc>
          <w:tcPr>
            <w:tcW w:w="851" w:type="dxa"/>
            <w:tcBorders>
              <w:top w:val="nil"/>
              <w:left w:val="nil"/>
              <w:bottom w:val="nil"/>
              <w:right w:val="nil"/>
            </w:tcBorders>
            <w:vAlign w:val="bottom"/>
          </w:tcPr>
          <w:p w14:paraId="3961834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0.92</w:t>
            </w:r>
          </w:p>
        </w:tc>
      </w:tr>
      <w:tr w:rsidR="00307155" w:rsidRPr="00FC7BB4" w14:paraId="6BB414E0" w14:textId="77777777" w:rsidTr="00291B27">
        <w:trPr>
          <w:trHeight w:val="130"/>
        </w:trPr>
        <w:tc>
          <w:tcPr>
            <w:tcW w:w="1984" w:type="dxa"/>
            <w:tcBorders>
              <w:top w:val="nil"/>
              <w:left w:val="nil"/>
              <w:right w:val="nil"/>
            </w:tcBorders>
          </w:tcPr>
          <w:p w14:paraId="114994C0"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right w:val="nil"/>
            </w:tcBorders>
          </w:tcPr>
          <w:p w14:paraId="4EDC5667"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right w:val="nil"/>
            </w:tcBorders>
          </w:tcPr>
          <w:p w14:paraId="75EB8049"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right w:val="nil"/>
            </w:tcBorders>
            <w:vAlign w:val="bottom"/>
          </w:tcPr>
          <w:p w14:paraId="66A56CAC"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right w:val="nil"/>
            </w:tcBorders>
            <w:vAlign w:val="bottom"/>
          </w:tcPr>
          <w:p w14:paraId="734701EF"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right w:val="nil"/>
            </w:tcBorders>
            <w:vAlign w:val="bottom"/>
          </w:tcPr>
          <w:p w14:paraId="06222CE8"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right w:val="nil"/>
            </w:tcBorders>
            <w:vAlign w:val="bottom"/>
          </w:tcPr>
          <w:p w14:paraId="68217627"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0.01</w:t>
            </w:r>
          </w:p>
        </w:tc>
        <w:tc>
          <w:tcPr>
            <w:tcW w:w="850" w:type="dxa"/>
            <w:tcBorders>
              <w:top w:val="nil"/>
              <w:left w:val="nil"/>
              <w:right w:val="nil"/>
            </w:tcBorders>
            <w:vAlign w:val="bottom"/>
          </w:tcPr>
          <w:p w14:paraId="66BEA702"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0.28***</w:t>
            </w:r>
          </w:p>
        </w:tc>
        <w:tc>
          <w:tcPr>
            <w:tcW w:w="851" w:type="dxa"/>
            <w:tcBorders>
              <w:top w:val="nil"/>
              <w:left w:val="nil"/>
              <w:right w:val="nil"/>
            </w:tcBorders>
            <w:vAlign w:val="bottom"/>
          </w:tcPr>
          <w:p w14:paraId="3B19E6B2"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0.38***</w:t>
            </w:r>
          </w:p>
        </w:tc>
      </w:tr>
      <w:tr w:rsidR="00307155" w:rsidRPr="00FC7BB4" w14:paraId="0A9F2DBE" w14:textId="77777777" w:rsidTr="00291B27">
        <w:trPr>
          <w:trHeight w:val="63"/>
        </w:trPr>
        <w:tc>
          <w:tcPr>
            <w:tcW w:w="1984" w:type="dxa"/>
            <w:tcBorders>
              <w:top w:val="nil"/>
              <w:left w:val="nil"/>
              <w:right w:val="nil"/>
            </w:tcBorders>
          </w:tcPr>
          <w:p w14:paraId="7691C9E3" w14:textId="77777777" w:rsidR="00307155" w:rsidRPr="00FC7BB4" w:rsidRDefault="00307155" w:rsidP="00F3101B">
            <w:pPr>
              <w:spacing w:after="0" w:line="259" w:lineRule="auto"/>
              <w:ind w:left="120"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Ddn</w:t>
            </w:r>
            <w:proofErr w:type="spellEnd"/>
            <w:r w:rsidRPr="00FC7BB4">
              <w:rPr>
                <w:rFonts w:ascii="Times New Roman" w:hAnsi="Times New Roman" w:cs="Times New Roman"/>
                <w:sz w:val="18"/>
                <w:szCs w:val="18"/>
              </w:rPr>
              <w:t xml:space="preserve"> </w:t>
            </w:r>
          </w:p>
        </w:tc>
        <w:tc>
          <w:tcPr>
            <w:tcW w:w="1268" w:type="dxa"/>
            <w:tcBorders>
              <w:top w:val="nil"/>
              <w:left w:val="nil"/>
              <w:right w:val="nil"/>
            </w:tcBorders>
          </w:tcPr>
          <w:p w14:paraId="51FAF4B0"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right w:val="nil"/>
            </w:tcBorders>
          </w:tcPr>
          <w:p w14:paraId="2389DB1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right w:val="nil"/>
            </w:tcBorders>
            <w:vAlign w:val="bottom"/>
          </w:tcPr>
          <w:p w14:paraId="7AA6719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0.39</w:t>
            </w:r>
          </w:p>
        </w:tc>
        <w:tc>
          <w:tcPr>
            <w:tcW w:w="753" w:type="dxa"/>
            <w:tcBorders>
              <w:top w:val="nil"/>
              <w:left w:val="nil"/>
              <w:right w:val="nil"/>
            </w:tcBorders>
            <w:vAlign w:val="bottom"/>
          </w:tcPr>
          <w:p w14:paraId="5E61B50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0.45</w:t>
            </w:r>
          </w:p>
        </w:tc>
        <w:tc>
          <w:tcPr>
            <w:tcW w:w="751" w:type="dxa"/>
            <w:tcBorders>
              <w:top w:val="nil"/>
              <w:left w:val="nil"/>
              <w:right w:val="nil"/>
            </w:tcBorders>
            <w:vAlign w:val="bottom"/>
          </w:tcPr>
          <w:p w14:paraId="656BC14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0.48</w:t>
            </w:r>
          </w:p>
        </w:tc>
        <w:tc>
          <w:tcPr>
            <w:tcW w:w="909" w:type="dxa"/>
            <w:tcBorders>
              <w:top w:val="nil"/>
              <w:left w:val="nil"/>
              <w:right w:val="nil"/>
            </w:tcBorders>
            <w:vAlign w:val="bottom"/>
          </w:tcPr>
          <w:p w14:paraId="71E205B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0.40</w:t>
            </w:r>
          </w:p>
        </w:tc>
        <w:tc>
          <w:tcPr>
            <w:tcW w:w="850" w:type="dxa"/>
            <w:tcBorders>
              <w:top w:val="nil"/>
              <w:left w:val="nil"/>
              <w:right w:val="nil"/>
            </w:tcBorders>
            <w:vAlign w:val="bottom"/>
          </w:tcPr>
          <w:p w14:paraId="07036B7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0.64</w:t>
            </w:r>
          </w:p>
        </w:tc>
        <w:tc>
          <w:tcPr>
            <w:tcW w:w="851" w:type="dxa"/>
            <w:tcBorders>
              <w:top w:val="nil"/>
              <w:left w:val="nil"/>
              <w:right w:val="nil"/>
            </w:tcBorders>
            <w:vAlign w:val="bottom"/>
          </w:tcPr>
          <w:p w14:paraId="293FAB6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0.78</w:t>
            </w:r>
          </w:p>
        </w:tc>
      </w:tr>
      <w:tr w:rsidR="00307155" w:rsidRPr="00FC7BB4" w14:paraId="4E1E1529" w14:textId="77777777" w:rsidTr="00291B27">
        <w:trPr>
          <w:trHeight w:val="63"/>
        </w:trPr>
        <w:tc>
          <w:tcPr>
            <w:tcW w:w="1984" w:type="dxa"/>
            <w:tcBorders>
              <w:left w:val="nil"/>
              <w:bottom w:val="single" w:sz="4" w:space="0" w:color="auto"/>
              <w:right w:val="nil"/>
            </w:tcBorders>
          </w:tcPr>
          <w:p w14:paraId="17AA82A8" w14:textId="77777777" w:rsidR="00307155" w:rsidRPr="00FC7BB4" w:rsidRDefault="00307155" w:rsidP="00F3101B">
            <w:pPr>
              <w:spacing w:after="0" w:line="259" w:lineRule="auto"/>
              <w:ind w:left="120" w:right="27" w:firstLine="0"/>
              <w:rPr>
                <w:rFonts w:ascii="Times New Roman" w:hAnsi="Times New Roman" w:cs="Times New Roman"/>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left w:val="nil"/>
              <w:bottom w:val="single" w:sz="4" w:space="0" w:color="auto"/>
              <w:right w:val="nil"/>
            </w:tcBorders>
          </w:tcPr>
          <w:p w14:paraId="03631617"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left w:val="nil"/>
              <w:bottom w:val="single" w:sz="4" w:space="0" w:color="auto"/>
              <w:right w:val="nil"/>
            </w:tcBorders>
          </w:tcPr>
          <w:p w14:paraId="0B532688"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left w:val="nil"/>
              <w:bottom w:val="single" w:sz="4" w:space="0" w:color="auto"/>
              <w:right w:val="nil"/>
            </w:tcBorders>
            <w:vAlign w:val="bottom"/>
          </w:tcPr>
          <w:p w14:paraId="0FF9EF66"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left w:val="nil"/>
              <w:bottom w:val="single" w:sz="4" w:space="0" w:color="auto"/>
              <w:right w:val="nil"/>
            </w:tcBorders>
            <w:vAlign w:val="bottom"/>
          </w:tcPr>
          <w:p w14:paraId="0261D42E"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left w:val="nil"/>
              <w:bottom w:val="single" w:sz="4" w:space="0" w:color="auto"/>
              <w:right w:val="nil"/>
            </w:tcBorders>
            <w:vAlign w:val="bottom"/>
          </w:tcPr>
          <w:p w14:paraId="7E159E0E"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left w:val="nil"/>
              <w:bottom w:val="single" w:sz="4" w:space="0" w:color="auto"/>
              <w:right w:val="nil"/>
            </w:tcBorders>
            <w:vAlign w:val="bottom"/>
          </w:tcPr>
          <w:p w14:paraId="1E5D8BE2"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0.01</w:t>
            </w:r>
          </w:p>
          <w:p w14:paraId="05CC0CD6"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850" w:type="dxa"/>
            <w:tcBorders>
              <w:left w:val="nil"/>
              <w:bottom w:val="single" w:sz="4" w:space="0" w:color="auto"/>
              <w:right w:val="nil"/>
            </w:tcBorders>
            <w:vAlign w:val="bottom"/>
          </w:tcPr>
          <w:p w14:paraId="001515E8"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0.20***</w:t>
            </w:r>
          </w:p>
          <w:p w14:paraId="43F6268B"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851" w:type="dxa"/>
            <w:tcBorders>
              <w:left w:val="nil"/>
              <w:bottom w:val="single" w:sz="4" w:space="0" w:color="auto"/>
              <w:right w:val="nil"/>
            </w:tcBorders>
            <w:vAlign w:val="bottom"/>
          </w:tcPr>
          <w:p w14:paraId="5531845A"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0.30***</w:t>
            </w:r>
          </w:p>
          <w:p w14:paraId="67AF60B6"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r>
      <w:tr w:rsidR="00307155" w:rsidRPr="00FC7BB4" w14:paraId="6B566D0F" w14:textId="77777777" w:rsidTr="00291B27">
        <w:trPr>
          <w:trHeight w:val="282"/>
        </w:trPr>
        <w:tc>
          <w:tcPr>
            <w:tcW w:w="8863" w:type="dxa"/>
            <w:gridSpan w:val="9"/>
            <w:tcBorders>
              <w:left w:val="nil"/>
              <w:right w:val="nil"/>
            </w:tcBorders>
          </w:tcPr>
          <w:p w14:paraId="731EA713" w14:textId="77777777" w:rsidR="00307155" w:rsidRPr="00FC7BB4" w:rsidRDefault="00307155" w:rsidP="00F3101B">
            <w:pPr>
              <w:spacing w:after="0" w:line="259" w:lineRule="auto"/>
              <w:ind w:right="27" w:firstLine="0"/>
              <w:rPr>
                <w:rFonts w:ascii="Times New Roman" w:hAnsi="Times New Roman" w:cs="Times New Roman"/>
                <w:b/>
                <w:bCs/>
                <w:i/>
                <w:iCs/>
                <w:sz w:val="16"/>
                <w:szCs w:val="16"/>
              </w:rPr>
            </w:pPr>
          </w:p>
          <w:p w14:paraId="79FC744B" w14:textId="77777777" w:rsidR="00307155" w:rsidRPr="00FC7BB4" w:rsidRDefault="00307155" w:rsidP="00F3101B">
            <w:pPr>
              <w:spacing w:after="0" w:line="259" w:lineRule="auto"/>
              <w:ind w:right="27" w:firstLine="0"/>
              <w:rPr>
                <w:rFonts w:ascii="Times New Roman" w:hAnsi="Times New Roman" w:cs="Times New Roman"/>
                <w:b/>
                <w:bCs/>
                <w:i/>
                <w:iCs/>
                <w:sz w:val="16"/>
                <w:szCs w:val="16"/>
              </w:rPr>
            </w:pPr>
          </w:p>
          <w:p w14:paraId="65064CC4" w14:textId="77777777" w:rsidR="00307155" w:rsidRPr="00FC7BB4" w:rsidRDefault="00307155" w:rsidP="00F3101B">
            <w:pPr>
              <w:spacing w:after="0" w:line="259" w:lineRule="auto"/>
              <w:ind w:right="27" w:firstLine="0"/>
              <w:rPr>
                <w:rFonts w:ascii="Times New Roman" w:hAnsi="Times New Roman" w:cs="Times New Roman"/>
                <w:b/>
                <w:bCs/>
                <w:i/>
                <w:iCs/>
                <w:sz w:val="16"/>
                <w:szCs w:val="16"/>
              </w:rPr>
            </w:pPr>
          </w:p>
          <w:p w14:paraId="3DBBEE38" w14:textId="77777777" w:rsidR="00307155" w:rsidRPr="00FC7BB4" w:rsidRDefault="00307155" w:rsidP="00F3101B">
            <w:pPr>
              <w:spacing w:after="0" w:line="259" w:lineRule="auto"/>
              <w:ind w:right="27" w:firstLine="0"/>
              <w:rPr>
                <w:rFonts w:ascii="Times New Roman" w:hAnsi="Times New Roman" w:cs="Times New Roman"/>
                <w:b/>
                <w:bCs/>
                <w:i/>
                <w:iCs/>
                <w:sz w:val="16"/>
                <w:szCs w:val="16"/>
              </w:rPr>
            </w:pPr>
          </w:p>
          <w:p w14:paraId="6DAEAD36" w14:textId="77777777" w:rsidR="00307155" w:rsidRPr="00FC7BB4" w:rsidRDefault="00307155" w:rsidP="00F3101B">
            <w:pPr>
              <w:spacing w:after="0" w:line="259" w:lineRule="auto"/>
              <w:ind w:right="27" w:firstLine="0"/>
              <w:rPr>
                <w:rFonts w:ascii="Times New Roman" w:hAnsi="Times New Roman" w:cs="Times New Roman"/>
                <w:b/>
                <w:bCs/>
                <w:i/>
                <w:iCs/>
                <w:sz w:val="16"/>
                <w:szCs w:val="16"/>
              </w:rPr>
            </w:pPr>
          </w:p>
          <w:p w14:paraId="6137ECC6" w14:textId="77777777" w:rsidR="00307155" w:rsidRPr="00FC7BB4" w:rsidRDefault="00307155" w:rsidP="00F3101B">
            <w:pPr>
              <w:spacing w:after="0" w:line="259" w:lineRule="auto"/>
              <w:ind w:right="27" w:firstLine="0"/>
              <w:rPr>
                <w:rFonts w:ascii="Times New Roman" w:hAnsi="Times New Roman" w:cs="Times New Roman"/>
                <w:b/>
                <w:bCs/>
                <w:i/>
                <w:iCs/>
                <w:sz w:val="16"/>
                <w:szCs w:val="16"/>
              </w:rPr>
            </w:pPr>
          </w:p>
          <w:p w14:paraId="39834105" w14:textId="77777777" w:rsidR="00307155" w:rsidRPr="00FC7BB4" w:rsidRDefault="00307155" w:rsidP="00F3101B">
            <w:pPr>
              <w:spacing w:after="0" w:line="259" w:lineRule="auto"/>
              <w:ind w:right="27" w:firstLine="0"/>
              <w:rPr>
                <w:rFonts w:ascii="Times New Roman" w:hAnsi="Times New Roman" w:cs="Times New Roman"/>
                <w:b/>
                <w:bCs/>
                <w:i/>
                <w:iCs/>
                <w:sz w:val="16"/>
                <w:szCs w:val="16"/>
              </w:rPr>
            </w:pPr>
          </w:p>
          <w:p w14:paraId="7B623587" w14:textId="77777777" w:rsidR="00307155" w:rsidRPr="00FC7BB4" w:rsidRDefault="00307155" w:rsidP="00F3101B">
            <w:pPr>
              <w:spacing w:after="0" w:line="259" w:lineRule="auto"/>
              <w:ind w:right="27" w:firstLine="0"/>
              <w:rPr>
                <w:rFonts w:ascii="Times New Roman" w:hAnsi="Times New Roman" w:cs="Times New Roman"/>
                <w:b/>
                <w:bCs/>
                <w:i/>
                <w:iCs/>
                <w:sz w:val="16"/>
                <w:szCs w:val="16"/>
              </w:rPr>
            </w:pPr>
          </w:p>
          <w:p w14:paraId="01AC7EA6" w14:textId="77777777" w:rsidR="00307155" w:rsidRPr="00FC7BB4" w:rsidRDefault="00307155" w:rsidP="00F3101B">
            <w:pPr>
              <w:spacing w:after="0" w:line="259" w:lineRule="auto"/>
              <w:ind w:right="27" w:firstLine="0"/>
              <w:rPr>
                <w:rFonts w:ascii="Times New Roman" w:hAnsi="Times New Roman" w:cs="Times New Roman"/>
                <w:b/>
                <w:bCs/>
                <w:i/>
                <w:iCs/>
                <w:sz w:val="16"/>
                <w:szCs w:val="16"/>
              </w:rPr>
            </w:pPr>
          </w:p>
          <w:p w14:paraId="51834A7F" w14:textId="77777777" w:rsidR="00307155" w:rsidRDefault="00307155" w:rsidP="00F3101B">
            <w:pPr>
              <w:spacing w:after="0" w:line="259" w:lineRule="auto"/>
              <w:ind w:right="27" w:firstLine="0"/>
              <w:rPr>
                <w:rFonts w:ascii="Times New Roman" w:hAnsi="Times New Roman" w:cs="Times New Roman"/>
                <w:b/>
                <w:bCs/>
                <w:i/>
                <w:iCs/>
                <w:sz w:val="16"/>
                <w:szCs w:val="16"/>
              </w:rPr>
            </w:pPr>
          </w:p>
          <w:p w14:paraId="11A52534" w14:textId="77777777" w:rsidR="00717BD6" w:rsidRDefault="00717BD6" w:rsidP="00F3101B">
            <w:pPr>
              <w:spacing w:after="0" w:line="259" w:lineRule="auto"/>
              <w:ind w:right="27" w:firstLine="0"/>
              <w:rPr>
                <w:rFonts w:ascii="Times New Roman" w:hAnsi="Times New Roman" w:cs="Times New Roman"/>
                <w:b/>
                <w:bCs/>
                <w:i/>
                <w:iCs/>
                <w:sz w:val="16"/>
                <w:szCs w:val="16"/>
              </w:rPr>
            </w:pPr>
          </w:p>
          <w:p w14:paraId="2AD6DB5B" w14:textId="77777777" w:rsidR="00717BD6" w:rsidRPr="00FC7BB4" w:rsidRDefault="00717BD6" w:rsidP="00F3101B">
            <w:pPr>
              <w:spacing w:after="0" w:line="259" w:lineRule="auto"/>
              <w:ind w:right="27" w:firstLine="0"/>
              <w:rPr>
                <w:rFonts w:ascii="Times New Roman" w:hAnsi="Times New Roman" w:cs="Times New Roman"/>
                <w:b/>
                <w:bCs/>
                <w:i/>
                <w:iCs/>
                <w:sz w:val="16"/>
                <w:szCs w:val="16"/>
              </w:rPr>
            </w:pPr>
          </w:p>
          <w:p w14:paraId="34CDB9B7" w14:textId="77777777" w:rsidR="00307155" w:rsidRPr="00FC7BB4" w:rsidRDefault="00307155" w:rsidP="00F3101B">
            <w:pPr>
              <w:spacing w:after="0" w:line="259" w:lineRule="auto"/>
              <w:ind w:right="27" w:firstLine="0"/>
              <w:rPr>
                <w:rFonts w:ascii="Times New Roman" w:hAnsi="Times New Roman" w:cs="Times New Roman"/>
                <w:b/>
                <w:bCs/>
                <w:i/>
                <w:iCs/>
                <w:sz w:val="16"/>
                <w:szCs w:val="16"/>
              </w:rPr>
            </w:pPr>
          </w:p>
          <w:p w14:paraId="535A6836" w14:textId="77777777" w:rsidR="00307155" w:rsidRPr="00FC7BB4" w:rsidRDefault="00307155" w:rsidP="00F3101B">
            <w:pPr>
              <w:spacing w:after="21" w:line="262" w:lineRule="auto"/>
              <w:ind w:left="-47" w:right="27" w:hanging="10"/>
              <w:jc w:val="center"/>
              <w:rPr>
                <w:rFonts w:ascii="Times New Roman" w:hAnsi="Times New Roman" w:cs="Times New Roman"/>
                <w:b/>
                <w:bCs/>
                <w:sz w:val="24"/>
              </w:rPr>
            </w:pPr>
            <w:r w:rsidRPr="00FC7BB4">
              <w:rPr>
                <w:rFonts w:ascii="Times New Roman" w:hAnsi="Times New Roman" w:cs="Times New Roman"/>
                <w:b/>
                <w:bCs/>
                <w:sz w:val="24"/>
              </w:rPr>
              <w:lastRenderedPageBreak/>
              <w:t>Table A4 (Cont.): Conditional probabilities of price changes for small and large firms:</w:t>
            </w:r>
          </w:p>
          <w:p w14:paraId="4E5CCB70" w14:textId="77777777" w:rsidR="00307155" w:rsidRPr="00FC7BB4" w:rsidRDefault="00307155" w:rsidP="00F3101B">
            <w:pPr>
              <w:spacing w:after="21" w:line="262" w:lineRule="auto"/>
              <w:ind w:left="-227" w:right="27" w:firstLine="0"/>
              <w:jc w:val="center"/>
              <w:rPr>
                <w:rFonts w:ascii="Times New Roman" w:hAnsi="Times New Roman" w:cs="Times New Roman"/>
                <w:b/>
                <w:bCs/>
                <w:sz w:val="24"/>
              </w:rPr>
            </w:pPr>
            <w:r w:rsidRPr="00FC7BB4">
              <w:rPr>
                <w:rFonts w:ascii="Times New Roman" w:hAnsi="Times New Roman" w:cs="Times New Roman"/>
                <w:b/>
                <w:bCs/>
                <w:sz w:val="24"/>
              </w:rPr>
              <w:t xml:space="preserve">Pre- and </w:t>
            </w:r>
            <w:proofErr w:type="gramStart"/>
            <w:r w:rsidRPr="00FC7BB4">
              <w:rPr>
                <w:rFonts w:ascii="Times New Roman" w:hAnsi="Times New Roman" w:cs="Times New Roman"/>
                <w:b/>
                <w:bCs/>
                <w:sz w:val="24"/>
              </w:rPr>
              <w:t>Post-2011Q2</w:t>
            </w:r>
            <w:proofErr w:type="gramEnd"/>
            <w:r w:rsidRPr="00FC7BB4">
              <w:rPr>
                <w:rFonts w:ascii="Times New Roman" w:hAnsi="Times New Roman" w:cs="Times New Roman"/>
                <w:b/>
                <w:bCs/>
                <w:sz w:val="24"/>
              </w:rPr>
              <w:t xml:space="preserve"> ________________________________________________________________________</w:t>
            </w:r>
          </w:p>
          <w:p w14:paraId="58F57023" w14:textId="77777777" w:rsidR="00307155" w:rsidRPr="00FC7BB4" w:rsidRDefault="00307155" w:rsidP="00F3101B">
            <w:pPr>
              <w:spacing w:after="89" w:line="259" w:lineRule="auto"/>
              <w:ind w:left="493" w:right="27" w:firstLine="0"/>
              <w:rPr>
                <w:rFonts w:ascii="Times New Roman" w:hAnsi="Times New Roman" w:cs="Times New Roman"/>
                <w:szCs w:val="20"/>
              </w:rPr>
            </w:pPr>
            <w:r w:rsidRPr="00FC7BB4">
              <w:rPr>
                <w:rFonts w:ascii="Times New Roman" w:hAnsi="Times New Roman" w:cs="Times New Roman"/>
                <w:szCs w:val="20"/>
              </w:rPr>
              <w:t xml:space="preserve">                                                                                     Pre-2011Q2                          </w:t>
            </w:r>
            <w:proofErr w:type="gramStart"/>
            <w:r w:rsidRPr="00FC7BB4">
              <w:rPr>
                <w:rFonts w:ascii="Times New Roman" w:hAnsi="Times New Roman" w:cs="Times New Roman"/>
                <w:szCs w:val="20"/>
              </w:rPr>
              <w:t>Post-2011Q2</w:t>
            </w:r>
            <w:proofErr w:type="gramEnd"/>
          </w:p>
          <w:tbl>
            <w:tblPr>
              <w:tblStyle w:val="TableGrid"/>
              <w:tblW w:w="8719" w:type="dxa"/>
              <w:tblInd w:w="0" w:type="dxa"/>
              <w:tblCellMar>
                <w:right w:w="120" w:type="dxa"/>
              </w:tblCellMar>
              <w:tblLook w:val="04A0" w:firstRow="1" w:lastRow="0" w:firstColumn="1" w:lastColumn="0" w:noHBand="0" w:noVBand="1"/>
            </w:tblPr>
            <w:tblGrid>
              <w:gridCol w:w="1742"/>
              <w:gridCol w:w="1384"/>
              <w:gridCol w:w="915"/>
              <w:gridCol w:w="709"/>
              <w:gridCol w:w="781"/>
              <w:gridCol w:w="471"/>
              <w:gridCol w:w="978"/>
              <w:gridCol w:w="787"/>
              <w:gridCol w:w="952"/>
            </w:tblGrid>
            <w:tr w:rsidR="00307155" w:rsidRPr="00FC7BB4" w14:paraId="3AB4947E" w14:textId="77777777" w:rsidTr="00291B27">
              <w:trPr>
                <w:trHeight w:val="292"/>
              </w:trPr>
              <w:tc>
                <w:tcPr>
                  <w:tcW w:w="1742" w:type="dxa"/>
                  <w:tcBorders>
                    <w:top w:val="nil"/>
                    <w:left w:val="nil"/>
                    <w:bottom w:val="single" w:sz="4" w:space="0" w:color="000000"/>
                    <w:right w:val="nil"/>
                  </w:tcBorders>
                </w:tcPr>
                <w:p w14:paraId="5ADBD07F" w14:textId="77777777" w:rsidR="00307155" w:rsidRPr="00FC7BB4" w:rsidRDefault="00307155" w:rsidP="00F3101B">
                  <w:pPr>
                    <w:pBdr>
                      <w:top w:val="single" w:sz="4" w:space="1" w:color="auto"/>
                    </w:pBdr>
                    <w:spacing w:after="0" w:line="259" w:lineRule="auto"/>
                    <w:ind w:right="27" w:firstLine="0"/>
                    <w:jc w:val="left"/>
                    <w:rPr>
                      <w:rFonts w:ascii="Times New Roman" w:hAnsi="Times New Roman" w:cs="Times New Roman"/>
                      <w:szCs w:val="20"/>
                    </w:rPr>
                  </w:pPr>
                  <w:r w:rsidRPr="00FC7BB4">
                    <w:rPr>
                      <w:rFonts w:ascii="Times New Roman" w:eastAsia="Times New Roman" w:hAnsi="Times New Roman" w:cs="Times New Roman"/>
                      <w:color w:val="auto"/>
                      <w:kern w:val="0"/>
                      <w:szCs w:val="20"/>
                      <w14:ligatures w14:val="none"/>
                    </w:rPr>
                    <w:t>Type of Probability:</w:t>
                  </w:r>
                </w:p>
              </w:tc>
              <w:tc>
                <w:tcPr>
                  <w:tcW w:w="1384" w:type="dxa"/>
                  <w:tcBorders>
                    <w:top w:val="nil"/>
                    <w:left w:val="nil"/>
                    <w:bottom w:val="single" w:sz="4" w:space="0" w:color="000000"/>
                    <w:right w:val="nil"/>
                  </w:tcBorders>
                </w:tcPr>
                <w:p w14:paraId="3DDA738D" w14:textId="77777777" w:rsidR="00307155" w:rsidRPr="00FC7BB4" w:rsidRDefault="00307155" w:rsidP="00F3101B">
                  <w:pPr>
                    <w:pBdr>
                      <w:top w:val="single" w:sz="4" w:space="1" w:color="auto"/>
                    </w:pBdr>
                    <w:spacing w:after="0" w:line="259" w:lineRule="auto"/>
                    <w:ind w:right="27" w:firstLine="0"/>
                    <w:jc w:val="left"/>
                    <w:rPr>
                      <w:rFonts w:ascii="Times New Roman" w:hAnsi="Times New Roman" w:cs="Times New Roman"/>
                      <w:szCs w:val="20"/>
                    </w:rPr>
                  </w:pPr>
                  <w:r w:rsidRPr="00FC7BB4">
                    <w:rPr>
                      <w:rFonts w:ascii="Times New Roman" w:hAnsi="Times New Roman" w:cs="Times New Roman"/>
                      <w:szCs w:val="20"/>
                    </w:rPr>
                    <w:t xml:space="preserve">          Sector</w:t>
                  </w:r>
                </w:p>
              </w:tc>
              <w:tc>
                <w:tcPr>
                  <w:tcW w:w="915" w:type="dxa"/>
                  <w:tcBorders>
                    <w:top w:val="nil"/>
                    <w:left w:val="nil"/>
                    <w:bottom w:val="single" w:sz="4" w:space="0" w:color="000000"/>
                    <w:right w:val="nil"/>
                  </w:tcBorders>
                </w:tcPr>
                <w:p w14:paraId="008FB2C8" w14:textId="77777777" w:rsidR="00307155" w:rsidRPr="00FC7BB4" w:rsidRDefault="00307155" w:rsidP="00F3101B">
                  <w:pPr>
                    <w:pBdr>
                      <w:top w:val="single" w:sz="4" w:space="1" w:color="auto"/>
                    </w:pBdr>
                    <w:spacing w:after="0" w:line="259" w:lineRule="auto"/>
                    <w:ind w:right="27" w:firstLine="0"/>
                    <w:rPr>
                      <w:rFonts w:ascii="Times New Roman" w:hAnsi="Times New Roman" w:cs="Times New Roman"/>
                      <w:szCs w:val="20"/>
                    </w:rPr>
                  </w:pPr>
                  <w:r w:rsidRPr="00FC7BB4">
                    <w:rPr>
                      <w:rFonts w:ascii="Times New Roman" w:hAnsi="Times New Roman" w:cs="Times New Roman"/>
                      <w:szCs w:val="20"/>
                    </w:rPr>
                    <w:t xml:space="preserve">    Size      </w:t>
                  </w:r>
                </w:p>
              </w:tc>
              <w:tc>
                <w:tcPr>
                  <w:tcW w:w="709" w:type="dxa"/>
                  <w:tcBorders>
                    <w:top w:val="nil"/>
                    <w:left w:val="nil"/>
                    <w:bottom w:val="single" w:sz="4" w:space="0" w:color="000000"/>
                    <w:right w:val="nil"/>
                  </w:tcBorders>
                </w:tcPr>
                <w:p w14:paraId="23CA4BDE" w14:textId="77777777" w:rsidR="00307155" w:rsidRPr="00FC7BB4" w:rsidRDefault="00307155" w:rsidP="00F3101B">
                  <w:pPr>
                    <w:pBdr>
                      <w:top w:val="single" w:sz="4" w:space="1" w:color="auto"/>
                    </w:pBdr>
                    <w:spacing w:after="0" w:line="259" w:lineRule="auto"/>
                    <w:ind w:right="27" w:firstLine="0"/>
                    <w:rPr>
                      <w:rFonts w:ascii="Times New Roman" w:hAnsi="Times New Roman" w:cs="Times New Roman"/>
                      <w:szCs w:val="20"/>
                    </w:rPr>
                  </w:pPr>
                  <w:r w:rsidRPr="00FC7BB4">
                    <w:rPr>
                      <w:rFonts w:ascii="Times New Roman" w:hAnsi="Times New Roman" w:cs="Times New Roman"/>
                      <w:szCs w:val="20"/>
                    </w:rPr>
                    <w:t xml:space="preserve"> 2%</w:t>
                  </w:r>
                </w:p>
              </w:tc>
              <w:tc>
                <w:tcPr>
                  <w:tcW w:w="781" w:type="dxa"/>
                  <w:tcBorders>
                    <w:top w:val="nil"/>
                    <w:left w:val="nil"/>
                    <w:bottom w:val="single" w:sz="4" w:space="0" w:color="000000"/>
                    <w:right w:val="nil"/>
                  </w:tcBorders>
                </w:tcPr>
                <w:p w14:paraId="22CD59BF" w14:textId="77777777" w:rsidR="00307155" w:rsidRPr="00FC7BB4" w:rsidRDefault="00307155" w:rsidP="00F3101B">
                  <w:pPr>
                    <w:pBdr>
                      <w:top w:val="single" w:sz="4" w:space="1" w:color="auto"/>
                    </w:pBdr>
                    <w:spacing w:after="0" w:line="259" w:lineRule="auto"/>
                    <w:ind w:right="27" w:firstLine="0"/>
                    <w:rPr>
                      <w:rFonts w:ascii="Times New Roman" w:hAnsi="Times New Roman" w:cs="Times New Roman"/>
                      <w:szCs w:val="20"/>
                    </w:rPr>
                  </w:pPr>
                  <w:r w:rsidRPr="00FC7BB4">
                    <w:rPr>
                      <w:rFonts w:ascii="Times New Roman" w:hAnsi="Times New Roman" w:cs="Times New Roman"/>
                      <w:szCs w:val="20"/>
                    </w:rPr>
                    <w:t xml:space="preserve">  5%     </w:t>
                  </w:r>
                </w:p>
              </w:tc>
              <w:tc>
                <w:tcPr>
                  <w:tcW w:w="471" w:type="dxa"/>
                  <w:tcBorders>
                    <w:top w:val="nil"/>
                    <w:left w:val="nil"/>
                    <w:bottom w:val="single" w:sz="4" w:space="0" w:color="000000"/>
                    <w:right w:val="nil"/>
                  </w:tcBorders>
                </w:tcPr>
                <w:p w14:paraId="3AF8A80D" w14:textId="77777777" w:rsidR="00307155" w:rsidRPr="00FC7BB4" w:rsidRDefault="00307155" w:rsidP="00F3101B">
                  <w:pPr>
                    <w:pBdr>
                      <w:top w:val="single" w:sz="4" w:space="1" w:color="auto"/>
                    </w:pBdr>
                    <w:spacing w:after="0" w:line="259" w:lineRule="auto"/>
                    <w:ind w:right="27" w:firstLine="0"/>
                    <w:rPr>
                      <w:rFonts w:ascii="Times New Roman" w:hAnsi="Times New Roman" w:cs="Times New Roman"/>
                      <w:szCs w:val="20"/>
                    </w:rPr>
                  </w:pPr>
                  <w:r w:rsidRPr="00FC7BB4">
                    <w:rPr>
                      <w:rFonts w:ascii="Times New Roman" w:hAnsi="Times New Roman" w:cs="Times New Roman"/>
                      <w:szCs w:val="20"/>
                    </w:rPr>
                    <w:t xml:space="preserve"> 7%</w:t>
                  </w:r>
                </w:p>
              </w:tc>
              <w:tc>
                <w:tcPr>
                  <w:tcW w:w="978" w:type="dxa"/>
                  <w:tcBorders>
                    <w:top w:val="nil"/>
                    <w:left w:val="nil"/>
                    <w:bottom w:val="single" w:sz="4" w:space="0" w:color="000000"/>
                    <w:right w:val="nil"/>
                  </w:tcBorders>
                </w:tcPr>
                <w:p w14:paraId="7053CAA2" w14:textId="77777777" w:rsidR="00307155" w:rsidRPr="00FC7BB4" w:rsidRDefault="00307155" w:rsidP="00F3101B">
                  <w:pPr>
                    <w:pBdr>
                      <w:top w:val="single" w:sz="4" w:space="1" w:color="auto"/>
                    </w:pBdr>
                    <w:spacing w:after="0" w:line="259" w:lineRule="auto"/>
                    <w:ind w:right="27" w:firstLine="0"/>
                    <w:rPr>
                      <w:rFonts w:ascii="Times New Roman" w:hAnsi="Times New Roman" w:cs="Times New Roman"/>
                      <w:szCs w:val="20"/>
                    </w:rPr>
                  </w:pPr>
                  <w:r w:rsidRPr="00FC7BB4">
                    <w:rPr>
                      <w:rFonts w:ascii="Times New Roman" w:hAnsi="Times New Roman" w:cs="Times New Roman"/>
                      <w:szCs w:val="20"/>
                    </w:rPr>
                    <w:t xml:space="preserve">       2%</w:t>
                  </w:r>
                </w:p>
              </w:tc>
              <w:tc>
                <w:tcPr>
                  <w:tcW w:w="787" w:type="dxa"/>
                  <w:tcBorders>
                    <w:top w:val="nil"/>
                    <w:left w:val="nil"/>
                    <w:bottom w:val="single" w:sz="4" w:space="0" w:color="000000"/>
                    <w:right w:val="nil"/>
                  </w:tcBorders>
                </w:tcPr>
                <w:p w14:paraId="59918B28" w14:textId="77777777" w:rsidR="00307155" w:rsidRPr="00FC7BB4" w:rsidRDefault="00307155" w:rsidP="00F3101B">
                  <w:pPr>
                    <w:pBdr>
                      <w:top w:val="single" w:sz="4" w:space="1" w:color="auto"/>
                    </w:pBdr>
                    <w:spacing w:after="0" w:line="259" w:lineRule="auto"/>
                    <w:ind w:right="27" w:firstLine="0"/>
                    <w:rPr>
                      <w:rFonts w:ascii="Times New Roman" w:hAnsi="Times New Roman" w:cs="Times New Roman"/>
                      <w:szCs w:val="20"/>
                    </w:rPr>
                  </w:pPr>
                  <w:r w:rsidRPr="00FC7BB4">
                    <w:rPr>
                      <w:rFonts w:ascii="Times New Roman" w:hAnsi="Times New Roman" w:cs="Times New Roman"/>
                      <w:szCs w:val="20"/>
                    </w:rPr>
                    <w:t xml:space="preserve">    5%</w:t>
                  </w:r>
                </w:p>
              </w:tc>
              <w:tc>
                <w:tcPr>
                  <w:tcW w:w="952" w:type="dxa"/>
                  <w:tcBorders>
                    <w:top w:val="nil"/>
                    <w:left w:val="nil"/>
                    <w:bottom w:val="single" w:sz="4" w:space="0" w:color="000000"/>
                    <w:right w:val="nil"/>
                  </w:tcBorders>
                </w:tcPr>
                <w:p w14:paraId="3F94635C" w14:textId="77777777" w:rsidR="00307155" w:rsidRPr="00FC7BB4" w:rsidRDefault="00307155" w:rsidP="00F3101B">
                  <w:pPr>
                    <w:pBdr>
                      <w:top w:val="single" w:sz="4" w:space="1" w:color="auto"/>
                    </w:pBdr>
                    <w:spacing w:after="0" w:line="259" w:lineRule="auto"/>
                    <w:ind w:right="27" w:firstLine="0"/>
                    <w:rPr>
                      <w:rFonts w:ascii="Times New Roman" w:hAnsi="Times New Roman" w:cs="Times New Roman"/>
                      <w:szCs w:val="20"/>
                    </w:rPr>
                  </w:pPr>
                  <w:r w:rsidRPr="00FC7BB4">
                    <w:rPr>
                      <w:rFonts w:ascii="Times New Roman" w:hAnsi="Times New Roman" w:cs="Times New Roman"/>
                      <w:szCs w:val="20"/>
                    </w:rPr>
                    <w:t xml:space="preserve">     7%      </w:t>
                  </w:r>
                </w:p>
              </w:tc>
            </w:tr>
            <w:tr w:rsidR="00307155" w:rsidRPr="00FC7BB4" w14:paraId="7F5448E5" w14:textId="77777777" w:rsidTr="00291B27">
              <w:trPr>
                <w:trHeight w:val="40"/>
              </w:trPr>
              <w:tc>
                <w:tcPr>
                  <w:tcW w:w="8719" w:type="dxa"/>
                  <w:gridSpan w:val="9"/>
                  <w:tcBorders>
                    <w:top w:val="single" w:sz="4" w:space="0" w:color="000000"/>
                    <w:left w:val="nil"/>
                    <w:bottom w:val="nil"/>
                    <w:right w:val="nil"/>
                  </w:tcBorders>
                </w:tcPr>
                <w:p w14:paraId="3CB177F8" w14:textId="77777777" w:rsidR="00307155" w:rsidRPr="00FC7BB4" w:rsidRDefault="00307155" w:rsidP="00F3101B">
                  <w:pPr>
                    <w:spacing w:after="0" w:line="240" w:lineRule="auto"/>
                    <w:ind w:right="27" w:firstLine="0"/>
                    <w:rPr>
                      <w:rFonts w:ascii="Times New Roman" w:hAnsi="Times New Roman" w:cs="Times New Roman"/>
                      <w:sz w:val="16"/>
                      <w:szCs w:val="16"/>
                    </w:rPr>
                  </w:pPr>
                </w:p>
              </w:tc>
            </w:tr>
          </w:tbl>
          <w:p w14:paraId="5F7D774B" w14:textId="77777777" w:rsidR="00307155" w:rsidRPr="00FC7BB4" w:rsidRDefault="00307155" w:rsidP="00F3101B">
            <w:pPr>
              <w:spacing w:after="0" w:line="259" w:lineRule="auto"/>
              <w:ind w:right="27" w:firstLine="0"/>
              <w:rPr>
                <w:rFonts w:ascii="Times New Roman" w:hAnsi="Times New Roman" w:cs="Times New Roman"/>
                <w:i/>
                <w:iCs/>
                <w:szCs w:val="20"/>
              </w:rPr>
            </w:pPr>
            <w:r w:rsidRPr="00FC7BB4">
              <w:rPr>
                <w:rFonts w:ascii="Times New Roman" w:hAnsi="Times New Roman" w:cs="Times New Roman"/>
                <w:b/>
                <w:bCs/>
                <w:i/>
                <w:iCs/>
                <w:sz w:val="16"/>
                <w:szCs w:val="16"/>
              </w:rPr>
              <w:t xml:space="preserve"> </w:t>
            </w:r>
            <w:r w:rsidRPr="00FC7BB4">
              <w:rPr>
                <w:rFonts w:ascii="Times New Roman" w:hAnsi="Times New Roman" w:cs="Times New Roman"/>
                <w:i/>
                <w:iCs/>
                <w:szCs w:val="16"/>
              </w:rPr>
              <w:t>The p</w:t>
            </w:r>
            <w:r w:rsidRPr="00FC7BB4">
              <w:rPr>
                <w:rFonts w:ascii="Times New Roman" w:hAnsi="Times New Roman" w:cs="Times New Roman"/>
                <w:i/>
                <w:iCs/>
                <w:szCs w:val="20"/>
              </w:rPr>
              <w:t>robability of firms decreasing prices (</w:t>
            </w:r>
            <w:proofErr w:type="spellStart"/>
            <w:r w:rsidRPr="00FC7BB4">
              <w:rPr>
                <w:rFonts w:ascii="Times New Roman" w:hAnsi="Times New Roman" w:cs="Times New Roman"/>
                <w:i/>
                <w:iCs/>
                <w:szCs w:val="20"/>
              </w:rPr>
              <w:t>Pdn</w:t>
            </w:r>
            <w:proofErr w:type="spellEnd"/>
            <w:r w:rsidRPr="00FC7BB4">
              <w:rPr>
                <w:rFonts w:ascii="Times New Roman" w:hAnsi="Times New Roman" w:cs="Times New Roman"/>
                <w:i/>
                <w:iCs/>
                <w:szCs w:val="20"/>
              </w:rPr>
              <w:t>) when costs decrease (</w:t>
            </w:r>
            <w:proofErr w:type="spellStart"/>
            <w:r w:rsidRPr="00FC7BB4">
              <w:rPr>
                <w:rFonts w:ascii="Times New Roman" w:hAnsi="Times New Roman" w:cs="Times New Roman"/>
                <w:i/>
                <w:iCs/>
                <w:szCs w:val="20"/>
              </w:rPr>
              <w:t>Cdn</w:t>
            </w:r>
            <w:proofErr w:type="spellEnd"/>
            <w:r w:rsidRPr="00FC7BB4">
              <w:rPr>
                <w:rFonts w:ascii="Times New Roman" w:hAnsi="Times New Roman" w:cs="Times New Roman"/>
                <w:i/>
                <w:iCs/>
                <w:szCs w:val="20"/>
              </w:rPr>
              <w:t>) and …</w:t>
            </w:r>
          </w:p>
        </w:tc>
      </w:tr>
      <w:tr w:rsidR="00307155" w:rsidRPr="00FC7BB4" w14:paraId="66049197" w14:textId="77777777" w:rsidTr="00291B27">
        <w:trPr>
          <w:trHeight w:val="133"/>
        </w:trPr>
        <w:tc>
          <w:tcPr>
            <w:tcW w:w="1984" w:type="dxa"/>
            <w:tcBorders>
              <w:left w:val="nil"/>
              <w:right w:val="nil"/>
            </w:tcBorders>
          </w:tcPr>
          <w:p w14:paraId="6DA2B91B"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1268" w:type="dxa"/>
            <w:tcBorders>
              <w:left w:val="nil"/>
              <w:right w:val="nil"/>
            </w:tcBorders>
          </w:tcPr>
          <w:p w14:paraId="16A426F0"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left w:val="nil"/>
              <w:right w:val="nil"/>
            </w:tcBorders>
          </w:tcPr>
          <w:p w14:paraId="32768ED8"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54" w:type="dxa"/>
            <w:tcBorders>
              <w:left w:val="nil"/>
              <w:right w:val="nil"/>
            </w:tcBorders>
            <w:vAlign w:val="center"/>
          </w:tcPr>
          <w:p w14:paraId="0952BD27"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53" w:type="dxa"/>
            <w:tcBorders>
              <w:left w:val="nil"/>
              <w:right w:val="nil"/>
            </w:tcBorders>
            <w:vAlign w:val="center"/>
          </w:tcPr>
          <w:p w14:paraId="462F3BFD"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51" w:type="dxa"/>
            <w:tcBorders>
              <w:left w:val="nil"/>
              <w:right w:val="nil"/>
            </w:tcBorders>
            <w:vAlign w:val="center"/>
          </w:tcPr>
          <w:p w14:paraId="1D1D22F1"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909" w:type="dxa"/>
            <w:tcBorders>
              <w:left w:val="nil"/>
              <w:right w:val="nil"/>
            </w:tcBorders>
            <w:vAlign w:val="center"/>
          </w:tcPr>
          <w:p w14:paraId="01D23CB7"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850" w:type="dxa"/>
            <w:tcBorders>
              <w:left w:val="nil"/>
              <w:right w:val="nil"/>
            </w:tcBorders>
            <w:vAlign w:val="center"/>
          </w:tcPr>
          <w:p w14:paraId="796FDEB1"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851" w:type="dxa"/>
            <w:tcBorders>
              <w:left w:val="nil"/>
              <w:right w:val="nil"/>
            </w:tcBorders>
            <w:vAlign w:val="center"/>
          </w:tcPr>
          <w:p w14:paraId="53BF1E91" w14:textId="77777777" w:rsidR="00307155" w:rsidRPr="00FC7BB4" w:rsidRDefault="00307155" w:rsidP="00F3101B">
            <w:pPr>
              <w:spacing w:after="0" w:line="259" w:lineRule="auto"/>
              <w:ind w:right="27" w:firstLine="0"/>
              <w:rPr>
                <w:rFonts w:ascii="Times New Roman" w:hAnsi="Times New Roman" w:cs="Times New Roman"/>
                <w:sz w:val="18"/>
                <w:szCs w:val="18"/>
              </w:rPr>
            </w:pPr>
          </w:p>
        </w:tc>
      </w:tr>
      <w:tr w:rsidR="00307155" w:rsidRPr="00FC7BB4" w14:paraId="07EAD02F" w14:textId="77777777" w:rsidTr="00291B27">
        <w:trPr>
          <w:trHeight w:val="133"/>
        </w:trPr>
        <w:tc>
          <w:tcPr>
            <w:tcW w:w="1984" w:type="dxa"/>
            <w:tcBorders>
              <w:left w:val="nil"/>
              <w:right w:val="nil"/>
            </w:tcBorders>
          </w:tcPr>
          <w:p w14:paraId="585243C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Dup </w:t>
            </w:r>
          </w:p>
        </w:tc>
        <w:tc>
          <w:tcPr>
            <w:tcW w:w="1268" w:type="dxa"/>
            <w:tcBorders>
              <w:left w:val="nil"/>
              <w:right w:val="nil"/>
            </w:tcBorders>
          </w:tcPr>
          <w:p w14:paraId="66FF98D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Manufacturers</w:t>
            </w:r>
          </w:p>
        </w:tc>
        <w:tc>
          <w:tcPr>
            <w:tcW w:w="743" w:type="dxa"/>
            <w:tcBorders>
              <w:left w:val="nil"/>
              <w:right w:val="nil"/>
            </w:tcBorders>
          </w:tcPr>
          <w:p w14:paraId="76973EA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left w:val="nil"/>
              <w:right w:val="nil"/>
            </w:tcBorders>
            <w:vAlign w:val="center"/>
          </w:tcPr>
          <w:p w14:paraId="234A8E1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0.19</w:t>
            </w:r>
          </w:p>
        </w:tc>
        <w:tc>
          <w:tcPr>
            <w:tcW w:w="753" w:type="dxa"/>
            <w:tcBorders>
              <w:left w:val="nil"/>
              <w:right w:val="nil"/>
            </w:tcBorders>
            <w:vAlign w:val="center"/>
          </w:tcPr>
          <w:p w14:paraId="7E3AD07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0.18</w:t>
            </w:r>
          </w:p>
        </w:tc>
        <w:tc>
          <w:tcPr>
            <w:tcW w:w="751" w:type="dxa"/>
            <w:tcBorders>
              <w:left w:val="nil"/>
              <w:right w:val="nil"/>
            </w:tcBorders>
            <w:vAlign w:val="center"/>
          </w:tcPr>
          <w:p w14:paraId="315C4E9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0.18</w:t>
            </w:r>
          </w:p>
        </w:tc>
        <w:tc>
          <w:tcPr>
            <w:tcW w:w="909" w:type="dxa"/>
            <w:tcBorders>
              <w:left w:val="nil"/>
              <w:right w:val="nil"/>
            </w:tcBorders>
            <w:vAlign w:val="center"/>
          </w:tcPr>
          <w:p w14:paraId="3D3F6C9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0.21</w:t>
            </w:r>
          </w:p>
        </w:tc>
        <w:tc>
          <w:tcPr>
            <w:tcW w:w="850" w:type="dxa"/>
            <w:tcBorders>
              <w:left w:val="nil"/>
              <w:right w:val="nil"/>
            </w:tcBorders>
            <w:vAlign w:val="center"/>
          </w:tcPr>
          <w:p w14:paraId="4535BB1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0.14</w:t>
            </w:r>
          </w:p>
        </w:tc>
        <w:tc>
          <w:tcPr>
            <w:tcW w:w="851" w:type="dxa"/>
            <w:tcBorders>
              <w:left w:val="nil"/>
              <w:right w:val="nil"/>
            </w:tcBorders>
            <w:vAlign w:val="center"/>
          </w:tcPr>
          <w:p w14:paraId="395834B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0.10</w:t>
            </w:r>
          </w:p>
        </w:tc>
      </w:tr>
      <w:tr w:rsidR="00307155" w:rsidRPr="00FC7BB4" w14:paraId="4BEEA3F9" w14:textId="77777777" w:rsidTr="00291B27">
        <w:trPr>
          <w:trHeight w:val="133"/>
        </w:trPr>
        <w:tc>
          <w:tcPr>
            <w:tcW w:w="1984" w:type="dxa"/>
            <w:tcBorders>
              <w:left w:val="nil"/>
              <w:bottom w:val="nil"/>
              <w:right w:val="nil"/>
            </w:tcBorders>
          </w:tcPr>
          <w:p w14:paraId="5641590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 xml:space="preserve"> 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left w:val="nil"/>
              <w:bottom w:val="nil"/>
              <w:right w:val="nil"/>
            </w:tcBorders>
          </w:tcPr>
          <w:p w14:paraId="2401B6CA"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left w:val="nil"/>
              <w:bottom w:val="nil"/>
              <w:right w:val="nil"/>
            </w:tcBorders>
          </w:tcPr>
          <w:p w14:paraId="70CE3B45"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left w:val="nil"/>
              <w:bottom w:val="nil"/>
              <w:right w:val="nil"/>
            </w:tcBorders>
            <w:vAlign w:val="center"/>
          </w:tcPr>
          <w:p w14:paraId="32C4C8BE"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left w:val="nil"/>
              <w:bottom w:val="nil"/>
              <w:right w:val="nil"/>
            </w:tcBorders>
            <w:vAlign w:val="center"/>
          </w:tcPr>
          <w:p w14:paraId="4255F278"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left w:val="nil"/>
              <w:bottom w:val="nil"/>
              <w:right w:val="nil"/>
            </w:tcBorders>
            <w:vAlign w:val="center"/>
          </w:tcPr>
          <w:p w14:paraId="7643D070"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left w:val="nil"/>
              <w:bottom w:val="nil"/>
              <w:right w:val="nil"/>
            </w:tcBorders>
            <w:vAlign w:val="center"/>
          </w:tcPr>
          <w:p w14:paraId="22A059A4"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0.02</w:t>
            </w:r>
          </w:p>
        </w:tc>
        <w:tc>
          <w:tcPr>
            <w:tcW w:w="850" w:type="dxa"/>
            <w:tcBorders>
              <w:left w:val="nil"/>
              <w:bottom w:val="nil"/>
              <w:right w:val="nil"/>
            </w:tcBorders>
            <w:vAlign w:val="center"/>
          </w:tcPr>
          <w:p w14:paraId="7C9BB347"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-0.03</w:t>
            </w:r>
          </w:p>
        </w:tc>
        <w:tc>
          <w:tcPr>
            <w:tcW w:w="851" w:type="dxa"/>
            <w:tcBorders>
              <w:left w:val="nil"/>
              <w:bottom w:val="nil"/>
              <w:right w:val="nil"/>
            </w:tcBorders>
            <w:vAlign w:val="center"/>
          </w:tcPr>
          <w:p w14:paraId="7C39AEAA"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-0.08</w:t>
            </w:r>
          </w:p>
        </w:tc>
      </w:tr>
      <w:tr w:rsidR="00307155" w:rsidRPr="00FC7BB4" w14:paraId="0A64243B" w14:textId="77777777" w:rsidTr="00291B27">
        <w:trPr>
          <w:trHeight w:val="49"/>
        </w:trPr>
        <w:tc>
          <w:tcPr>
            <w:tcW w:w="1984" w:type="dxa"/>
            <w:tcBorders>
              <w:top w:val="nil"/>
              <w:left w:val="nil"/>
              <w:bottom w:val="nil"/>
              <w:right w:val="nil"/>
            </w:tcBorders>
          </w:tcPr>
          <w:p w14:paraId="1D1556C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Dup </w:t>
            </w:r>
          </w:p>
        </w:tc>
        <w:tc>
          <w:tcPr>
            <w:tcW w:w="1268" w:type="dxa"/>
            <w:tcBorders>
              <w:top w:val="nil"/>
              <w:left w:val="nil"/>
              <w:bottom w:val="nil"/>
              <w:right w:val="nil"/>
            </w:tcBorders>
          </w:tcPr>
          <w:p w14:paraId="56B00463"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39A524D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center"/>
          </w:tcPr>
          <w:p w14:paraId="0F83A5B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0.25</w:t>
            </w:r>
          </w:p>
        </w:tc>
        <w:tc>
          <w:tcPr>
            <w:tcW w:w="753" w:type="dxa"/>
            <w:tcBorders>
              <w:top w:val="nil"/>
              <w:left w:val="nil"/>
              <w:bottom w:val="nil"/>
              <w:right w:val="nil"/>
            </w:tcBorders>
            <w:vAlign w:val="center"/>
          </w:tcPr>
          <w:p w14:paraId="48788A1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0.19</w:t>
            </w:r>
          </w:p>
        </w:tc>
        <w:tc>
          <w:tcPr>
            <w:tcW w:w="751" w:type="dxa"/>
            <w:tcBorders>
              <w:top w:val="nil"/>
              <w:left w:val="nil"/>
              <w:bottom w:val="nil"/>
              <w:right w:val="nil"/>
            </w:tcBorders>
            <w:vAlign w:val="center"/>
          </w:tcPr>
          <w:p w14:paraId="5356417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0.16</w:t>
            </w:r>
          </w:p>
        </w:tc>
        <w:tc>
          <w:tcPr>
            <w:tcW w:w="909" w:type="dxa"/>
            <w:tcBorders>
              <w:top w:val="nil"/>
              <w:left w:val="nil"/>
              <w:bottom w:val="nil"/>
              <w:right w:val="nil"/>
            </w:tcBorders>
            <w:vAlign w:val="center"/>
          </w:tcPr>
          <w:p w14:paraId="2F1A330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0.36</w:t>
            </w:r>
          </w:p>
        </w:tc>
        <w:tc>
          <w:tcPr>
            <w:tcW w:w="850" w:type="dxa"/>
            <w:tcBorders>
              <w:top w:val="nil"/>
              <w:left w:val="nil"/>
              <w:bottom w:val="nil"/>
              <w:right w:val="nil"/>
            </w:tcBorders>
            <w:vAlign w:val="center"/>
          </w:tcPr>
          <w:p w14:paraId="1B250B69"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0.34</w:t>
            </w:r>
          </w:p>
        </w:tc>
        <w:tc>
          <w:tcPr>
            <w:tcW w:w="851" w:type="dxa"/>
            <w:tcBorders>
              <w:top w:val="nil"/>
              <w:left w:val="nil"/>
              <w:bottom w:val="nil"/>
              <w:right w:val="nil"/>
            </w:tcBorders>
            <w:vAlign w:val="center"/>
          </w:tcPr>
          <w:p w14:paraId="7733698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0.33</w:t>
            </w:r>
          </w:p>
        </w:tc>
      </w:tr>
      <w:tr w:rsidR="00307155" w:rsidRPr="00FC7BB4" w14:paraId="35A0ACB5" w14:textId="77777777" w:rsidTr="00291B27">
        <w:trPr>
          <w:trHeight w:val="49"/>
        </w:trPr>
        <w:tc>
          <w:tcPr>
            <w:tcW w:w="1984" w:type="dxa"/>
            <w:tcBorders>
              <w:top w:val="nil"/>
              <w:left w:val="nil"/>
              <w:bottom w:val="nil"/>
              <w:right w:val="nil"/>
            </w:tcBorders>
          </w:tcPr>
          <w:p w14:paraId="3ECEAA4D"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19680EA9"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48073632"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center"/>
          </w:tcPr>
          <w:p w14:paraId="57B6FCF8"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center"/>
          </w:tcPr>
          <w:p w14:paraId="2213AA03"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center"/>
          </w:tcPr>
          <w:p w14:paraId="676DE87D"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center"/>
          </w:tcPr>
          <w:p w14:paraId="7E7CF479"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0.10**</w:t>
            </w:r>
          </w:p>
        </w:tc>
        <w:tc>
          <w:tcPr>
            <w:tcW w:w="850" w:type="dxa"/>
            <w:tcBorders>
              <w:top w:val="nil"/>
              <w:left w:val="nil"/>
              <w:bottom w:val="nil"/>
              <w:right w:val="nil"/>
            </w:tcBorders>
            <w:vAlign w:val="center"/>
          </w:tcPr>
          <w:p w14:paraId="1ABBC9D5"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 xml:space="preserve">0.15  </w:t>
            </w:r>
          </w:p>
        </w:tc>
        <w:tc>
          <w:tcPr>
            <w:tcW w:w="851" w:type="dxa"/>
            <w:tcBorders>
              <w:top w:val="nil"/>
              <w:left w:val="nil"/>
              <w:bottom w:val="nil"/>
              <w:right w:val="nil"/>
            </w:tcBorders>
            <w:vAlign w:val="center"/>
          </w:tcPr>
          <w:p w14:paraId="313ABE3B"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0.17</w:t>
            </w:r>
          </w:p>
        </w:tc>
      </w:tr>
      <w:tr w:rsidR="00307155" w:rsidRPr="00FC7BB4" w14:paraId="107FF407" w14:textId="77777777" w:rsidTr="00291B27">
        <w:trPr>
          <w:trHeight w:val="134"/>
        </w:trPr>
        <w:tc>
          <w:tcPr>
            <w:tcW w:w="1984" w:type="dxa"/>
            <w:tcBorders>
              <w:top w:val="nil"/>
              <w:left w:val="nil"/>
              <w:bottom w:val="nil"/>
              <w:right w:val="nil"/>
            </w:tcBorders>
          </w:tcPr>
          <w:p w14:paraId="700E7C5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Dup </w:t>
            </w:r>
          </w:p>
        </w:tc>
        <w:tc>
          <w:tcPr>
            <w:tcW w:w="1268" w:type="dxa"/>
            <w:tcBorders>
              <w:top w:val="nil"/>
              <w:left w:val="nil"/>
              <w:bottom w:val="nil"/>
              <w:right w:val="nil"/>
            </w:tcBorders>
          </w:tcPr>
          <w:p w14:paraId="76C4CE4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Merchants</w:t>
            </w:r>
          </w:p>
        </w:tc>
        <w:tc>
          <w:tcPr>
            <w:tcW w:w="743" w:type="dxa"/>
            <w:tcBorders>
              <w:top w:val="nil"/>
              <w:left w:val="nil"/>
              <w:bottom w:val="nil"/>
              <w:right w:val="nil"/>
            </w:tcBorders>
          </w:tcPr>
          <w:p w14:paraId="7729536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center"/>
          </w:tcPr>
          <w:p w14:paraId="077079E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0.38</w:t>
            </w:r>
          </w:p>
        </w:tc>
        <w:tc>
          <w:tcPr>
            <w:tcW w:w="753" w:type="dxa"/>
            <w:tcBorders>
              <w:top w:val="nil"/>
              <w:left w:val="nil"/>
              <w:bottom w:val="nil"/>
              <w:right w:val="nil"/>
            </w:tcBorders>
            <w:vAlign w:val="center"/>
          </w:tcPr>
          <w:p w14:paraId="01010EF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0.42</w:t>
            </w:r>
          </w:p>
        </w:tc>
        <w:tc>
          <w:tcPr>
            <w:tcW w:w="751" w:type="dxa"/>
            <w:tcBorders>
              <w:top w:val="nil"/>
              <w:left w:val="nil"/>
              <w:bottom w:val="nil"/>
              <w:right w:val="nil"/>
            </w:tcBorders>
            <w:vAlign w:val="center"/>
          </w:tcPr>
          <w:p w14:paraId="20A7421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0.45</w:t>
            </w:r>
          </w:p>
        </w:tc>
        <w:tc>
          <w:tcPr>
            <w:tcW w:w="909" w:type="dxa"/>
            <w:tcBorders>
              <w:top w:val="nil"/>
              <w:left w:val="nil"/>
              <w:bottom w:val="nil"/>
              <w:right w:val="nil"/>
            </w:tcBorders>
            <w:vAlign w:val="center"/>
          </w:tcPr>
          <w:p w14:paraId="4B9E4C1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0.21</w:t>
            </w:r>
          </w:p>
        </w:tc>
        <w:tc>
          <w:tcPr>
            <w:tcW w:w="850" w:type="dxa"/>
            <w:tcBorders>
              <w:top w:val="nil"/>
              <w:left w:val="nil"/>
              <w:bottom w:val="nil"/>
              <w:right w:val="nil"/>
            </w:tcBorders>
            <w:vAlign w:val="center"/>
          </w:tcPr>
          <w:p w14:paraId="12D9B908"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0.14</w:t>
            </w:r>
          </w:p>
        </w:tc>
        <w:tc>
          <w:tcPr>
            <w:tcW w:w="851" w:type="dxa"/>
            <w:tcBorders>
              <w:top w:val="nil"/>
              <w:left w:val="nil"/>
              <w:bottom w:val="nil"/>
              <w:right w:val="nil"/>
            </w:tcBorders>
            <w:vAlign w:val="center"/>
          </w:tcPr>
          <w:p w14:paraId="459C193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0.10</w:t>
            </w:r>
          </w:p>
        </w:tc>
      </w:tr>
      <w:tr w:rsidR="00307155" w:rsidRPr="00FC7BB4" w14:paraId="6A90F89F" w14:textId="77777777" w:rsidTr="00291B27">
        <w:trPr>
          <w:trHeight w:val="134"/>
        </w:trPr>
        <w:tc>
          <w:tcPr>
            <w:tcW w:w="1984" w:type="dxa"/>
            <w:tcBorders>
              <w:top w:val="nil"/>
              <w:left w:val="nil"/>
              <w:bottom w:val="nil"/>
              <w:right w:val="nil"/>
            </w:tcBorders>
          </w:tcPr>
          <w:p w14:paraId="17C167F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71BF3EA2"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50D2B201"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center"/>
          </w:tcPr>
          <w:p w14:paraId="3E03B298"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center"/>
          </w:tcPr>
          <w:p w14:paraId="2EE75014"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center"/>
          </w:tcPr>
          <w:p w14:paraId="7AF7E774"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center"/>
          </w:tcPr>
          <w:p w14:paraId="13774554"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-0.16***</w:t>
            </w:r>
          </w:p>
        </w:tc>
        <w:tc>
          <w:tcPr>
            <w:tcW w:w="850" w:type="dxa"/>
            <w:tcBorders>
              <w:top w:val="nil"/>
              <w:left w:val="nil"/>
              <w:bottom w:val="nil"/>
              <w:right w:val="nil"/>
            </w:tcBorders>
            <w:vAlign w:val="center"/>
          </w:tcPr>
          <w:p w14:paraId="61AB687A"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-0.28***</w:t>
            </w:r>
          </w:p>
        </w:tc>
        <w:tc>
          <w:tcPr>
            <w:tcW w:w="851" w:type="dxa"/>
            <w:tcBorders>
              <w:top w:val="nil"/>
              <w:left w:val="nil"/>
              <w:bottom w:val="nil"/>
              <w:right w:val="nil"/>
            </w:tcBorders>
            <w:vAlign w:val="center"/>
          </w:tcPr>
          <w:p w14:paraId="07D3FCAC"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-0.35***</w:t>
            </w:r>
          </w:p>
        </w:tc>
      </w:tr>
      <w:tr w:rsidR="00307155" w:rsidRPr="00FC7BB4" w14:paraId="39B02F6C" w14:textId="77777777" w:rsidTr="00291B27">
        <w:trPr>
          <w:trHeight w:val="196"/>
        </w:trPr>
        <w:tc>
          <w:tcPr>
            <w:tcW w:w="1984" w:type="dxa"/>
            <w:tcBorders>
              <w:top w:val="nil"/>
              <w:left w:val="nil"/>
              <w:bottom w:val="nil"/>
              <w:right w:val="nil"/>
            </w:tcBorders>
          </w:tcPr>
          <w:p w14:paraId="569ED70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Dup </w:t>
            </w:r>
          </w:p>
        </w:tc>
        <w:tc>
          <w:tcPr>
            <w:tcW w:w="1268" w:type="dxa"/>
            <w:tcBorders>
              <w:top w:val="nil"/>
              <w:left w:val="nil"/>
              <w:bottom w:val="nil"/>
              <w:right w:val="nil"/>
            </w:tcBorders>
          </w:tcPr>
          <w:p w14:paraId="26AD387C"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5E5CC55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center"/>
          </w:tcPr>
          <w:p w14:paraId="280A66D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0.33</w:t>
            </w:r>
          </w:p>
        </w:tc>
        <w:tc>
          <w:tcPr>
            <w:tcW w:w="753" w:type="dxa"/>
            <w:tcBorders>
              <w:top w:val="nil"/>
              <w:left w:val="nil"/>
              <w:bottom w:val="nil"/>
              <w:right w:val="nil"/>
            </w:tcBorders>
            <w:vAlign w:val="center"/>
          </w:tcPr>
          <w:p w14:paraId="32189C6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0.34</w:t>
            </w:r>
          </w:p>
        </w:tc>
        <w:tc>
          <w:tcPr>
            <w:tcW w:w="751" w:type="dxa"/>
            <w:tcBorders>
              <w:top w:val="nil"/>
              <w:left w:val="nil"/>
              <w:bottom w:val="nil"/>
              <w:right w:val="nil"/>
            </w:tcBorders>
            <w:vAlign w:val="center"/>
          </w:tcPr>
          <w:p w14:paraId="7534E1C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0.35</w:t>
            </w:r>
          </w:p>
        </w:tc>
        <w:tc>
          <w:tcPr>
            <w:tcW w:w="909" w:type="dxa"/>
            <w:tcBorders>
              <w:top w:val="nil"/>
              <w:left w:val="nil"/>
              <w:bottom w:val="nil"/>
              <w:right w:val="nil"/>
            </w:tcBorders>
            <w:vAlign w:val="center"/>
          </w:tcPr>
          <w:p w14:paraId="08C6584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0.32</w:t>
            </w:r>
          </w:p>
        </w:tc>
        <w:tc>
          <w:tcPr>
            <w:tcW w:w="850" w:type="dxa"/>
            <w:tcBorders>
              <w:top w:val="nil"/>
              <w:left w:val="nil"/>
              <w:bottom w:val="nil"/>
              <w:right w:val="nil"/>
            </w:tcBorders>
            <w:vAlign w:val="center"/>
          </w:tcPr>
          <w:p w14:paraId="3C354C4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0.30</w:t>
            </w:r>
          </w:p>
        </w:tc>
        <w:tc>
          <w:tcPr>
            <w:tcW w:w="851" w:type="dxa"/>
            <w:tcBorders>
              <w:top w:val="nil"/>
              <w:left w:val="nil"/>
              <w:bottom w:val="nil"/>
              <w:right w:val="nil"/>
            </w:tcBorders>
            <w:vAlign w:val="center"/>
          </w:tcPr>
          <w:p w14:paraId="63BBE0E9"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0.28</w:t>
            </w:r>
          </w:p>
        </w:tc>
      </w:tr>
      <w:tr w:rsidR="00307155" w:rsidRPr="00FC7BB4" w14:paraId="616CB897" w14:textId="77777777" w:rsidTr="00291B27">
        <w:trPr>
          <w:trHeight w:val="196"/>
        </w:trPr>
        <w:tc>
          <w:tcPr>
            <w:tcW w:w="1984" w:type="dxa"/>
            <w:tcBorders>
              <w:top w:val="nil"/>
              <w:left w:val="nil"/>
              <w:bottom w:val="nil"/>
              <w:right w:val="nil"/>
            </w:tcBorders>
          </w:tcPr>
          <w:p w14:paraId="371827D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34BD2245"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56D88FA0"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center"/>
          </w:tcPr>
          <w:p w14:paraId="4D0ACFCE"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center"/>
          </w:tcPr>
          <w:p w14:paraId="32D2F425"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center"/>
          </w:tcPr>
          <w:p w14:paraId="61ECEEE7"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center"/>
          </w:tcPr>
          <w:p w14:paraId="59960E59"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-0.01</w:t>
            </w:r>
          </w:p>
        </w:tc>
        <w:tc>
          <w:tcPr>
            <w:tcW w:w="850" w:type="dxa"/>
            <w:tcBorders>
              <w:top w:val="nil"/>
              <w:left w:val="nil"/>
              <w:bottom w:val="nil"/>
              <w:right w:val="nil"/>
            </w:tcBorders>
            <w:vAlign w:val="center"/>
          </w:tcPr>
          <w:p w14:paraId="6CB164E4"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-0.05</w:t>
            </w:r>
          </w:p>
        </w:tc>
        <w:tc>
          <w:tcPr>
            <w:tcW w:w="851" w:type="dxa"/>
            <w:tcBorders>
              <w:top w:val="nil"/>
              <w:left w:val="nil"/>
              <w:bottom w:val="nil"/>
              <w:right w:val="nil"/>
            </w:tcBorders>
            <w:vAlign w:val="center"/>
          </w:tcPr>
          <w:p w14:paraId="6C7862A1"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-0.07</w:t>
            </w:r>
          </w:p>
        </w:tc>
      </w:tr>
      <w:tr w:rsidR="00307155" w:rsidRPr="00FC7BB4" w14:paraId="4868C81B" w14:textId="77777777" w:rsidTr="00291B27">
        <w:trPr>
          <w:trHeight w:val="140"/>
        </w:trPr>
        <w:tc>
          <w:tcPr>
            <w:tcW w:w="1984" w:type="dxa"/>
            <w:tcBorders>
              <w:top w:val="nil"/>
              <w:left w:val="nil"/>
              <w:bottom w:val="nil"/>
              <w:right w:val="nil"/>
            </w:tcBorders>
          </w:tcPr>
          <w:p w14:paraId="22F26DAC"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Dup </w:t>
            </w:r>
          </w:p>
        </w:tc>
        <w:tc>
          <w:tcPr>
            <w:tcW w:w="1268" w:type="dxa"/>
            <w:tcBorders>
              <w:top w:val="nil"/>
              <w:left w:val="nil"/>
              <w:bottom w:val="nil"/>
              <w:right w:val="nil"/>
            </w:tcBorders>
          </w:tcPr>
          <w:p w14:paraId="496619C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Services</w:t>
            </w:r>
          </w:p>
        </w:tc>
        <w:tc>
          <w:tcPr>
            <w:tcW w:w="743" w:type="dxa"/>
            <w:tcBorders>
              <w:top w:val="nil"/>
              <w:left w:val="nil"/>
              <w:bottom w:val="nil"/>
              <w:right w:val="nil"/>
            </w:tcBorders>
          </w:tcPr>
          <w:p w14:paraId="6CF7CD4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center"/>
          </w:tcPr>
          <w:p w14:paraId="798AB212"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0.27</w:t>
            </w:r>
          </w:p>
        </w:tc>
        <w:tc>
          <w:tcPr>
            <w:tcW w:w="753" w:type="dxa"/>
            <w:tcBorders>
              <w:top w:val="nil"/>
              <w:left w:val="nil"/>
              <w:bottom w:val="nil"/>
              <w:right w:val="nil"/>
            </w:tcBorders>
            <w:vAlign w:val="center"/>
          </w:tcPr>
          <w:p w14:paraId="58DE4CD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0.27</w:t>
            </w:r>
          </w:p>
        </w:tc>
        <w:tc>
          <w:tcPr>
            <w:tcW w:w="751" w:type="dxa"/>
            <w:tcBorders>
              <w:top w:val="nil"/>
              <w:left w:val="nil"/>
              <w:bottom w:val="nil"/>
              <w:right w:val="nil"/>
            </w:tcBorders>
            <w:vAlign w:val="center"/>
          </w:tcPr>
          <w:p w14:paraId="6337522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0.27</w:t>
            </w:r>
          </w:p>
        </w:tc>
        <w:tc>
          <w:tcPr>
            <w:tcW w:w="909" w:type="dxa"/>
            <w:tcBorders>
              <w:top w:val="nil"/>
              <w:left w:val="nil"/>
              <w:bottom w:val="nil"/>
              <w:right w:val="nil"/>
            </w:tcBorders>
            <w:vAlign w:val="center"/>
          </w:tcPr>
          <w:p w14:paraId="5C58D31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0.20</w:t>
            </w:r>
          </w:p>
        </w:tc>
        <w:tc>
          <w:tcPr>
            <w:tcW w:w="850" w:type="dxa"/>
            <w:tcBorders>
              <w:top w:val="nil"/>
              <w:left w:val="nil"/>
              <w:bottom w:val="nil"/>
              <w:right w:val="nil"/>
            </w:tcBorders>
            <w:vAlign w:val="center"/>
          </w:tcPr>
          <w:p w14:paraId="56A77A3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0.06</w:t>
            </w:r>
          </w:p>
        </w:tc>
        <w:tc>
          <w:tcPr>
            <w:tcW w:w="851" w:type="dxa"/>
            <w:tcBorders>
              <w:top w:val="nil"/>
              <w:left w:val="nil"/>
              <w:bottom w:val="nil"/>
              <w:right w:val="nil"/>
            </w:tcBorders>
            <w:vAlign w:val="center"/>
          </w:tcPr>
          <w:p w14:paraId="72086DC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0.02</w:t>
            </w:r>
          </w:p>
        </w:tc>
      </w:tr>
      <w:tr w:rsidR="00307155" w:rsidRPr="00FC7BB4" w14:paraId="47CDD0D7" w14:textId="77777777" w:rsidTr="00291B27">
        <w:trPr>
          <w:trHeight w:val="140"/>
        </w:trPr>
        <w:tc>
          <w:tcPr>
            <w:tcW w:w="1984" w:type="dxa"/>
            <w:tcBorders>
              <w:top w:val="nil"/>
              <w:left w:val="nil"/>
              <w:bottom w:val="nil"/>
              <w:right w:val="nil"/>
            </w:tcBorders>
          </w:tcPr>
          <w:p w14:paraId="76D19909"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61E8D751"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3C9931BE"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center"/>
          </w:tcPr>
          <w:p w14:paraId="5C160E67"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center"/>
          </w:tcPr>
          <w:p w14:paraId="55337117"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center"/>
          </w:tcPr>
          <w:p w14:paraId="318659DF"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center"/>
          </w:tcPr>
          <w:p w14:paraId="0A3283AD"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-0.08***</w:t>
            </w:r>
          </w:p>
        </w:tc>
        <w:tc>
          <w:tcPr>
            <w:tcW w:w="850" w:type="dxa"/>
            <w:tcBorders>
              <w:top w:val="nil"/>
              <w:left w:val="nil"/>
              <w:bottom w:val="nil"/>
              <w:right w:val="nil"/>
            </w:tcBorders>
            <w:vAlign w:val="center"/>
          </w:tcPr>
          <w:p w14:paraId="4EF23826"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-0.21***</w:t>
            </w:r>
          </w:p>
        </w:tc>
        <w:tc>
          <w:tcPr>
            <w:tcW w:w="851" w:type="dxa"/>
            <w:tcBorders>
              <w:top w:val="nil"/>
              <w:left w:val="nil"/>
              <w:bottom w:val="nil"/>
              <w:right w:val="nil"/>
            </w:tcBorders>
            <w:vAlign w:val="center"/>
          </w:tcPr>
          <w:p w14:paraId="3D60DB67"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-0.24***</w:t>
            </w:r>
          </w:p>
        </w:tc>
      </w:tr>
      <w:tr w:rsidR="00307155" w:rsidRPr="00FC7BB4" w14:paraId="20AC384D" w14:textId="77777777" w:rsidTr="00291B27">
        <w:trPr>
          <w:trHeight w:val="118"/>
        </w:trPr>
        <w:tc>
          <w:tcPr>
            <w:tcW w:w="1984" w:type="dxa"/>
            <w:tcBorders>
              <w:top w:val="nil"/>
              <w:left w:val="nil"/>
              <w:bottom w:val="nil"/>
              <w:right w:val="nil"/>
            </w:tcBorders>
          </w:tcPr>
          <w:p w14:paraId="3DD19A7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 xml:space="preserve">Dup </w:t>
            </w:r>
          </w:p>
        </w:tc>
        <w:tc>
          <w:tcPr>
            <w:tcW w:w="1268" w:type="dxa"/>
            <w:tcBorders>
              <w:top w:val="nil"/>
              <w:left w:val="nil"/>
              <w:bottom w:val="nil"/>
              <w:right w:val="nil"/>
            </w:tcBorders>
          </w:tcPr>
          <w:p w14:paraId="2D1F1F85"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1E0900D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center"/>
          </w:tcPr>
          <w:p w14:paraId="5A71210C"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0.39</w:t>
            </w:r>
          </w:p>
        </w:tc>
        <w:tc>
          <w:tcPr>
            <w:tcW w:w="753" w:type="dxa"/>
            <w:tcBorders>
              <w:top w:val="nil"/>
              <w:left w:val="nil"/>
              <w:bottom w:val="nil"/>
              <w:right w:val="nil"/>
            </w:tcBorders>
            <w:vAlign w:val="center"/>
          </w:tcPr>
          <w:p w14:paraId="410DC25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0.34</w:t>
            </w:r>
          </w:p>
        </w:tc>
        <w:tc>
          <w:tcPr>
            <w:tcW w:w="751" w:type="dxa"/>
            <w:tcBorders>
              <w:top w:val="nil"/>
              <w:left w:val="nil"/>
              <w:bottom w:val="nil"/>
              <w:right w:val="nil"/>
            </w:tcBorders>
            <w:vAlign w:val="center"/>
          </w:tcPr>
          <w:p w14:paraId="47E6776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0.30</w:t>
            </w:r>
          </w:p>
        </w:tc>
        <w:tc>
          <w:tcPr>
            <w:tcW w:w="909" w:type="dxa"/>
            <w:tcBorders>
              <w:top w:val="nil"/>
              <w:left w:val="nil"/>
              <w:bottom w:val="nil"/>
              <w:right w:val="nil"/>
            </w:tcBorders>
            <w:vAlign w:val="center"/>
          </w:tcPr>
          <w:p w14:paraId="6F7F696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0.15</w:t>
            </w:r>
          </w:p>
        </w:tc>
        <w:tc>
          <w:tcPr>
            <w:tcW w:w="850" w:type="dxa"/>
            <w:tcBorders>
              <w:top w:val="nil"/>
              <w:left w:val="nil"/>
              <w:bottom w:val="nil"/>
              <w:right w:val="nil"/>
            </w:tcBorders>
            <w:vAlign w:val="center"/>
          </w:tcPr>
          <w:p w14:paraId="05FC97F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0.02</w:t>
            </w:r>
          </w:p>
        </w:tc>
        <w:tc>
          <w:tcPr>
            <w:tcW w:w="851" w:type="dxa"/>
            <w:tcBorders>
              <w:top w:val="nil"/>
              <w:left w:val="nil"/>
              <w:bottom w:val="nil"/>
              <w:right w:val="nil"/>
            </w:tcBorders>
            <w:vAlign w:val="center"/>
          </w:tcPr>
          <w:p w14:paraId="465E09D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0.00</w:t>
            </w:r>
          </w:p>
        </w:tc>
      </w:tr>
      <w:tr w:rsidR="00307155" w:rsidRPr="00FC7BB4" w14:paraId="568176A8" w14:textId="77777777" w:rsidTr="00291B27">
        <w:trPr>
          <w:trHeight w:val="118"/>
        </w:trPr>
        <w:tc>
          <w:tcPr>
            <w:tcW w:w="1984" w:type="dxa"/>
            <w:tcBorders>
              <w:top w:val="nil"/>
              <w:left w:val="nil"/>
              <w:bottom w:val="nil"/>
              <w:right w:val="nil"/>
            </w:tcBorders>
          </w:tcPr>
          <w:p w14:paraId="09F8A87C"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23644D9A"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5A01DB65"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center"/>
          </w:tcPr>
          <w:p w14:paraId="144A925A"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center"/>
          </w:tcPr>
          <w:p w14:paraId="0BDD4650"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center"/>
          </w:tcPr>
          <w:p w14:paraId="42DF26B5"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center"/>
          </w:tcPr>
          <w:p w14:paraId="05DCB7B6"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-0.24***</w:t>
            </w:r>
          </w:p>
        </w:tc>
        <w:tc>
          <w:tcPr>
            <w:tcW w:w="850" w:type="dxa"/>
            <w:tcBorders>
              <w:top w:val="nil"/>
              <w:left w:val="nil"/>
              <w:bottom w:val="nil"/>
              <w:right w:val="nil"/>
            </w:tcBorders>
            <w:vAlign w:val="center"/>
          </w:tcPr>
          <w:p w14:paraId="7F807F4E"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-0.32***</w:t>
            </w:r>
          </w:p>
        </w:tc>
        <w:tc>
          <w:tcPr>
            <w:tcW w:w="851" w:type="dxa"/>
            <w:tcBorders>
              <w:top w:val="nil"/>
              <w:left w:val="nil"/>
              <w:bottom w:val="nil"/>
              <w:right w:val="nil"/>
            </w:tcBorders>
            <w:vAlign w:val="center"/>
          </w:tcPr>
          <w:p w14:paraId="7FA0CA65"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-0.30***</w:t>
            </w:r>
          </w:p>
        </w:tc>
      </w:tr>
      <w:tr w:rsidR="00307155" w:rsidRPr="00FC7BB4" w14:paraId="070D4642" w14:textId="77777777" w:rsidTr="00291B27">
        <w:trPr>
          <w:trHeight w:val="146"/>
        </w:trPr>
        <w:tc>
          <w:tcPr>
            <w:tcW w:w="1984" w:type="dxa"/>
            <w:tcBorders>
              <w:top w:val="nil"/>
              <w:left w:val="nil"/>
              <w:bottom w:val="nil"/>
              <w:right w:val="nil"/>
            </w:tcBorders>
          </w:tcPr>
          <w:p w14:paraId="3FB1EF83" w14:textId="77777777" w:rsidR="00307155" w:rsidRPr="00FC7BB4" w:rsidRDefault="00307155" w:rsidP="00F3101B">
            <w:pPr>
              <w:spacing w:after="0" w:line="259" w:lineRule="auto"/>
              <w:ind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Dnc</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283E3E52"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Manufacturers</w:t>
            </w:r>
          </w:p>
        </w:tc>
        <w:tc>
          <w:tcPr>
            <w:tcW w:w="743" w:type="dxa"/>
            <w:tcBorders>
              <w:top w:val="nil"/>
              <w:left w:val="nil"/>
              <w:bottom w:val="nil"/>
              <w:right w:val="nil"/>
            </w:tcBorders>
          </w:tcPr>
          <w:p w14:paraId="76E99F6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center"/>
          </w:tcPr>
          <w:p w14:paraId="7B9668B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0.22</w:t>
            </w:r>
          </w:p>
        </w:tc>
        <w:tc>
          <w:tcPr>
            <w:tcW w:w="753" w:type="dxa"/>
            <w:tcBorders>
              <w:top w:val="nil"/>
              <w:left w:val="nil"/>
              <w:bottom w:val="nil"/>
              <w:right w:val="nil"/>
            </w:tcBorders>
            <w:vAlign w:val="center"/>
          </w:tcPr>
          <w:p w14:paraId="543D584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0.22</w:t>
            </w:r>
          </w:p>
        </w:tc>
        <w:tc>
          <w:tcPr>
            <w:tcW w:w="751" w:type="dxa"/>
            <w:tcBorders>
              <w:top w:val="nil"/>
              <w:left w:val="nil"/>
              <w:bottom w:val="nil"/>
              <w:right w:val="nil"/>
            </w:tcBorders>
            <w:vAlign w:val="center"/>
          </w:tcPr>
          <w:p w14:paraId="507177FC"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0.22</w:t>
            </w:r>
          </w:p>
        </w:tc>
        <w:tc>
          <w:tcPr>
            <w:tcW w:w="909" w:type="dxa"/>
            <w:tcBorders>
              <w:top w:val="nil"/>
              <w:left w:val="nil"/>
              <w:bottom w:val="nil"/>
              <w:right w:val="nil"/>
            </w:tcBorders>
            <w:vAlign w:val="center"/>
          </w:tcPr>
          <w:p w14:paraId="2C14DB9C"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0.28</w:t>
            </w:r>
          </w:p>
        </w:tc>
        <w:tc>
          <w:tcPr>
            <w:tcW w:w="850" w:type="dxa"/>
            <w:tcBorders>
              <w:top w:val="nil"/>
              <w:left w:val="nil"/>
              <w:bottom w:val="nil"/>
              <w:right w:val="nil"/>
            </w:tcBorders>
            <w:vAlign w:val="center"/>
          </w:tcPr>
          <w:p w14:paraId="3739BA1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0.19</w:t>
            </w:r>
          </w:p>
        </w:tc>
        <w:tc>
          <w:tcPr>
            <w:tcW w:w="851" w:type="dxa"/>
            <w:tcBorders>
              <w:top w:val="nil"/>
              <w:left w:val="nil"/>
              <w:bottom w:val="nil"/>
              <w:right w:val="nil"/>
            </w:tcBorders>
            <w:vAlign w:val="center"/>
          </w:tcPr>
          <w:p w14:paraId="3CA452E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0.14</w:t>
            </w:r>
          </w:p>
        </w:tc>
      </w:tr>
      <w:tr w:rsidR="00307155" w:rsidRPr="00FC7BB4" w14:paraId="3FB745C7" w14:textId="77777777" w:rsidTr="00291B27">
        <w:trPr>
          <w:trHeight w:val="146"/>
        </w:trPr>
        <w:tc>
          <w:tcPr>
            <w:tcW w:w="1984" w:type="dxa"/>
            <w:tcBorders>
              <w:top w:val="nil"/>
              <w:left w:val="nil"/>
              <w:bottom w:val="nil"/>
              <w:right w:val="nil"/>
            </w:tcBorders>
          </w:tcPr>
          <w:p w14:paraId="234CF96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5B0839A2"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6597E08E"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center"/>
          </w:tcPr>
          <w:p w14:paraId="0E8E8639"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center"/>
          </w:tcPr>
          <w:p w14:paraId="0CBFFBFF"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center"/>
          </w:tcPr>
          <w:p w14:paraId="3C331D75"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center"/>
          </w:tcPr>
          <w:p w14:paraId="0FFDF7B6"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0.06</w:t>
            </w:r>
          </w:p>
        </w:tc>
        <w:tc>
          <w:tcPr>
            <w:tcW w:w="850" w:type="dxa"/>
            <w:tcBorders>
              <w:top w:val="nil"/>
              <w:left w:val="nil"/>
              <w:bottom w:val="nil"/>
              <w:right w:val="nil"/>
            </w:tcBorders>
            <w:vAlign w:val="center"/>
          </w:tcPr>
          <w:p w14:paraId="1D14AB4E"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-0.03</w:t>
            </w:r>
          </w:p>
        </w:tc>
        <w:tc>
          <w:tcPr>
            <w:tcW w:w="851" w:type="dxa"/>
            <w:tcBorders>
              <w:top w:val="nil"/>
              <w:left w:val="nil"/>
              <w:bottom w:val="nil"/>
              <w:right w:val="nil"/>
            </w:tcBorders>
            <w:vAlign w:val="center"/>
          </w:tcPr>
          <w:p w14:paraId="3CFC8CED"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-0.08</w:t>
            </w:r>
          </w:p>
        </w:tc>
      </w:tr>
      <w:tr w:rsidR="00307155" w:rsidRPr="00FC7BB4" w14:paraId="5E097A2A" w14:textId="77777777" w:rsidTr="00291B27">
        <w:trPr>
          <w:trHeight w:val="197"/>
        </w:trPr>
        <w:tc>
          <w:tcPr>
            <w:tcW w:w="1984" w:type="dxa"/>
            <w:tcBorders>
              <w:top w:val="nil"/>
              <w:left w:val="nil"/>
              <w:bottom w:val="nil"/>
              <w:right w:val="nil"/>
            </w:tcBorders>
          </w:tcPr>
          <w:p w14:paraId="74FCA96C" w14:textId="77777777" w:rsidR="00307155" w:rsidRPr="00FC7BB4" w:rsidRDefault="00307155" w:rsidP="00F3101B">
            <w:pPr>
              <w:spacing w:after="0" w:line="259" w:lineRule="auto"/>
              <w:ind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Dnc</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1BFC950A"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43EE5D6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center"/>
          </w:tcPr>
          <w:p w14:paraId="2A81F7C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0.28</w:t>
            </w:r>
          </w:p>
        </w:tc>
        <w:tc>
          <w:tcPr>
            <w:tcW w:w="753" w:type="dxa"/>
            <w:tcBorders>
              <w:top w:val="nil"/>
              <w:left w:val="nil"/>
              <w:bottom w:val="nil"/>
              <w:right w:val="nil"/>
            </w:tcBorders>
            <w:vAlign w:val="center"/>
          </w:tcPr>
          <w:p w14:paraId="570C8D4D"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0.23</w:t>
            </w:r>
          </w:p>
        </w:tc>
        <w:tc>
          <w:tcPr>
            <w:tcW w:w="751" w:type="dxa"/>
            <w:tcBorders>
              <w:top w:val="nil"/>
              <w:left w:val="nil"/>
              <w:bottom w:val="nil"/>
              <w:right w:val="nil"/>
            </w:tcBorders>
            <w:vAlign w:val="center"/>
          </w:tcPr>
          <w:p w14:paraId="1795994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0.20</w:t>
            </w:r>
          </w:p>
        </w:tc>
        <w:tc>
          <w:tcPr>
            <w:tcW w:w="909" w:type="dxa"/>
            <w:tcBorders>
              <w:top w:val="nil"/>
              <w:left w:val="nil"/>
              <w:bottom w:val="nil"/>
              <w:right w:val="nil"/>
            </w:tcBorders>
            <w:vAlign w:val="center"/>
          </w:tcPr>
          <w:p w14:paraId="61268F5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0.42</w:t>
            </w:r>
          </w:p>
        </w:tc>
        <w:tc>
          <w:tcPr>
            <w:tcW w:w="850" w:type="dxa"/>
            <w:tcBorders>
              <w:top w:val="nil"/>
              <w:left w:val="nil"/>
              <w:bottom w:val="nil"/>
              <w:right w:val="nil"/>
            </w:tcBorders>
            <w:vAlign w:val="center"/>
          </w:tcPr>
          <w:p w14:paraId="1F54CB5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0.42</w:t>
            </w:r>
          </w:p>
        </w:tc>
        <w:tc>
          <w:tcPr>
            <w:tcW w:w="851" w:type="dxa"/>
            <w:tcBorders>
              <w:top w:val="nil"/>
              <w:left w:val="nil"/>
              <w:bottom w:val="nil"/>
              <w:right w:val="nil"/>
            </w:tcBorders>
            <w:vAlign w:val="center"/>
          </w:tcPr>
          <w:p w14:paraId="1309122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0.41</w:t>
            </w:r>
          </w:p>
        </w:tc>
      </w:tr>
      <w:tr w:rsidR="00307155" w:rsidRPr="00FC7BB4" w14:paraId="11175AC6" w14:textId="77777777" w:rsidTr="00291B27">
        <w:trPr>
          <w:trHeight w:val="197"/>
        </w:trPr>
        <w:tc>
          <w:tcPr>
            <w:tcW w:w="1984" w:type="dxa"/>
            <w:tcBorders>
              <w:top w:val="nil"/>
              <w:left w:val="nil"/>
              <w:bottom w:val="nil"/>
              <w:right w:val="nil"/>
            </w:tcBorders>
          </w:tcPr>
          <w:p w14:paraId="2CA098F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2819114D"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64B97B15"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center"/>
          </w:tcPr>
          <w:p w14:paraId="3AB3B2BD"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center"/>
          </w:tcPr>
          <w:p w14:paraId="1ADCDBE6"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center"/>
          </w:tcPr>
          <w:p w14:paraId="25ECB4DD"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center"/>
          </w:tcPr>
          <w:p w14:paraId="04E33F81"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0.14***</w:t>
            </w:r>
          </w:p>
        </w:tc>
        <w:tc>
          <w:tcPr>
            <w:tcW w:w="850" w:type="dxa"/>
            <w:tcBorders>
              <w:top w:val="nil"/>
              <w:left w:val="nil"/>
              <w:bottom w:val="nil"/>
              <w:right w:val="nil"/>
            </w:tcBorders>
            <w:vAlign w:val="center"/>
          </w:tcPr>
          <w:p w14:paraId="1D07FAB4"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0.18</w:t>
            </w:r>
          </w:p>
        </w:tc>
        <w:tc>
          <w:tcPr>
            <w:tcW w:w="851" w:type="dxa"/>
            <w:tcBorders>
              <w:top w:val="nil"/>
              <w:left w:val="nil"/>
              <w:bottom w:val="nil"/>
              <w:right w:val="nil"/>
            </w:tcBorders>
            <w:vAlign w:val="center"/>
          </w:tcPr>
          <w:p w14:paraId="56297FC4"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0.21</w:t>
            </w:r>
          </w:p>
        </w:tc>
      </w:tr>
      <w:tr w:rsidR="00307155" w:rsidRPr="00FC7BB4" w14:paraId="74B5933E" w14:textId="77777777" w:rsidTr="00291B27">
        <w:trPr>
          <w:trHeight w:val="153"/>
        </w:trPr>
        <w:tc>
          <w:tcPr>
            <w:tcW w:w="1984" w:type="dxa"/>
            <w:tcBorders>
              <w:top w:val="nil"/>
              <w:left w:val="nil"/>
              <w:bottom w:val="nil"/>
              <w:right w:val="nil"/>
            </w:tcBorders>
          </w:tcPr>
          <w:p w14:paraId="480205DE" w14:textId="77777777" w:rsidR="00307155" w:rsidRPr="00FC7BB4" w:rsidRDefault="00307155" w:rsidP="00F3101B">
            <w:pPr>
              <w:spacing w:after="0" w:line="259" w:lineRule="auto"/>
              <w:ind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Dnc</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10A7E85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Merchants</w:t>
            </w:r>
          </w:p>
        </w:tc>
        <w:tc>
          <w:tcPr>
            <w:tcW w:w="743" w:type="dxa"/>
            <w:tcBorders>
              <w:top w:val="nil"/>
              <w:left w:val="nil"/>
              <w:bottom w:val="nil"/>
              <w:right w:val="nil"/>
            </w:tcBorders>
          </w:tcPr>
          <w:p w14:paraId="148A4C5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center"/>
          </w:tcPr>
          <w:p w14:paraId="18A09368"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0.45</w:t>
            </w:r>
          </w:p>
        </w:tc>
        <w:tc>
          <w:tcPr>
            <w:tcW w:w="753" w:type="dxa"/>
            <w:tcBorders>
              <w:top w:val="nil"/>
              <w:left w:val="nil"/>
              <w:bottom w:val="nil"/>
              <w:right w:val="nil"/>
            </w:tcBorders>
            <w:vAlign w:val="center"/>
          </w:tcPr>
          <w:p w14:paraId="6343CDC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0.50</w:t>
            </w:r>
          </w:p>
        </w:tc>
        <w:tc>
          <w:tcPr>
            <w:tcW w:w="751" w:type="dxa"/>
            <w:tcBorders>
              <w:top w:val="nil"/>
              <w:left w:val="nil"/>
              <w:bottom w:val="nil"/>
              <w:right w:val="nil"/>
            </w:tcBorders>
            <w:vAlign w:val="center"/>
          </w:tcPr>
          <w:p w14:paraId="3B3A32B2"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0.54</w:t>
            </w:r>
          </w:p>
        </w:tc>
        <w:tc>
          <w:tcPr>
            <w:tcW w:w="909" w:type="dxa"/>
            <w:tcBorders>
              <w:top w:val="nil"/>
              <w:left w:val="nil"/>
              <w:bottom w:val="nil"/>
              <w:right w:val="nil"/>
            </w:tcBorders>
            <w:vAlign w:val="center"/>
          </w:tcPr>
          <w:p w14:paraId="42B7A39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0.31</w:t>
            </w:r>
          </w:p>
        </w:tc>
        <w:tc>
          <w:tcPr>
            <w:tcW w:w="850" w:type="dxa"/>
            <w:tcBorders>
              <w:top w:val="nil"/>
              <w:left w:val="nil"/>
              <w:bottom w:val="nil"/>
              <w:right w:val="nil"/>
            </w:tcBorders>
            <w:vAlign w:val="center"/>
          </w:tcPr>
          <w:p w14:paraId="1A0CACC8"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0.27</w:t>
            </w:r>
          </w:p>
        </w:tc>
        <w:tc>
          <w:tcPr>
            <w:tcW w:w="851" w:type="dxa"/>
            <w:tcBorders>
              <w:top w:val="nil"/>
              <w:left w:val="nil"/>
              <w:bottom w:val="nil"/>
              <w:right w:val="nil"/>
            </w:tcBorders>
            <w:vAlign w:val="center"/>
          </w:tcPr>
          <w:p w14:paraId="734D39F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0.24</w:t>
            </w:r>
          </w:p>
        </w:tc>
      </w:tr>
      <w:tr w:rsidR="00307155" w:rsidRPr="00FC7BB4" w14:paraId="365B43F5" w14:textId="77777777" w:rsidTr="00291B27">
        <w:trPr>
          <w:trHeight w:val="153"/>
        </w:trPr>
        <w:tc>
          <w:tcPr>
            <w:tcW w:w="1984" w:type="dxa"/>
            <w:tcBorders>
              <w:top w:val="nil"/>
              <w:left w:val="nil"/>
              <w:bottom w:val="nil"/>
              <w:right w:val="nil"/>
            </w:tcBorders>
          </w:tcPr>
          <w:p w14:paraId="74DE9B8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1B02249A"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3C42DA39"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center"/>
          </w:tcPr>
          <w:p w14:paraId="6BBA91F9"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center"/>
          </w:tcPr>
          <w:p w14:paraId="6F7EF26B"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center"/>
          </w:tcPr>
          <w:p w14:paraId="7426E18A"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center"/>
          </w:tcPr>
          <w:p w14:paraId="12A74FEA"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-0.14***</w:t>
            </w:r>
          </w:p>
        </w:tc>
        <w:tc>
          <w:tcPr>
            <w:tcW w:w="850" w:type="dxa"/>
            <w:tcBorders>
              <w:top w:val="nil"/>
              <w:left w:val="nil"/>
              <w:bottom w:val="nil"/>
              <w:right w:val="nil"/>
            </w:tcBorders>
            <w:vAlign w:val="center"/>
          </w:tcPr>
          <w:p w14:paraId="37B18353"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-0.24***</w:t>
            </w:r>
          </w:p>
        </w:tc>
        <w:tc>
          <w:tcPr>
            <w:tcW w:w="851" w:type="dxa"/>
            <w:tcBorders>
              <w:top w:val="nil"/>
              <w:left w:val="nil"/>
              <w:bottom w:val="nil"/>
              <w:right w:val="nil"/>
            </w:tcBorders>
            <w:vAlign w:val="center"/>
          </w:tcPr>
          <w:p w14:paraId="3007CD49"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-0.30***</w:t>
            </w:r>
          </w:p>
        </w:tc>
      </w:tr>
      <w:tr w:rsidR="00307155" w:rsidRPr="00FC7BB4" w14:paraId="453D07C5" w14:textId="77777777" w:rsidTr="00291B27">
        <w:trPr>
          <w:trHeight w:val="133"/>
        </w:trPr>
        <w:tc>
          <w:tcPr>
            <w:tcW w:w="1984" w:type="dxa"/>
            <w:tcBorders>
              <w:top w:val="nil"/>
              <w:left w:val="nil"/>
              <w:bottom w:val="nil"/>
              <w:right w:val="nil"/>
            </w:tcBorders>
          </w:tcPr>
          <w:p w14:paraId="664AF10F" w14:textId="77777777" w:rsidR="00307155" w:rsidRPr="00FC7BB4" w:rsidRDefault="00307155" w:rsidP="00F3101B">
            <w:pPr>
              <w:spacing w:after="0" w:line="259" w:lineRule="auto"/>
              <w:ind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Dnc</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640EAB3B"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21CBEE0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center"/>
          </w:tcPr>
          <w:p w14:paraId="27770BC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0.40</w:t>
            </w:r>
          </w:p>
        </w:tc>
        <w:tc>
          <w:tcPr>
            <w:tcW w:w="753" w:type="dxa"/>
            <w:tcBorders>
              <w:top w:val="nil"/>
              <w:left w:val="nil"/>
              <w:bottom w:val="nil"/>
              <w:right w:val="nil"/>
            </w:tcBorders>
            <w:vAlign w:val="center"/>
          </w:tcPr>
          <w:p w14:paraId="1D0AF86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0.43</w:t>
            </w:r>
          </w:p>
        </w:tc>
        <w:tc>
          <w:tcPr>
            <w:tcW w:w="751" w:type="dxa"/>
            <w:tcBorders>
              <w:top w:val="nil"/>
              <w:left w:val="nil"/>
              <w:bottom w:val="nil"/>
              <w:right w:val="nil"/>
            </w:tcBorders>
            <w:vAlign w:val="center"/>
          </w:tcPr>
          <w:p w14:paraId="48E95D7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0.44</w:t>
            </w:r>
          </w:p>
        </w:tc>
        <w:tc>
          <w:tcPr>
            <w:tcW w:w="909" w:type="dxa"/>
            <w:tcBorders>
              <w:top w:val="nil"/>
              <w:left w:val="nil"/>
              <w:bottom w:val="nil"/>
              <w:right w:val="nil"/>
            </w:tcBorders>
            <w:vAlign w:val="center"/>
          </w:tcPr>
          <w:p w14:paraId="3BB37F5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0.43</w:t>
            </w:r>
          </w:p>
        </w:tc>
        <w:tc>
          <w:tcPr>
            <w:tcW w:w="850" w:type="dxa"/>
            <w:tcBorders>
              <w:top w:val="nil"/>
              <w:left w:val="nil"/>
              <w:bottom w:val="nil"/>
              <w:right w:val="nil"/>
            </w:tcBorders>
            <w:vAlign w:val="center"/>
          </w:tcPr>
          <w:p w14:paraId="7028EFA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0.47</w:t>
            </w:r>
          </w:p>
        </w:tc>
        <w:tc>
          <w:tcPr>
            <w:tcW w:w="851" w:type="dxa"/>
            <w:tcBorders>
              <w:top w:val="nil"/>
              <w:left w:val="nil"/>
              <w:bottom w:val="nil"/>
              <w:right w:val="nil"/>
            </w:tcBorders>
            <w:vAlign w:val="center"/>
          </w:tcPr>
          <w:p w14:paraId="6D7F3C6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0.50</w:t>
            </w:r>
          </w:p>
        </w:tc>
      </w:tr>
      <w:tr w:rsidR="00307155" w:rsidRPr="00FC7BB4" w14:paraId="0D164A2C" w14:textId="77777777" w:rsidTr="00291B27">
        <w:trPr>
          <w:trHeight w:val="133"/>
        </w:trPr>
        <w:tc>
          <w:tcPr>
            <w:tcW w:w="1984" w:type="dxa"/>
            <w:tcBorders>
              <w:top w:val="nil"/>
              <w:left w:val="nil"/>
              <w:bottom w:val="nil"/>
              <w:right w:val="nil"/>
            </w:tcBorders>
          </w:tcPr>
          <w:p w14:paraId="515FEE0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683A633E"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22FE3B49"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center"/>
          </w:tcPr>
          <w:p w14:paraId="0E35195E"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center"/>
          </w:tcPr>
          <w:p w14:paraId="261AE751"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center"/>
          </w:tcPr>
          <w:p w14:paraId="7128E2CB"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center"/>
          </w:tcPr>
          <w:p w14:paraId="489173D1"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0.03</w:t>
            </w:r>
          </w:p>
        </w:tc>
        <w:tc>
          <w:tcPr>
            <w:tcW w:w="850" w:type="dxa"/>
            <w:tcBorders>
              <w:top w:val="nil"/>
              <w:left w:val="nil"/>
              <w:bottom w:val="nil"/>
              <w:right w:val="nil"/>
            </w:tcBorders>
            <w:vAlign w:val="center"/>
          </w:tcPr>
          <w:p w14:paraId="0F14EC53"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0.05</w:t>
            </w:r>
          </w:p>
        </w:tc>
        <w:tc>
          <w:tcPr>
            <w:tcW w:w="851" w:type="dxa"/>
            <w:tcBorders>
              <w:top w:val="nil"/>
              <w:left w:val="nil"/>
              <w:bottom w:val="nil"/>
              <w:right w:val="nil"/>
            </w:tcBorders>
            <w:vAlign w:val="center"/>
          </w:tcPr>
          <w:p w14:paraId="30BAE600"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0.06</w:t>
            </w:r>
          </w:p>
        </w:tc>
      </w:tr>
      <w:tr w:rsidR="00307155" w:rsidRPr="00FC7BB4" w14:paraId="349F4897" w14:textId="77777777" w:rsidTr="00291B27">
        <w:trPr>
          <w:trHeight w:val="158"/>
        </w:trPr>
        <w:tc>
          <w:tcPr>
            <w:tcW w:w="1984" w:type="dxa"/>
            <w:tcBorders>
              <w:top w:val="nil"/>
              <w:left w:val="nil"/>
              <w:bottom w:val="nil"/>
              <w:right w:val="nil"/>
            </w:tcBorders>
          </w:tcPr>
          <w:p w14:paraId="2B2827FE" w14:textId="77777777" w:rsidR="00307155" w:rsidRPr="00FC7BB4" w:rsidRDefault="00307155" w:rsidP="00F3101B">
            <w:pPr>
              <w:spacing w:after="0" w:line="259" w:lineRule="auto"/>
              <w:ind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Dnc</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3E9302F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Services</w:t>
            </w:r>
          </w:p>
        </w:tc>
        <w:tc>
          <w:tcPr>
            <w:tcW w:w="743" w:type="dxa"/>
            <w:tcBorders>
              <w:top w:val="nil"/>
              <w:left w:val="nil"/>
              <w:bottom w:val="nil"/>
              <w:right w:val="nil"/>
            </w:tcBorders>
          </w:tcPr>
          <w:p w14:paraId="28E62A8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center"/>
          </w:tcPr>
          <w:p w14:paraId="20F9701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0.27</w:t>
            </w:r>
          </w:p>
        </w:tc>
        <w:tc>
          <w:tcPr>
            <w:tcW w:w="753" w:type="dxa"/>
            <w:tcBorders>
              <w:top w:val="nil"/>
              <w:left w:val="nil"/>
              <w:bottom w:val="nil"/>
              <w:right w:val="nil"/>
            </w:tcBorders>
            <w:vAlign w:val="center"/>
          </w:tcPr>
          <w:p w14:paraId="1C4E7C19"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0.28</w:t>
            </w:r>
          </w:p>
        </w:tc>
        <w:tc>
          <w:tcPr>
            <w:tcW w:w="751" w:type="dxa"/>
            <w:tcBorders>
              <w:top w:val="nil"/>
              <w:left w:val="nil"/>
              <w:bottom w:val="nil"/>
              <w:right w:val="nil"/>
            </w:tcBorders>
            <w:vAlign w:val="center"/>
          </w:tcPr>
          <w:p w14:paraId="09FB9F1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0.29</w:t>
            </w:r>
          </w:p>
        </w:tc>
        <w:tc>
          <w:tcPr>
            <w:tcW w:w="909" w:type="dxa"/>
            <w:tcBorders>
              <w:top w:val="nil"/>
              <w:left w:val="nil"/>
              <w:bottom w:val="nil"/>
              <w:right w:val="nil"/>
            </w:tcBorders>
            <w:vAlign w:val="center"/>
          </w:tcPr>
          <w:p w14:paraId="15128D7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0.22</w:t>
            </w:r>
          </w:p>
        </w:tc>
        <w:tc>
          <w:tcPr>
            <w:tcW w:w="850" w:type="dxa"/>
            <w:tcBorders>
              <w:top w:val="nil"/>
              <w:left w:val="nil"/>
              <w:bottom w:val="nil"/>
              <w:right w:val="nil"/>
            </w:tcBorders>
            <w:vAlign w:val="center"/>
          </w:tcPr>
          <w:p w14:paraId="03CB02B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0.12</w:t>
            </w:r>
          </w:p>
        </w:tc>
        <w:tc>
          <w:tcPr>
            <w:tcW w:w="851" w:type="dxa"/>
            <w:tcBorders>
              <w:top w:val="nil"/>
              <w:left w:val="nil"/>
              <w:bottom w:val="nil"/>
              <w:right w:val="nil"/>
            </w:tcBorders>
            <w:vAlign w:val="center"/>
          </w:tcPr>
          <w:p w14:paraId="1E33646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0.08</w:t>
            </w:r>
          </w:p>
        </w:tc>
      </w:tr>
      <w:tr w:rsidR="00307155" w:rsidRPr="00FC7BB4" w14:paraId="7AA15C2D" w14:textId="77777777" w:rsidTr="00291B27">
        <w:trPr>
          <w:trHeight w:val="158"/>
        </w:trPr>
        <w:tc>
          <w:tcPr>
            <w:tcW w:w="1984" w:type="dxa"/>
            <w:tcBorders>
              <w:top w:val="nil"/>
              <w:left w:val="nil"/>
              <w:bottom w:val="nil"/>
              <w:right w:val="nil"/>
            </w:tcBorders>
          </w:tcPr>
          <w:p w14:paraId="5DB090C9"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59AF573E"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36B2D8C4"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54" w:type="dxa"/>
            <w:tcBorders>
              <w:top w:val="nil"/>
              <w:left w:val="nil"/>
              <w:bottom w:val="nil"/>
              <w:right w:val="nil"/>
            </w:tcBorders>
            <w:vAlign w:val="center"/>
          </w:tcPr>
          <w:p w14:paraId="0632989F"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53" w:type="dxa"/>
            <w:tcBorders>
              <w:top w:val="nil"/>
              <w:left w:val="nil"/>
              <w:bottom w:val="nil"/>
              <w:right w:val="nil"/>
            </w:tcBorders>
            <w:vAlign w:val="center"/>
          </w:tcPr>
          <w:p w14:paraId="5E15AED4"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51" w:type="dxa"/>
            <w:tcBorders>
              <w:top w:val="nil"/>
              <w:left w:val="nil"/>
              <w:bottom w:val="nil"/>
              <w:right w:val="nil"/>
            </w:tcBorders>
            <w:vAlign w:val="center"/>
          </w:tcPr>
          <w:p w14:paraId="00E0D529"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909" w:type="dxa"/>
            <w:tcBorders>
              <w:top w:val="nil"/>
              <w:left w:val="nil"/>
              <w:bottom w:val="nil"/>
              <w:right w:val="nil"/>
            </w:tcBorders>
            <w:vAlign w:val="center"/>
          </w:tcPr>
          <w:p w14:paraId="4C5E26B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-0.04**</w:t>
            </w:r>
          </w:p>
        </w:tc>
        <w:tc>
          <w:tcPr>
            <w:tcW w:w="850" w:type="dxa"/>
            <w:tcBorders>
              <w:top w:val="nil"/>
              <w:left w:val="nil"/>
              <w:bottom w:val="nil"/>
              <w:right w:val="nil"/>
            </w:tcBorders>
            <w:vAlign w:val="center"/>
          </w:tcPr>
          <w:p w14:paraId="5300036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-0.16***</w:t>
            </w:r>
          </w:p>
        </w:tc>
        <w:tc>
          <w:tcPr>
            <w:tcW w:w="851" w:type="dxa"/>
            <w:tcBorders>
              <w:top w:val="nil"/>
              <w:left w:val="nil"/>
              <w:bottom w:val="nil"/>
              <w:right w:val="nil"/>
            </w:tcBorders>
            <w:vAlign w:val="center"/>
          </w:tcPr>
          <w:p w14:paraId="428EC82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-0.22***</w:t>
            </w:r>
          </w:p>
        </w:tc>
      </w:tr>
      <w:tr w:rsidR="00307155" w:rsidRPr="00FC7BB4" w14:paraId="667543BD" w14:textId="77777777" w:rsidTr="00291B27">
        <w:trPr>
          <w:trHeight w:val="55"/>
        </w:trPr>
        <w:tc>
          <w:tcPr>
            <w:tcW w:w="1984" w:type="dxa"/>
            <w:tcBorders>
              <w:top w:val="nil"/>
              <w:left w:val="nil"/>
              <w:bottom w:val="nil"/>
              <w:right w:val="nil"/>
            </w:tcBorders>
          </w:tcPr>
          <w:p w14:paraId="1B5A2CA7" w14:textId="77777777" w:rsidR="00307155" w:rsidRPr="00FC7BB4" w:rsidRDefault="00307155" w:rsidP="00F3101B">
            <w:pPr>
              <w:spacing w:after="0" w:line="259" w:lineRule="auto"/>
              <w:ind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Dnc</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6D6FB159"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70F3836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center"/>
          </w:tcPr>
          <w:p w14:paraId="49046812"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0.44</w:t>
            </w:r>
          </w:p>
        </w:tc>
        <w:tc>
          <w:tcPr>
            <w:tcW w:w="753" w:type="dxa"/>
            <w:tcBorders>
              <w:top w:val="nil"/>
              <w:left w:val="nil"/>
              <w:bottom w:val="nil"/>
              <w:right w:val="nil"/>
            </w:tcBorders>
            <w:vAlign w:val="center"/>
          </w:tcPr>
          <w:p w14:paraId="49196529"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0.38</w:t>
            </w:r>
          </w:p>
        </w:tc>
        <w:tc>
          <w:tcPr>
            <w:tcW w:w="751" w:type="dxa"/>
            <w:tcBorders>
              <w:top w:val="nil"/>
              <w:left w:val="nil"/>
              <w:bottom w:val="nil"/>
              <w:right w:val="nil"/>
            </w:tcBorders>
            <w:vAlign w:val="center"/>
          </w:tcPr>
          <w:p w14:paraId="6E4AC1F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0.35</w:t>
            </w:r>
          </w:p>
        </w:tc>
        <w:tc>
          <w:tcPr>
            <w:tcW w:w="909" w:type="dxa"/>
            <w:tcBorders>
              <w:top w:val="nil"/>
              <w:left w:val="nil"/>
              <w:bottom w:val="nil"/>
              <w:right w:val="nil"/>
            </w:tcBorders>
            <w:vAlign w:val="center"/>
          </w:tcPr>
          <w:p w14:paraId="44FF118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0.20</w:t>
            </w:r>
          </w:p>
        </w:tc>
        <w:tc>
          <w:tcPr>
            <w:tcW w:w="850" w:type="dxa"/>
            <w:tcBorders>
              <w:top w:val="nil"/>
              <w:left w:val="nil"/>
              <w:bottom w:val="nil"/>
              <w:right w:val="nil"/>
            </w:tcBorders>
            <w:vAlign w:val="center"/>
          </w:tcPr>
          <w:p w14:paraId="0850D6F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0.05</w:t>
            </w:r>
          </w:p>
        </w:tc>
        <w:tc>
          <w:tcPr>
            <w:tcW w:w="851" w:type="dxa"/>
            <w:tcBorders>
              <w:top w:val="nil"/>
              <w:left w:val="nil"/>
              <w:bottom w:val="nil"/>
              <w:right w:val="nil"/>
            </w:tcBorders>
            <w:vAlign w:val="center"/>
          </w:tcPr>
          <w:p w14:paraId="20548B6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0.02</w:t>
            </w:r>
          </w:p>
        </w:tc>
      </w:tr>
      <w:tr w:rsidR="00307155" w:rsidRPr="00FC7BB4" w14:paraId="7B5BF156" w14:textId="77777777" w:rsidTr="00291B27">
        <w:trPr>
          <w:trHeight w:val="55"/>
        </w:trPr>
        <w:tc>
          <w:tcPr>
            <w:tcW w:w="1984" w:type="dxa"/>
            <w:tcBorders>
              <w:top w:val="nil"/>
              <w:left w:val="nil"/>
              <w:bottom w:val="nil"/>
              <w:right w:val="nil"/>
            </w:tcBorders>
          </w:tcPr>
          <w:p w14:paraId="3BB4888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17E62E83"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7493030C"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center"/>
          </w:tcPr>
          <w:p w14:paraId="46E8CAAF"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center"/>
          </w:tcPr>
          <w:p w14:paraId="6BB487FE"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center"/>
          </w:tcPr>
          <w:p w14:paraId="07D2151C"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center"/>
          </w:tcPr>
          <w:p w14:paraId="21809423"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-0.24***</w:t>
            </w:r>
          </w:p>
        </w:tc>
        <w:tc>
          <w:tcPr>
            <w:tcW w:w="850" w:type="dxa"/>
            <w:tcBorders>
              <w:top w:val="nil"/>
              <w:left w:val="nil"/>
              <w:bottom w:val="nil"/>
              <w:right w:val="nil"/>
            </w:tcBorders>
            <w:vAlign w:val="center"/>
          </w:tcPr>
          <w:p w14:paraId="5CBFC8B2"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-0.33***</w:t>
            </w:r>
          </w:p>
        </w:tc>
        <w:tc>
          <w:tcPr>
            <w:tcW w:w="851" w:type="dxa"/>
            <w:tcBorders>
              <w:top w:val="nil"/>
              <w:left w:val="nil"/>
              <w:bottom w:val="nil"/>
              <w:right w:val="nil"/>
            </w:tcBorders>
            <w:vAlign w:val="center"/>
          </w:tcPr>
          <w:p w14:paraId="44834787"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-0.33***</w:t>
            </w:r>
          </w:p>
        </w:tc>
      </w:tr>
      <w:tr w:rsidR="00307155" w:rsidRPr="00FC7BB4" w14:paraId="706ADCF6" w14:textId="77777777" w:rsidTr="00291B27">
        <w:trPr>
          <w:trHeight w:val="128"/>
        </w:trPr>
        <w:tc>
          <w:tcPr>
            <w:tcW w:w="1984" w:type="dxa"/>
            <w:tcBorders>
              <w:top w:val="nil"/>
              <w:left w:val="nil"/>
              <w:bottom w:val="nil"/>
              <w:right w:val="nil"/>
            </w:tcBorders>
          </w:tcPr>
          <w:p w14:paraId="114674A5" w14:textId="77777777" w:rsidR="00307155" w:rsidRPr="00FC7BB4" w:rsidRDefault="00307155" w:rsidP="00F3101B">
            <w:pPr>
              <w:spacing w:after="0" w:line="259" w:lineRule="auto"/>
              <w:ind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Ddn</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56F58FE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Manufacturers</w:t>
            </w:r>
          </w:p>
        </w:tc>
        <w:tc>
          <w:tcPr>
            <w:tcW w:w="743" w:type="dxa"/>
            <w:tcBorders>
              <w:top w:val="nil"/>
              <w:left w:val="nil"/>
              <w:bottom w:val="nil"/>
              <w:right w:val="nil"/>
            </w:tcBorders>
          </w:tcPr>
          <w:p w14:paraId="259F0A22"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center"/>
          </w:tcPr>
          <w:p w14:paraId="61547312"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0.37</w:t>
            </w:r>
          </w:p>
        </w:tc>
        <w:tc>
          <w:tcPr>
            <w:tcW w:w="753" w:type="dxa"/>
            <w:tcBorders>
              <w:top w:val="nil"/>
              <w:left w:val="nil"/>
              <w:bottom w:val="nil"/>
              <w:right w:val="nil"/>
            </w:tcBorders>
            <w:vAlign w:val="center"/>
          </w:tcPr>
          <w:p w14:paraId="7FCF66A2"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0.34</w:t>
            </w:r>
          </w:p>
        </w:tc>
        <w:tc>
          <w:tcPr>
            <w:tcW w:w="751" w:type="dxa"/>
            <w:tcBorders>
              <w:top w:val="nil"/>
              <w:left w:val="nil"/>
              <w:bottom w:val="nil"/>
              <w:right w:val="nil"/>
            </w:tcBorders>
            <w:vAlign w:val="center"/>
          </w:tcPr>
          <w:p w14:paraId="52A140AC"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0.32</w:t>
            </w:r>
          </w:p>
        </w:tc>
        <w:tc>
          <w:tcPr>
            <w:tcW w:w="909" w:type="dxa"/>
            <w:tcBorders>
              <w:top w:val="nil"/>
              <w:left w:val="nil"/>
              <w:bottom w:val="nil"/>
              <w:right w:val="nil"/>
            </w:tcBorders>
            <w:vAlign w:val="center"/>
          </w:tcPr>
          <w:p w14:paraId="0F3AEF0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0.39</w:t>
            </w:r>
          </w:p>
        </w:tc>
        <w:tc>
          <w:tcPr>
            <w:tcW w:w="850" w:type="dxa"/>
            <w:tcBorders>
              <w:top w:val="nil"/>
              <w:left w:val="nil"/>
              <w:bottom w:val="nil"/>
              <w:right w:val="nil"/>
            </w:tcBorders>
            <w:vAlign w:val="center"/>
          </w:tcPr>
          <w:p w14:paraId="62F00879"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0.30</w:t>
            </w:r>
          </w:p>
        </w:tc>
        <w:tc>
          <w:tcPr>
            <w:tcW w:w="851" w:type="dxa"/>
            <w:tcBorders>
              <w:top w:val="nil"/>
              <w:left w:val="nil"/>
              <w:bottom w:val="nil"/>
              <w:right w:val="nil"/>
            </w:tcBorders>
            <w:vAlign w:val="center"/>
          </w:tcPr>
          <w:p w14:paraId="2D82079D"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0.25</w:t>
            </w:r>
          </w:p>
        </w:tc>
      </w:tr>
      <w:tr w:rsidR="00307155" w:rsidRPr="00FC7BB4" w14:paraId="1F633312" w14:textId="77777777" w:rsidTr="00291B27">
        <w:trPr>
          <w:trHeight w:val="128"/>
        </w:trPr>
        <w:tc>
          <w:tcPr>
            <w:tcW w:w="1984" w:type="dxa"/>
            <w:tcBorders>
              <w:top w:val="nil"/>
              <w:left w:val="nil"/>
              <w:bottom w:val="nil"/>
              <w:right w:val="nil"/>
            </w:tcBorders>
          </w:tcPr>
          <w:p w14:paraId="4EABBBC8"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2D4FCF95"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69DB5E7E"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center"/>
          </w:tcPr>
          <w:p w14:paraId="1FC50009"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center"/>
          </w:tcPr>
          <w:p w14:paraId="639F2133"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center"/>
          </w:tcPr>
          <w:p w14:paraId="6AC989C0"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center"/>
          </w:tcPr>
          <w:p w14:paraId="50B67DFD"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0.02</w:t>
            </w:r>
          </w:p>
        </w:tc>
        <w:tc>
          <w:tcPr>
            <w:tcW w:w="850" w:type="dxa"/>
            <w:tcBorders>
              <w:top w:val="nil"/>
              <w:left w:val="nil"/>
              <w:bottom w:val="nil"/>
              <w:right w:val="nil"/>
            </w:tcBorders>
            <w:vAlign w:val="center"/>
          </w:tcPr>
          <w:p w14:paraId="040C3AD7"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-0.03</w:t>
            </w:r>
          </w:p>
        </w:tc>
        <w:tc>
          <w:tcPr>
            <w:tcW w:w="851" w:type="dxa"/>
            <w:tcBorders>
              <w:top w:val="nil"/>
              <w:left w:val="nil"/>
              <w:bottom w:val="nil"/>
              <w:right w:val="nil"/>
            </w:tcBorders>
            <w:vAlign w:val="center"/>
          </w:tcPr>
          <w:p w14:paraId="6439FB1B"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-0.06</w:t>
            </w:r>
          </w:p>
        </w:tc>
      </w:tr>
      <w:tr w:rsidR="00307155" w:rsidRPr="00FC7BB4" w14:paraId="3D6F3112" w14:textId="77777777" w:rsidTr="00291B27">
        <w:trPr>
          <w:trHeight w:val="83"/>
        </w:trPr>
        <w:tc>
          <w:tcPr>
            <w:tcW w:w="1984" w:type="dxa"/>
            <w:tcBorders>
              <w:top w:val="nil"/>
              <w:left w:val="nil"/>
              <w:bottom w:val="nil"/>
              <w:right w:val="nil"/>
            </w:tcBorders>
          </w:tcPr>
          <w:p w14:paraId="3BAB0179" w14:textId="77777777" w:rsidR="00307155" w:rsidRPr="00FC7BB4" w:rsidRDefault="00307155" w:rsidP="00F3101B">
            <w:pPr>
              <w:spacing w:after="0" w:line="259" w:lineRule="auto"/>
              <w:ind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Ddn</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2A6440D2"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6317852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center"/>
          </w:tcPr>
          <w:p w14:paraId="185C8409"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0.41</w:t>
            </w:r>
          </w:p>
        </w:tc>
        <w:tc>
          <w:tcPr>
            <w:tcW w:w="753" w:type="dxa"/>
            <w:tcBorders>
              <w:top w:val="nil"/>
              <w:left w:val="nil"/>
              <w:bottom w:val="nil"/>
              <w:right w:val="nil"/>
            </w:tcBorders>
            <w:vAlign w:val="center"/>
          </w:tcPr>
          <w:p w14:paraId="304216B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0.34</w:t>
            </w:r>
          </w:p>
        </w:tc>
        <w:tc>
          <w:tcPr>
            <w:tcW w:w="751" w:type="dxa"/>
            <w:tcBorders>
              <w:top w:val="nil"/>
              <w:left w:val="nil"/>
              <w:bottom w:val="nil"/>
              <w:right w:val="nil"/>
            </w:tcBorders>
            <w:vAlign w:val="center"/>
          </w:tcPr>
          <w:p w14:paraId="726DAB2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0.29</w:t>
            </w:r>
          </w:p>
        </w:tc>
        <w:tc>
          <w:tcPr>
            <w:tcW w:w="909" w:type="dxa"/>
            <w:tcBorders>
              <w:top w:val="nil"/>
              <w:left w:val="nil"/>
              <w:bottom w:val="nil"/>
              <w:right w:val="nil"/>
            </w:tcBorders>
            <w:vAlign w:val="center"/>
          </w:tcPr>
          <w:p w14:paraId="744C57CD"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0.57</w:t>
            </w:r>
          </w:p>
        </w:tc>
        <w:tc>
          <w:tcPr>
            <w:tcW w:w="850" w:type="dxa"/>
            <w:tcBorders>
              <w:top w:val="nil"/>
              <w:left w:val="nil"/>
              <w:bottom w:val="nil"/>
              <w:right w:val="nil"/>
            </w:tcBorders>
            <w:vAlign w:val="center"/>
          </w:tcPr>
          <w:p w14:paraId="2FD142E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0.43</w:t>
            </w:r>
          </w:p>
        </w:tc>
        <w:tc>
          <w:tcPr>
            <w:tcW w:w="851" w:type="dxa"/>
            <w:tcBorders>
              <w:top w:val="nil"/>
              <w:left w:val="nil"/>
              <w:bottom w:val="nil"/>
              <w:right w:val="nil"/>
            </w:tcBorders>
            <w:vAlign w:val="center"/>
          </w:tcPr>
          <w:p w14:paraId="0A000291"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0.34</w:t>
            </w:r>
          </w:p>
        </w:tc>
      </w:tr>
      <w:tr w:rsidR="00307155" w:rsidRPr="00FC7BB4" w14:paraId="035E2791" w14:textId="77777777" w:rsidTr="00291B27">
        <w:trPr>
          <w:trHeight w:val="83"/>
        </w:trPr>
        <w:tc>
          <w:tcPr>
            <w:tcW w:w="1984" w:type="dxa"/>
            <w:tcBorders>
              <w:top w:val="nil"/>
              <w:left w:val="nil"/>
              <w:bottom w:val="nil"/>
              <w:right w:val="nil"/>
            </w:tcBorders>
          </w:tcPr>
          <w:p w14:paraId="6DBA427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1D94177C"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5555C47D"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center"/>
          </w:tcPr>
          <w:p w14:paraId="565FE472"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center"/>
          </w:tcPr>
          <w:p w14:paraId="37CBDEFA"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center"/>
          </w:tcPr>
          <w:p w14:paraId="2335F670"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center"/>
          </w:tcPr>
          <w:p w14:paraId="683BE374"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0.15**</w:t>
            </w:r>
          </w:p>
        </w:tc>
        <w:tc>
          <w:tcPr>
            <w:tcW w:w="850" w:type="dxa"/>
            <w:tcBorders>
              <w:top w:val="nil"/>
              <w:left w:val="nil"/>
              <w:bottom w:val="nil"/>
              <w:right w:val="nil"/>
            </w:tcBorders>
            <w:vAlign w:val="center"/>
          </w:tcPr>
          <w:p w14:paraId="5C91BEE4"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0.09</w:t>
            </w:r>
          </w:p>
        </w:tc>
        <w:tc>
          <w:tcPr>
            <w:tcW w:w="851" w:type="dxa"/>
            <w:tcBorders>
              <w:top w:val="nil"/>
              <w:left w:val="nil"/>
              <w:bottom w:val="nil"/>
              <w:right w:val="nil"/>
            </w:tcBorders>
            <w:vAlign w:val="center"/>
          </w:tcPr>
          <w:p w14:paraId="5E55244B"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0.05</w:t>
            </w:r>
          </w:p>
        </w:tc>
      </w:tr>
      <w:tr w:rsidR="00307155" w:rsidRPr="00FC7BB4" w14:paraId="3DCB8192" w14:textId="77777777" w:rsidTr="00291B27">
        <w:trPr>
          <w:trHeight w:val="65"/>
        </w:trPr>
        <w:tc>
          <w:tcPr>
            <w:tcW w:w="1984" w:type="dxa"/>
            <w:tcBorders>
              <w:top w:val="nil"/>
              <w:left w:val="nil"/>
              <w:bottom w:val="nil"/>
              <w:right w:val="nil"/>
            </w:tcBorders>
          </w:tcPr>
          <w:p w14:paraId="4E20A2BE" w14:textId="77777777" w:rsidR="00307155" w:rsidRPr="00FC7BB4" w:rsidRDefault="00307155" w:rsidP="00F3101B">
            <w:pPr>
              <w:spacing w:after="0" w:line="259" w:lineRule="auto"/>
              <w:ind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Ddn</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55102E49"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Merchants</w:t>
            </w:r>
          </w:p>
        </w:tc>
        <w:tc>
          <w:tcPr>
            <w:tcW w:w="743" w:type="dxa"/>
            <w:tcBorders>
              <w:top w:val="nil"/>
              <w:left w:val="nil"/>
              <w:bottom w:val="nil"/>
              <w:right w:val="nil"/>
            </w:tcBorders>
          </w:tcPr>
          <w:p w14:paraId="68CC897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center"/>
          </w:tcPr>
          <w:p w14:paraId="09C3CB52"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0.58</w:t>
            </w:r>
          </w:p>
        </w:tc>
        <w:tc>
          <w:tcPr>
            <w:tcW w:w="753" w:type="dxa"/>
            <w:tcBorders>
              <w:top w:val="nil"/>
              <w:left w:val="nil"/>
              <w:bottom w:val="nil"/>
              <w:right w:val="nil"/>
            </w:tcBorders>
            <w:vAlign w:val="center"/>
          </w:tcPr>
          <w:p w14:paraId="375BB7C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0.63</w:t>
            </w:r>
          </w:p>
        </w:tc>
        <w:tc>
          <w:tcPr>
            <w:tcW w:w="751" w:type="dxa"/>
            <w:tcBorders>
              <w:top w:val="nil"/>
              <w:left w:val="nil"/>
              <w:bottom w:val="nil"/>
              <w:right w:val="nil"/>
            </w:tcBorders>
            <w:vAlign w:val="center"/>
          </w:tcPr>
          <w:p w14:paraId="54A5D622"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0.67</w:t>
            </w:r>
          </w:p>
        </w:tc>
        <w:tc>
          <w:tcPr>
            <w:tcW w:w="909" w:type="dxa"/>
            <w:tcBorders>
              <w:top w:val="nil"/>
              <w:left w:val="nil"/>
              <w:bottom w:val="nil"/>
              <w:right w:val="nil"/>
            </w:tcBorders>
            <w:vAlign w:val="center"/>
          </w:tcPr>
          <w:p w14:paraId="7914C0D2"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0.39</w:t>
            </w:r>
          </w:p>
        </w:tc>
        <w:tc>
          <w:tcPr>
            <w:tcW w:w="850" w:type="dxa"/>
            <w:tcBorders>
              <w:top w:val="nil"/>
              <w:left w:val="nil"/>
              <w:bottom w:val="nil"/>
              <w:right w:val="nil"/>
            </w:tcBorders>
            <w:vAlign w:val="center"/>
          </w:tcPr>
          <w:p w14:paraId="2C363CC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0.30</w:t>
            </w:r>
          </w:p>
        </w:tc>
        <w:tc>
          <w:tcPr>
            <w:tcW w:w="851" w:type="dxa"/>
            <w:tcBorders>
              <w:top w:val="nil"/>
              <w:left w:val="nil"/>
              <w:bottom w:val="nil"/>
              <w:right w:val="nil"/>
            </w:tcBorders>
            <w:vAlign w:val="center"/>
          </w:tcPr>
          <w:p w14:paraId="37C5E41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0.24</w:t>
            </w:r>
          </w:p>
        </w:tc>
      </w:tr>
      <w:tr w:rsidR="00307155" w:rsidRPr="00FC7BB4" w14:paraId="27FCEB58" w14:textId="77777777" w:rsidTr="00291B27">
        <w:trPr>
          <w:trHeight w:val="65"/>
        </w:trPr>
        <w:tc>
          <w:tcPr>
            <w:tcW w:w="1984" w:type="dxa"/>
            <w:tcBorders>
              <w:top w:val="nil"/>
              <w:left w:val="nil"/>
              <w:bottom w:val="nil"/>
              <w:right w:val="nil"/>
            </w:tcBorders>
          </w:tcPr>
          <w:p w14:paraId="4336A19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21E3139A"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1F73AF53"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center"/>
          </w:tcPr>
          <w:p w14:paraId="3419B55B"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center"/>
          </w:tcPr>
          <w:p w14:paraId="594F325C"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center"/>
          </w:tcPr>
          <w:p w14:paraId="4E4BC624"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center"/>
          </w:tcPr>
          <w:p w14:paraId="4BFD414C"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-0.19***</w:t>
            </w:r>
          </w:p>
        </w:tc>
        <w:tc>
          <w:tcPr>
            <w:tcW w:w="850" w:type="dxa"/>
            <w:tcBorders>
              <w:top w:val="nil"/>
              <w:left w:val="nil"/>
              <w:bottom w:val="nil"/>
              <w:right w:val="nil"/>
            </w:tcBorders>
            <w:vAlign w:val="center"/>
          </w:tcPr>
          <w:p w14:paraId="4DBEE1DE"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-0.34***</w:t>
            </w:r>
          </w:p>
        </w:tc>
        <w:tc>
          <w:tcPr>
            <w:tcW w:w="851" w:type="dxa"/>
            <w:tcBorders>
              <w:top w:val="nil"/>
              <w:left w:val="nil"/>
              <w:bottom w:val="nil"/>
              <w:right w:val="nil"/>
            </w:tcBorders>
            <w:vAlign w:val="center"/>
          </w:tcPr>
          <w:p w14:paraId="2EEBD2A6"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-0.43***</w:t>
            </w:r>
          </w:p>
        </w:tc>
      </w:tr>
      <w:tr w:rsidR="00307155" w:rsidRPr="00FC7BB4" w14:paraId="27ED080E" w14:textId="77777777" w:rsidTr="00291B27">
        <w:trPr>
          <w:trHeight w:val="49"/>
        </w:trPr>
        <w:tc>
          <w:tcPr>
            <w:tcW w:w="1984" w:type="dxa"/>
            <w:tcBorders>
              <w:top w:val="nil"/>
              <w:left w:val="nil"/>
              <w:bottom w:val="nil"/>
              <w:right w:val="nil"/>
            </w:tcBorders>
          </w:tcPr>
          <w:p w14:paraId="2CDD5BEC" w14:textId="77777777" w:rsidR="00307155" w:rsidRPr="00FC7BB4" w:rsidRDefault="00307155" w:rsidP="00F3101B">
            <w:pPr>
              <w:spacing w:after="0" w:line="259" w:lineRule="auto"/>
              <w:ind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Ddn</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431C351E"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2C2E853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center"/>
          </w:tcPr>
          <w:p w14:paraId="0FB91CC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0.57</w:t>
            </w:r>
          </w:p>
        </w:tc>
        <w:tc>
          <w:tcPr>
            <w:tcW w:w="753" w:type="dxa"/>
            <w:tcBorders>
              <w:top w:val="nil"/>
              <w:left w:val="nil"/>
              <w:bottom w:val="nil"/>
              <w:right w:val="nil"/>
            </w:tcBorders>
            <w:vAlign w:val="center"/>
          </w:tcPr>
          <w:p w14:paraId="4B91753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0.61</w:t>
            </w:r>
          </w:p>
        </w:tc>
        <w:tc>
          <w:tcPr>
            <w:tcW w:w="751" w:type="dxa"/>
            <w:tcBorders>
              <w:top w:val="nil"/>
              <w:left w:val="nil"/>
              <w:bottom w:val="nil"/>
              <w:right w:val="nil"/>
            </w:tcBorders>
            <w:vAlign w:val="center"/>
          </w:tcPr>
          <w:p w14:paraId="264B0CBC"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0.64</w:t>
            </w:r>
          </w:p>
        </w:tc>
        <w:tc>
          <w:tcPr>
            <w:tcW w:w="909" w:type="dxa"/>
            <w:tcBorders>
              <w:top w:val="nil"/>
              <w:left w:val="nil"/>
              <w:bottom w:val="nil"/>
              <w:right w:val="nil"/>
            </w:tcBorders>
            <w:vAlign w:val="center"/>
          </w:tcPr>
          <w:p w14:paraId="283459E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0.54</w:t>
            </w:r>
          </w:p>
        </w:tc>
        <w:tc>
          <w:tcPr>
            <w:tcW w:w="850" w:type="dxa"/>
            <w:tcBorders>
              <w:top w:val="nil"/>
              <w:left w:val="nil"/>
              <w:bottom w:val="nil"/>
              <w:right w:val="nil"/>
            </w:tcBorders>
            <w:vAlign w:val="center"/>
          </w:tcPr>
          <w:p w14:paraId="7B69789C"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0.45</w:t>
            </w:r>
          </w:p>
        </w:tc>
        <w:tc>
          <w:tcPr>
            <w:tcW w:w="851" w:type="dxa"/>
            <w:tcBorders>
              <w:top w:val="nil"/>
              <w:left w:val="nil"/>
              <w:bottom w:val="nil"/>
              <w:right w:val="nil"/>
            </w:tcBorders>
            <w:vAlign w:val="center"/>
          </w:tcPr>
          <w:p w14:paraId="1844F162"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0.40</w:t>
            </w:r>
          </w:p>
        </w:tc>
      </w:tr>
      <w:tr w:rsidR="00307155" w:rsidRPr="00FC7BB4" w14:paraId="7CC40100" w14:textId="77777777" w:rsidTr="00291B27">
        <w:trPr>
          <w:trHeight w:val="49"/>
        </w:trPr>
        <w:tc>
          <w:tcPr>
            <w:tcW w:w="1984" w:type="dxa"/>
            <w:tcBorders>
              <w:top w:val="nil"/>
              <w:left w:val="nil"/>
              <w:bottom w:val="nil"/>
              <w:right w:val="nil"/>
            </w:tcBorders>
          </w:tcPr>
          <w:p w14:paraId="4B5AD78E"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770C2D96" w14:textId="77777777" w:rsidR="00307155" w:rsidRPr="00FC7BB4" w:rsidRDefault="00307155" w:rsidP="00F3101B">
            <w:pPr>
              <w:spacing w:after="0" w:line="259" w:lineRule="auto"/>
              <w:ind w:right="27" w:firstLine="0"/>
              <w:rPr>
                <w:rFonts w:ascii="Times New Roman" w:hAnsi="Times New Roman" w:cs="Times New Roman"/>
                <w:sz w:val="18"/>
                <w:szCs w:val="18"/>
                <w:highlight w:val="yellow"/>
              </w:rPr>
            </w:pPr>
          </w:p>
        </w:tc>
        <w:tc>
          <w:tcPr>
            <w:tcW w:w="743" w:type="dxa"/>
            <w:tcBorders>
              <w:top w:val="nil"/>
              <w:left w:val="nil"/>
              <w:bottom w:val="nil"/>
              <w:right w:val="nil"/>
            </w:tcBorders>
          </w:tcPr>
          <w:p w14:paraId="293DCCE1" w14:textId="77777777" w:rsidR="00307155" w:rsidRPr="00FC7BB4" w:rsidRDefault="00307155" w:rsidP="00F3101B">
            <w:pPr>
              <w:spacing w:after="0" w:line="259" w:lineRule="auto"/>
              <w:ind w:right="27" w:firstLine="0"/>
              <w:rPr>
                <w:rFonts w:ascii="Times New Roman" w:hAnsi="Times New Roman" w:cs="Times New Roman"/>
                <w:sz w:val="18"/>
                <w:szCs w:val="18"/>
                <w:highlight w:val="yellow"/>
              </w:rPr>
            </w:pPr>
          </w:p>
        </w:tc>
        <w:tc>
          <w:tcPr>
            <w:tcW w:w="754" w:type="dxa"/>
            <w:tcBorders>
              <w:top w:val="nil"/>
              <w:left w:val="nil"/>
              <w:bottom w:val="nil"/>
              <w:right w:val="nil"/>
            </w:tcBorders>
            <w:vAlign w:val="center"/>
          </w:tcPr>
          <w:p w14:paraId="42E9911B" w14:textId="77777777" w:rsidR="00307155" w:rsidRPr="00FC7BB4" w:rsidRDefault="00307155" w:rsidP="00F3101B">
            <w:pPr>
              <w:spacing w:after="0" w:line="259" w:lineRule="auto"/>
              <w:ind w:right="27" w:firstLine="0"/>
              <w:rPr>
                <w:rFonts w:ascii="Times New Roman" w:hAnsi="Times New Roman" w:cs="Times New Roman"/>
                <w:sz w:val="18"/>
                <w:szCs w:val="18"/>
                <w:highlight w:val="yellow"/>
              </w:rPr>
            </w:pPr>
          </w:p>
        </w:tc>
        <w:tc>
          <w:tcPr>
            <w:tcW w:w="753" w:type="dxa"/>
            <w:tcBorders>
              <w:top w:val="nil"/>
              <w:left w:val="nil"/>
              <w:bottom w:val="nil"/>
              <w:right w:val="nil"/>
            </w:tcBorders>
            <w:vAlign w:val="center"/>
          </w:tcPr>
          <w:p w14:paraId="15708996" w14:textId="77777777" w:rsidR="00307155" w:rsidRPr="00FC7BB4" w:rsidRDefault="00307155" w:rsidP="00F3101B">
            <w:pPr>
              <w:spacing w:after="0" w:line="259" w:lineRule="auto"/>
              <w:ind w:right="27" w:firstLine="0"/>
              <w:rPr>
                <w:rFonts w:ascii="Times New Roman" w:hAnsi="Times New Roman" w:cs="Times New Roman"/>
                <w:sz w:val="18"/>
                <w:szCs w:val="18"/>
                <w:highlight w:val="yellow"/>
              </w:rPr>
            </w:pPr>
          </w:p>
        </w:tc>
        <w:tc>
          <w:tcPr>
            <w:tcW w:w="751" w:type="dxa"/>
            <w:tcBorders>
              <w:top w:val="nil"/>
              <w:left w:val="nil"/>
              <w:bottom w:val="nil"/>
              <w:right w:val="nil"/>
            </w:tcBorders>
            <w:vAlign w:val="center"/>
          </w:tcPr>
          <w:p w14:paraId="195AEBA1"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909" w:type="dxa"/>
            <w:tcBorders>
              <w:top w:val="nil"/>
              <w:left w:val="nil"/>
              <w:bottom w:val="nil"/>
              <w:right w:val="nil"/>
            </w:tcBorders>
            <w:vAlign w:val="center"/>
          </w:tcPr>
          <w:p w14:paraId="500E327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-0.03</w:t>
            </w:r>
          </w:p>
        </w:tc>
        <w:tc>
          <w:tcPr>
            <w:tcW w:w="850" w:type="dxa"/>
            <w:tcBorders>
              <w:top w:val="nil"/>
              <w:left w:val="nil"/>
              <w:bottom w:val="nil"/>
              <w:right w:val="nil"/>
            </w:tcBorders>
            <w:vAlign w:val="center"/>
          </w:tcPr>
          <w:p w14:paraId="4BB1E04F"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-0.16</w:t>
            </w:r>
          </w:p>
        </w:tc>
        <w:tc>
          <w:tcPr>
            <w:tcW w:w="851" w:type="dxa"/>
            <w:tcBorders>
              <w:top w:val="nil"/>
              <w:left w:val="nil"/>
              <w:bottom w:val="nil"/>
              <w:right w:val="nil"/>
            </w:tcBorders>
            <w:vAlign w:val="center"/>
          </w:tcPr>
          <w:p w14:paraId="01F70694"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-0.24</w:t>
            </w:r>
          </w:p>
        </w:tc>
      </w:tr>
      <w:tr w:rsidR="00307155" w:rsidRPr="00FC7BB4" w14:paraId="0907C9FB" w14:textId="77777777" w:rsidTr="00291B27">
        <w:trPr>
          <w:trHeight w:val="163"/>
        </w:trPr>
        <w:tc>
          <w:tcPr>
            <w:tcW w:w="1984" w:type="dxa"/>
            <w:tcBorders>
              <w:top w:val="nil"/>
              <w:left w:val="nil"/>
              <w:bottom w:val="nil"/>
              <w:right w:val="nil"/>
            </w:tcBorders>
          </w:tcPr>
          <w:p w14:paraId="066767C6" w14:textId="77777777" w:rsidR="00307155" w:rsidRPr="00FC7BB4" w:rsidRDefault="00307155" w:rsidP="00F3101B">
            <w:pPr>
              <w:spacing w:after="0" w:line="259" w:lineRule="auto"/>
              <w:ind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Ddn</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4804CA68"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Services</w:t>
            </w:r>
          </w:p>
        </w:tc>
        <w:tc>
          <w:tcPr>
            <w:tcW w:w="743" w:type="dxa"/>
            <w:tcBorders>
              <w:top w:val="nil"/>
              <w:left w:val="nil"/>
              <w:bottom w:val="nil"/>
              <w:right w:val="nil"/>
            </w:tcBorders>
          </w:tcPr>
          <w:p w14:paraId="7AD5C973"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small</w:t>
            </w:r>
          </w:p>
        </w:tc>
        <w:tc>
          <w:tcPr>
            <w:tcW w:w="754" w:type="dxa"/>
            <w:tcBorders>
              <w:top w:val="nil"/>
              <w:left w:val="nil"/>
              <w:bottom w:val="nil"/>
              <w:right w:val="nil"/>
            </w:tcBorders>
            <w:vAlign w:val="center"/>
          </w:tcPr>
          <w:p w14:paraId="769E4087"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0.34</w:t>
            </w:r>
          </w:p>
        </w:tc>
        <w:tc>
          <w:tcPr>
            <w:tcW w:w="753" w:type="dxa"/>
            <w:tcBorders>
              <w:top w:val="nil"/>
              <w:left w:val="nil"/>
              <w:bottom w:val="nil"/>
              <w:right w:val="nil"/>
            </w:tcBorders>
            <w:vAlign w:val="center"/>
          </w:tcPr>
          <w:p w14:paraId="301E6FB5"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0.35</w:t>
            </w:r>
          </w:p>
        </w:tc>
        <w:tc>
          <w:tcPr>
            <w:tcW w:w="751" w:type="dxa"/>
            <w:tcBorders>
              <w:top w:val="nil"/>
              <w:left w:val="nil"/>
              <w:bottom w:val="nil"/>
              <w:right w:val="nil"/>
            </w:tcBorders>
            <w:vAlign w:val="center"/>
          </w:tcPr>
          <w:p w14:paraId="1AB0458D"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0.35</w:t>
            </w:r>
          </w:p>
        </w:tc>
        <w:tc>
          <w:tcPr>
            <w:tcW w:w="909" w:type="dxa"/>
            <w:tcBorders>
              <w:top w:val="nil"/>
              <w:left w:val="nil"/>
              <w:bottom w:val="nil"/>
              <w:right w:val="nil"/>
            </w:tcBorders>
            <w:vAlign w:val="center"/>
          </w:tcPr>
          <w:p w14:paraId="7769010B"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0.25</w:t>
            </w:r>
          </w:p>
        </w:tc>
        <w:tc>
          <w:tcPr>
            <w:tcW w:w="850" w:type="dxa"/>
            <w:tcBorders>
              <w:top w:val="nil"/>
              <w:left w:val="nil"/>
              <w:bottom w:val="nil"/>
              <w:right w:val="nil"/>
            </w:tcBorders>
            <w:vAlign w:val="center"/>
          </w:tcPr>
          <w:p w14:paraId="125A0680"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0.09</w:t>
            </w:r>
          </w:p>
        </w:tc>
        <w:tc>
          <w:tcPr>
            <w:tcW w:w="851" w:type="dxa"/>
            <w:tcBorders>
              <w:top w:val="nil"/>
              <w:left w:val="nil"/>
              <w:bottom w:val="nil"/>
              <w:right w:val="nil"/>
            </w:tcBorders>
            <w:vAlign w:val="center"/>
          </w:tcPr>
          <w:p w14:paraId="22B8079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0.04</w:t>
            </w:r>
          </w:p>
        </w:tc>
      </w:tr>
      <w:tr w:rsidR="00307155" w:rsidRPr="00FC7BB4" w14:paraId="43297CF3" w14:textId="77777777" w:rsidTr="00291B27">
        <w:trPr>
          <w:trHeight w:val="163"/>
        </w:trPr>
        <w:tc>
          <w:tcPr>
            <w:tcW w:w="1984" w:type="dxa"/>
            <w:tcBorders>
              <w:top w:val="nil"/>
              <w:left w:val="nil"/>
              <w:bottom w:val="nil"/>
              <w:right w:val="nil"/>
            </w:tcBorders>
          </w:tcPr>
          <w:p w14:paraId="0ADC566A"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R=0)</w:t>
            </w:r>
          </w:p>
        </w:tc>
        <w:tc>
          <w:tcPr>
            <w:tcW w:w="1268" w:type="dxa"/>
            <w:tcBorders>
              <w:top w:val="nil"/>
              <w:left w:val="nil"/>
              <w:bottom w:val="nil"/>
              <w:right w:val="nil"/>
            </w:tcBorders>
          </w:tcPr>
          <w:p w14:paraId="41EBC4C6"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43" w:type="dxa"/>
            <w:tcBorders>
              <w:top w:val="nil"/>
              <w:left w:val="nil"/>
              <w:bottom w:val="nil"/>
              <w:right w:val="nil"/>
            </w:tcBorders>
          </w:tcPr>
          <w:p w14:paraId="0CE8B67A"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4" w:type="dxa"/>
            <w:tcBorders>
              <w:top w:val="nil"/>
              <w:left w:val="nil"/>
              <w:bottom w:val="nil"/>
              <w:right w:val="nil"/>
            </w:tcBorders>
            <w:vAlign w:val="center"/>
          </w:tcPr>
          <w:p w14:paraId="56AD11ED"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3" w:type="dxa"/>
            <w:tcBorders>
              <w:top w:val="nil"/>
              <w:left w:val="nil"/>
              <w:bottom w:val="nil"/>
              <w:right w:val="nil"/>
            </w:tcBorders>
            <w:vAlign w:val="center"/>
          </w:tcPr>
          <w:p w14:paraId="4895A65C"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751" w:type="dxa"/>
            <w:tcBorders>
              <w:top w:val="nil"/>
              <w:left w:val="nil"/>
              <w:bottom w:val="nil"/>
              <w:right w:val="nil"/>
            </w:tcBorders>
            <w:vAlign w:val="center"/>
          </w:tcPr>
          <w:p w14:paraId="301BFB87" w14:textId="77777777" w:rsidR="00307155" w:rsidRPr="00FC7BB4" w:rsidRDefault="00307155" w:rsidP="00F3101B">
            <w:pPr>
              <w:spacing w:after="0" w:line="259" w:lineRule="auto"/>
              <w:ind w:right="27" w:firstLine="0"/>
              <w:rPr>
                <w:rFonts w:ascii="Times New Roman" w:hAnsi="Times New Roman" w:cs="Times New Roman"/>
                <w:i/>
                <w:iCs/>
                <w:sz w:val="18"/>
                <w:szCs w:val="18"/>
              </w:rPr>
            </w:pPr>
          </w:p>
        </w:tc>
        <w:tc>
          <w:tcPr>
            <w:tcW w:w="909" w:type="dxa"/>
            <w:tcBorders>
              <w:top w:val="nil"/>
              <w:left w:val="nil"/>
              <w:bottom w:val="nil"/>
              <w:right w:val="nil"/>
            </w:tcBorders>
            <w:vAlign w:val="center"/>
          </w:tcPr>
          <w:p w14:paraId="3C8D374B"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-0.09***</w:t>
            </w:r>
          </w:p>
        </w:tc>
        <w:tc>
          <w:tcPr>
            <w:tcW w:w="850" w:type="dxa"/>
            <w:tcBorders>
              <w:top w:val="nil"/>
              <w:left w:val="nil"/>
              <w:bottom w:val="nil"/>
              <w:right w:val="nil"/>
            </w:tcBorders>
            <w:vAlign w:val="center"/>
          </w:tcPr>
          <w:p w14:paraId="108F1C81"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-0.26***</w:t>
            </w:r>
          </w:p>
        </w:tc>
        <w:tc>
          <w:tcPr>
            <w:tcW w:w="851" w:type="dxa"/>
            <w:tcBorders>
              <w:top w:val="nil"/>
              <w:left w:val="nil"/>
              <w:bottom w:val="nil"/>
              <w:right w:val="nil"/>
            </w:tcBorders>
            <w:vAlign w:val="center"/>
          </w:tcPr>
          <w:p w14:paraId="5D4535B0"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-0.32***</w:t>
            </w:r>
          </w:p>
        </w:tc>
      </w:tr>
      <w:tr w:rsidR="00307155" w:rsidRPr="00FC7BB4" w14:paraId="602AA0A2" w14:textId="77777777" w:rsidTr="00291B27">
        <w:trPr>
          <w:trHeight w:val="162"/>
        </w:trPr>
        <w:tc>
          <w:tcPr>
            <w:tcW w:w="1984" w:type="dxa"/>
            <w:tcBorders>
              <w:top w:val="nil"/>
              <w:left w:val="nil"/>
              <w:bottom w:val="nil"/>
              <w:right w:val="nil"/>
            </w:tcBorders>
          </w:tcPr>
          <w:p w14:paraId="29AB5237" w14:textId="77777777" w:rsidR="00307155" w:rsidRPr="00FC7BB4" w:rsidRDefault="00307155" w:rsidP="00F3101B">
            <w:pPr>
              <w:spacing w:after="0" w:line="259" w:lineRule="auto"/>
              <w:ind w:right="27" w:firstLine="0"/>
              <w:rPr>
                <w:rFonts w:ascii="Times New Roman" w:hAnsi="Times New Roman" w:cs="Times New Roman"/>
                <w:sz w:val="18"/>
                <w:szCs w:val="18"/>
              </w:rPr>
            </w:pPr>
            <w:proofErr w:type="spellStart"/>
            <w:r w:rsidRPr="00FC7BB4">
              <w:rPr>
                <w:rFonts w:ascii="Times New Roman" w:hAnsi="Times New Roman" w:cs="Times New Roman"/>
                <w:sz w:val="18"/>
                <w:szCs w:val="18"/>
              </w:rPr>
              <w:t>Ddn</w:t>
            </w:r>
            <w:proofErr w:type="spellEnd"/>
            <w:r w:rsidRPr="00FC7BB4">
              <w:rPr>
                <w:rFonts w:ascii="Times New Roman" w:hAnsi="Times New Roman" w:cs="Times New Roman"/>
                <w:sz w:val="18"/>
                <w:szCs w:val="18"/>
              </w:rPr>
              <w:t xml:space="preserve"> </w:t>
            </w:r>
          </w:p>
        </w:tc>
        <w:tc>
          <w:tcPr>
            <w:tcW w:w="1268" w:type="dxa"/>
            <w:tcBorders>
              <w:top w:val="nil"/>
              <w:left w:val="nil"/>
              <w:bottom w:val="nil"/>
              <w:right w:val="nil"/>
            </w:tcBorders>
          </w:tcPr>
          <w:p w14:paraId="2C7DDCF3"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nil"/>
              <w:right w:val="nil"/>
            </w:tcBorders>
          </w:tcPr>
          <w:p w14:paraId="73922F5D"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large</w:t>
            </w:r>
          </w:p>
        </w:tc>
        <w:tc>
          <w:tcPr>
            <w:tcW w:w="754" w:type="dxa"/>
            <w:tcBorders>
              <w:top w:val="nil"/>
              <w:left w:val="nil"/>
              <w:bottom w:val="nil"/>
              <w:right w:val="nil"/>
            </w:tcBorders>
            <w:vAlign w:val="center"/>
          </w:tcPr>
          <w:p w14:paraId="4A3001DD"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0.52</w:t>
            </w:r>
          </w:p>
        </w:tc>
        <w:tc>
          <w:tcPr>
            <w:tcW w:w="753" w:type="dxa"/>
            <w:tcBorders>
              <w:top w:val="nil"/>
              <w:left w:val="nil"/>
              <w:bottom w:val="nil"/>
              <w:right w:val="nil"/>
            </w:tcBorders>
            <w:vAlign w:val="center"/>
          </w:tcPr>
          <w:p w14:paraId="2EC45786" w14:textId="77777777" w:rsidR="00307155" w:rsidRPr="00FC7BB4" w:rsidRDefault="00307155" w:rsidP="00F3101B">
            <w:pPr>
              <w:spacing w:after="0"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0.43</w:t>
            </w:r>
          </w:p>
        </w:tc>
        <w:tc>
          <w:tcPr>
            <w:tcW w:w="751" w:type="dxa"/>
            <w:tcBorders>
              <w:top w:val="nil"/>
              <w:left w:val="nil"/>
              <w:bottom w:val="nil"/>
              <w:right w:val="nil"/>
            </w:tcBorders>
            <w:vAlign w:val="center"/>
          </w:tcPr>
          <w:p w14:paraId="3D5E7A29" w14:textId="77777777" w:rsidR="00307155" w:rsidRPr="00FC7BB4" w:rsidRDefault="00307155" w:rsidP="00F3101B">
            <w:pPr>
              <w:spacing w:after="100" w:afterAutospacing="1" w:line="259" w:lineRule="auto"/>
              <w:ind w:right="27" w:firstLine="0"/>
              <w:rPr>
                <w:rFonts w:ascii="Times New Roman" w:hAnsi="Times New Roman" w:cs="Times New Roman"/>
                <w:sz w:val="18"/>
                <w:szCs w:val="18"/>
              </w:rPr>
            </w:pPr>
            <w:r w:rsidRPr="00FC7BB4">
              <w:rPr>
                <w:rFonts w:ascii="Times New Roman" w:hAnsi="Times New Roman" w:cs="Times New Roman"/>
                <w:sz w:val="18"/>
                <w:szCs w:val="18"/>
              </w:rPr>
              <w:t>0.38</w:t>
            </w:r>
          </w:p>
        </w:tc>
        <w:tc>
          <w:tcPr>
            <w:tcW w:w="909" w:type="dxa"/>
            <w:tcBorders>
              <w:top w:val="nil"/>
              <w:left w:val="nil"/>
              <w:bottom w:val="nil"/>
              <w:right w:val="nil"/>
            </w:tcBorders>
            <w:vAlign w:val="center"/>
          </w:tcPr>
          <w:p w14:paraId="6C813F7F" w14:textId="77777777" w:rsidR="00307155" w:rsidRPr="00FC7BB4" w:rsidRDefault="00307155" w:rsidP="00F3101B">
            <w:pPr>
              <w:spacing w:after="100" w:afterAutospacing="1"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0.22</w:t>
            </w:r>
          </w:p>
        </w:tc>
        <w:tc>
          <w:tcPr>
            <w:tcW w:w="850" w:type="dxa"/>
            <w:tcBorders>
              <w:top w:val="nil"/>
              <w:left w:val="nil"/>
              <w:bottom w:val="nil"/>
              <w:right w:val="nil"/>
            </w:tcBorders>
            <w:vAlign w:val="center"/>
          </w:tcPr>
          <w:p w14:paraId="356DEBB7" w14:textId="77777777" w:rsidR="00307155" w:rsidRPr="00FC7BB4" w:rsidRDefault="00307155" w:rsidP="00F3101B">
            <w:pPr>
              <w:spacing w:after="100" w:afterAutospacing="1"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0.04</w:t>
            </w:r>
          </w:p>
        </w:tc>
        <w:tc>
          <w:tcPr>
            <w:tcW w:w="851" w:type="dxa"/>
            <w:tcBorders>
              <w:top w:val="nil"/>
              <w:left w:val="nil"/>
              <w:bottom w:val="nil"/>
              <w:right w:val="nil"/>
            </w:tcBorders>
            <w:vAlign w:val="center"/>
          </w:tcPr>
          <w:p w14:paraId="54F899A1" w14:textId="77777777" w:rsidR="00307155" w:rsidRPr="00FC7BB4" w:rsidRDefault="00307155" w:rsidP="00F3101B">
            <w:pPr>
              <w:spacing w:after="100" w:afterAutospacing="1" w:line="240" w:lineRule="auto"/>
              <w:ind w:right="27" w:firstLine="0"/>
              <w:rPr>
                <w:rFonts w:ascii="Times New Roman" w:hAnsi="Times New Roman" w:cs="Times New Roman"/>
                <w:sz w:val="18"/>
                <w:szCs w:val="18"/>
              </w:rPr>
            </w:pPr>
            <w:r w:rsidRPr="00FC7BB4">
              <w:rPr>
                <w:rFonts w:ascii="Times New Roman" w:hAnsi="Times New Roman" w:cs="Times New Roman"/>
                <w:sz w:val="18"/>
                <w:szCs w:val="18"/>
              </w:rPr>
              <w:t>0.01</w:t>
            </w:r>
          </w:p>
        </w:tc>
      </w:tr>
      <w:tr w:rsidR="00307155" w:rsidRPr="00FC7BB4" w14:paraId="2447E30F" w14:textId="77777777" w:rsidTr="00291B27">
        <w:trPr>
          <w:trHeight w:val="478"/>
        </w:trPr>
        <w:tc>
          <w:tcPr>
            <w:tcW w:w="1984" w:type="dxa"/>
            <w:tcBorders>
              <w:top w:val="nil"/>
              <w:left w:val="nil"/>
              <w:bottom w:val="single" w:sz="6" w:space="0" w:color="000000"/>
              <w:right w:val="nil"/>
            </w:tcBorders>
          </w:tcPr>
          <w:p w14:paraId="5E615D50" w14:textId="77777777" w:rsidR="00307155" w:rsidRPr="00FC7BB4" w:rsidRDefault="00307155" w:rsidP="00F3101B">
            <w:pPr>
              <w:spacing w:after="0" w:line="259"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Change (R=</w:t>
            </w:r>
            <w:proofErr w:type="gramStart"/>
            <w:r w:rsidRPr="00FC7BB4">
              <w:rPr>
                <w:rFonts w:ascii="Times New Roman" w:hAnsi="Times New Roman" w:cs="Times New Roman"/>
                <w:i/>
                <w:iCs/>
                <w:sz w:val="18"/>
                <w:szCs w:val="18"/>
              </w:rPr>
              <w:t>1)-(</w:t>
            </w:r>
            <w:proofErr w:type="gramEnd"/>
            <w:r w:rsidRPr="00FC7BB4">
              <w:rPr>
                <w:rFonts w:ascii="Times New Roman" w:hAnsi="Times New Roman" w:cs="Times New Roman"/>
                <w:i/>
                <w:iCs/>
                <w:sz w:val="18"/>
                <w:szCs w:val="18"/>
              </w:rPr>
              <w:t xml:space="preserve">R=0)                         </w:t>
            </w:r>
          </w:p>
          <w:p w14:paraId="5845A692"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1268" w:type="dxa"/>
            <w:tcBorders>
              <w:top w:val="nil"/>
              <w:left w:val="nil"/>
              <w:bottom w:val="single" w:sz="6" w:space="0" w:color="000000"/>
              <w:right w:val="nil"/>
            </w:tcBorders>
          </w:tcPr>
          <w:p w14:paraId="03140715"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43" w:type="dxa"/>
            <w:tcBorders>
              <w:top w:val="nil"/>
              <w:left w:val="nil"/>
              <w:bottom w:val="single" w:sz="6" w:space="0" w:color="000000"/>
              <w:right w:val="nil"/>
            </w:tcBorders>
          </w:tcPr>
          <w:p w14:paraId="32607484"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54" w:type="dxa"/>
            <w:tcBorders>
              <w:top w:val="nil"/>
              <w:left w:val="nil"/>
              <w:bottom w:val="single" w:sz="6" w:space="0" w:color="000000"/>
              <w:right w:val="nil"/>
            </w:tcBorders>
            <w:vAlign w:val="center"/>
          </w:tcPr>
          <w:p w14:paraId="3962B529"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53" w:type="dxa"/>
            <w:tcBorders>
              <w:top w:val="nil"/>
              <w:left w:val="nil"/>
              <w:bottom w:val="single" w:sz="6" w:space="0" w:color="000000"/>
              <w:right w:val="nil"/>
            </w:tcBorders>
            <w:vAlign w:val="center"/>
          </w:tcPr>
          <w:p w14:paraId="1ACCC222"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751" w:type="dxa"/>
            <w:tcBorders>
              <w:top w:val="nil"/>
              <w:left w:val="nil"/>
              <w:bottom w:val="single" w:sz="6" w:space="0" w:color="000000"/>
              <w:right w:val="nil"/>
            </w:tcBorders>
            <w:vAlign w:val="center"/>
          </w:tcPr>
          <w:p w14:paraId="3C405CD5" w14:textId="77777777" w:rsidR="00307155" w:rsidRPr="00FC7BB4" w:rsidRDefault="00307155" w:rsidP="00F3101B">
            <w:pPr>
              <w:spacing w:after="0" w:line="259" w:lineRule="auto"/>
              <w:ind w:right="27" w:firstLine="0"/>
              <w:rPr>
                <w:rFonts w:ascii="Times New Roman" w:hAnsi="Times New Roman" w:cs="Times New Roman"/>
                <w:sz w:val="18"/>
                <w:szCs w:val="18"/>
              </w:rPr>
            </w:pPr>
          </w:p>
        </w:tc>
        <w:tc>
          <w:tcPr>
            <w:tcW w:w="909" w:type="dxa"/>
            <w:tcBorders>
              <w:top w:val="nil"/>
              <w:left w:val="nil"/>
              <w:bottom w:val="single" w:sz="6" w:space="0" w:color="000000"/>
              <w:right w:val="nil"/>
            </w:tcBorders>
            <w:vAlign w:val="center"/>
          </w:tcPr>
          <w:p w14:paraId="0C361FFD" w14:textId="77777777" w:rsidR="00307155" w:rsidRPr="00FC7BB4" w:rsidRDefault="00307155" w:rsidP="00F3101B">
            <w:pPr>
              <w:spacing w:after="100" w:afterAutospacing="1" w:line="240"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-0.29***</w:t>
            </w:r>
          </w:p>
        </w:tc>
        <w:tc>
          <w:tcPr>
            <w:tcW w:w="850" w:type="dxa"/>
            <w:tcBorders>
              <w:top w:val="nil"/>
              <w:left w:val="nil"/>
              <w:bottom w:val="single" w:sz="6" w:space="0" w:color="000000"/>
              <w:right w:val="nil"/>
            </w:tcBorders>
            <w:vAlign w:val="center"/>
          </w:tcPr>
          <w:p w14:paraId="1375E0C3" w14:textId="77777777" w:rsidR="00307155" w:rsidRPr="00FC7BB4" w:rsidRDefault="00307155" w:rsidP="00F3101B">
            <w:pPr>
              <w:spacing w:after="100" w:afterAutospacing="1" w:line="240"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-0.40***</w:t>
            </w:r>
          </w:p>
        </w:tc>
        <w:tc>
          <w:tcPr>
            <w:tcW w:w="851" w:type="dxa"/>
            <w:tcBorders>
              <w:top w:val="nil"/>
              <w:left w:val="nil"/>
              <w:bottom w:val="single" w:sz="6" w:space="0" w:color="000000"/>
              <w:right w:val="nil"/>
            </w:tcBorders>
            <w:vAlign w:val="center"/>
          </w:tcPr>
          <w:p w14:paraId="2C3C66FE" w14:textId="77777777" w:rsidR="00307155" w:rsidRPr="00FC7BB4" w:rsidRDefault="00307155" w:rsidP="00F3101B">
            <w:pPr>
              <w:spacing w:after="100" w:afterAutospacing="1" w:line="240" w:lineRule="auto"/>
              <w:ind w:right="27" w:firstLine="0"/>
              <w:rPr>
                <w:rFonts w:ascii="Times New Roman" w:hAnsi="Times New Roman" w:cs="Times New Roman"/>
                <w:i/>
                <w:iCs/>
                <w:sz w:val="18"/>
                <w:szCs w:val="18"/>
              </w:rPr>
            </w:pPr>
            <w:r w:rsidRPr="00FC7BB4">
              <w:rPr>
                <w:rFonts w:ascii="Times New Roman" w:hAnsi="Times New Roman" w:cs="Times New Roman"/>
                <w:i/>
                <w:iCs/>
                <w:sz w:val="18"/>
                <w:szCs w:val="18"/>
              </w:rPr>
              <w:t>-0.37***</w:t>
            </w:r>
          </w:p>
        </w:tc>
      </w:tr>
    </w:tbl>
    <w:p w14:paraId="74DE868B" w14:textId="77777777" w:rsidR="00307155" w:rsidRPr="00FC7BB4" w:rsidRDefault="00307155" w:rsidP="00F3101B">
      <w:pPr>
        <w:pStyle w:val="FootnoteText"/>
        <w:ind w:left="510" w:right="27" w:firstLine="0"/>
        <w:rPr>
          <w:rFonts w:ascii="Times New Roman" w:hAnsi="Times New Roman" w:cs="Times New Roman"/>
          <w:sz w:val="18"/>
          <w:szCs w:val="18"/>
        </w:rPr>
      </w:pPr>
    </w:p>
    <w:p w14:paraId="17DC895F" w14:textId="24E4D428" w:rsidR="00307155" w:rsidRPr="00FC7BB4" w:rsidRDefault="00307155" w:rsidP="00F3101B">
      <w:pPr>
        <w:pStyle w:val="FootnoteText"/>
        <w:ind w:left="510" w:right="1417" w:firstLine="0"/>
        <w:rPr>
          <w:rFonts w:ascii="Times New Roman" w:hAnsi="Times New Roman" w:cs="Times New Roman"/>
          <w:sz w:val="18"/>
          <w:szCs w:val="18"/>
          <w:lang w:val="en-GB"/>
        </w:rPr>
      </w:pPr>
      <w:r w:rsidRPr="00FC7BB4">
        <w:rPr>
          <w:rFonts w:ascii="Times New Roman" w:hAnsi="Times New Roman" w:cs="Times New Roman"/>
          <w:sz w:val="18"/>
          <w:szCs w:val="18"/>
        </w:rPr>
        <w:t xml:space="preserve">Notes: </w:t>
      </w:r>
      <w:bookmarkStart w:id="106" w:name="_Hlk213336919"/>
      <w:r w:rsidRPr="00FC7BB4">
        <w:rPr>
          <w:rFonts w:ascii="Times New Roman" w:hAnsi="Times New Roman" w:cs="Times New Roman"/>
          <w:sz w:val="18"/>
          <w:szCs w:val="18"/>
        </w:rPr>
        <w:t xml:space="preserve">These conditional probabilities are derived from the coefficient estimates shown in Table A3 and are evaluated at the specific inflation rates of 2%, 5% and 7%. P=prices, C=costs, D=demand, up=increase, </w:t>
      </w:r>
      <w:proofErr w:type="spellStart"/>
      <w:r w:rsidRPr="00FC7BB4">
        <w:rPr>
          <w:rFonts w:ascii="Times New Roman" w:hAnsi="Times New Roman" w:cs="Times New Roman"/>
          <w:sz w:val="18"/>
          <w:szCs w:val="18"/>
        </w:rPr>
        <w:t>nc</w:t>
      </w:r>
      <w:proofErr w:type="spellEnd"/>
      <w:r w:rsidRPr="00FC7BB4">
        <w:rPr>
          <w:rFonts w:ascii="Times New Roman" w:hAnsi="Times New Roman" w:cs="Times New Roman"/>
          <w:sz w:val="18"/>
          <w:szCs w:val="18"/>
        </w:rPr>
        <w:t xml:space="preserve">=no change, </w:t>
      </w:r>
      <w:proofErr w:type="spellStart"/>
      <w:r w:rsidRPr="00FC7BB4">
        <w:rPr>
          <w:rFonts w:ascii="Times New Roman" w:hAnsi="Times New Roman" w:cs="Times New Roman"/>
          <w:sz w:val="18"/>
          <w:szCs w:val="18"/>
        </w:rPr>
        <w:t>dn</w:t>
      </w:r>
      <w:proofErr w:type="spellEnd"/>
      <w:r w:rsidRPr="00FC7BB4">
        <w:rPr>
          <w:rFonts w:ascii="Times New Roman" w:hAnsi="Times New Roman" w:cs="Times New Roman"/>
          <w:sz w:val="18"/>
          <w:szCs w:val="18"/>
        </w:rPr>
        <w:t>=down;</w:t>
      </w:r>
      <w:r w:rsidRPr="00FC7BB4">
        <w:rPr>
          <w:rFonts w:ascii="Times New Roman" w:eastAsia="Cambria" w:hAnsi="Times New Roman" w:cs="Times New Roman"/>
          <w:i/>
          <w:sz w:val="18"/>
          <w:szCs w:val="18"/>
        </w:rPr>
        <w:t xml:space="preserve"> </w:t>
      </w:r>
      <w:r w:rsidRPr="00FC7BB4">
        <w:rPr>
          <w:rFonts w:ascii="Times New Roman" w:hAnsi="Times New Roman" w:cs="Times New Roman"/>
          <w:sz w:val="18"/>
          <w:szCs w:val="18"/>
        </w:rPr>
        <w:t>hence for example, Dup=Demand up, and so on. Owing to a lack of large building firms in the sample, the size analysis for firms in the building sector</w:t>
      </w:r>
      <w:r w:rsidR="00DF2AF3" w:rsidRPr="00FC7BB4">
        <w:rPr>
          <w:rFonts w:ascii="Times New Roman" w:hAnsi="Times New Roman" w:cs="Times New Roman"/>
          <w:sz w:val="18"/>
          <w:szCs w:val="18"/>
        </w:rPr>
        <w:t xml:space="preserve"> is not undertaken</w:t>
      </w:r>
      <w:r w:rsidRPr="00FC7BB4">
        <w:rPr>
          <w:rFonts w:ascii="Times New Roman" w:hAnsi="Times New Roman" w:cs="Times New Roman"/>
          <w:sz w:val="18"/>
          <w:szCs w:val="18"/>
        </w:rPr>
        <w:t xml:space="preserve">. Large firms are firms with more than 200 employees; small firms are firms with </w:t>
      </w:r>
      <w:r w:rsidR="00C135D5" w:rsidRPr="00FC7BB4">
        <w:rPr>
          <w:rFonts w:ascii="Times New Roman" w:hAnsi="Times New Roman" w:cs="Times New Roman"/>
          <w:sz w:val="18"/>
          <w:szCs w:val="18"/>
        </w:rPr>
        <w:t>20 or few</w:t>
      </w:r>
      <w:r w:rsidR="00210450" w:rsidRPr="00FC7BB4">
        <w:rPr>
          <w:rFonts w:ascii="Times New Roman" w:hAnsi="Times New Roman" w:cs="Times New Roman"/>
          <w:sz w:val="18"/>
          <w:szCs w:val="18"/>
        </w:rPr>
        <w:t>er</w:t>
      </w:r>
      <w:r w:rsidRPr="00FC7BB4">
        <w:rPr>
          <w:rFonts w:ascii="Times New Roman" w:hAnsi="Times New Roman" w:cs="Times New Roman"/>
          <w:sz w:val="18"/>
          <w:szCs w:val="18"/>
        </w:rPr>
        <w:t xml:space="preserve"> employees. </w:t>
      </w:r>
      <w:r w:rsidRPr="00FC7BB4">
        <w:rPr>
          <w:rFonts w:ascii="Times New Roman" w:eastAsia="Times New Roman" w:hAnsi="Times New Roman" w:cs="Times New Roman"/>
          <w:color w:val="auto"/>
          <w:kern w:val="0"/>
          <w:sz w:val="18"/>
          <w:szCs w:val="18"/>
          <w14:ligatures w14:val="none"/>
        </w:rPr>
        <w:t>Change (R=</w:t>
      </w:r>
      <w:proofErr w:type="gramStart"/>
      <w:r w:rsidRPr="00FC7BB4">
        <w:rPr>
          <w:rFonts w:ascii="Times New Roman" w:eastAsia="Times New Roman" w:hAnsi="Times New Roman" w:cs="Times New Roman"/>
          <w:color w:val="auto"/>
          <w:kern w:val="0"/>
          <w:sz w:val="18"/>
          <w:szCs w:val="18"/>
          <w14:ligatures w14:val="none"/>
        </w:rPr>
        <w:t>1)-(</w:t>
      </w:r>
      <w:proofErr w:type="gramEnd"/>
      <w:r w:rsidRPr="00FC7BB4">
        <w:rPr>
          <w:rFonts w:ascii="Times New Roman" w:eastAsia="Times New Roman" w:hAnsi="Times New Roman" w:cs="Times New Roman"/>
          <w:color w:val="auto"/>
          <w:kern w:val="0"/>
          <w:sz w:val="18"/>
          <w:szCs w:val="18"/>
          <w14:ligatures w14:val="none"/>
        </w:rPr>
        <w:t>R=0) is the absolute change in the estimated conditional probability of a price change (under the equivalent cost and demand conditions) between Pre- and Post-2011Q2. Statistical significance is evaluated using the Delta method by applying the “margins” command in Stata and is denoted by asterisks: *** p &lt; 0.01, ** p &lt; 0.05, * p &lt; 0.10. Small differences between the recorded “Change (R=</w:t>
      </w:r>
      <w:proofErr w:type="gramStart"/>
      <w:r w:rsidRPr="00FC7BB4">
        <w:rPr>
          <w:rFonts w:ascii="Times New Roman" w:eastAsia="Times New Roman" w:hAnsi="Times New Roman" w:cs="Times New Roman"/>
          <w:color w:val="auto"/>
          <w:kern w:val="0"/>
          <w:sz w:val="18"/>
          <w:szCs w:val="18"/>
          <w14:ligatures w14:val="none"/>
        </w:rPr>
        <w:t>1)-(</w:t>
      </w:r>
      <w:proofErr w:type="gramEnd"/>
      <w:r w:rsidRPr="00FC7BB4">
        <w:rPr>
          <w:rFonts w:ascii="Times New Roman" w:eastAsia="Times New Roman" w:hAnsi="Times New Roman" w:cs="Times New Roman"/>
          <w:color w:val="auto"/>
          <w:kern w:val="0"/>
          <w:sz w:val="18"/>
          <w:szCs w:val="18"/>
          <w14:ligatures w14:val="none"/>
        </w:rPr>
        <w:t>R=0)” and the respective recorded values of the reported conditional probabilities are due to rounding to the nearest digit at the second decimal point.</w:t>
      </w:r>
      <w:bookmarkEnd w:id="106"/>
    </w:p>
    <w:p w14:paraId="028EB331" w14:textId="77777777" w:rsidR="00307155" w:rsidRPr="00FC7BB4" w:rsidRDefault="00307155" w:rsidP="00F3101B">
      <w:pPr>
        <w:spacing w:after="0" w:line="240" w:lineRule="auto"/>
        <w:ind w:left="493" w:right="27" w:firstLine="0"/>
        <w:rPr>
          <w:rFonts w:ascii="Times New Roman" w:eastAsia="Times New Roman" w:hAnsi="Times New Roman" w:cs="Times New Roman"/>
          <w:color w:val="auto"/>
          <w:kern w:val="0"/>
          <w:sz w:val="16"/>
          <w:szCs w:val="16"/>
          <w14:ligatures w14:val="none"/>
        </w:rPr>
      </w:pPr>
    </w:p>
    <w:p w14:paraId="449D38CC" w14:textId="66790004" w:rsidR="00426A3B" w:rsidRPr="00FC7BB4" w:rsidRDefault="00307155" w:rsidP="00F3101B">
      <w:pPr>
        <w:spacing w:after="17" w:line="262" w:lineRule="auto"/>
        <w:ind w:left="-5" w:right="27" w:hanging="10"/>
        <w:jc w:val="center"/>
        <w:rPr>
          <w:rFonts w:ascii="Times New Roman" w:eastAsiaTheme="minorHAnsi" w:hAnsi="Times New Roman" w:cs="Times New Roman"/>
          <w:color w:val="auto"/>
          <w:szCs w:val="20"/>
          <w:lang w:val="en-GB" w:eastAsia="en-US"/>
        </w:rPr>
      </w:pPr>
      <w:r w:rsidRPr="00FC7BB4">
        <w:rPr>
          <w:rFonts w:ascii="Times New Roman" w:hAnsi="Times New Roman" w:cs="Times New Roman"/>
          <w:b/>
          <w:bCs/>
          <w:sz w:val="24"/>
        </w:rPr>
        <w:lastRenderedPageBreak/>
        <w:t>Table A5:</w:t>
      </w:r>
      <w:bookmarkStart w:id="107" w:name="_Hlk213336989"/>
      <w:r w:rsidRPr="00FC7BB4">
        <w:rPr>
          <w:rFonts w:ascii="Times New Roman" w:hAnsi="Times New Roman" w:cs="Times New Roman"/>
          <w:b/>
          <w:bCs/>
          <w:sz w:val="24"/>
        </w:rPr>
        <w:t xml:space="preserve"> Ordered probit estimation of equation</w:t>
      </w:r>
      <w:r w:rsidRPr="00FC7BB4">
        <w:rPr>
          <w:rFonts w:ascii="Times New Roman" w:hAnsi="Times New Roman" w:cs="Times New Roman"/>
          <w:b/>
          <w:bCs/>
          <w:color w:val="auto"/>
          <w:sz w:val="24"/>
        </w:rPr>
        <w:t xml:space="preserve"> 2 for profitability changes when firms report no change in cost and demand conditions: Pre- and Post</w:t>
      </w:r>
      <w:r w:rsidR="00C67D78" w:rsidRPr="00FC7BB4">
        <w:rPr>
          <w:rFonts w:ascii="Times New Roman" w:hAnsi="Times New Roman" w:cs="Times New Roman"/>
          <w:b/>
          <w:bCs/>
          <w:color w:val="auto"/>
          <w:sz w:val="24"/>
        </w:rPr>
        <w:t>-</w:t>
      </w:r>
      <w:r w:rsidRPr="00FC7BB4">
        <w:rPr>
          <w:rFonts w:ascii="Times New Roman" w:hAnsi="Times New Roman" w:cs="Times New Roman"/>
          <w:b/>
          <w:bCs/>
          <w:color w:val="auto"/>
          <w:sz w:val="24"/>
        </w:rPr>
        <w:t>2011Q2</w:t>
      </w:r>
      <w:bookmarkEnd w:id="107"/>
      <w:r w:rsidR="00426A3B" w:rsidRPr="00FC7BB4">
        <w:rPr>
          <w:rFonts w:ascii="Times New Roman" w:hAnsi="Times New Roman" w:cs="Times New Roman"/>
        </w:rPr>
        <w:fldChar w:fldCharType="begin"/>
      </w:r>
      <w:r w:rsidR="00426A3B" w:rsidRPr="00FC7BB4">
        <w:rPr>
          <w:rFonts w:ascii="Times New Roman" w:hAnsi="Times New Roman" w:cs="Times New Roman"/>
        </w:rPr>
        <w:instrText xml:space="preserve"> LINK Excel.Sheet.12 "Book1" "Sheet1!R3C2:R44C7" \a \f 4 \h  \* MERGEFORMAT </w:instrText>
      </w:r>
      <w:r w:rsidR="00426A3B" w:rsidRPr="00FC7BB4">
        <w:rPr>
          <w:rFonts w:ascii="Times New Roman" w:hAnsi="Times New Roman" w:cs="Times New Roman"/>
        </w:rPr>
        <w:fldChar w:fldCharType="separate"/>
      </w:r>
    </w:p>
    <w:tbl>
      <w:tblPr>
        <w:tblW w:w="10360" w:type="dxa"/>
        <w:tblLook w:val="04A0" w:firstRow="1" w:lastRow="0" w:firstColumn="1" w:lastColumn="0" w:noHBand="0" w:noVBand="1"/>
      </w:tblPr>
      <w:tblGrid>
        <w:gridCol w:w="1660"/>
        <w:gridCol w:w="1884"/>
        <w:gridCol w:w="1843"/>
        <w:gridCol w:w="1984"/>
        <w:gridCol w:w="1701"/>
        <w:gridCol w:w="1288"/>
      </w:tblGrid>
      <w:tr w:rsidR="00426A3B" w:rsidRPr="00FC7BB4" w14:paraId="73BDC70C" w14:textId="77777777" w:rsidTr="00F3101B">
        <w:trPr>
          <w:trHeight w:val="315"/>
        </w:trPr>
        <w:tc>
          <w:tcPr>
            <w:tcW w:w="1660" w:type="dxa"/>
            <w:tcBorders>
              <w:top w:val="single" w:sz="4" w:space="0" w:color="auto"/>
              <w:left w:val="nil"/>
              <w:bottom w:val="single" w:sz="4" w:space="0" w:color="auto"/>
              <w:right w:val="nil"/>
            </w:tcBorders>
            <w:noWrap/>
            <w:vAlign w:val="bottom"/>
            <w:hideMark/>
          </w:tcPr>
          <w:p w14:paraId="5E98BA48"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Coefficients</w:t>
            </w:r>
          </w:p>
        </w:tc>
        <w:tc>
          <w:tcPr>
            <w:tcW w:w="1884" w:type="dxa"/>
            <w:tcBorders>
              <w:top w:val="single" w:sz="4" w:space="0" w:color="auto"/>
              <w:left w:val="nil"/>
              <w:bottom w:val="single" w:sz="4" w:space="0" w:color="auto"/>
              <w:right w:val="nil"/>
            </w:tcBorders>
            <w:noWrap/>
            <w:vAlign w:val="bottom"/>
            <w:hideMark/>
          </w:tcPr>
          <w:p w14:paraId="242F43A2"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All firms</w:t>
            </w:r>
          </w:p>
        </w:tc>
        <w:tc>
          <w:tcPr>
            <w:tcW w:w="1843" w:type="dxa"/>
            <w:tcBorders>
              <w:top w:val="single" w:sz="4" w:space="0" w:color="auto"/>
              <w:left w:val="nil"/>
              <w:bottom w:val="single" w:sz="4" w:space="0" w:color="auto"/>
              <w:right w:val="nil"/>
            </w:tcBorders>
            <w:noWrap/>
            <w:vAlign w:val="bottom"/>
            <w:hideMark/>
          </w:tcPr>
          <w:p w14:paraId="444271C5"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Builders</w:t>
            </w:r>
          </w:p>
        </w:tc>
        <w:tc>
          <w:tcPr>
            <w:tcW w:w="1984" w:type="dxa"/>
            <w:tcBorders>
              <w:top w:val="single" w:sz="4" w:space="0" w:color="auto"/>
              <w:left w:val="nil"/>
              <w:bottom w:val="single" w:sz="4" w:space="0" w:color="auto"/>
              <w:right w:val="nil"/>
            </w:tcBorders>
            <w:noWrap/>
            <w:vAlign w:val="bottom"/>
            <w:hideMark/>
          </w:tcPr>
          <w:p w14:paraId="44137D30"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Manufacturers</w:t>
            </w:r>
          </w:p>
        </w:tc>
        <w:tc>
          <w:tcPr>
            <w:tcW w:w="1701" w:type="dxa"/>
            <w:tcBorders>
              <w:top w:val="single" w:sz="4" w:space="0" w:color="auto"/>
              <w:left w:val="nil"/>
              <w:bottom w:val="single" w:sz="4" w:space="0" w:color="auto"/>
              <w:right w:val="nil"/>
            </w:tcBorders>
            <w:noWrap/>
            <w:vAlign w:val="bottom"/>
            <w:hideMark/>
          </w:tcPr>
          <w:p w14:paraId="3AB6867C"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Merchants</w:t>
            </w:r>
          </w:p>
        </w:tc>
        <w:tc>
          <w:tcPr>
            <w:tcW w:w="1288" w:type="dxa"/>
            <w:tcBorders>
              <w:top w:val="single" w:sz="4" w:space="0" w:color="auto"/>
              <w:left w:val="nil"/>
              <w:bottom w:val="single" w:sz="4" w:space="0" w:color="auto"/>
              <w:right w:val="nil"/>
            </w:tcBorders>
            <w:noWrap/>
            <w:vAlign w:val="bottom"/>
            <w:hideMark/>
          </w:tcPr>
          <w:p w14:paraId="07521A0B"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Services</w:t>
            </w:r>
          </w:p>
        </w:tc>
      </w:tr>
      <w:tr w:rsidR="00426A3B" w:rsidRPr="00FC7BB4" w14:paraId="71DC07AA" w14:textId="77777777" w:rsidTr="00F3101B">
        <w:trPr>
          <w:trHeight w:val="315"/>
        </w:trPr>
        <w:tc>
          <w:tcPr>
            <w:tcW w:w="1660" w:type="dxa"/>
            <w:tcBorders>
              <w:top w:val="nil"/>
              <w:left w:val="nil"/>
              <w:bottom w:val="nil"/>
              <w:right w:val="nil"/>
            </w:tcBorders>
            <w:noWrap/>
            <w:vAlign w:val="bottom"/>
            <w:hideMark/>
          </w:tcPr>
          <w:p w14:paraId="528A1A42"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spellStart"/>
            <w:r w:rsidRPr="00FC7BB4">
              <w:rPr>
                <w:rFonts w:ascii="Times New Roman" w:eastAsia="Times New Roman" w:hAnsi="Times New Roman" w:cs="Times New Roman"/>
                <w:kern w:val="0"/>
                <w:szCs w:val="20"/>
                <w14:ligatures w14:val="none"/>
              </w:rPr>
              <w:t>Cnc</w:t>
            </w:r>
            <w:proofErr w:type="spellEnd"/>
          </w:p>
        </w:tc>
        <w:tc>
          <w:tcPr>
            <w:tcW w:w="1884" w:type="dxa"/>
            <w:tcBorders>
              <w:top w:val="nil"/>
              <w:left w:val="nil"/>
              <w:bottom w:val="nil"/>
              <w:right w:val="nil"/>
            </w:tcBorders>
            <w:noWrap/>
            <w:vAlign w:val="bottom"/>
            <w:hideMark/>
          </w:tcPr>
          <w:p w14:paraId="171E3C68"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-.589***</w:t>
            </w:r>
          </w:p>
        </w:tc>
        <w:tc>
          <w:tcPr>
            <w:tcW w:w="1843" w:type="dxa"/>
            <w:tcBorders>
              <w:top w:val="nil"/>
              <w:left w:val="nil"/>
              <w:bottom w:val="nil"/>
              <w:right w:val="nil"/>
            </w:tcBorders>
            <w:noWrap/>
            <w:vAlign w:val="bottom"/>
            <w:hideMark/>
          </w:tcPr>
          <w:p w14:paraId="7E0020DE"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 w:val="18"/>
                <w:szCs w:val="18"/>
                <w14:ligatures w14:val="none"/>
              </w:rPr>
            </w:pPr>
            <w:r w:rsidRPr="00FC7BB4">
              <w:rPr>
                <w:rFonts w:ascii="Times New Roman" w:eastAsia="Times New Roman" w:hAnsi="Times New Roman" w:cs="Times New Roman"/>
                <w:color w:val="auto"/>
                <w:kern w:val="0"/>
                <w:szCs w:val="20"/>
                <w14:ligatures w14:val="none"/>
              </w:rPr>
              <w:t>-.485***</w:t>
            </w:r>
          </w:p>
        </w:tc>
        <w:tc>
          <w:tcPr>
            <w:tcW w:w="1984" w:type="dxa"/>
            <w:tcBorders>
              <w:top w:val="nil"/>
              <w:left w:val="nil"/>
              <w:bottom w:val="nil"/>
              <w:right w:val="nil"/>
            </w:tcBorders>
            <w:noWrap/>
            <w:vAlign w:val="bottom"/>
            <w:hideMark/>
          </w:tcPr>
          <w:p w14:paraId="65F9E29A"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-.700***</w:t>
            </w:r>
          </w:p>
        </w:tc>
        <w:tc>
          <w:tcPr>
            <w:tcW w:w="1701" w:type="dxa"/>
            <w:tcBorders>
              <w:top w:val="nil"/>
              <w:left w:val="nil"/>
              <w:bottom w:val="nil"/>
              <w:right w:val="nil"/>
            </w:tcBorders>
            <w:noWrap/>
            <w:vAlign w:val="bottom"/>
            <w:hideMark/>
          </w:tcPr>
          <w:p w14:paraId="3E7714D3"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-.565***</w:t>
            </w:r>
          </w:p>
        </w:tc>
        <w:tc>
          <w:tcPr>
            <w:tcW w:w="1288" w:type="dxa"/>
            <w:tcBorders>
              <w:top w:val="nil"/>
              <w:left w:val="nil"/>
              <w:bottom w:val="nil"/>
              <w:right w:val="nil"/>
            </w:tcBorders>
            <w:noWrap/>
            <w:vAlign w:val="bottom"/>
            <w:hideMark/>
          </w:tcPr>
          <w:p w14:paraId="7966A52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-.649***</w:t>
            </w:r>
          </w:p>
        </w:tc>
      </w:tr>
      <w:tr w:rsidR="00426A3B" w:rsidRPr="00FC7BB4" w14:paraId="6B1F779A" w14:textId="77777777" w:rsidTr="00F3101B">
        <w:trPr>
          <w:trHeight w:val="326"/>
        </w:trPr>
        <w:tc>
          <w:tcPr>
            <w:tcW w:w="1660" w:type="dxa"/>
            <w:tcBorders>
              <w:top w:val="nil"/>
              <w:left w:val="nil"/>
              <w:bottom w:val="nil"/>
              <w:right w:val="nil"/>
            </w:tcBorders>
            <w:noWrap/>
            <w:vAlign w:val="bottom"/>
            <w:hideMark/>
          </w:tcPr>
          <w:p w14:paraId="211EEDE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3A98CAF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(.016)</w:t>
            </w:r>
          </w:p>
        </w:tc>
        <w:tc>
          <w:tcPr>
            <w:tcW w:w="1843" w:type="dxa"/>
            <w:tcBorders>
              <w:top w:val="nil"/>
              <w:left w:val="nil"/>
              <w:bottom w:val="nil"/>
              <w:right w:val="nil"/>
            </w:tcBorders>
            <w:noWrap/>
            <w:vAlign w:val="bottom"/>
            <w:hideMark/>
          </w:tcPr>
          <w:p w14:paraId="12AE899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(.06)</w:t>
            </w:r>
          </w:p>
        </w:tc>
        <w:tc>
          <w:tcPr>
            <w:tcW w:w="1984" w:type="dxa"/>
            <w:tcBorders>
              <w:top w:val="nil"/>
              <w:left w:val="nil"/>
              <w:bottom w:val="nil"/>
              <w:right w:val="nil"/>
            </w:tcBorders>
            <w:noWrap/>
            <w:vAlign w:val="bottom"/>
            <w:hideMark/>
          </w:tcPr>
          <w:p w14:paraId="4CE06FD8"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(.03)</w:t>
            </w:r>
          </w:p>
        </w:tc>
        <w:tc>
          <w:tcPr>
            <w:tcW w:w="1701" w:type="dxa"/>
            <w:tcBorders>
              <w:top w:val="nil"/>
              <w:left w:val="nil"/>
              <w:bottom w:val="nil"/>
              <w:right w:val="nil"/>
            </w:tcBorders>
            <w:noWrap/>
            <w:vAlign w:val="bottom"/>
            <w:hideMark/>
          </w:tcPr>
          <w:p w14:paraId="592F8816"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(.036)</w:t>
            </w:r>
          </w:p>
        </w:tc>
        <w:tc>
          <w:tcPr>
            <w:tcW w:w="1288" w:type="dxa"/>
            <w:tcBorders>
              <w:top w:val="nil"/>
              <w:left w:val="nil"/>
              <w:bottom w:val="nil"/>
              <w:right w:val="nil"/>
            </w:tcBorders>
            <w:noWrap/>
            <w:vAlign w:val="bottom"/>
            <w:hideMark/>
          </w:tcPr>
          <w:p w14:paraId="0F848CE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(.025)</w:t>
            </w:r>
          </w:p>
        </w:tc>
      </w:tr>
      <w:tr w:rsidR="00426A3B" w:rsidRPr="00FC7BB4" w14:paraId="3472969B" w14:textId="77777777" w:rsidTr="00F3101B">
        <w:trPr>
          <w:trHeight w:val="315"/>
        </w:trPr>
        <w:tc>
          <w:tcPr>
            <w:tcW w:w="1660" w:type="dxa"/>
            <w:tcBorders>
              <w:top w:val="nil"/>
              <w:left w:val="nil"/>
              <w:bottom w:val="nil"/>
              <w:right w:val="nil"/>
            </w:tcBorders>
            <w:noWrap/>
            <w:vAlign w:val="bottom"/>
            <w:hideMark/>
          </w:tcPr>
          <w:p w14:paraId="313C336D"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π.</w:t>
            </w:r>
            <w:proofErr w:type="spellStart"/>
            <w:r w:rsidRPr="00FC7BB4">
              <w:rPr>
                <w:rFonts w:ascii="Times New Roman" w:eastAsia="Times New Roman" w:hAnsi="Times New Roman" w:cs="Times New Roman"/>
                <w:kern w:val="0"/>
                <w:szCs w:val="20"/>
                <w14:ligatures w14:val="none"/>
              </w:rPr>
              <w:t>Cnc</w:t>
            </w:r>
            <w:proofErr w:type="spellEnd"/>
            <w:proofErr w:type="gramEnd"/>
          </w:p>
        </w:tc>
        <w:tc>
          <w:tcPr>
            <w:tcW w:w="1884" w:type="dxa"/>
            <w:tcBorders>
              <w:top w:val="nil"/>
              <w:left w:val="nil"/>
              <w:bottom w:val="nil"/>
              <w:right w:val="nil"/>
            </w:tcBorders>
            <w:noWrap/>
            <w:vAlign w:val="bottom"/>
            <w:hideMark/>
          </w:tcPr>
          <w:p w14:paraId="6D8DA666"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1.175***</w:t>
            </w:r>
          </w:p>
        </w:tc>
        <w:tc>
          <w:tcPr>
            <w:tcW w:w="1843" w:type="dxa"/>
            <w:tcBorders>
              <w:top w:val="nil"/>
              <w:left w:val="nil"/>
              <w:bottom w:val="nil"/>
              <w:right w:val="nil"/>
            </w:tcBorders>
            <w:noWrap/>
            <w:vAlign w:val="bottom"/>
            <w:hideMark/>
          </w:tcPr>
          <w:p w14:paraId="6E359408"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1.224</w:t>
            </w:r>
          </w:p>
        </w:tc>
        <w:tc>
          <w:tcPr>
            <w:tcW w:w="1984" w:type="dxa"/>
            <w:tcBorders>
              <w:top w:val="nil"/>
              <w:left w:val="nil"/>
              <w:bottom w:val="nil"/>
              <w:right w:val="nil"/>
            </w:tcBorders>
            <w:noWrap/>
            <w:vAlign w:val="bottom"/>
            <w:hideMark/>
          </w:tcPr>
          <w:p w14:paraId="187CF636"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.586</w:t>
            </w:r>
          </w:p>
        </w:tc>
        <w:tc>
          <w:tcPr>
            <w:tcW w:w="1701" w:type="dxa"/>
            <w:tcBorders>
              <w:top w:val="nil"/>
              <w:left w:val="nil"/>
              <w:bottom w:val="nil"/>
              <w:right w:val="nil"/>
            </w:tcBorders>
            <w:noWrap/>
            <w:vAlign w:val="bottom"/>
            <w:hideMark/>
          </w:tcPr>
          <w:p w14:paraId="0CFE4079"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2.123***</w:t>
            </w:r>
          </w:p>
        </w:tc>
        <w:tc>
          <w:tcPr>
            <w:tcW w:w="1288" w:type="dxa"/>
            <w:tcBorders>
              <w:top w:val="nil"/>
              <w:left w:val="nil"/>
              <w:bottom w:val="nil"/>
              <w:right w:val="nil"/>
            </w:tcBorders>
            <w:noWrap/>
            <w:vAlign w:val="bottom"/>
            <w:hideMark/>
          </w:tcPr>
          <w:p w14:paraId="10FC270B"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1.424***</w:t>
            </w:r>
          </w:p>
        </w:tc>
      </w:tr>
      <w:tr w:rsidR="00426A3B" w:rsidRPr="00FC7BB4" w14:paraId="78A002DD" w14:textId="77777777" w:rsidTr="00F3101B">
        <w:trPr>
          <w:trHeight w:val="315"/>
        </w:trPr>
        <w:tc>
          <w:tcPr>
            <w:tcW w:w="1660" w:type="dxa"/>
            <w:tcBorders>
              <w:top w:val="nil"/>
              <w:left w:val="nil"/>
              <w:bottom w:val="nil"/>
              <w:right w:val="nil"/>
            </w:tcBorders>
            <w:noWrap/>
            <w:vAlign w:val="bottom"/>
            <w:hideMark/>
          </w:tcPr>
          <w:p w14:paraId="2B088855"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0162FE6C"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(.227)</w:t>
            </w:r>
          </w:p>
        </w:tc>
        <w:tc>
          <w:tcPr>
            <w:tcW w:w="1843" w:type="dxa"/>
            <w:tcBorders>
              <w:top w:val="nil"/>
              <w:left w:val="nil"/>
              <w:bottom w:val="nil"/>
              <w:right w:val="nil"/>
            </w:tcBorders>
            <w:noWrap/>
            <w:vAlign w:val="bottom"/>
            <w:hideMark/>
          </w:tcPr>
          <w:p w14:paraId="4DC72B08"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(.979)</w:t>
            </w:r>
          </w:p>
        </w:tc>
        <w:tc>
          <w:tcPr>
            <w:tcW w:w="1984" w:type="dxa"/>
            <w:tcBorders>
              <w:top w:val="nil"/>
              <w:left w:val="nil"/>
              <w:bottom w:val="nil"/>
              <w:right w:val="nil"/>
            </w:tcBorders>
            <w:noWrap/>
            <w:vAlign w:val="bottom"/>
            <w:hideMark/>
          </w:tcPr>
          <w:p w14:paraId="6CCABBC7"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(.386)</w:t>
            </w:r>
          </w:p>
        </w:tc>
        <w:tc>
          <w:tcPr>
            <w:tcW w:w="1701" w:type="dxa"/>
            <w:tcBorders>
              <w:top w:val="nil"/>
              <w:left w:val="nil"/>
              <w:bottom w:val="nil"/>
              <w:right w:val="nil"/>
            </w:tcBorders>
            <w:noWrap/>
            <w:vAlign w:val="bottom"/>
            <w:hideMark/>
          </w:tcPr>
          <w:p w14:paraId="3892BFD9"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(.549)</w:t>
            </w:r>
          </w:p>
        </w:tc>
        <w:tc>
          <w:tcPr>
            <w:tcW w:w="1288" w:type="dxa"/>
            <w:tcBorders>
              <w:top w:val="nil"/>
              <w:left w:val="nil"/>
              <w:bottom w:val="nil"/>
              <w:right w:val="nil"/>
            </w:tcBorders>
            <w:noWrap/>
            <w:vAlign w:val="bottom"/>
            <w:hideMark/>
          </w:tcPr>
          <w:p w14:paraId="70D6B9BA"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(.43)</w:t>
            </w:r>
          </w:p>
        </w:tc>
      </w:tr>
      <w:tr w:rsidR="00426A3B" w:rsidRPr="00FC7BB4" w14:paraId="733ECDEE" w14:textId="77777777" w:rsidTr="00F3101B">
        <w:trPr>
          <w:trHeight w:val="315"/>
        </w:trPr>
        <w:tc>
          <w:tcPr>
            <w:tcW w:w="1660" w:type="dxa"/>
            <w:tcBorders>
              <w:top w:val="nil"/>
              <w:left w:val="nil"/>
              <w:bottom w:val="nil"/>
              <w:right w:val="nil"/>
            </w:tcBorders>
            <w:noWrap/>
            <w:vAlign w:val="bottom"/>
            <w:hideMark/>
          </w:tcPr>
          <w:p w14:paraId="2D9AC083"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spellStart"/>
            <w:r w:rsidRPr="00FC7BB4">
              <w:rPr>
                <w:rFonts w:ascii="Times New Roman" w:eastAsia="Times New Roman" w:hAnsi="Times New Roman" w:cs="Times New Roman"/>
                <w:kern w:val="0"/>
                <w:szCs w:val="20"/>
                <w14:ligatures w14:val="none"/>
              </w:rPr>
              <w:t>Cdn</w:t>
            </w:r>
            <w:proofErr w:type="spellEnd"/>
          </w:p>
        </w:tc>
        <w:tc>
          <w:tcPr>
            <w:tcW w:w="1884" w:type="dxa"/>
            <w:tcBorders>
              <w:top w:val="nil"/>
              <w:left w:val="nil"/>
              <w:bottom w:val="nil"/>
              <w:right w:val="nil"/>
            </w:tcBorders>
            <w:noWrap/>
            <w:vAlign w:val="bottom"/>
            <w:hideMark/>
          </w:tcPr>
          <w:p w14:paraId="24D82E8B"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.746***</w:t>
            </w:r>
          </w:p>
        </w:tc>
        <w:tc>
          <w:tcPr>
            <w:tcW w:w="1843" w:type="dxa"/>
            <w:tcBorders>
              <w:top w:val="nil"/>
              <w:left w:val="nil"/>
              <w:bottom w:val="nil"/>
              <w:right w:val="nil"/>
            </w:tcBorders>
            <w:noWrap/>
            <w:vAlign w:val="bottom"/>
            <w:hideMark/>
          </w:tcPr>
          <w:p w14:paraId="147E52E1"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.309**</w:t>
            </w:r>
          </w:p>
        </w:tc>
        <w:tc>
          <w:tcPr>
            <w:tcW w:w="1984" w:type="dxa"/>
            <w:tcBorders>
              <w:top w:val="nil"/>
              <w:left w:val="nil"/>
              <w:bottom w:val="nil"/>
              <w:right w:val="nil"/>
            </w:tcBorders>
            <w:noWrap/>
            <w:vAlign w:val="bottom"/>
            <w:hideMark/>
          </w:tcPr>
          <w:p w14:paraId="4D3E470C"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1.336***</w:t>
            </w:r>
          </w:p>
        </w:tc>
        <w:tc>
          <w:tcPr>
            <w:tcW w:w="1701" w:type="dxa"/>
            <w:tcBorders>
              <w:top w:val="nil"/>
              <w:left w:val="nil"/>
              <w:bottom w:val="nil"/>
              <w:right w:val="nil"/>
            </w:tcBorders>
            <w:noWrap/>
            <w:vAlign w:val="bottom"/>
            <w:hideMark/>
          </w:tcPr>
          <w:p w14:paraId="693871D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.606***</w:t>
            </w:r>
          </w:p>
        </w:tc>
        <w:tc>
          <w:tcPr>
            <w:tcW w:w="1288" w:type="dxa"/>
            <w:tcBorders>
              <w:top w:val="nil"/>
              <w:left w:val="nil"/>
              <w:bottom w:val="nil"/>
              <w:right w:val="nil"/>
            </w:tcBorders>
            <w:noWrap/>
            <w:vAlign w:val="bottom"/>
            <w:hideMark/>
          </w:tcPr>
          <w:p w14:paraId="35756209"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.586***</w:t>
            </w:r>
          </w:p>
        </w:tc>
      </w:tr>
      <w:tr w:rsidR="00426A3B" w:rsidRPr="00FC7BB4" w14:paraId="5AADD404" w14:textId="77777777" w:rsidTr="00F3101B">
        <w:trPr>
          <w:trHeight w:val="315"/>
        </w:trPr>
        <w:tc>
          <w:tcPr>
            <w:tcW w:w="1660" w:type="dxa"/>
            <w:tcBorders>
              <w:top w:val="nil"/>
              <w:left w:val="nil"/>
              <w:bottom w:val="nil"/>
              <w:right w:val="nil"/>
            </w:tcBorders>
            <w:noWrap/>
            <w:vAlign w:val="bottom"/>
            <w:hideMark/>
          </w:tcPr>
          <w:p w14:paraId="4B6F1B6C"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007BD0BC"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(.03)</w:t>
            </w:r>
          </w:p>
        </w:tc>
        <w:tc>
          <w:tcPr>
            <w:tcW w:w="1843" w:type="dxa"/>
            <w:tcBorders>
              <w:top w:val="nil"/>
              <w:left w:val="nil"/>
              <w:bottom w:val="nil"/>
              <w:right w:val="nil"/>
            </w:tcBorders>
            <w:noWrap/>
            <w:vAlign w:val="bottom"/>
            <w:hideMark/>
          </w:tcPr>
          <w:p w14:paraId="29036F4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(.155)</w:t>
            </w:r>
          </w:p>
        </w:tc>
        <w:tc>
          <w:tcPr>
            <w:tcW w:w="1984" w:type="dxa"/>
            <w:tcBorders>
              <w:top w:val="nil"/>
              <w:left w:val="nil"/>
              <w:bottom w:val="nil"/>
              <w:right w:val="nil"/>
            </w:tcBorders>
            <w:noWrap/>
            <w:vAlign w:val="bottom"/>
            <w:hideMark/>
          </w:tcPr>
          <w:p w14:paraId="03CFB183"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(.051)</w:t>
            </w:r>
          </w:p>
        </w:tc>
        <w:tc>
          <w:tcPr>
            <w:tcW w:w="1701" w:type="dxa"/>
            <w:tcBorders>
              <w:top w:val="nil"/>
              <w:left w:val="nil"/>
              <w:bottom w:val="nil"/>
              <w:right w:val="nil"/>
            </w:tcBorders>
            <w:noWrap/>
            <w:vAlign w:val="bottom"/>
            <w:hideMark/>
          </w:tcPr>
          <w:p w14:paraId="51D9A39A"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(.068)</w:t>
            </w:r>
          </w:p>
        </w:tc>
        <w:tc>
          <w:tcPr>
            <w:tcW w:w="1288" w:type="dxa"/>
            <w:tcBorders>
              <w:top w:val="nil"/>
              <w:left w:val="nil"/>
              <w:bottom w:val="nil"/>
              <w:right w:val="nil"/>
            </w:tcBorders>
            <w:noWrap/>
            <w:vAlign w:val="bottom"/>
            <w:hideMark/>
          </w:tcPr>
          <w:p w14:paraId="25662533"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(.052)</w:t>
            </w:r>
          </w:p>
        </w:tc>
      </w:tr>
      <w:tr w:rsidR="00426A3B" w:rsidRPr="00FC7BB4" w14:paraId="0B4618F8" w14:textId="77777777" w:rsidTr="00F3101B">
        <w:trPr>
          <w:trHeight w:val="315"/>
        </w:trPr>
        <w:tc>
          <w:tcPr>
            <w:tcW w:w="1660" w:type="dxa"/>
            <w:tcBorders>
              <w:top w:val="nil"/>
              <w:left w:val="nil"/>
              <w:bottom w:val="nil"/>
              <w:right w:val="nil"/>
            </w:tcBorders>
            <w:noWrap/>
            <w:vAlign w:val="bottom"/>
            <w:hideMark/>
          </w:tcPr>
          <w:p w14:paraId="59AB8A06"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π.</w:t>
            </w:r>
            <w:proofErr w:type="spellStart"/>
            <w:r w:rsidRPr="00FC7BB4">
              <w:rPr>
                <w:rFonts w:ascii="Times New Roman" w:eastAsia="Times New Roman" w:hAnsi="Times New Roman" w:cs="Times New Roman"/>
                <w:kern w:val="0"/>
                <w:szCs w:val="20"/>
                <w14:ligatures w14:val="none"/>
              </w:rPr>
              <w:t>Cdn</w:t>
            </w:r>
            <w:proofErr w:type="spellEnd"/>
            <w:proofErr w:type="gramEnd"/>
          </w:p>
        </w:tc>
        <w:tc>
          <w:tcPr>
            <w:tcW w:w="1884" w:type="dxa"/>
            <w:tcBorders>
              <w:top w:val="nil"/>
              <w:left w:val="nil"/>
              <w:bottom w:val="nil"/>
              <w:right w:val="nil"/>
            </w:tcBorders>
            <w:noWrap/>
            <w:vAlign w:val="bottom"/>
            <w:hideMark/>
          </w:tcPr>
          <w:p w14:paraId="24DAE997"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1.961***</w:t>
            </w:r>
          </w:p>
        </w:tc>
        <w:tc>
          <w:tcPr>
            <w:tcW w:w="1843" w:type="dxa"/>
            <w:tcBorders>
              <w:top w:val="nil"/>
              <w:left w:val="nil"/>
              <w:bottom w:val="nil"/>
              <w:right w:val="nil"/>
            </w:tcBorders>
            <w:noWrap/>
            <w:vAlign w:val="bottom"/>
            <w:hideMark/>
          </w:tcPr>
          <w:p w14:paraId="7D3FFE6C"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-5.721</w:t>
            </w:r>
          </w:p>
        </w:tc>
        <w:tc>
          <w:tcPr>
            <w:tcW w:w="1984" w:type="dxa"/>
            <w:tcBorders>
              <w:top w:val="nil"/>
              <w:left w:val="nil"/>
              <w:bottom w:val="nil"/>
              <w:right w:val="nil"/>
            </w:tcBorders>
            <w:noWrap/>
            <w:vAlign w:val="bottom"/>
            <w:hideMark/>
          </w:tcPr>
          <w:p w14:paraId="1B107AC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1.131</w:t>
            </w:r>
          </w:p>
        </w:tc>
        <w:tc>
          <w:tcPr>
            <w:tcW w:w="1701" w:type="dxa"/>
            <w:tcBorders>
              <w:top w:val="nil"/>
              <w:left w:val="nil"/>
              <w:bottom w:val="nil"/>
              <w:right w:val="nil"/>
            </w:tcBorders>
            <w:noWrap/>
            <w:vAlign w:val="bottom"/>
            <w:hideMark/>
          </w:tcPr>
          <w:p w14:paraId="62423253"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.833</w:t>
            </w:r>
          </w:p>
        </w:tc>
        <w:tc>
          <w:tcPr>
            <w:tcW w:w="1288" w:type="dxa"/>
            <w:tcBorders>
              <w:top w:val="nil"/>
              <w:left w:val="nil"/>
              <w:bottom w:val="nil"/>
              <w:right w:val="nil"/>
            </w:tcBorders>
            <w:noWrap/>
            <w:vAlign w:val="bottom"/>
            <w:hideMark/>
          </w:tcPr>
          <w:p w14:paraId="20918FCB"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.305</w:t>
            </w:r>
          </w:p>
        </w:tc>
      </w:tr>
      <w:tr w:rsidR="00426A3B" w:rsidRPr="00FC7BB4" w14:paraId="07520E2A" w14:textId="77777777" w:rsidTr="00F3101B">
        <w:trPr>
          <w:trHeight w:val="315"/>
        </w:trPr>
        <w:tc>
          <w:tcPr>
            <w:tcW w:w="1660" w:type="dxa"/>
            <w:tcBorders>
              <w:top w:val="nil"/>
              <w:left w:val="nil"/>
              <w:bottom w:val="nil"/>
              <w:right w:val="nil"/>
            </w:tcBorders>
            <w:noWrap/>
            <w:vAlign w:val="bottom"/>
            <w:hideMark/>
          </w:tcPr>
          <w:p w14:paraId="1B389ABE"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65952AC9"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(.601)</w:t>
            </w:r>
          </w:p>
        </w:tc>
        <w:tc>
          <w:tcPr>
            <w:tcW w:w="1843" w:type="dxa"/>
            <w:tcBorders>
              <w:top w:val="nil"/>
              <w:left w:val="nil"/>
              <w:bottom w:val="nil"/>
              <w:right w:val="nil"/>
            </w:tcBorders>
            <w:noWrap/>
            <w:vAlign w:val="bottom"/>
            <w:hideMark/>
          </w:tcPr>
          <w:p w14:paraId="269750F7"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(3.988)</w:t>
            </w:r>
          </w:p>
        </w:tc>
        <w:tc>
          <w:tcPr>
            <w:tcW w:w="1984" w:type="dxa"/>
            <w:tcBorders>
              <w:top w:val="nil"/>
              <w:left w:val="nil"/>
              <w:bottom w:val="nil"/>
              <w:right w:val="nil"/>
            </w:tcBorders>
            <w:noWrap/>
            <w:vAlign w:val="bottom"/>
            <w:hideMark/>
          </w:tcPr>
          <w:p w14:paraId="1609D57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(,866)</w:t>
            </w:r>
          </w:p>
        </w:tc>
        <w:tc>
          <w:tcPr>
            <w:tcW w:w="1701" w:type="dxa"/>
            <w:tcBorders>
              <w:top w:val="nil"/>
              <w:left w:val="nil"/>
              <w:bottom w:val="nil"/>
              <w:right w:val="nil"/>
            </w:tcBorders>
            <w:noWrap/>
            <w:vAlign w:val="bottom"/>
            <w:hideMark/>
          </w:tcPr>
          <w:p w14:paraId="124E355B"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(1.311)</w:t>
            </w:r>
          </w:p>
        </w:tc>
        <w:tc>
          <w:tcPr>
            <w:tcW w:w="1288" w:type="dxa"/>
            <w:tcBorders>
              <w:top w:val="nil"/>
              <w:left w:val="nil"/>
              <w:bottom w:val="nil"/>
              <w:right w:val="nil"/>
            </w:tcBorders>
            <w:noWrap/>
            <w:vAlign w:val="bottom"/>
            <w:hideMark/>
          </w:tcPr>
          <w:p w14:paraId="5D61ADB6"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(1.484)</w:t>
            </w:r>
          </w:p>
        </w:tc>
      </w:tr>
      <w:tr w:rsidR="00426A3B" w:rsidRPr="00FC7BB4" w14:paraId="71543D9C" w14:textId="77777777" w:rsidTr="00F3101B">
        <w:trPr>
          <w:trHeight w:val="315"/>
        </w:trPr>
        <w:tc>
          <w:tcPr>
            <w:tcW w:w="1660" w:type="dxa"/>
            <w:tcBorders>
              <w:top w:val="nil"/>
              <w:left w:val="nil"/>
              <w:bottom w:val="nil"/>
              <w:right w:val="nil"/>
            </w:tcBorders>
            <w:noWrap/>
            <w:vAlign w:val="bottom"/>
            <w:hideMark/>
          </w:tcPr>
          <w:p w14:paraId="71F61C13"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spellStart"/>
            <w:r w:rsidRPr="00FC7BB4">
              <w:rPr>
                <w:rFonts w:ascii="Times New Roman" w:eastAsia="Times New Roman" w:hAnsi="Times New Roman" w:cs="Times New Roman"/>
                <w:kern w:val="0"/>
                <w:szCs w:val="20"/>
                <w14:ligatures w14:val="none"/>
              </w:rPr>
              <w:t>Dnc</w:t>
            </w:r>
            <w:proofErr w:type="spellEnd"/>
          </w:p>
        </w:tc>
        <w:tc>
          <w:tcPr>
            <w:tcW w:w="1884" w:type="dxa"/>
            <w:tcBorders>
              <w:top w:val="nil"/>
              <w:left w:val="nil"/>
              <w:bottom w:val="nil"/>
              <w:right w:val="nil"/>
            </w:tcBorders>
            <w:noWrap/>
            <w:vAlign w:val="bottom"/>
            <w:hideMark/>
          </w:tcPr>
          <w:p w14:paraId="099FF54C"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.957***</w:t>
            </w:r>
          </w:p>
        </w:tc>
        <w:tc>
          <w:tcPr>
            <w:tcW w:w="1843" w:type="dxa"/>
            <w:tcBorders>
              <w:top w:val="nil"/>
              <w:left w:val="nil"/>
              <w:bottom w:val="nil"/>
              <w:right w:val="nil"/>
            </w:tcBorders>
            <w:noWrap/>
            <w:vAlign w:val="bottom"/>
            <w:hideMark/>
          </w:tcPr>
          <w:p w14:paraId="589229C4"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.839***</w:t>
            </w:r>
          </w:p>
        </w:tc>
        <w:tc>
          <w:tcPr>
            <w:tcW w:w="1984" w:type="dxa"/>
            <w:tcBorders>
              <w:top w:val="nil"/>
              <w:left w:val="nil"/>
              <w:bottom w:val="nil"/>
              <w:right w:val="nil"/>
            </w:tcBorders>
            <w:noWrap/>
            <w:vAlign w:val="bottom"/>
            <w:hideMark/>
          </w:tcPr>
          <w:p w14:paraId="7A593724"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.889***</w:t>
            </w:r>
          </w:p>
        </w:tc>
        <w:tc>
          <w:tcPr>
            <w:tcW w:w="1701" w:type="dxa"/>
            <w:tcBorders>
              <w:top w:val="nil"/>
              <w:left w:val="nil"/>
              <w:bottom w:val="nil"/>
              <w:right w:val="nil"/>
            </w:tcBorders>
            <w:noWrap/>
            <w:vAlign w:val="bottom"/>
            <w:hideMark/>
          </w:tcPr>
          <w:p w14:paraId="4BA55258"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.923***</w:t>
            </w:r>
          </w:p>
        </w:tc>
        <w:tc>
          <w:tcPr>
            <w:tcW w:w="1288" w:type="dxa"/>
            <w:tcBorders>
              <w:top w:val="nil"/>
              <w:left w:val="nil"/>
              <w:bottom w:val="nil"/>
              <w:right w:val="nil"/>
            </w:tcBorders>
            <w:noWrap/>
            <w:vAlign w:val="bottom"/>
            <w:hideMark/>
          </w:tcPr>
          <w:p w14:paraId="2054D3F6"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1.204***</w:t>
            </w:r>
          </w:p>
        </w:tc>
      </w:tr>
      <w:tr w:rsidR="00426A3B" w:rsidRPr="00FC7BB4" w14:paraId="717819FF" w14:textId="77777777" w:rsidTr="00F3101B">
        <w:trPr>
          <w:trHeight w:val="315"/>
        </w:trPr>
        <w:tc>
          <w:tcPr>
            <w:tcW w:w="1660" w:type="dxa"/>
            <w:tcBorders>
              <w:top w:val="nil"/>
              <w:left w:val="nil"/>
              <w:bottom w:val="nil"/>
              <w:right w:val="nil"/>
            </w:tcBorders>
            <w:noWrap/>
            <w:vAlign w:val="bottom"/>
            <w:hideMark/>
          </w:tcPr>
          <w:p w14:paraId="47CC812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0B84B721"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(.019)</w:t>
            </w:r>
          </w:p>
        </w:tc>
        <w:tc>
          <w:tcPr>
            <w:tcW w:w="1843" w:type="dxa"/>
            <w:tcBorders>
              <w:top w:val="nil"/>
              <w:left w:val="nil"/>
              <w:bottom w:val="nil"/>
              <w:right w:val="nil"/>
            </w:tcBorders>
            <w:noWrap/>
            <w:vAlign w:val="bottom"/>
            <w:hideMark/>
          </w:tcPr>
          <w:p w14:paraId="7D72124D"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(.065)</w:t>
            </w:r>
          </w:p>
        </w:tc>
        <w:tc>
          <w:tcPr>
            <w:tcW w:w="1984" w:type="dxa"/>
            <w:tcBorders>
              <w:top w:val="nil"/>
              <w:left w:val="nil"/>
              <w:bottom w:val="nil"/>
              <w:right w:val="nil"/>
            </w:tcBorders>
            <w:noWrap/>
            <w:vAlign w:val="bottom"/>
            <w:hideMark/>
          </w:tcPr>
          <w:p w14:paraId="1C34FF59"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(.031)</w:t>
            </w:r>
          </w:p>
        </w:tc>
        <w:tc>
          <w:tcPr>
            <w:tcW w:w="1701" w:type="dxa"/>
            <w:tcBorders>
              <w:top w:val="nil"/>
              <w:left w:val="nil"/>
              <w:bottom w:val="nil"/>
              <w:right w:val="nil"/>
            </w:tcBorders>
            <w:noWrap/>
            <w:vAlign w:val="bottom"/>
            <w:hideMark/>
          </w:tcPr>
          <w:p w14:paraId="3834B80C"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(.037)</w:t>
            </w:r>
          </w:p>
        </w:tc>
        <w:tc>
          <w:tcPr>
            <w:tcW w:w="1288" w:type="dxa"/>
            <w:tcBorders>
              <w:top w:val="nil"/>
              <w:left w:val="nil"/>
              <w:bottom w:val="nil"/>
              <w:right w:val="nil"/>
            </w:tcBorders>
            <w:noWrap/>
            <w:vAlign w:val="bottom"/>
            <w:hideMark/>
          </w:tcPr>
          <w:p w14:paraId="59857F79"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(.027)</w:t>
            </w:r>
          </w:p>
        </w:tc>
      </w:tr>
      <w:tr w:rsidR="00426A3B" w:rsidRPr="00FC7BB4" w14:paraId="31808089" w14:textId="77777777" w:rsidTr="00F3101B">
        <w:trPr>
          <w:trHeight w:val="315"/>
        </w:trPr>
        <w:tc>
          <w:tcPr>
            <w:tcW w:w="1660" w:type="dxa"/>
            <w:tcBorders>
              <w:top w:val="nil"/>
              <w:left w:val="nil"/>
              <w:bottom w:val="nil"/>
              <w:right w:val="nil"/>
            </w:tcBorders>
            <w:noWrap/>
            <w:vAlign w:val="bottom"/>
            <w:hideMark/>
          </w:tcPr>
          <w:p w14:paraId="278A520F"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π.</w:t>
            </w:r>
            <w:proofErr w:type="spellStart"/>
            <w:r w:rsidRPr="00FC7BB4">
              <w:rPr>
                <w:rFonts w:ascii="Times New Roman" w:eastAsia="Times New Roman" w:hAnsi="Times New Roman" w:cs="Times New Roman"/>
                <w:kern w:val="0"/>
                <w:szCs w:val="20"/>
                <w14:ligatures w14:val="none"/>
              </w:rPr>
              <w:t>Dnc</w:t>
            </w:r>
            <w:proofErr w:type="spellEnd"/>
            <w:proofErr w:type="gramEnd"/>
          </w:p>
        </w:tc>
        <w:tc>
          <w:tcPr>
            <w:tcW w:w="1884" w:type="dxa"/>
            <w:tcBorders>
              <w:top w:val="nil"/>
              <w:left w:val="nil"/>
              <w:bottom w:val="nil"/>
              <w:right w:val="nil"/>
            </w:tcBorders>
            <w:noWrap/>
            <w:vAlign w:val="bottom"/>
            <w:hideMark/>
          </w:tcPr>
          <w:p w14:paraId="007ADE33"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-.413***</w:t>
            </w:r>
          </w:p>
        </w:tc>
        <w:tc>
          <w:tcPr>
            <w:tcW w:w="1843" w:type="dxa"/>
            <w:tcBorders>
              <w:top w:val="nil"/>
              <w:left w:val="nil"/>
              <w:bottom w:val="nil"/>
              <w:right w:val="nil"/>
            </w:tcBorders>
            <w:noWrap/>
            <w:vAlign w:val="bottom"/>
            <w:hideMark/>
          </w:tcPr>
          <w:p w14:paraId="04AAE85A"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.186</w:t>
            </w:r>
          </w:p>
        </w:tc>
        <w:tc>
          <w:tcPr>
            <w:tcW w:w="1984" w:type="dxa"/>
            <w:tcBorders>
              <w:top w:val="nil"/>
              <w:left w:val="nil"/>
              <w:bottom w:val="nil"/>
              <w:right w:val="nil"/>
            </w:tcBorders>
            <w:noWrap/>
            <w:vAlign w:val="bottom"/>
            <w:hideMark/>
          </w:tcPr>
          <w:p w14:paraId="2BA0836A"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-1.232***</w:t>
            </w:r>
          </w:p>
        </w:tc>
        <w:tc>
          <w:tcPr>
            <w:tcW w:w="1701" w:type="dxa"/>
            <w:tcBorders>
              <w:top w:val="nil"/>
              <w:left w:val="nil"/>
              <w:bottom w:val="nil"/>
              <w:right w:val="nil"/>
            </w:tcBorders>
            <w:noWrap/>
            <w:vAlign w:val="bottom"/>
            <w:hideMark/>
          </w:tcPr>
          <w:p w14:paraId="47DE39C1"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-.409</w:t>
            </w:r>
          </w:p>
        </w:tc>
        <w:tc>
          <w:tcPr>
            <w:tcW w:w="1288" w:type="dxa"/>
            <w:tcBorders>
              <w:top w:val="nil"/>
              <w:left w:val="nil"/>
              <w:bottom w:val="nil"/>
              <w:right w:val="nil"/>
            </w:tcBorders>
            <w:noWrap/>
            <w:vAlign w:val="bottom"/>
            <w:hideMark/>
          </w:tcPr>
          <w:p w14:paraId="335A7D2A"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.124</w:t>
            </w:r>
          </w:p>
        </w:tc>
      </w:tr>
      <w:tr w:rsidR="00426A3B" w:rsidRPr="00FC7BB4" w14:paraId="10C04961" w14:textId="77777777" w:rsidTr="00F3101B">
        <w:trPr>
          <w:trHeight w:val="315"/>
        </w:trPr>
        <w:tc>
          <w:tcPr>
            <w:tcW w:w="1660" w:type="dxa"/>
            <w:tcBorders>
              <w:top w:val="nil"/>
              <w:left w:val="nil"/>
              <w:bottom w:val="nil"/>
              <w:right w:val="nil"/>
            </w:tcBorders>
            <w:noWrap/>
            <w:vAlign w:val="bottom"/>
            <w:hideMark/>
          </w:tcPr>
          <w:p w14:paraId="29CFDE2A"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268AB54B"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(.174)</w:t>
            </w:r>
          </w:p>
        </w:tc>
        <w:tc>
          <w:tcPr>
            <w:tcW w:w="1843" w:type="dxa"/>
            <w:tcBorders>
              <w:top w:val="nil"/>
              <w:left w:val="nil"/>
              <w:bottom w:val="nil"/>
              <w:right w:val="nil"/>
            </w:tcBorders>
            <w:noWrap/>
            <w:vAlign w:val="bottom"/>
            <w:hideMark/>
          </w:tcPr>
          <w:p w14:paraId="3259D564"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(.793)</w:t>
            </w:r>
          </w:p>
        </w:tc>
        <w:tc>
          <w:tcPr>
            <w:tcW w:w="1984" w:type="dxa"/>
            <w:tcBorders>
              <w:top w:val="nil"/>
              <w:left w:val="nil"/>
              <w:bottom w:val="nil"/>
              <w:right w:val="nil"/>
            </w:tcBorders>
            <w:noWrap/>
            <w:vAlign w:val="bottom"/>
            <w:hideMark/>
          </w:tcPr>
          <w:p w14:paraId="3B5C1A5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(.325)</w:t>
            </w:r>
          </w:p>
        </w:tc>
        <w:tc>
          <w:tcPr>
            <w:tcW w:w="1701" w:type="dxa"/>
            <w:tcBorders>
              <w:top w:val="nil"/>
              <w:left w:val="nil"/>
              <w:bottom w:val="nil"/>
              <w:right w:val="nil"/>
            </w:tcBorders>
            <w:noWrap/>
            <w:vAlign w:val="bottom"/>
            <w:hideMark/>
          </w:tcPr>
          <w:p w14:paraId="576A9015"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(.318)</w:t>
            </w:r>
          </w:p>
        </w:tc>
        <w:tc>
          <w:tcPr>
            <w:tcW w:w="1288" w:type="dxa"/>
            <w:tcBorders>
              <w:top w:val="nil"/>
              <w:left w:val="nil"/>
              <w:bottom w:val="nil"/>
              <w:right w:val="nil"/>
            </w:tcBorders>
            <w:noWrap/>
            <w:vAlign w:val="bottom"/>
            <w:hideMark/>
          </w:tcPr>
          <w:p w14:paraId="2E265CBB"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(.372)</w:t>
            </w:r>
          </w:p>
        </w:tc>
      </w:tr>
      <w:tr w:rsidR="00426A3B" w:rsidRPr="00FC7BB4" w14:paraId="4822E11C" w14:textId="77777777" w:rsidTr="00F3101B">
        <w:trPr>
          <w:trHeight w:val="315"/>
        </w:trPr>
        <w:tc>
          <w:tcPr>
            <w:tcW w:w="1660" w:type="dxa"/>
            <w:tcBorders>
              <w:top w:val="nil"/>
              <w:left w:val="nil"/>
              <w:bottom w:val="nil"/>
              <w:right w:val="nil"/>
            </w:tcBorders>
            <w:noWrap/>
            <w:vAlign w:val="bottom"/>
            <w:hideMark/>
          </w:tcPr>
          <w:p w14:paraId="3BCBC0BE" w14:textId="5A246265"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spellStart"/>
            <w:r w:rsidRPr="00FC7BB4">
              <w:rPr>
                <w:rFonts w:ascii="Times New Roman" w:eastAsia="Times New Roman" w:hAnsi="Times New Roman" w:cs="Times New Roman"/>
                <w:kern w:val="0"/>
                <w:szCs w:val="20"/>
                <w14:ligatures w14:val="none"/>
              </w:rPr>
              <w:t>Ddn</w:t>
            </w:r>
            <w:proofErr w:type="spellEnd"/>
          </w:p>
        </w:tc>
        <w:tc>
          <w:tcPr>
            <w:tcW w:w="1884" w:type="dxa"/>
            <w:tcBorders>
              <w:top w:val="nil"/>
              <w:left w:val="nil"/>
              <w:bottom w:val="nil"/>
              <w:right w:val="nil"/>
            </w:tcBorders>
            <w:noWrap/>
            <w:vAlign w:val="bottom"/>
            <w:hideMark/>
          </w:tcPr>
          <w:p w14:paraId="12ADFCD6"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-2.212***</w:t>
            </w:r>
          </w:p>
        </w:tc>
        <w:tc>
          <w:tcPr>
            <w:tcW w:w="1843" w:type="dxa"/>
            <w:tcBorders>
              <w:top w:val="nil"/>
              <w:left w:val="nil"/>
              <w:bottom w:val="nil"/>
              <w:right w:val="nil"/>
            </w:tcBorders>
            <w:noWrap/>
            <w:vAlign w:val="bottom"/>
            <w:hideMark/>
          </w:tcPr>
          <w:p w14:paraId="37C95FFB"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-2.094***</w:t>
            </w:r>
          </w:p>
        </w:tc>
        <w:tc>
          <w:tcPr>
            <w:tcW w:w="1984" w:type="dxa"/>
            <w:tcBorders>
              <w:top w:val="nil"/>
              <w:left w:val="nil"/>
              <w:bottom w:val="nil"/>
              <w:right w:val="nil"/>
            </w:tcBorders>
            <w:noWrap/>
            <w:vAlign w:val="bottom"/>
            <w:hideMark/>
          </w:tcPr>
          <w:p w14:paraId="4373E98A"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-2.079***</w:t>
            </w:r>
          </w:p>
        </w:tc>
        <w:tc>
          <w:tcPr>
            <w:tcW w:w="1701" w:type="dxa"/>
            <w:tcBorders>
              <w:top w:val="nil"/>
              <w:left w:val="nil"/>
              <w:bottom w:val="nil"/>
              <w:right w:val="nil"/>
            </w:tcBorders>
            <w:noWrap/>
            <w:vAlign w:val="bottom"/>
            <w:hideMark/>
          </w:tcPr>
          <w:p w14:paraId="50D3264D"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-2.036***</w:t>
            </w:r>
          </w:p>
        </w:tc>
        <w:tc>
          <w:tcPr>
            <w:tcW w:w="1288" w:type="dxa"/>
            <w:tcBorders>
              <w:top w:val="nil"/>
              <w:left w:val="nil"/>
              <w:bottom w:val="nil"/>
              <w:right w:val="nil"/>
            </w:tcBorders>
            <w:noWrap/>
            <w:vAlign w:val="bottom"/>
            <w:hideMark/>
          </w:tcPr>
          <w:p w14:paraId="4F7149A3"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-2.732***</w:t>
            </w:r>
          </w:p>
        </w:tc>
      </w:tr>
      <w:tr w:rsidR="00426A3B" w:rsidRPr="00FC7BB4" w14:paraId="3839BAAF" w14:textId="77777777" w:rsidTr="00F3101B">
        <w:trPr>
          <w:trHeight w:val="315"/>
        </w:trPr>
        <w:tc>
          <w:tcPr>
            <w:tcW w:w="1660" w:type="dxa"/>
            <w:tcBorders>
              <w:top w:val="nil"/>
              <w:left w:val="nil"/>
              <w:bottom w:val="nil"/>
              <w:right w:val="nil"/>
            </w:tcBorders>
            <w:noWrap/>
            <w:vAlign w:val="bottom"/>
            <w:hideMark/>
          </w:tcPr>
          <w:p w14:paraId="7D22C26A"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39895525"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(.034)</w:t>
            </w:r>
          </w:p>
        </w:tc>
        <w:tc>
          <w:tcPr>
            <w:tcW w:w="1843" w:type="dxa"/>
            <w:tcBorders>
              <w:top w:val="nil"/>
              <w:left w:val="nil"/>
              <w:bottom w:val="nil"/>
              <w:right w:val="nil"/>
            </w:tcBorders>
            <w:noWrap/>
            <w:vAlign w:val="bottom"/>
            <w:hideMark/>
          </w:tcPr>
          <w:p w14:paraId="6494310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(.081)</w:t>
            </w:r>
          </w:p>
        </w:tc>
        <w:tc>
          <w:tcPr>
            <w:tcW w:w="1984" w:type="dxa"/>
            <w:tcBorders>
              <w:top w:val="nil"/>
              <w:left w:val="nil"/>
              <w:bottom w:val="nil"/>
              <w:right w:val="nil"/>
            </w:tcBorders>
            <w:noWrap/>
            <w:vAlign w:val="bottom"/>
            <w:hideMark/>
          </w:tcPr>
          <w:p w14:paraId="2428AE8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(.042)</w:t>
            </w:r>
          </w:p>
        </w:tc>
        <w:tc>
          <w:tcPr>
            <w:tcW w:w="1701" w:type="dxa"/>
            <w:tcBorders>
              <w:top w:val="nil"/>
              <w:left w:val="nil"/>
              <w:bottom w:val="nil"/>
              <w:right w:val="nil"/>
            </w:tcBorders>
            <w:noWrap/>
            <w:vAlign w:val="bottom"/>
            <w:hideMark/>
          </w:tcPr>
          <w:p w14:paraId="47BD6A75"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(.057)</w:t>
            </w:r>
          </w:p>
        </w:tc>
        <w:tc>
          <w:tcPr>
            <w:tcW w:w="1288" w:type="dxa"/>
            <w:tcBorders>
              <w:top w:val="nil"/>
              <w:left w:val="nil"/>
              <w:bottom w:val="nil"/>
              <w:right w:val="nil"/>
            </w:tcBorders>
            <w:noWrap/>
            <w:vAlign w:val="bottom"/>
            <w:hideMark/>
          </w:tcPr>
          <w:p w14:paraId="48A9E16C"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(.04)</w:t>
            </w:r>
          </w:p>
        </w:tc>
      </w:tr>
      <w:tr w:rsidR="00426A3B" w:rsidRPr="00FC7BB4" w14:paraId="4DFE9DA7" w14:textId="77777777" w:rsidTr="00F3101B">
        <w:trPr>
          <w:trHeight w:val="315"/>
        </w:trPr>
        <w:tc>
          <w:tcPr>
            <w:tcW w:w="1660" w:type="dxa"/>
            <w:tcBorders>
              <w:top w:val="nil"/>
              <w:left w:val="nil"/>
              <w:bottom w:val="nil"/>
              <w:right w:val="nil"/>
            </w:tcBorders>
            <w:noWrap/>
            <w:vAlign w:val="bottom"/>
            <w:hideMark/>
          </w:tcPr>
          <w:p w14:paraId="19BBAC3C" w14:textId="0B31485D"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π.</w:t>
            </w:r>
            <w:proofErr w:type="spellStart"/>
            <w:r w:rsidRPr="00FC7BB4">
              <w:rPr>
                <w:rFonts w:ascii="Times New Roman" w:eastAsia="Times New Roman" w:hAnsi="Times New Roman" w:cs="Times New Roman"/>
                <w:kern w:val="0"/>
                <w:szCs w:val="20"/>
                <w14:ligatures w14:val="none"/>
              </w:rPr>
              <w:t>Ddn</w:t>
            </w:r>
            <w:proofErr w:type="spellEnd"/>
            <w:proofErr w:type="gramEnd"/>
          </w:p>
        </w:tc>
        <w:tc>
          <w:tcPr>
            <w:tcW w:w="1884" w:type="dxa"/>
            <w:tcBorders>
              <w:top w:val="nil"/>
              <w:left w:val="nil"/>
              <w:bottom w:val="nil"/>
              <w:right w:val="nil"/>
            </w:tcBorders>
            <w:noWrap/>
            <w:vAlign w:val="bottom"/>
            <w:hideMark/>
          </w:tcPr>
          <w:p w14:paraId="4FCB3969"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1.944***</w:t>
            </w:r>
          </w:p>
        </w:tc>
        <w:tc>
          <w:tcPr>
            <w:tcW w:w="1843" w:type="dxa"/>
            <w:tcBorders>
              <w:top w:val="nil"/>
              <w:left w:val="nil"/>
              <w:bottom w:val="nil"/>
              <w:right w:val="nil"/>
            </w:tcBorders>
            <w:noWrap/>
            <w:vAlign w:val="bottom"/>
            <w:hideMark/>
          </w:tcPr>
          <w:p w14:paraId="42665327"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2.502***</w:t>
            </w:r>
          </w:p>
        </w:tc>
        <w:tc>
          <w:tcPr>
            <w:tcW w:w="1984" w:type="dxa"/>
            <w:tcBorders>
              <w:top w:val="nil"/>
              <w:left w:val="nil"/>
              <w:bottom w:val="nil"/>
              <w:right w:val="nil"/>
            </w:tcBorders>
            <w:noWrap/>
            <w:vAlign w:val="bottom"/>
            <w:hideMark/>
          </w:tcPr>
          <w:p w14:paraId="6A90C91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1.848***</w:t>
            </w:r>
          </w:p>
        </w:tc>
        <w:tc>
          <w:tcPr>
            <w:tcW w:w="1701" w:type="dxa"/>
            <w:tcBorders>
              <w:top w:val="nil"/>
              <w:left w:val="nil"/>
              <w:bottom w:val="nil"/>
              <w:right w:val="nil"/>
            </w:tcBorders>
            <w:noWrap/>
            <w:vAlign w:val="bottom"/>
            <w:hideMark/>
          </w:tcPr>
          <w:p w14:paraId="4F808ED1"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1.12**</w:t>
            </w:r>
          </w:p>
        </w:tc>
        <w:tc>
          <w:tcPr>
            <w:tcW w:w="1288" w:type="dxa"/>
            <w:tcBorders>
              <w:top w:val="nil"/>
              <w:left w:val="nil"/>
              <w:bottom w:val="nil"/>
              <w:right w:val="nil"/>
            </w:tcBorders>
            <w:noWrap/>
            <w:vAlign w:val="bottom"/>
            <w:hideMark/>
          </w:tcPr>
          <w:p w14:paraId="11F3B8A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2.35***</w:t>
            </w:r>
          </w:p>
        </w:tc>
      </w:tr>
      <w:tr w:rsidR="00426A3B" w:rsidRPr="00FC7BB4" w14:paraId="63FFCD8E" w14:textId="77777777" w:rsidTr="00F3101B">
        <w:trPr>
          <w:trHeight w:val="315"/>
        </w:trPr>
        <w:tc>
          <w:tcPr>
            <w:tcW w:w="1660" w:type="dxa"/>
            <w:tcBorders>
              <w:top w:val="nil"/>
              <w:left w:val="nil"/>
              <w:bottom w:val="nil"/>
              <w:right w:val="nil"/>
            </w:tcBorders>
            <w:noWrap/>
            <w:vAlign w:val="bottom"/>
            <w:hideMark/>
          </w:tcPr>
          <w:p w14:paraId="3BF2ED1B"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717EEBB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(.242)</w:t>
            </w:r>
          </w:p>
        </w:tc>
        <w:tc>
          <w:tcPr>
            <w:tcW w:w="1843" w:type="dxa"/>
            <w:tcBorders>
              <w:top w:val="nil"/>
              <w:left w:val="nil"/>
              <w:bottom w:val="nil"/>
              <w:right w:val="nil"/>
            </w:tcBorders>
            <w:noWrap/>
            <w:vAlign w:val="bottom"/>
            <w:hideMark/>
          </w:tcPr>
          <w:p w14:paraId="2D24B8B3"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(.77)</w:t>
            </w:r>
          </w:p>
        </w:tc>
        <w:tc>
          <w:tcPr>
            <w:tcW w:w="1984" w:type="dxa"/>
            <w:tcBorders>
              <w:top w:val="nil"/>
              <w:left w:val="nil"/>
              <w:bottom w:val="nil"/>
              <w:right w:val="nil"/>
            </w:tcBorders>
            <w:noWrap/>
            <w:vAlign w:val="bottom"/>
            <w:hideMark/>
          </w:tcPr>
          <w:p w14:paraId="74CE64F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(.385)</w:t>
            </w:r>
          </w:p>
        </w:tc>
        <w:tc>
          <w:tcPr>
            <w:tcW w:w="1701" w:type="dxa"/>
            <w:tcBorders>
              <w:top w:val="nil"/>
              <w:left w:val="nil"/>
              <w:bottom w:val="nil"/>
              <w:right w:val="nil"/>
            </w:tcBorders>
            <w:noWrap/>
            <w:vAlign w:val="bottom"/>
            <w:hideMark/>
          </w:tcPr>
          <w:p w14:paraId="2D03816A"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(.544)</w:t>
            </w:r>
          </w:p>
        </w:tc>
        <w:tc>
          <w:tcPr>
            <w:tcW w:w="1288" w:type="dxa"/>
            <w:tcBorders>
              <w:top w:val="nil"/>
              <w:left w:val="nil"/>
              <w:bottom w:val="nil"/>
              <w:right w:val="nil"/>
            </w:tcBorders>
            <w:noWrap/>
            <w:vAlign w:val="bottom"/>
            <w:hideMark/>
          </w:tcPr>
          <w:p w14:paraId="7A888FC1"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(.564)</w:t>
            </w:r>
          </w:p>
        </w:tc>
      </w:tr>
      <w:tr w:rsidR="00426A3B" w:rsidRPr="00FC7BB4" w14:paraId="1DFDE796" w14:textId="77777777" w:rsidTr="00F3101B">
        <w:trPr>
          <w:trHeight w:val="315"/>
        </w:trPr>
        <w:tc>
          <w:tcPr>
            <w:tcW w:w="1660" w:type="dxa"/>
            <w:tcBorders>
              <w:top w:val="nil"/>
              <w:left w:val="nil"/>
              <w:bottom w:val="nil"/>
              <w:right w:val="nil"/>
            </w:tcBorders>
            <w:noWrap/>
            <w:vAlign w:val="bottom"/>
            <w:hideMark/>
          </w:tcPr>
          <w:p w14:paraId="677DB6E5"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spellStart"/>
            <w:r w:rsidRPr="00FC7BB4">
              <w:rPr>
                <w:rFonts w:ascii="Times New Roman" w:eastAsia="Times New Roman" w:hAnsi="Times New Roman" w:cs="Times New Roman"/>
                <w:kern w:val="0"/>
                <w:szCs w:val="20"/>
                <w14:ligatures w14:val="none"/>
              </w:rPr>
              <w:t>Cnc.Recent</w:t>
            </w:r>
            <w:proofErr w:type="spellEnd"/>
          </w:p>
        </w:tc>
        <w:tc>
          <w:tcPr>
            <w:tcW w:w="1884" w:type="dxa"/>
            <w:tcBorders>
              <w:top w:val="nil"/>
              <w:left w:val="nil"/>
              <w:bottom w:val="nil"/>
              <w:right w:val="nil"/>
            </w:tcBorders>
            <w:noWrap/>
            <w:vAlign w:val="bottom"/>
            <w:hideMark/>
          </w:tcPr>
          <w:p w14:paraId="5CDE6820"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-.029</w:t>
            </w:r>
          </w:p>
        </w:tc>
        <w:tc>
          <w:tcPr>
            <w:tcW w:w="1843" w:type="dxa"/>
            <w:tcBorders>
              <w:top w:val="nil"/>
              <w:left w:val="nil"/>
              <w:bottom w:val="nil"/>
              <w:right w:val="nil"/>
            </w:tcBorders>
            <w:noWrap/>
            <w:vAlign w:val="bottom"/>
            <w:hideMark/>
          </w:tcPr>
          <w:p w14:paraId="5B4D73E8"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-.141</w:t>
            </w:r>
          </w:p>
        </w:tc>
        <w:tc>
          <w:tcPr>
            <w:tcW w:w="1984" w:type="dxa"/>
            <w:tcBorders>
              <w:top w:val="nil"/>
              <w:left w:val="nil"/>
              <w:bottom w:val="nil"/>
              <w:right w:val="nil"/>
            </w:tcBorders>
            <w:noWrap/>
            <w:vAlign w:val="bottom"/>
            <w:hideMark/>
          </w:tcPr>
          <w:p w14:paraId="456474C8"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-.039</w:t>
            </w:r>
          </w:p>
        </w:tc>
        <w:tc>
          <w:tcPr>
            <w:tcW w:w="1701" w:type="dxa"/>
            <w:tcBorders>
              <w:top w:val="nil"/>
              <w:left w:val="nil"/>
              <w:bottom w:val="nil"/>
              <w:right w:val="nil"/>
            </w:tcBorders>
            <w:noWrap/>
            <w:vAlign w:val="bottom"/>
            <w:hideMark/>
          </w:tcPr>
          <w:p w14:paraId="39E0ECE8"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-.089</w:t>
            </w:r>
          </w:p>
        </w:tc>
        <w:tc>
          <w:tcPr>
            <w:tcW w:w="1288" w:type="dxa"/>
            <w:tcBorders>
              <w:top w:val="nil"/>
              <w:left w:val="nil"/>
              <w:bottom w:val="nil"/>
              <w:right w:val="nil"/>
            </w:tcBorders>
            <w:noWrap/>
            <w:vAlign w:val="bottom"/>
            <w:hideMark/>
          </w:tcPr>
          <w:p w14:paraId="04ED485E"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.037</w:t>
            </w:r>
          </w:p>
        </w:tc>
      </w:tr>
      <w:tr w:rsidR="00426A3B" w:rsidRPr="00FC7BB4" w14:paraId="5320DBD6" w14:textId="77777777" w:rsidTr="00F3101B">
        <w:trPr>
          <w:trHeight w:val="315"/>
        </w:trPr>
        <w:tc>
          <w:tcPr>
            <w:tcW w:w="1660" w:type="dxa"/>
            <w:tcBorders>
              <w:top w:val="nil"/>
              <w:left w:val="nil"/>
              <w:bottom w:val="nil"/>
              <w:right w:val="nil"/>
            </w:tcBorders>
            <w:noWrap/>
            <w:vAlign w:val="bottom"/>
            <w:hideMark/>
          </w:tcPr>
          <w:p w14:paraId="30AA2A21"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0B1EF627"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(.023)</w:t>
            </w:r>
          </w:p>
        </w:tc>
        <w:tc>
          <w:tcPr>
            <w:tcW w:w="1843" w:type="dxa"/>
            <w:tcBorders>
              <w:top w:val="nil"/>
              <w:left w:val="nil"/>
              <w:bottom w:val="nil"/>
              <w:right w:val="nil"/>
            </w:tcBorders>
            <w:noWrap/>
            <w:vAlign w:val="bottom"/>
            <w:hideMark/>
          </w:tcPr>
          <w:p w14:paraId="3DD5F88E"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(.09)</w:t>
            </w:r>
          </w:p>
        </w:tc>
        <w:tc>
          <w:tcPr>
            <w:tcW w:w="1984" w:type="dxa"/>
            <w:tcBorders>
              <w:top w:val="nil"/>
              <w:left w:val="nil"/>
              <w:bottom w:val="nil"/>
              <w:right w:val="nil"/>
            </w:tcBorders>
            <w:noWrap/>
            <w:vAlign w:val="bottom"/>
            <w:hideMark/>
          </w:tcPr>
          <w:p w14:paraId="54AD36E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(.059)</w:t>
            </w:r>
          </w:p>
        </w:tc>
        <w:tc>
          <w:tcPr>
            <w:tcW w:w="1701" w:type="dxa"/>
            <w:tcBorders>
              <w:top w:val="nil"/>
              <w:left w:val="nil"/>
              <w:bottom w:val="nil"/>
              <w:right w:val="nil"/>
            </w:tcBorders>
            <w:noWrap/>
            <w:vAlign w:val="bottom"/>
            <w:hideMark/>
          </w:tcPr>
          <w:p w14:paraId="141F20AB"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(.065)</w:t>
            </w:r>
          </w:p>
        </w:tc>
        <w:tc>
          <w:tcPr>
            <w:tcW w:w="1288" w:type="dxa"/>
            <w:tcBorders>
              <w:top w:val="nil"/>
              <w:left w:val="nil"/>
              <w:bottom w:val="nil"/>
              <w:right w:val="nil"/>
            </w:tcBorders>
            <w:noWrap/>
            <w:vAlign w:val="bottom"/>
            <w:hideMark/>
          </w:tcPr>
          <w:p w14:paraId="09350C2D"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(.035)</w:t>
            </w:r>
          </w:p>
        </w:tc>
      </w:tr>
      <w:tr w:rsidR="00426A3B" w:rsidRPr="00FC7BB4" w14:paraId="541B5D34" w14:textId="77777777" w:rsidTr="00F3101B">
        <w:trPr>
          <w:trHeight w:val="315"/>
        </w:trPr>
        <w:tc>
          <w:tcPr>
            <w:tcW w:w="1660" w:type="dxa"/>
            <w:tcBorders>
              <w:top w:val="nil"/>
              <w:left w:val="nil"/>
              <w:bottom w:val="nil"/>
              <w:right w:val="nil"/>
            </w:tcBorders>
            <w:noWrap/>
            <w:vAlign w:val="bottom"/>
            <w:hideMark/>
          </w:tcPr>
          <w:p w14:paraId="2E9E7124"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π.</w:t>
            </w:r>
            <w:proofErr w:type="spellStart"/>
            <w:r w:rsidRPr="00FC7BB4">
              <w:rPr>
                <w:rFonts w:ascii="Times New Roman" w:eastAsia="Times New Roman" w:hAnsi="Times New Roman" w:cs="Times New Roman"/>
                <w:kern w:val="0"/>
                <w:szCs w:val="20"/>
                <w14:ligatures w14:val="none"/>
              </w:rPr>
              <w:t>Cnc.Recent</w:t>
            </w:r>
            <w:proofErr w:type="spellEnd"/>
            <w:proofErr w:type="gramEnd"/>
          </w:p>
        </w:tc>
        <w:tc>
          <w:tcPr>
            <w:tcW w:w="1884" w:type="dxa"/>
            <w:tcBorders>
              <w:top w:val="nil"/>
              <w:left w:val="nil"/>
              <w:bottom w:val="nil"/>
              <w:right w:val="nil"/>
            </w:tcBorders>
            <w:noWrap/>
            <w:vAlign w:val="bottom"/>
            <w:hideMark/>
          </w:tcPr>
          <w:p w14:paraId="0F674819"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2.343***</w:t>
            </w:r>
          </w:p>
        </w:tc>
        <w:tc>
          <w:tcPr>
            <w:tcW w:w="1843" w:type="dxa"/>
            <w:tcBorders>
              <w:top w:val="nil"/>
              <w:left w:val="nil"/>
              <w:bottom w:val="nil"/>
              <w:right w:val="nil"/>
            </w:tcBorders>
            <w:noWrap/>
            <w:vAlign w:val="bottom"/>
            <w:hideMark/>
          </w:tcPr>
          <w:p w14:paraId="0845AEA4"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1.033</w:t>
            </w:r>
          </w:p>
        </w:tc>
        <w:tc>
          <w:tcPr>
            <w:tcW w:w="1984" w:type="dxa"/>
            <w:tcBorders>
              <w:top w:val="nil"/>
              <w:left w:val="nil"/>
              <w:bottom w:val="nil"/>
              <w:right w:val="nil"/>
            </w:tcBorders>
            <w:noWrap/>
            <w:vAlign w:val="bottom"/>
            <w:hideMark/>
          </w:tcPr>
          <w:p w14:paraId="74498EF5"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.184</w:t>
            </w:r>
          </w:p>
        </w:tc>
        <w:tc>
          <w:tcPr>
            <w:tcW w:w="1701" w:type="dxa"/>
            <w:tcBorders>
              <w:top w:val="nil"/>
              <w:left w:val="nil"/>
              <w:bottom w:val="nil"/>
              <w:right w:val="nil"/>
            </w:tcBorders>
            <w:noWrap/>
            <w:vAlign w:val="bottom"/>
            <w:hideMark/>
          </w:tcPr>
          <w:p w14:paraId="44FE54D9"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1.563</w:t>
            </w:r>
          </w:p>
        </w:tc>
        <w:tc>
          <w:tcPr>
            <w:tcW w:w="1288" w:type="dxa"/>
            <w:tcBorders>
              <w:top w:val="nil"/>
              <w:left w:val="nil"/>
              <w:bottom w:val="nil"/>
              <w:right w:val="nil"/>
            </w:tcBorders>
            <w:noWrap/>
            <w:vAlign w:val="bottom"/>
            <w:hideMark/>
          </w:tcPr>
          <w:p w14:paraId="6C09EEC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2.172***</w:t>
            </w:r>
          </w:p>
        </w:tc>
      </w:tr>
      <w:tr w:rsidR="00426A3B" w:rsidRPr="00FC7BB4" w14:paraId="4418DDFF" w14:textId="77777777" w:rsidTr="00F3101B">
        <w:trPr>
          <w:trHeight w:val="315"/>
        </w:trPr>
        <w:tc>
          <w:tcPr>
            <w:tcW w:w="1660" w:type="dxa"/>
            <w:tcBorders>
              <w:top w:val="nil"/>
              <w:left w:val="nil"/>
              <w:bottom w:val="nil"/>
              <w:right w:val="nil"/>
            </w:tcBorders>
            <w:noWrap/>
            <w:vAlign w:val="bottom"/>
            <w:hideMark/>
          </w:tcPr>
          <w:p w14:paraId="38D38435"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2583C9C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(.654)</w:t>
            </w:r>
          </w:p>
        </w:tc>
        <w:tc>
          <w:tcPr>
            <w:tcW w:w="1843" w:type="dxa"/>
            <w:tcBorders>
              <w:top w:val="nil"/>
              <w:left w:val="nil"/>
              <w:bottom w:val="nil"/>
              <w:right w:val="nil"/>
            </w:tcBorders>
            <w:noWrap/>
            <w:vAlign w:val="bottom"/>
            <w:hideMark/>
          </w:tcPr>
          <w:p w14:paraId="4BE1DAE6"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(2.601)</w:t>
            </w:r>
          </w:p>
        </w:tc>
        <w:tc>
          <w:tcPr>
            <w:tcW w:w="1984" w:type="dxa"/>
            <w:tcBorders>
              <w:top w:val="nil"/>
              <w:left w:val="nil"/>
              <w:bottom w:val="nil"/>
              <w:right w:val="nil"/>
            </w:tcBorders>
            <w:noWrap/>
            <w:vAlign w:val="bottom"/>
            <w:hideMark/>
          </w:tcPr>
          <w:p w14:paraId="32977515"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(2.139)</w:t>
            </w:r>
          </w:p>
        </w:tc>
        <w:tc>
          <w:tcPr>
            <w:tcW w:w="1701" w:type="dxa"/>
            <w:tcBorders>
              <w:top w:val="nil"/>
              <w:left w:val="nil"/>
              <w:bottom w:val="nil"/>
              <w:right w:val="nil"/>
            </w:tcBorders>
            <w:noWrap/>
            <w:vAlign w:val="bottom"/>
            <w:hideMark/>
          </w:tcPr>
          <w:p w14:paraId="7773841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(2.304)</w:t>
            </w:r>
          </w:p>
        </w:tc>
        <w:tc>
          <w:tcPr>
            <w:tcW w:w="1288" w:type="dxa"/>
            <w:tcBorders>
              <w:top w:val="nil"/>
              <w:left w:val="nil"/>
              <w:bottom w:val="nil"/>
              <w:right w:val="nil"/>
            </w:tcBorders>
            <w:noWrap/>
            <w:vAlign w:val="bottom"/>
            <w:hideMark/>
          </w:tcPr>
          <w:p w14:paraId="259E470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(.923)</w:t>
            </w:r>
          </w:p>
        </w:tc>
      </w:tr>
      <w:tr w:rsidR="00426A3B" w:rsidRPr="00FC7BB4" w14:paraId="7C48FFEF" w14:textId="77777777" w:rsidTr="00F3101B">
        <w:trPr>
          <w:trHeight w:val="315"/>
        </w:trPr>
        <w:tc>
          <w:tcPr>
            <w:tcW w:w="1660" w:type="dxa"/>
            <w:tcBorders>
              <w:top w:val="nil"/>
              <w:left w:val="nil"/>
              <w:bottom w:val="nil"/>
              <w:right w:val="nil"/>
            </w:tcBorders>
            <w:noWrap/>
            <w:vAlign w:val="bottom"/>
            <w:hideMark/>
          </w:tcPr>
          <w:p w14:paraId="0909476C"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spellStart"/>
            <w:r w:rsidRPr="00FC7BB4">
              <w:rPr>
                <w:rFonts w:ascii="Times New Roman" w:eastAsia="Times New Roman" w:hAnsi="Times New Roman" w:cs="Times New Roman"/>
                <w:kern w:val="0"/>
                <w:szCs w:val="20"/>
                <w14:ligatures w14:val="none"/>
              </w:rPr>
              <w:t>Cdn.Recent</w:t>
            </w:r>
            <w:proofErr w:type="spellEnd"/>
          </w:p>
        </w:tc>
        <w:tc>
          <w:tcPr>
            <w:tcW w:w="1884" w:type="dxa"/>
            <w:tcBorders>
              <w:top w:val="nil"/>
              <w:left w:val="nil"/>
              <w:bottom w:val="nil"/>
              <w:right w:val="nil"/>
            </w:tcBorders>
            <w:noWrap/>
            <w:vAlign w:val="bottom"/>
            <w:hideMark/>
          </w:tcPr>
          <w:p w14:paraId="4405AE29"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-.081</w:t>
            </w:r>
          </w:p>
        </w:tc>
        <w:tc>
          <w:tcPr>
            <w:tcW w:w="1843" w:type="dxa"/>
            <w:tcBorders>
              <w:top w:val="nil"/>
              <w:left w:val="nil"/>
              <w:bottom w:val="nil"/>
              <w:right w:val="nil"/>
            </w:tcBorders>
            <w:noWrap/>
            <w:vAlign w:val="bottom"/>
            <w:hideMark/>
          </w:tcPr>
          <w:p w14:paraId="28F73004"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-.318</w:t>
            </w:r>
          </w:p>
        </w:tc>
        <w:tc>
          <w:tcPr>
            <w:tcW w:w="1984" w:type="dxa"/>
            <w:tcBorders>
              <w:top w:val="nil"/>
              <w:left w:val="nil"/>
              <w:bottom w:val="nil"/>
              <w:right w:val="nil"/>
            </w:tcBorders>
            <w:noWrap/>
            <w:vAlign w:val="bottom"/>
            <w:hideMark/>
          </w:tcPr>
          <w:p w14:paraId="2DF9CA1E"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-.17</w:t>
            </w:r>
          </w:p>
        </w:tc>
        <w:tc>
          <w:tcPr>
            <w:tcW w:w="1701" w:type="dxa"/>
            <w:tcBorders>
              <w:top w:val="nil"/>
              <w:left w:val="nil"/>
              <w:bottom w:val="nil"/>
              <w:right w:val="nil"/>
            </w:tcBorders>
            <w:noWrap/>
            <w:vAlign w:val="bottom"/>
            <w:hideMark/>
          </w:tcPr>
          <w:p w14:paraId="62CBB15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.15</w:t>
            </w:r>
          </w:p>
        </w:tc>
        <w:tc>
          <w:tcPr>
            <w:tcW w:w="1288" w:type="dxa"/>
            <w:tcBorders>
              <w:top w:val="nil"/>
              <w:left w:val="nil"/>
              <w:bottom w:val="nil"/>
              <w:right w:val="nil"/>
            </w:tcBorders>
            <w:noWrap/>
            <w:vAlign w:val="bottom"/>
            <w:hideMark/>
          </w:tcPr>
          <w:p w14:paraId="3B60668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-.015</w:t>
            </w:r>
          </w:p>
        </w:tc>
      </w:tr>
      <w:tr w:rsidR="00426A3B" w:rsidRPr="00FC7BB4" w14:paraId="59BB930F" w14:textId="77777777" w:rsidTr="00F3101B">
        <w:trPr>
          <w:trHeight w:val="315"/>
        </w:trPr>
        <w:tc>
          <w:tcPr>
            <w:tcW w:w="1660" w:type="dxa"/>
            <w:tcBorders>
              <w:top w:val="nil"/>
              <w:left w:val="nil"/>
              <w:bottom w:val="nil"/>
              <w:right w:val="nil"/>
            </w:tcBorders>
            <w:noWrap/>
            <w:vAlign w:val="bottom"/>
            <w:hideMark/>
          </w:tcPr>
          <w:p w14:paraId="178F5FF3"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7260A4F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(.058)</w:t>
            </w:r>
          </w:p>
        </w:tc>
        <w:tc>
          <w:tcPr>
            <w:tcW w:w="1843" w:type="dxa"/>
            <w:tcBorders>
              <w:top w:val="nil"/>
              <w:left w:val="nil"/>
              <w:bottom w:val="nil"/>
              <w:right w:val="nil"/>
            </w:tcBorders>
            <w:noWrap/>
            <w:vAlign w:val="bottom"/>
            <w:hideMark/>
          </w:tcPr>
          <w:p w14:paraId="00A4D68C"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(.317)</w:t>
            </w:r>
          </w:p>
        </w:tc>
        <w:tc>
          <w:tcPr>
            <w:tcW w:w="1984" w:type="dxa"/>
            <w:tcBorders>
              <w:top w:val="nil"/>
              <w:left w:val="nil"/>
              <w:bottom w:val="nil"/>
              <w:right w:val="nil"/>
            </w:tcBorders>
            <w:noWrap/>
            <w:vAlign w:val="bottom"/>
            <w:hideMark/>
          </w:tcPr>
          <w:p w14:paraId="4EC76B6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(.142)</w:t>
            </w:r>
          </w:p>
        </w:tc>
        <w:tc>
          <w:tcPr>
            <w:tcW w:w="1701" w:type="dxa"/>
            <w:tcBorders>
              <w:top w:val="nil"/>
              <w:left w:val="nil"/>
              <w:bottom w:val="nil"/>
              <w:right w:val="nil"/>
            </w:tcBorders>
            <w:noWrap/>
            <w:vAlign w:val="bottom"/>
            <w:hideMark/>
          </w:tcPr>
          <w:p w14:paraId="53717277"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(.158)</w:t>
            </w:r>
          </w:p>
        </w:tc>
        <w:tc>
          <w:tcPr>
            <w:tcW w:w="1288" w:type="dxa"/>
            <w:tcBorders>
              <w:top w:val="nil"/>
              <w:left w:val="nil"/>
              <w:bottom w:val="nil"/>
              <w:right w:val="nil"/>
            </w:tcBorders>
            <w:noWrap/>
            <w:vAlign w:val="bottom"/>
            <w:hideMark/>
          </w:tcPr>
          <w:p w14:paraId="42412F2C"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(.087)</w:t>
            </w:r>
          </w:p>
        </w:tc>
      </w:tr>
      <w:tr w:rsidR="00426A3B" w:rsidRPr="00FC7BB4" w14:paraId="7E71871A" w14:textId="77777777" w:rsidTr="00F3101B">
        <w:trPr>
          <w:trHeight w:val="315"/>
        </w:trPr>
        <w:tc>
          <w:tcPr>
            <w:tcW w:w="1660" w:type="dxa"/>
            <w:tcBorders>
              <w:top w:val="nil"/>
              <w:left w:val="nil"/>
              <w:bottom w:val="nil"/>
              <w:right w:val="nil"/>
            </w:tcBorders>
            <w:noWrap/>
            <w:vAlign w:val="bottom"/>
            <w:hideMark/>
          </w:tcPr>
          <w:p w14:paraId="0C058BC1"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π.</w:t>
            </w:r>
            <w:proofErr w:type="spellStart"/>
            <w:r w:rsidRPr="00FC7BB4">
              <w:rPr>
                <w:rFonts w:ascii="Times New Roman" w:eastAsia="Times New Roman" w:hAnsi="Times New Roman" w:cs="Times New Roman"/>
                <w:kern w:val="0"/>
                <w:szCs w:val="20"/>
                <w14:ligatures w14:val="none"/>
              </w:rPr>
              <w:t>Cdn.Recent</w:t>
            </w:r>
            <w:proofErr w:type="spellEnd"/>
            <w:proofErr w:type="gramEnd"/>
          </w:p>
        </w:tc>
        <w:tc>
          <w:tcPr>
            <w:tcW w:w="1884" w:type="dxa"/>
            <w:tcBorders>
              <w:top w:val="nil"/>
              <w:left w:val="nil"/>
              <w:bottom w:val="nil"/>
              <w:right w:val="nil"/>
            </w:tcBorders>
            <w:noWrap/>
            <w:vAlign w:val="bottom"/>
            <w:hideMark/>
          </w:tcPr>
          <w:p w14:paraId="4BCF34C4"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-15.691***</w:t>
            </w:r>
          </w:p>
        </w:tc>
        <w:tc>
          <w:tcPr>
            <w:tcW w:w="1843" w:type="dxa"/>
            <w:tcBorders>
              <w:top w:val="nil"/>
              <w:left w:val="nil"/>
              <w:bottom w:val="nil"/>
              <w:right w:val="nil"/>
            </w:tcBorders>
            <w:noWrap/>
            <w:vAlign w:val="bottom"/>
            <w:hideMark/>
          </w:tcPr>
          <w:p w14:paraId="6728323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6.956</w:t>
            </w:r>
          </w:p>
        </w:tc>
        <w:tc>
          <w:tcPr>
            <w:tcW w:w="1984" w:type="dxa"/>
            <w:tcBorders>
              <w:top w:val="nil"/>
              <w:left w:val="nil"/>
              <w:bottom w:val="nil"/>
              <w:right w:val="nil"/>
            </w:tcBorders>
            <w:noWrap/>
            <w:vAlign w:val="bottom"/>
            <w:hideMark/>
          </w:tcPr>
          <w:p w14:paraId="0C1C7C1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-10.415</w:t>
            </w:r>
          </w:p>
        </w:tc>
        <w:tc>
          <w:tcPr>
            <w:tcW w:w="1701" w:type="dxa"/>
            <w:tcBorders>
              <w:top w:val="nil"/>
              <w:left w:val="nil"/>
              <w:bottom w:val="nil"/>
              <w:right w:val="nil"/>
            </w:tcBorders>
            <w:noWrap/>
            <w:vAlign w:val="bottom"/>
            <w:hideMark/>
          </w:tcPr>
          <w:p w14:paraId="3BD0889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-8.144</w:t>
            </w:r>
          </w:p>
        </w:tc>
        <w:tc>
          <w:tcPr>
            <w:tcW w:w="1288" w:type="dxa"/>
            <w:tcBorders>
              <w:top w:val="nil"/>
              <w:left w:val="nil"/>
              <w:bottom w:val="nil"/>
              <w:right w:val="nil"/>
            </w:tcBorders>
            <w:noWrap/>
            <w:vAlign w:val="bottom"/>
            <w:hideMark/>
          </w:tcPr>
          <w:p w14:paraId="4A140E33" w14:textId="354DEF8B" w:rsidR="00426A3B" w:rsidRPr="00FC7BB4" w:rsidRDefault="00AC3594"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w:t>
            </w:r>
            <w:r w:rsidR="00426A3B" w:rsidRPr="00FC7BB4">
              <w:rPr>
                <w:rFonts w:ascii="Times New Roman" w:eastAsia="Times New Roman" w:hAnsi="Times New Roman" w:cs="Times New Roman"/>
                <w:color w:val="auto"/>
                <w:kern w:val="0"/>
                <w:szCs w:val="20"/>
                <w14:ligatures w14:val="none"/>
              </w:rPr>
              <w:t>16.766***</w:t>
            </w:r>
          </w:p>
        </w:tc>
      </w:tr>
      <w:tr w:rsidR="00426A3B" w:rsidRPr="00FC7BB4" w14:paraId="53E35878" w14:textId="77777777" w:rsidTr="00F3101B">
        <w:trPr>
          <w:trHeight w:val="315"/>
        </w:trPr>
        <w:tc>
          <w:tcPr>
            <w:tcW w:w="1660" w:type="dxa"/>
            <w:tcBorders>
              <w:top w:val="nil"/>
              <w:left w:val="nil"/>
              <w:bottom w:val="nil"/>
              <w:right w:val="nil"/>
            </w:tcBorders>
            <w:noWrap/>
            <w:vAlign w:val="bottom"/>
            <w:hideMark/>
          </w:tcPr>
          <w:p w14:paraId="6458E2B6"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40FE3A1B"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(2.141)</w:t>
            </w:r>
          </w:p>
        </w:tc>
        <w:tc>
          <w:tcPr>
            <w:tcW w:w="1843" w:type="dxa"/>
            <w:tcBorders>
              <w:top w:val="nil"/>
              <w:left w:val="nil"/>
              <w:bottom w:val="nil"/>
              <w:right w:val="nil"/>
            </w:tcBorders>
            <w:noWrap/>
            <w:vAlign w:val="bottom"/>
            <w:hideMark/>
          </w:tcPr>
          <w:p w14:paraId="7407FD6A"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(10.356)</w:t>
            </w:r>
          </w:p>
        </w:tc>
        <w:tc>
          <w:tcPr>
            <w:tcW w:w="1984" w:type="dxa"/>
            <w:tcBorders>
              <w:top w:val="nil"/>
              <w:left w:val="nil"/>
              <w:bottom w:val="nil"/>
              <w:right w:val="nil"/>
            </w:tcBorders>
            <w:noWrap/>
            <w:vAlign w:val="bottom"/>
            <w:hideMark/>
          </w:tcPr>
          <w:p w14:paraId="7191C304"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(6.732)</w:t>
            </w:r>
          </w:p>
        </w:tc>
        <w:tc>
          <w:tcPr>
            <w:tcW w:w="1701" w:type="dxa"/>
            <w:tcBorders>
              <w:top w:val="nil"/>
              <w:left w:val="nil"/>
              <w:bottom w:val="nil"/>
              <w:right w:val="nil"/>
            </w:tcBorders>
            <w:noWrap/>
            <w:vAlign w:val="bottom"/>
            <w:hideMark/>
          </w:tcPr>
          <w:p w14:paraId="7FF365DD"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(5.889)</w:t>
            </w:r>
          </w:p>
        </w:tc>
        <w:tc>
          <w:tcPr>
            <w:tcW w:w="1288" w:type="dxa"/>
            <w:tcBorders>
              <w:top w:val="nil"/>
              <w:left w:val="nil"/>
              <w:bottom w:val="nil"/>
              <w:right w:val="nil"/>
            </w:tcBorders>
            <w:noWrap/>
            <w:vAlign w:val="bottom"/>
            <w:hideMark/>
          </w:tcPr>
          <w:p w14:paraId="3797C167"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(3.207)</w:t>
            </w:r>
          </w:p>
        </w:tc>
      </w:tr>
      <w:tr w:rsidR="00426A3B" w:rsidRPr="00FC7BB4" w14:paraId="27E764B6" w14:textId="77777777" w:rsidTr="00F3101B">
        <w:trPr>
          <w:trHeight w:val="315"/>
        </w:trPr>
        <w:tc>
          <w:tcPr>
            <w:tcW w:w="1660" w:type="dxa"/>
            <w:tcBorders>
              <w:top w:val="nil"/>
              <w:left w:val="nil"/>
              <w:bottom w:val="nil"/>
              <w:right w:val="nil"/>
            </w:tcBorders>
            <w:noWrap/>
            <w:vAlign w:val="bottom"/>
            <w:hideMark/>
          </w:tcPr>
          <w:p w14:paraId="53C5DB72"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spellStart"/>
            <w:r w:rsidRPr="00FC7BB4">
              <w:rPr>
                <w:rFonts w:ascii="Times New Roman" w:eastAsia="Times New Roman" w:hAnsi="Times New Roman" w:cs="Times New Roman"/>
                <w:kern w:val="0"/>
                <w:szCs w:val="20"/>
                <w14:ligatures w14:val="none"/>
              </w:rPr>
              <w:t>Dnc.Recent</w:t>
            </w:r>
            <w:proofErr w:type="spellEnd"/>
          </w:p>
        </w:tc>
        <w:tc>
          <w:tcPr>
            <w:tcW w:w="1884" w:type="dxa"/>
            <w:tcBorders>
              <w:top w:val="nil"/>
              <w:left w:val="nil"/>
              <w:bottom w:val="nil"/>
              <w:right w:val="nil"/>
            </w:tcBorders>
            <w:noWrap/>
            <w:vAlign w:val="bottom"/>
            <w:hideMark/>
          </w:tcPr>
          <w:p w14:paraId="688074CF"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-.053**</w:t>
            </w:r>
          </w:p>
        </w:tc>
        <w:tc>
          <w:tcPr>
            <w:tcW w:w="1843" w:type="dxa"/>
            <w:tcBorders>
              <w:top w:val="nil"/>
              <w:left w:val="nil"/>
              <w:bottom w:val="nil"/>
              <w:right w:val="nil"/>
            </w:tcBorders>
            <w:noWrap/>
            <w:vAlign w:val="bottom"/>
            <w:hideMark/>
          </w:tcPr>
          <w:p w14:paraId="230E2595"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-.113</w:t>
            </w:r>
          </w:p>
        </w:tc>
        <w:tc>
          <w:tcPr>
            <w:tcW w:w="1984" w:type="dxa"/>
            <w:tcBorders>
              <w:top w:val="nil"/>
              <w:left w:val="nil"/>
              <w:bottom w:val="nil"/>
              <w:right w:val="nil"/>
            </w:tcBorders>
            <w:noWrap/>
            <w:vAlign w:val="bottom"/>
            <w:hideMark/>
          </w:tcPr>
          <w:p w14:paraId="70C48CA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-.094</w:t>
            </w:r>
          </w:p>
        </w:tc>
        <w:tc>
          <w:tcPr>
            <w:tcW w:w="1701" w:type="dxa"/>
            <w:tcBorders>
              <w:top w:val="nil"/>
              <w:left w:val="nil"/>
              <w:bottom w:val="nil"/>
              <w:right w:val="nil"/>
            </w:tcBorders>
            <w:noWrap/>
            <w:vAlign w:val="bottom"/>
            <w:hideMark/>
          </w:tcPr>
          <w:p w14:paraId="3F56015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.013</w:t>
            </w:r>
          </w:p>
        </w:tc>
        <w:tc>
          <w:tcPr>
            <w:tcW w:w="1288" w:type="dxa"/>
            <w:tcBorders>
              <w:top w:val="nil"/>
              <w:left w:val="nil"/>
              <w:bottom w:val="nil"/>
              <w:right w:val="nil"/>
            </w:tcBorders>
            <w:noWrap/>
            <w:vAlign w:val="bottom"/>
            <w:hideMark/>
          </w:tcPr>
          <w:p w14:paraId="617D886B"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-.077**</w:t>
            </w:r>
          </w:p>
        </w:tc>
      </w:tr>
      <w:tr w:rsidR="00426A3B" w:rsidRPr="00FC7BB4" w14:paraId="3F36E81E" w14:textId="77777777" w:rsidTr="00F3101B">
        <w:trPr>
          <w:trHeight w:val="315"/>
        </w:trPr>
        <w:tc>
          <w:tcPr>
            <w:tcW w:w="1660" w:type="dxa"/>
            <w:tcBorders>
              <w:top w:val="nil"/>
              <w:left w:val="nil"/>
              <w:bottom w:val="nil"/>
              <w:right w:val="nil"/>
            </w:tcBorders>
            <w:noWrap/>
            <w:vAlign w:val="bottom"/>
            <w:hideMark/>
          </w:tcPr>
          <w:p w14:paraId="730F6CE9"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31D21BD5"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(.023)</w:t>
            </w:r>
          </w:p>
        </w:tc>
        <w:tc>
          <w:tcPr>
            <w:tcW w:w="1843" w:type="dxa"/>
            <w:tcBorders>
              <w:top w:val="nil"/>
              <w:left w:val="nil"/>
              <w:bottom w:val="nil"/>
              <w:right w:val="nil"/>
            </w:tcBorders>
            <w:noWrap/>
            <w:vAlign w:val="bottom"/>
            <w:hideMark/>
          </w:tcPr>
          <w:p w14:paraId="64829783"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(.09)</w:t>
            </w:r>
          </w:p>
        </w:tc>
        <w:tc>
          <w:tcPr>
            <w:tcW w:w="1984" w:type="dxa"/>
            <w:tcBorders>
              <w:top w:val="nil"/>
              <w:left w:val="nil"/>
              <w:bottom w:val="nil"/>
              <w:right w:val="nil"/>
            </w:tcBorders>
            <w:noWrap/>
            <w:vAlign w:val="bottom"/>
            <w:hideMark/>
          </w:tcPr>
          <w:p w14:paraId="00FB7454"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(.058)</w:t>
            </w:r>
          </w:p>
        </w:tc>
        <w:tc>
          <w:tcPr>
            <w:tcW w:w="1701" w:type="dxa"/>
            <w:tcBorders>
              <w:top w:val="nil"/>
              <w:left w:val="nil"/>
              <w:bottom w:val="nil"/>
              <w:right w:val="nil"/>
            </w:tcBorders>
            <w:noWrap/>
            <w:vAlign w:val="bottom"/>
            <w:hideMark/>
          </w:tcPr>
          <w:p w14:paraId="49AA7808"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(.053)</w:t>
            </w:r>
          </w:p>
        </w:tc>
        <w:tc>
          <w:tcPr>
            <w:tcW w:w="1288" w:type="dxa"/>
            <w:tcBorders>
              <w:top w:val="nil"/>
              <w:left w:val="nil"/>
              <w:bottom w:val="nil"/>
              <w:right w:val="nil"/>
            </w:tcBorders>
            <w:noWrap/>
            <w:vAlign w:val="bottom"/>
            <w:hideMark/>
          </w:tcPr>
          <w:p w14:paraId="2BCBA99E"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(.035)</w:t>
            </w:r>
          </w:p>
        </w:tc>
      </w:tr>
      <w:tr w:rsidR="00426A3B" w:rsidRPr="00FC7BB4" w14:paraId="3F7A3AA4" w14:textId="77777777" w:rsidTr="00F3101B">
        <w:trPr>
          <w:trHeight w:val="315"/>
        </w:trPr>
        <w:tc>
          <w:tcPr>
            <w:tcW w:w="1660" w:type="dxa"/>
            <w:tcBorders>
              <w:top w:val="nil"/>
              <w:left w:val="nil"/>
              <w:bottom w:val="nil"/>
              <w:right w:val="nil"/>
            </w:tcBorders>
            <w:noWrap/>
            <w:vAlign w:val="bottom"/>
            <w:hideMark/>
          </w:tcPr>
          <w:p w14:paraId="387398F2"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π.</w:t>
            </w:r>
            <w:proofErr w:type="spellStart"/>
            <w:r w:rsidRPr="00FC7BB4">
              <w:rPr>
                <w:rFonts w:ascii="Times New Roman" w:eastAsia="Times New Roman" w:hAnsi="Times New Roman" w:cs="Times New Roman"/>
                <w:kern w:val="0"/>
                <w:szCs w:val="20"/>
                <w14:ligatures w14:val="none"/>
              </w:rPr>
              <w:t>Dnc.Recent</w:t>
            </w:r>
            <w:proofErr w:type="spellEnd"/>
            <w:proofErr w:type="gramEnd"/>
          </w:p>
        </w:tc>
        <w:tc>
          <w:tcPr>
            <w:tcW w:w="1884" w:type="dxa"/>
            <w:tcBorders>
              <w:top w:val="nil"/>
              <w:left w:val="nil"/>
              <w:bottom w:val="nil"/>
              <w:right w:val="nil"/>
            </w:tcBorders>
            <w:noWrap/>
            <w:vAlign w:val="bottom"/>
            <w:hideMark/>
          </w:tcPr>
          <w:p w14:paraId="45BF51C8"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2.356***</w:t>
            </w:r>
          </w:p>
        </w:tc>
        <w:tc>
          <w:tcPr>
            <w:tcW w:w="1843" w:type="dxa"/>
            <w:tcBorders>
              <w:top w:val="nil"/>
              <w:left w:val="nil"/>
              <w:bottom w:val="nil"/>
              <w:right w:val="nil"/>
            </w:tcBorders>
            <w:noWrap/>
            <w:vAlign w:val="bottom"/>
            <w:hideMark/>
          </w:tcPr>
          <w:p w14:paraId="57B145A3"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5.297***</w:t>
            </w:r>
          </w:p>
        </w:tc>
        <w:tc>
          <w:tcPr>
            <w:tcW w:w="1984" w:type="dxa"/>
            <w:tcBorders>
              <w:top w:val="nil"/>
              <w:left w:val="nil"/>
              <w:bottom w:val="nil"/>
              <w:right w:val="nil"/>
            </w:tcBorders>
            <w:noWrap/>
            <w:vAlign w:val="bottom"/>
            <w:hideMark/>
          </w:tcPr>
          <w:p w14:paraId="46C97234"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2.59</w:t>
            </w:r>
          </w:p>
        </w:tc>
        <w:tc>
          <w:tcPr>
            <w:tcW w:w="1701" w:type="dxa"/>
            <w:tcBorders>
              <w:top w:val="nil"/>
              <w:left w:val="nil"/>
              <w:bottom w:val="nil"/>
              <w:right w:val="nil"/>
            </w:tcBorders>
            <w:noWrap/>
            <w:vAlign w:val="bottom"/>
            <w:hideMark/>
          </w:tcPr>
          <w:p w14:paraId="392F15A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3.928***</w:t>
            </w:r>
          </w:p>
        </w:tc>
        <w:tc>
          <w:tcPr>
            <w:tcW w:w="1288" w:type="dxa"/>
            <w:tcBorders>
              <w:top w:val="nil"/>
              <w:left w:val="nil"/>
              <w:bottom w:val="nil"/>
              <w:right w:val="nil"/>
            </w:tcBorders>
            <w:noWrap/>
            <w:vAlign w:val="bottom"/>
            <w:hideMark/>
          </w:tcPr>
          <w:p w14:paraId="5E5D61B5"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2.175***</w:t>
            </w:r>
          </w:p>
        </w:tc>
      </w:tr>
      <w:tr w:rsidR="00426A3B" w:rsidRPr="00FC7BB4" w14:paraId="3F1E09B9" w14:textId="77777777" w:rsidTr="00F3101B">
        <w:trPr>
          <w:trHeight w:val="315"/>
        </w:trPr>
        <w:tc>
          <w:tcPr>
            <w:tcW w:w="1660" w:type="dxa"/>
            <w:tcBorders>
              <w:top w:val="nil"/>
              <w:left w:val="nil"/>
              <w:bottom w:val="nil"/>
              <w:right w:val="nil"/>
            </w:tcBorders>
            <w:noWrap/>
            <w:vAlign w:val="bottom"/>
            <w:hideMark/>
          </w:tcPr>
          <w:p w14:paraId="4F286FE8"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5D59F85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(.555)</w:t>
            </w:r>
          </w:p>
        </w:tc>
        <w:tc>
          <w:tcPr>
            <w:tcW w:w="1843" w:type="dxa"/>
            <w:tcBorders>
              <w:top w:val="nil"/>
              <w:left w:val="nil"/>
              <w:bottom w:val="nil"/>
              <w:right w:val="nil"/>
            </w:tcBorders>
            <w:noWrap/>
            <w:vAlign w:val="bottom"/>
            <w:hideMark/>
          </w:tcPr>
          <w:p w14:paraId="5F97F784"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(2.029)</w:t>
            </w:r>
          </w:p>
        </w:tc>
        <w:tc>
          <w:tcPr>
            <w:tcW w:w="1984" w:type="dxa"/>
            <w:tcBorders>
              <w:top w:val="nil"/>
              <w:left w:val="nil"/>
              <w:bottom w:val="nil"/>
              <w:right w:val="nil"/>
            </w:tcBorders>
            <w:noWrap/>
            <w:vAlign w:val="bottom"/>
            <w:hideMark/>
          </w:tcPr>
          <w:p w14:paraId="63FF76B7"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(1.6)</w:t>
            </w:r>
          </w:p>
        </w:tc>
        <w:tc>
          <w:tcPr>
            <w:tcW w:w="1701" w:type="dxa"/>
            <w:tcBorders>
              <w:top w:val="nil"/>
              <w:left w:val="nil"/>
              <w:bottom w:val="nil"/>
              <w:right w:val="nil"/>
            </w:tcBorders>
            <w:noWrap/>
            <w:vAlign w:val="bottom"/>
            <w:hideMark/>
          </w:tcPr>
          <w:p w14:paraId="5A7A3CAB"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(1.442)</w:t>
            </w:r>
          </w:p>
        </w:tc>
        <w:tc>
          <w:tcPr>
            <w:tcW w:w="1288" w:type="dxa"/>
            <w:tcBorders>
              <w:top w:val="nil"/>
              <w:left w:val="nil"/>
              <w:bottom w:val="nil"/>
              <w:right w:val="nil"/>
            </w:tcBorders>
            <w:noWrap/>
            <w:vAlign w:val="bottom"/>
            <w:hideMark/>
          </w:tcPr>
          <w:p w14:paraId="1E76656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(.828)</w:t>
            </w:r>
          </w:p>
        </w:tc>
      </w:tr>
      <w:tr w:rsidR="00426A3B" w:rsidRPr="00FC7BB4" w14:paraId="79AFA76C" w14:textId="77777777" w:rsidTr="00F3101B">
        <w:trPr>
          <w:trHeight w:val="315"/>
        </w:trPr>
        <w:tc>
          <w:tcPr>
            <w:tcW w:w="1660" w:type="dxa"/>
            <w:tcBorders>
              <w:top w:val="nil"/>
              <w:left w:val="nil"/>
              <w:bottom w:val="nil"/>
              <w:right w:val="nil"/>
            </w:tcBorders>
            <w:noWrap/>
            <w:vAlign w:val="bottom"/>
            <w:hideMark/>
          </w:tcPr>
          <w:p w14:paraId="7E67D319"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spellStart"/>
            <w:r w:rsidRPr="00FC7BB4">
              <w:rPr>
                <w:rFonts w:ascii="Times New Roman" w:eastAsia="Times New Roman" w:hAnsi="Times New Roman" w:cs="Times New Roman"/>
                <w:kern w:val="0"/>
                <w:szCs w:val="20"/>
                <w14:ligatures w14:val="none"/>
              </w:rPr>
              <w:t>Ddn.Recent</w:t>
            </w:r>
            <w:proofErr w:type="spellEnd"/>
          </w:p>
        </w:tc>
        <w:tc>
          <w:tcPr>
            <w:tcW w:w="1884" w:type="dxa"/>
            <w:tcBorders>
              <w:top w:val="nil"/>
              <w:left w:val="nil"/>
              <w:bottom w:val="nil"/>
              <w:right w:val="nil"/>
            </w:tcBorders>
            <w:noWrap/>
            <w:vAlign w:val="bottom"/>
            <w:hideMark/>
          </w:tcPr>
          <w:p w14:paraId="701A5E90"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.144***</w:t>
            </w:r>
          </w:p>
        </w:tc>
        <w:tc>
          <w:tcPr>
            <w:tcW w:w="1843" w:type="dxa"/>
            <w:tcBorders>
              <w:top w:val="nil"/>
              <w:left w:val="nil"/>
              <w:bottom w:val="nil"/>
              <w:right w:val="nil"/>
            </w:tcBorders>
            <w:noWrap/>
            <w:vAlign w:val="bottom"/>
            <w:hideMark/>
          </w:tcPr>
          <w:p w14:paraId="3EAABD83"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.169</w:t>
            </w:r>
          </w:p>
        </w:tc>
        <w:tc>
          <w:tcPr>
            <w:tcW w:w="1984" w:type="dxa"/>
            <w:tcBorders>
              <w:top w:val="nil"/>
              <w:left w:val="nil"/>
              <w:bottom w:val="nil"/>
              <w:right w:val="nil"/>
            </w:tcBorders>
            <w:noWrap/>
            <w:vAlign w:val="bottom"/>
            <w:hideMark/>
          </w:tcPr>
          <w:p w14:paraId="37352687"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.291***</w:t>
            </w:r>
          </w:p>
        </w:tc>
        <w:tc>
          <w:tcPr>
            <w:tcW w:w="1701" w:type="dxa"/>
            <w:tcBorders>
              <w:top w:val="nil"/>
              <w:left w:val="nil"/>
              <w:bottom w:val="nil"/>
              <w:right w:val="nil"/>
            </w:tcBorders>
            <w:noWrap/>
            <w:vAlign w:val="bottom"/>
            <w:hideMark/>
          </w:tcPr>
          <w:p w14:paraId="0D13DE04"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.089</w:t>
            </w:r>
          </w:p>
        </w:tc>
        <w:tc>
          <w:tcPr>
            <w:tcW w:w="1288" w:type="dxa"/>
            <w:tcBorders>
              <w:top w:val="nil"/>
              <w:left w:val="nil"/>
              <w:bottom w:val="nil"/>
              <w:right w:val="nil"/>
            </w:tcBorders>
            <w:noWrap/>
            <w:vAlign w:val="bottom"/>
            <w:hideMark/>
          </w:tcPr>
          <w:p w14:paraId="4E38F22E"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.231***</w:t>
            </w:r>
          </w:p>
        </w:tc>
      </w:tr>
      <w:tr w:rsidR="00426A3B" w:rsidRPr="00FC7BB4" w14:paraId="4857A508" w14:textId="77777777" w:rsidTr="00F3101B">
        <w:trPr>
          <w:trHeight w:val="315"/>
        </w:trPr>
        <w:tc>
          <w:tcPr>
            <w:tcW w:w="1660" w:type="dxa"/>
            <w:tcBorders>
              <w:top w:val="nil"/>
              <w:left w:val="nil"/>
              <w:bottom w:val="nil"/>
              <w:right w:val="nil"/>
            </w:tcBorders>
            <w:noWrap/>
            <w:vAlign w:val="bottom"/>
            <w:hideMark/>
          </w:tcPr>
          <w:p w14:paraId="62B6DCD5"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1C42C84C"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(.032)</w:t>
            </w:r>
          </w:p>
        </w:tc>
        <w:tc>
          <w:tcPr>
            <w:tcW w:w="1843" w:type="dxa"/>
            <w:tcBorders>
              <w:top w:val="nil"/>
              <w:left w:val="nil"/>
              <w:bottom w:val="nil"/>
              <w:right w:val="nil"/>
            </w:tcBorders>
            <w:noWrap/>
            <w:vAlign w:val="bottom"/>
            <w:hideMark/>
          </w:tcPr>
          <w:p w14:paraId="490ADB2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(.111)</w:t>
            </w:r>
          </w:p>
        </w:tc>
        <w:tc>
          <w:tcPr>
            <w:tcW w:w="1984" w:type="dxa"/>
            <w:tcBorders>
              <w:top w:val="nil"/>
              <w:left w:val="nil"/>
              <w:bottom w:val="nil"/>
              <w:right w:val="nil"/>
            </w:tcBorders>
            <w:noWrap/>
            <w:vAlign w:val="bottom"/>
            <w:hideMark/>
          </w:tcPr>
          <w:p w14:paraId="4087702B"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(.075)</w:t>
            </w:r>
          </w:p>
        </w:tc>
        <w:tc>
          <w:tcPr>
            <w:tcW w:w="1701" w:type="dxa"/>
            <w:tcBorders>
              <w:top w:val="nil"/>
              <w:left w:val="nil"/>
              <w:bottom w:val="nil"/>
              <w:right w:val="nil"/>
            </w:tcBorders>
            <w:noWrap/>
            <w:vAlign w:val="bottom"/>
            <w:hideMark/>
          </w:tcPr>
          <w:p w14:paraId="26E6F026"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(.094)</w:t>
            </w:r>
          </w:p>
        </w:tc>
        <w:tc>
          <w:tcPr>
            <w:tcW w:w="1288" w:type="dxa"/>
            <w:tcBorders>
              <w:top w:val="nil"/>
              <w:left w:val="nil"/>
              <w:bottom w:val="nil"/>
              <w:right w:val="nil"/>
            </w:tcBorders>
            <w:noWrap/>
            <w:vAlign w:val="bottom"/>
            <w:hideMark/>
          </w:tcPr>
          <w:p w14:paraId="0497A31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(.048)</w:t>
            </w:r>
          </w:p>
        </w:tc>
      </w:tr>
      <w:tr w:rsidR="00426A3B" w:rsidRPr="00FC7BB4" w14:paraId="58219181" w14:textId="77777777" w:rsidTr="00F3101B">
        <w:trPr>
          <w:trHeight w:val="315"/>
        </w:trPr>
        <w:tc>
          <w:tcPr>
            <w:tcW w:w="1660" w:type="dxa"/>
            <w:tcBorders>
              <w:top w:val="nil"/>
              <w:left w:val="nil"/>
              <w:bottom w:val="nil"/>
              <w:right w:val="nil"/>
            </w:tcBorders>
            <w:noWrap/>
            <w:vAlign w:val="bottom"/>
            <w:hideMark/>
          </w:tcPr>
          <w:p w14:paraId="65630649"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roofErr w:type="gramStart"/>
            <w:r w:rsidRPr="00FC7BB4">
              <w:rPr>
                <w:rFonts w:ascii="Times New Roman" w:eastAsia="Times New Roman" w:hAnsi="Times New Roman" w:cs="Times New Roman"/>
                <w:kern w:val="0"/>
                <w:szCs w:val="20"/>
                <w14:ligatures w14:val="none"/>
              </w:rPr>
              <w:t>π.</w:t>
            </w:r>
            <w:proofErr w:type="spellStart"/>
            <w:r w:rsidRPr="00FC7BB4">
              <w:rPr>
                <w:rFonts w:ascii="Times New Roman" w:eastAsia="Times New Roman" w:hAnsi="Times New Roman" w:cs="Times New Roman"/>
                <w:kern w:val="0"/>
                <w:szCs w:val="20"/>
                <w14:ligatures w14:val="none"/>
              </w:rPr>
              <w:t>Ddn.Recent</w:t>
            </w:r>
            <w:proofErr w:type="spellEnd"/>
            <w:proofErr w:type="gramEnd"/>
          </w:p>
        </w:tc>
        <w:tc>
          <w:tcPr>
            <w:tcW w:w="1884" w:type="dxa"/>
            <w:tcBorders>
              <w:top w:val="nil"/>
              <w:left w:val="nil"/>
              <w:bottom w:val="nil"/>
              <w:right w:val="nil"/>
            </w:tcBorders>
            <w:noWrap/>
            <w:vAlign w:val="bottom"/>
            <w:hideMark/>
          </w:tcPr>
          <w:p w14:paraId="22F50B51"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-4.235***</w:t>
            </w:r>
          </w:p>
        </w:tc>
        <w:tc>
          <w:tcPr>
            <w:tcW w:w="1843" w:type="dxa"/>
            <w:tcBorders>
              <w:top w:val="nil"/>
              <w:left w:val="nil"/>
              <w:bottom w:val="nil"/>
              <w:right w:val="nil"/>
            </w:tcBorders>
            <w:noWrap/>
            <w:vAlign w:val="bottom"/>
            <w:hideMark/>
          </w:tcPr>
          <w:p w14:paraId="2DBFF26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-4.597*</w:t>
            </w:r>
          </w:p>
        </w:tc>
        <w:tc>
          <w:tcPr>
            <w:tcW w:w="1984" w:type="dxa"/>
            <w:tcBorders>
              <w:top w:val="nil"/>
              <w:left w:val="nil"/>
              <w:bottom w:val="nil"/>
              <w:right w:val="nil"/>
            </w:tcBorders>
            <w:noWrap/>
            <w:vAlign w:val="bottom"/>
            <w:hideMark/>
          </w:tcPr>
          <w:p w14:paraId="37C21F7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-3.921*</w:t>
            </w:r>
          </w:p>
        </w:tc>
        <w:tc>
          <w:tcPr>
            <w:tcW w:w="1701" w:type="dxa"/>
            <w:tcBorders>
              <w:top w:val="nil"/>
              <w:left w:val="nil"/>
              <w:bottom w:val="nil"/>
              <w:right w:val="nil"/>
            </w:tcBorders>
            <w:noWrap/>
            <w:vAlign w:val="bottom"/>
            <w:hideMark/>
          </w:tcPr>
          <w:p w14:paraId="2D3D38B3"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-.589</w:t>
            </w:r>
          </w:p>
        </w:tc>
        <w:tc>
          <w:tcPr>
            <w:tcW w:w="1288" w:type="dxa"/>
            <w:tcBorders>
              <w:top w:val="nil"/>
              <w:left w:val="nil"/>
              <w:bottom w:val="nil"/>
              <w:right w:val="nil"/>
            </w:tcBorders>
            <w:noWrap/>
            <w:vAlign w:val="bottom"/>
            <w:hideMark/>
          </w:tcPr>
          <w:p w14:paraId="20B4EE2A"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-6.614***</w:t>
            </w:r>
          </w:p>
        </w:tc>
      </w:tr>
      <w:tr w:rsidR="00426A3B" w:rsidRPr="00FC7BB4" w14:paraId="7938274C" w14:textId="77777777" w:rsidTr="00F3101B">
        <w:trPr>
          <w:trHeight w:val="285"/>
        </w:trPr>
        <w:tc>
          <w:tcPr>
            <w:tcW w:w="1660" w:type="dxa"/>
            <w:tcBorders>
              <w:top w:val="nil"/>
              <w:left w:val="nil"/>
              <w:bottom w:val="nil"/>
              <w:right w:val="nil"/>
            </w:tcBorders>
            <w:noWrap/>
            <w:vAlign w:val="bottom"/>
            <w:hideMark/>
          </w:tcPr>
          <w:p w14:paraId="1AD7F04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692AD67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(.793)</w:t>
            </w:r>
          </w:p>
        </w:tc>
        <w:tc>
          <w:tcPr>
            <w:tcW w:w="1843" w:type="dxa"/>
            <w:tcBorders>
              <w:top w:val="nil"/>
              <w:left w:val="nil"/>
              <w:bottom w:val="nil"/>
              <w:right w:val="nil"/>
            </w:tcBorders>
            <w:noWrap/>
            <w:vAlign w:val="bottom"/>
            <w:hideMark/>
          </w:tcPr>
          <w:p w14:paraId="2B73B123"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(2.6)</w:t>
            </w:r>
          </w:p>
        </w:tc>
        <w:tc>
          <w:tcPr>
            <w:tcW w:w="1984" w:type="dxa"/>
            <w:tcBorders>
              <w:top w:val="nil"/>
              <w:left w:val="nil"/>
              <w:bottom w:val="nil"/>
              <w:right w:val="nil"/>
            </w:tcBorders>
            <w:noWrap/>
            <w:vAlign w:val="bottom"/>
            <w:hideMark/>
          </w:tcPr>
          <w:p w14:paraId="105F4DE1"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(2.153)</w:t>
            </w:r>
          </w:p>
        </w:tc>
        <w:tc>
          <w:tcPr>
            <w:tcW w:w="1701" w:type="dxa"/>
            <w:tcBorders>
              <w:top w:val="nil"/>
              <w:left w:val="nil"/>
              <w:bottom w:val="nil"/>
              <w:right w:val="nil"/>
            </w:tcBorders>
            <w:noWrap/>
            <w:vAlign w:val="bottom"/>
            <w:hideMark/>
          </w:tcPr>
          <w:p w14:paraId="333B732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(2.289)</w:t>
            </w:r>
          </w:p>
        </w:tc>
        <w:tc>
          <w:tcPr>
            <w:tcW w:w="1288" w:type="dxa"/>
            <w:tcBorders>
              <w:top w:val="nil"/>
              <w:left w:val="nil"/>
              <w:bottom w:val="nil"/>
              <w:right w:val="nil"/>
            </w:tcBorders>
            <w:noWrap/>
            <w:vAlign w:val="bottom"/>
            <w:hideMark/>
          </w:tcPr>
          <w:p w14:paraId="0ABC69EC"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(1.193)</w:t>
            </w:r>
          </w:p>
        </w:tc>
      </w:tr>
      <w:tr w:rsidR="00426A3B" w:rsidRPr="00FC7BB4" w14:paraId="5B21D848" w14:textId="77777777" w:rsidTr="00F3101B">
        <w:trPr>
          <w:trHeight w:val="285"/>
        </w:trPr>
        <w:tc>
          <w:tcPr>
            <w:tcW w:w="1660" w:type="dxa"/>
            <w:tcBorders>
              <w:top w:val="nil"/>
              <w:left w:val="nil"/>
              <w:bottom w:val="nil"/>
              <w:right w:val="nil"/>
            </w:tcBorders>
            <w:noWrap/>
            <w:vAlign w:val="bottom"/>
            <w:hideMark/>
          </w:tcPr>
          <w:p w14:paraId="7A488106" w14:textId="12A6CA15"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k1</w:t>
            </w:r>
            <w:r w:rsidR="000E2CE8" w:rsidRPr="00FC7BB4">
              <w:rPr>
                <w:rFonts w:ascii="Times New Roman" w:eastAsia="Times New Roman" w:hAnsi="Times New Roman" w:cs="Times New Roman"/>
                <w:kern w:val="0"/>
                <w:szCs w:val="20"/>
                <w14:ligatures w14:val="none"/>
              </w:rPr>
              <w:t xml:space="preserve"> </w:t>
            </w:r>
            <w:r w:rsidRPr="00FC7BB4">
              <w:rPr>
                <w:rFonts w:ascii="Times New Roman" w:eastAsia="Times New Roman" w:hAnsi="Times New Roman" w:cs="Times New Roman"/>
                <w:kern w:val="0"/>
                <w:szCs w:val="20"/>
                <w14:ligatures w14:val="none"/>
              </w:rPr>
              <w:t xml:space="preserve">(down </w:t>
            </w:r>
            <w:proofErr w:type="gramStart"/>
            <w:r w:rsidRPr="00FC7BB4">
              <w:rPr>
                <w:rFonts w:ascii="Times New Roman" w:eastAsia="Times New Roman" w:hAnsi="Times New Roman" w:cs="Times New Roman"/>
                <w:kern w:val="0"/>
                <w:szCs w:val="20"/>
                <w14:ligatures w14:val="none"/>
              </w:rPr>
              <w:t xml:space="preserve">|  </w:t>
            </w:r>
            <w:proofErr w:type="spellStart"/>
            <w:r w:rsidRPr="00FC7BB4">
              <w:rPr>
                <w:rFonts w:ascii="Times New Roman" w:eastAsia="Times New Roman" w:hAnsi="Times New Roman" w:cs="Times New Roman"/>
                <w:kern w:val="0"/>
                <w:szCs w:val="20"/>
                <w14:ligatures w14:val="none"/>
              </w:rPr>
              <w:t>nc</w:t>
            </w:r>
            <w:proofErr w:type="spellEnd"/>
            <w:proofErr w:type="gramEnd"/>
            <w:r w:rsidRPr="00FC7BB4">
              <w:rPr>
                <w:rFonts w:ascii="Times New Roman" w:eastAsia="Times New Roman" w:hAnsi="Times New Roman" w:cs="Times New Roman"/>
                <w:kern w:val="0"/>
                <w:szCs w:val="20"/>
                <w14:ligatures w14:val="none"/>
              </w:rPr>
              <w:t>)</w:t>
            </w:r>
          </w:p>
        </w:tc>
        <w:tc>
          <w:tcPr>
            <w:tcW w:w="1884" w:type="dxa"/>
            <w:tcBorders>
              <w:top w:val="nil"/>
              <w:left w:val="nil"/>
              <w:bottom w:val="nil"/>
              <w:right w:val="nil"/>
            </w:tcBorders>
            <w:noWrap/>
            <w:vAlign w:val="bottom"/>
            <w:hideMark/>
          </w:tcPr>
          <w:p w14:paraId="4A8AAB1B"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-.024***</w:t>
            </w:r>
          </w:p>
        </w:tc>
        <w:tc>
          <w:tcPr>
            <w:tcW w:w="1843" w:type="dxa"/>
            <w:tcBorders>
              <w:top w:val="nil"/>
              <w:left w:val="nil"/>
              <w:bottom w:val="nil"/>
              <w:right w:val="nil"/>
            </w:tcBorders>
            <w:noWrap/>
            <w:vAlign w:val="bottom"/>
            <w:hideMark/>
          </w:tcPr>
          <w:p w14:paraId="44D3024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-.874***</w:t>
            </w:r>
          </w:p>
        </w:tc>
        <w:tc>
          <w:tcPr>
            <w:tcW w:w="1984" w:type="dxa"/>
            <w:tcBorders>
              <w:top w:val="nil"/>
              <w:left w:val="nil"/>
              <w:bottom w:val="nil"/>
              <w:right w:val="nil"/>
            </w:tcBorders>
            <w:noWrap/>
            <w:vAlign w:val="bottom"/>
            <w:hideMark/>
          </w:tcPr>
          <w:p w14:paraId="6E0A2A1D"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-.905***</w:t>
            </w:r>
          </w:p>
        </w:tc>
        <w:tc>
          <w:tcPr>
            <w:tcW w:w="1701" w:type="dxa"/>
            <w:tcBorders>
              <w:top w:val="nil"/>
              <w:left w:val="nil"/>
              <w:bottom w:val="nil"/>
              <w:right w:val="nil"/>
            </w:tcBorders>
            <w:noWrap/>
            <w:vAlign w:val="bottom"/>
            <w:hideMark/>
          </w:tcPr>
          <w:p w14:paraId="16FE84B6"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-.649***</w:t>
            </w:r>
          </w:p>
        </w:tc>
        <w:tc>
          <w:tcPr>
            <w:tcW w:w="1288" w:type="dxa"/>
            <w:tcBorders>
              <w:top w:val="nil"/>
              <w:left w:val="nil"/>
              <w:bottom w:val="nil"/>
              <w:right w:val="nil"/>
            </w:tcBorders>
            <w:noWrap/>
            <w:vAlign w:val="bottom"/>
            <w:hideMark/>
          </w:tcPr>
          <w:p w14:paraId="3D35FC6E"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-.551***</w:t>
            </w:r>
          </w:p>
        </w:tc>
      </w:tr>
      <w:tr w:rsidR="00426A3B" w:rsidRPr="00FC7BB4" w14:paraId="471F2CFD" w14:textId="77777777" w:rsidTr="00F3101B">
        <w:trPr>
          <w:trHeight w:val="285"/>
        </w:trPr>
        <w:tc>
          <w:tcPr>
            <w:tcW w:w="1660" w:type="dxa"/>
            <w:tcBorders>
              <w:top w:val="nil"/>
              <w:left w:val="nil"/>
              <w:bottom w:val="nil"/>
              <w:right w:val="nil"/>
            </w:tcBorders>
            <w:noWrap/>
            <w:vAlign w:val="bottom"/>
            <w:hideMark/>
          </w:tcPr>
          <w:p w14:paraId="3C73379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2B27A7B8"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(.004)</w:t>
            </w:r>
          </w:p>
        </w:tc>
        <w:tc>
          <w:tcPr>
            <w:tcW w:w="1843" w:type="dxa"/>
            <w:tcBorders>
              <w:top w:val="nil"/>
              <w:left w:val="nil"/>
              <w:bottom w:val="nil"/>
              <w:right w:val="nil"/>
            </w:tcBorders>
            <w:noWrap/>
            <w:vAlign w:val="bottom"/>
            <w:hideMark/>
          </w:tcPr>
          <w:p w14:paraId="2B5A02DB"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(.041)</w:t>
            </w:r>
          </w:p>
        </w:tc>
        <w:tc>
          <w:tcPr>
            <w:tcW w:w="1984" w:type="dxa"/>
            <w:tcBorders>
              <w:top w:val="nil"/>
              <w:left w:val="nil"/>
              <w:bottom w:val="nil"/>
              <w:right w:val="nil"/>
            </w:tcBorders>
            <w:noWrap/>
            <w:vAlign w:val="bottom"/>
            <w:hideMark/>
          </w:tcPr>
          <w:p w14:paraId="372C4A33"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(.022)</w:t>
            </w:r>
          </w:p>
        </w:tc>
        <w:tc>
          <w:tcPr>
            <w:tcW w:w="1701" w:type="dxa"/>
            <w:tcBorders>
              <w:top w:val="nil"/>
              <w:left w:val="nil"/>
              <w:bottom w:val="nil"/>
              <w:right w:val="nil"/>
            </w:tcBorders>
            <w:noWrap/>
            <w:vAlign w:val="bottom"/>
            <w:hideMark/>
          </w:tcPr>
          <w:p w14:paraId="39275AAC"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(.027)</w:t>
            </w:r>
          </w:p>
        </w:tc>
        <w:tc>
          <w:tcPr>
            <w:tcW w:w="1288" w:type="dxa"/>
            <w:tcBorders>
              <w:top w:val="nil"/>
              <w:left w:val="nil"/>
              <w:bottom w:val="nil"/>
              <w:right w:val="nil"/>
            </w:tcBorders>
            <w:noWrap/>
            <w:vAlign w:val="bottom"/>
            <w:hideMark/>
          </w:tcPr>
          <w:p w14:paraId="35CE51A6"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(.016)</w:t>
            </w:r>
          </w:p>
        </w:tc>
      </w:tr>
      <w:tr w:rsidR="00426A3B" w:rsidRPr="00FC7BB4" w14:paraId="2AD97E72" w14:textId="77777777" w:rsidTr="00F3101B">
        <w:trPr>
          <w:trHeight w:val="285"/>
        </w:trPr>
        <w:tc>
          <w:tcPr>
            <w:tcW w:w="1660" w:type="dxa"/>
            <w:tcBorders>
              <w:top w:val="nil"/>
              <w:left w:val="nil"/>
              <w:bottom w:val="nil"/>
              <w:right w:val="nil"/>
            </w:tcBorders>
            <w:noWrap/>
            <w:vAlign w:val="bottom"/>
            <w:hideMark/>
          </w:tcPr>
          <w:p w14:paraId="120DBE07" w14:textId="17750F88"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k2</w:t>
            </w:r>
            <w:r w:rsidR="000E2CE8" w:rsidRPr="00FC7BB4">
              <w:rPr>
                <w:rFonts w:ascii="Times New Roman" w:eastAsia="Times New Roman" w:hAnsi="Times New Roman" w:cs="Times New Roman"/>
                <w:kern w:val="0"/>
                <w:szCs w:val="20"/>
                <w14:ligatures w14:val="none"/>
              </w:rPr>
              <w:t xml:space="preserve"> </w:t>
            </w:r>
            <w:r w:rsidRPr="00FC7BB4">
              <w:rPr>
                <w:rFonts w:ascii="Times New Roman" w:eastAsia="Times New Roman" w:hAnsi="Times New Roman" w:cs="Times New Roman"/>
                <w:kern w:val="0"/>
                <w:szCs w:val="20"/>
                <w14:ligatures w14:val="none"/>
              </w:rPr>
              <w:t>(</w:t>
            </w:r>
            <w:proofErr w:type="spellStart"/>
            <w:proofErr w:type="gramStart"/>
            <w:r w:rsidRPr="00FC7BB4">
              <w:rPr>
                <w:rFonts w:ascii="Times New Roman" w:eastAsia="Times New Roman" w:hAnsi="Times New Roman" w:cs="Times New Roman"/>
                <w:kern w:val="0"/>
                <w:szCs w:val="20"/>
                <w14:ligatures w14:val="none"/>
              </w:rPr>
              <w:t>nc</w:t>
            </w:r>
            <w:proofErr w:type="spellEnd"/>
            <w:r w:rsidRPr="00FC7BB4">
              <w:rPr>
                <w:rFonts w:ascii="Times New Roman" w:eastAsia="Times New Roman" w:hAnsi="Times New Roman" w:cs="Times New Roman"/>
                <w:kern w:val="0"/>
                <w:szCs w:val="20"/>
                <w14:ligatures w14:val="none"/>
              </w:rPr>
              <w:t xml:space="preserve">  |</w:t>
            </w:r>
            <w:proofErr w:type="gramEnd"/>
            <w:r w:rsidRPr="00FC7BB4">
              <w:rPr>
                <w:rFonts w:ascii="Times New Roman" w:eastAsia="Times New Roman" w:hAnsi="Times New Roman" w:cs="Times New Roman"/>
                <w:kern w:val="0"/>
                <w:szCs w:val="20"/>
                <w14:ligatures w14:val="none"/>
              </w:rPr>
              <w:t xml:space="preserve"> up)</w:t>
            </w:r>
          </w:p>
        </w:tc>
        <w:tc>
          <w:tcPr>
            <w:tcW w:w="1884" w:type="dxa"/>
            <w:tcBorders>
              <w:top w:val="nil"/>
              <w:left w:val="nil"/>
              <w:bottom w:val="nil"/>
              <w:right w:val="nil"/>
            </w:tcBorders>
            <w:noWrap/>
            <w:vAlign w:val="bottom"/>
            <w:hideMark/>
          </w:tcPr>
          <w:p w14:paraId="343FDD66"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.077***</w:t>
            </w:r>
          </w:p>
        </w:tc>
        <w:tc>
          <w:tcPr>
            <w:tcW w:w="1843" w:type="dxa"/>
            <w:tcBorders>
              <w:top w:val="nil"/>
              <w:left w:val="nil"/>
              <w:bottom w:val="nil"/>
              <w:right w:val="nil"/>
            </w:tcBorders>
            <w:noWrap/>
            <w:vAlign w:val="bottom"/>
            <w:hideMark/>
          </w:tcPr>
          <w:p w14:paraId="111D5724"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1.141***</w:t>
            </w:r>
          </w:p>
        </w:tc>
        <w:tc>
          <w:tcPr>
            <w:tcW w:w="1984" w:type="dxa"/>
            <w:tcBorders>
              <w:top w:val="nil"/>
              <w:left w:val="nil"/>
              <w:bottom w:val="nil"/>
              <w:right w:val="nil"/>
            </w:tcBorders>
            <w:noWrap/>
            <w:vAlign w:val="bottom"/>
            <w:hideMark/>
          </w:tcPr>
          <w:p w14:paraId="2DA4C5B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.88***</w:t>
            </w:r>
          </w:p>
        </w:tc>
        <w:tc>
          <w:tcPr>
            <w:tcW w:w="1701" w:type="dxa"/>
            <w:tcBorders>
              <w:top w:val="nil"/>
              <w:left w:val="nil"/>
              <w:bottom w:val="nil"/>
              <w:right w:val="nil"/>
            </w:tcBorders>
            <w:noWrap/>
            <w:vAlign w:val="bottom"/>
            <w:hideMark/>
          </w:tcPr>
          <w:p w14:paraId="2540C0F6"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1.071***</w:t>
            </w:r>
          </w:p>
        </w:tc>
        <w:tc>
          <w:tcPr>
            <w:tcW w:w="1288" w:type="dxa"/>
            <w:tcBorders>
              <w:top w:val="nil"/>
              <w:left w:val="nil"/>
              <w:bottom w:val="nil"/>
              <w:right w:val="nil"/>
            </w:tcBorders>
            <w:noWrap/>
            <w:vAlign w:val="bottom"/>
            <w:hideMark/>
          </w:tcPr>
          <w:p w14:paraId="403776E8"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1.376***</w:t>
            </w:r>
          </w:p>
        </w:tc>
      </w:tr>
      <w:tr w:rsidR="00426A3B" w:rsidRPr="00FC7BB4" w14:paraId="187ADD91" w14:textId="77777777" w:rsidTr="00F3101B">
        <w:trPr>
          <w:trHeight w:val="285"/>
        </w:trPr>
        <w:tc>
          <w:tcPr>
            <w:tcW w:w="1660" w:type="dxa"/>
            <w:tcBorders>
              <w:top w:val="nil"/>
              <w:left w:val="nil"/>
              <w:bottom w:val="nil"/>
              <w:right w:val="nil"/>
            </w:tcBorders>
            <w:noWrap/>
            <w:vAlign w:val="bottom"/>
            <w:hideMark/>
          </w:tcPr>
          <w:p w14:paraId="74D49EEC"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84" w:type="dxa"/>
            <w:tcBorders>
              <w:top w:val="nil"/>
              <w:left w:val="nil"/>
              <w:bottom w:val="nil"/>
              <w:right w:val="nil"/>
            </w:tcBorders>
            <w:noWrap/>
            <w:vAlign w:val="bottom"/>
            <w:hideMark/>
          </w:tcPr>
          <w:p w14:paraId="1BE1B6D4"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(.002)</w:t>
            </w:r>
          </w:p>
        </w:tc>
        <w:tc>
          <w:tcPr>
            <w:tcW w:w="1843" w:type="dxa"/>
            <w:tcBorders>
              <w:top w:val="nil"/>
              <w:left w:val="nil"/>
              <w:bottom w:val="nil"/>
              <w:right w:val="nil"/>
            </w:tcBorders>
            <w:noWrap/>
            <w:vAlign w:val="bottom"/>
            <w:hideMark/>
          </w:tcPr>
          <w:p w14:paraId="3D2F967E"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(.047)</w:t>
            </w:r>
          </w:p>
        </w:tc>
        <w:tc>
          <w:tcPr>
            <w:tcW w:w="1984" w:type="dxa"/>
            <w:tcBorders>
              <w:top w:val="nil"/>
              <w:left w:val="nil"/>
              <w:bottom w:val="nil"/>
              <w:right w:val="nil"/>
            </w:tcBorders>
            <w:noWrap/>
            <w:vAlign w:val="bottom"/>
            <w:hideMark/>
          </w:tcPr>
          <w:p w14:paraId="65AD3171"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(.021)</w:t>
            </w:r>
          </w:p>
        </w:tc>
        <w:tc>
          <w:tcPr>
            <w:tcW w:w="1701" w:type="dxa"/>
            <w:tcBorders>
              <w:top w:val="nil"/>
              <w:left w:val="nil"/>
              <w:bottom w:val="nil"/>
              <w:right w:val="nil"/>
            </w:tcBorders>
            <w:noWrap/>
            <w:vAlign w:val="bottom"/>
            <w:hideMark/>
          </w:tcPr>
          <w:p w14:paraId="404EBBCE"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(.03)</w:t>
            </w:r>
          </w:p>
        </w:tc>
        <w:tc>
          <w:tcPr>
            <w:tcW w:w="1288" w:type="dxa"/>
            <w:tcBorders>
              <w:top w:val="nil"/>
              <w:left w:val="nil"/>
              <w:bottom w:val="nil"/>
              <w:right w:val="nil"/>
            </w:tcBorders>
            <w:noWrap/>
            <w:vAlign w:val="bottom"/>
            <w:hideMark/>
          </w:tcPr>
          <w:p w14:paraId="27879C1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(0.2)</w:t>
            </w:r>
          </w:p>
        </w:tc>
      </w:tr>
      <w:tr w:rsidR="00426A3B" w:rsidRPr="00FC7BB4" w14:paraId="2C017774" w14:textId="77777777" w:rsidTr="00F3101B">
        <w:trPr>
          <w:trHeight w:val="285"/>
        </w:trPr>
        <w:tc>
          <w:tcPr>
            <w:tcW w:w="1660" w:type="dxa"/>
            <w:tcBorders>
              <w:top w:val="single" w:sz="4" w:space="0" w:color="auto"/>
              <w:left w:val="nil"/>
              <w:bottom w:val="nil"/>
              <w:right w:val="nil"/>
            </w:tcBorders>
            <w:noWrap/>
            <w:vAlign w:val="bottom"/>
            <w:hideMark/>
          </w:tcPr>
          <w:p w14:paraId="3C92CFA7"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Observation</w:t>
            </w:r>
          </w:p>
        </w:tc>
        <w:tc>
          <w:tcPr>
            <w:tcW w:w="1884" w:type="dxa"/>
            <w:tcBorders>
              <w:top w:val="single" w:sz="4" w:space="0" w:color="auto"/>
              <w:left w:val="nil"/>
              <w:bottom w:val="nil"/>
              <w:right w:val="nil"/>
            </w:tcBorders>
            <w:noWrap/>
            <w:vAlign w:val="bottom"/>
            <w:hideMark/>
          </w:tcPr>
          <w:p w14:paraId="67351A8C"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125363</w:t>
            </w:r>
          </w:p>
        </w:tc>
        <w:tc>
          <w:tcPr>
            <w:tcW w:w="1843" w:type="dxa"/>
            <w:tcBorders>
              <w:top w:val="single" w:sz="4" w:space="0" w:color="auto"/>
              <w:left w:val="nil"/>
              <w:bottom w:val="nil"/>
              <w:right w:val="nil"/>
            </w:tcBorders>
            <w:noWrap/>
            <w:vAlign w:val="bottom"/>
            <w:hideMark/>
          </w:tcPr>
          <w:p w14:paraId="7B4867BD"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7864</w:t>
            </w:r>
          </w:p>
        </w:tc>
        <w:tc>
          <w:tcPr>
            <w:tcW w:w="1984" w:type="dxa"/>
            <w:tcBorders>
              <w:top w:val="single" w:sz="4" w:space="0" w:color="auto"/>
              <w:left w:val="nil"/>
              <w:bottom w:val="nil"/>
              <w:right w:val="nil"/>
            </w:tcBorders>
            <w:noWrap/>
            <w:vAlign w:val="bottom"/>
          </w:tcPr>
          <w:p w14:paraId="23C0B9AB"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36886</w:t>
            </w:r>
          </w:p>
        </w:tc>
        <w:tc>
          <w:tcPr>
            <w:tcW w:w="1701" w:type="dxa"/>
            <w:tcBorders>
              <w:top w:val="single" w:sz="4" w:space="0" w:color="auto"/>
              <w:left w:val="nil"/>
              <w:bottom w:val="nil"/>
              <w:right w:val="nil"/>
            </w:tcBorders>
            <w:noWrap/>
            <w:vAlign w:val="bottom"/>
            <w:hideMark/>
          </w:tcPr>
          <w:p w14:paraId="339FA046"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24134</w:t>
            </w:r>
          </w:p>
        </w:tc>
        <w:tc>
          <w:tcPr>
            <w:tcW w:w="1288" w:type="dxa"/>
            <w:tcBorders>
              <w:top w:val="single" w:sz="4" w:space="0" w:color="auto"/>
              <w:left w:val="nil"/>
              <w:bottom w:val="nil"/>
              <w:right w:val="nil"/>
            </w:tcBorders>
            <w:noWrap/>
            <w:vAlign w:val="bottom"/>
            <w:hideMark/>
          </w:tcPr>
          <w:p w14:paraId="0DD47E64"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56479</w:t>
            </w:r>
          </w:p>
        </w:tc>
      </w:tr>
      <w:tr w:rsidR="00426A3B" w:rsidRPr="00FC7BB4" w14:paraId="41C2459D" w14:textId="77777777" w:rsidTr="00F3101B">
        <w:trPr>
          <w:trHeight w:val="285"/>
        </w:trPr>
        <w:tc>
          <w:tcPr>
            <w:tcW w:w="1660" w:type="dxa"/>
            <w:tcBorders>
              <w:top w:val="nil"/>
              <w:left w:val="nil"/>
              <w:bottom w:val="nil"/>
              <w:right w:val="nil"/>
            </w:tcBorders>
            <w:noWrap/>
            <w:vAlign w:val="bottom"/>
            <w:hideMark/>
          </w:tcPr>
          <w:p w14:paraId="4F506EA9"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Chi-squared</w:t>
            </w:r>
          </w:p>
        </w:tc>
        <w:tc>
          <w:tcPr>
            <w:tcW w:w="1884" w:type="dxa"/>
            <w:tcBorders>
              <w:top w:val="nil"/>
              <w:left w:val="nil"/>
              <w:bottom w:val="nil"/>
              <w:right w:val="nil"/>
            </w:tcBorders>
            <w:noWrap/>
            <w:vAlign w:val="bottom"/>
            <w:hideMark/>
          </w:tcPr>
          <w:p w14:paraId="5BB23B36"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36779</w:t>
            </w:r>
          </w:p>
        </w:tc>
        <w:tc>
          <w:tcPr>
            <w:tcW w:w="1843" w:type="dxa"/>
            <w:tcBorders>
              <w:top w:val="nil"/>
              <w:left w:val="nil"/>
              <w:bottom w:val="nil"/>
              <w:right w:val="nil"/>
            </w:tcBorders>
            <w:noWrap/>
            <w:vAlign w:val="bottom"/>
            <w:hideMark/>
          </w:tcPr>
          <w:p w14:paraId="5F965D15"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2402</w:t>
            </w:r>
          </w:p>
        </w:tc>
        <w:tc>
          <w:tcPr>
            <w:tcW w:w="1984" w:type="dxa"/>
            <w:tcBorders>
              <w:top w:val="nil"/>
              <w:left w:val="nil"/>
              <w:bottom w:val="nil"/>
              <w:right w:val="nil"/>
            </w:tcBorders>
            <w:noWrap/>
            <w:vAlign w:val="bottom"/>
            <w:hideMark/>
          </w:tcPr>
          <w:p w14:paraId="267DDFFF"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10263</w:t>
            </w:r>
          </w:p>
        </w:tc>
        <w:tc>
          <w:tcPr>
            <w:tcW w:w="1701" w:type="dxa"/>
            <w:tcBorders>
              <w:top w:val="nil"/>
              <w:left w:val="nil"/>
              <w:bottom w:val="nil"/>
              <w:right w:val="nil"/>
            </w:tcBorders>
            <w:noWrap/>
            <w:vAlign w:val="bottom"/>
            <w:hideMark/>
          </w:tcPr>
          <w:p w14:paraId="46070CA8"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4027</w:t>
            </w:r>
          </w:p>
        </w:tc>
        <w:tc>
          <w:tcPr>
            <w:tcW w:w="1288" w:type="dxa"/>
            <w:tcBorders>
              <w:top w:val="nil"/>
              <w:left w:val="nil"/>
              <w:bottom w:val="nil"/>
              <w:right w:val="nil"/>
            </w:tcBorders>
            <w:noWrap/>
            <w:vAlign w:val="bottom"/>
            <w:hideMark/>
          </w:tcPr>
          <w:p w14:paraId="177D6CC3"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21125</w:t>
            </w:r>
          </w:p>
        </w:tc>
      </w:tr>
      <w:tr w:rsidR="00426A3B" w:rsidRPr="00FC7BB4" w14:paraId="6FBF97FB" w14:textId="77777777" w:rsidTr="00F3101B">
        <w:trPr>
          <w:trHeight w:val="285"/>
        </w:trPr>
        <w:tc>
          <w:tcPr>
            <w:tcW w:w="1660" w:type="dxa"/>
            <w:tcBorders>
              <w:top w:val="nil"/>
              <w:left w:val="nil"/>
              <w:bottom w:val="nil"/>
              <w:right w:val="nil"/>
            </w:tcBorders>
            <w:noWrap/>
            <w:vAlign w:val="bottom"/>
            <w:hideMark/>
          </w:tcPr>
          <w:p w14:paraId="54F56A88"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Prob&gt;chi2</w:t>
            </w:r>
          </w:p>
        </w:tc>
        <w:tc>
          <w:tcPr>
            <w:tcW w:w="1884" w:type="dxa"/>
            <w:tcBorders>
              <w:top w:val="nil"/>
              <w:left w:val="nil"/>
              <w:bottom w:val="nil"/>
              <w:right w:val="nil"/>
            </w:tcBorders>
            <w:noWrap/>
            <w:vAlign w:val="bottom"/>
            <w:hideMark/>
          </w:tcPr>
          <w:p w14:paraId="6604BCB8"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0.000</w:t>
            </w:r>
          </w:p>
        </w:tc>
        <w:tc>
          <w:tcPr>
            <w:tcW w:w="1843" w:type="dxa"/>
            <w:tcBorders>
              <w:top w:val="nil"/>
              <w:left w:val="nil"/>
              <w:bottom w:val="nil"/>
              <w:right w:val="nil"/>
            </w:tcBorders>
            <w:noWrap/>
            <w:vAlign w:val="bottom"/>
            <w:hideMark/>
          </w:tcPr>
          <w:p w14:paraId="5EC8CC76"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0.000</w:t>
            </w:r>
          </w:p>
        </w:tc>
        <w:tc>
          <w:tcPr>
            <w:tcW w:w="1984" w:type="dxa"/>
            <w:tcBorders>
              <w:top w:val="nil"/>
              <w:left w:val="nil"/>
              <w:bottom w:val="nil"/>
              <w:right w:val="nil"/>
            </w:tcBorders>
            <w:noWrap/>
            <w:vAlign w:val="bottom"/>
            <w:hideMark/>
          </w:tcPr>
          <w:p w14:paraId="5858C11A"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0.000</w:t>
            </w:r>
          </w:p>
        </w:tc>
        <w:tc>
          <w:tcPr>
            <w:tcW w:w="1701" w:type="dxa"/>
            <w:tcBorders>
              <w:top w:val="nil"/>
              <w:left w:val="nil"/>
              <w:bottom w:val="nil"/>
              <w:right w:val="nil"/>
            </w:tcBorders>
            <w:noWrap/>
            <w:vAlign w:val="bottom"/>
            <w:hideMark/>
          </w:tcPr>
          <w:p w14:paraId="5FF4F469"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0.000</w:t>
            </w:r>
          </w:p>
        </w:tc>
        <w:tc>
          <w:tcPr>
            <w:tcW w:w="1288" w:type="dxa"/>
            <w:tcBorders>
              <w:top w:val="nil"/>
              <w:left w:val="nil"/>
              <w:bottom w:val="nil"/>
              <w:right w:val="nil"/>
            </w:tcBorders>
            <w:noWrap/>
            <w:vAlign w:val="bottom"/>
            <w:hideMark/>
          </w:tcPr>
          <w:p w14:paraId="5351448C"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r w:rsidRPr="00FC7BB4">
              <w:rPr>
                <w:rFonts w:ascii="Times New Roman" w:eastAsia="Times New Roman" w:hAnsi="Times New Roman" w:cs="Times New Roman"/>
                <w:color w:val="auto"/>
                <w:kern w:val="0"/>
                <w:szCs w:val="20"/>
                <w14:ligatures w14:val="none"/>
              </w:rPr>
              <w:t>0.000</w:t>
            </w:r>
          </w:p>
        </w:tc>
      </w:tr>
      <w:tr w:rsidR="00426A3B" w:rsidRPr="00FC7BB4" w14:paraId="3E062F37" w14:textId="77777777" w:rsidTr="00F3101B">
        <w:trPr>
          <w:trHeight w:val="53"/>
        </w:trPr>
        <w:tc>
          <w:tcPr>
            <w:tcW w:w="1660" w:type="dxa"/>
            <w:tcBorders>
              <w:top w:val="nil"/>
              <w:left w:val="nil"/>
              <w:bottom w:val="single" w:sz="4" w:space="0" w:color="auto"/>
              <w:right w:val="nil"/>
            </w:tcBorders>
            <w:noWrap/>
            <w:vAlign w:val="bottom"/>
            <w:hideMark/>
          </w:tcPr>
          <w:p w14:paraId="24367252"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Log likelihood</w:t>
            </w:r>
          </w:p>
        </w:tc>
        <w:tc>
          <w:tcPr>
            <w:tcW w:w="1884" w:type="dxa"/>
            <w:tcBorders>
              <w:top w:val="nil"/>
              <w:left w:val="nil"/>
              <w:bottom w:val="single" w:sz="4" w:space="0" w:color="auto"/>
              <w:right w:val="nil"/>
            </w:tcBorders>
            <w:noWrap/>
            <w:vAlign w:val="bottom"/>
            <w:hideMark/>
          </w:tcPr>
          <w:p w14:paraId="57CC6A43"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-111704</w:t>
            </w:r>
          </w:p>
        </w:tc>
        <w:tc>
          <w:tcPr>
            <w:tcW w:w="1843" w:type="dxa"/>
            <w:tcBorders>
              <w:top w:val="nil"/>
              <w:left w:val="nil"/>
              <w:bottom w:val="single" w:sz="4" w:space="0" w:color="auto"/>
              <w:right w:val="nil"/>
            </w:tcBorders>
            <w:noWrap/>
            <w:vAlign w:val="bottom"/>
            <w:hideMark/>
          </w:tcPr>
          <w:p w14:paraId="58156833"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-6467</w:t>
            </w:r>
          </w:p>
        </w:tc>
        <w:tc>
          <w:tcPr>
            <w:tcW w:w="1984" w:type="dxa"/>
            <w:tcBorders>
              <w:top w:val="nil"/>
              <w:left w:val="nil"/>
              <w:bottom w:val="single" w:sz="4" w:space="0" w:color="auto"/>
              <w:right w:val="nil"/>
            </w:tcBorders>
            <w:noWrap/>
            <w:vAlign w:val="bottom"/>
            <w:hideMark/>
          </w:tcPr>
          <w:p w14:paraId="484B60E4"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-33573</w:t>
            </w:r>
          </w:p>
        </w:tc>
        <w:tc>
          <w:tcPr>
            <w:tcW w:w="1701" w:type="dxa"/>
            <w:tcBorders>
              <w:top w:val="nil"/>
              <w:left w:val="nil"/>
              <w:bottom w:val="single" w:sz="4" w:space="0" w:color="auto"/>
              <w:right w:val="nil"/>
            </w:tcBorders>
            <w:noWrap/>
            <w:vAlign w:val="bottom"/>
            <w:hideMark/>
          </w:tcPr>
          <w:p w14:paraId="0ED0E80B"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-22947</w:t>
            </w:r>
          </w:p>
        </w:tc>
        <w:tc>
          <w:tcPr>
            <w:tcW w:w="1288" w:type="dxa"/>
            <w:tcBorders>
              <w:top w:val="nil"/>
              <w:left w:val="nil"/>
              <w:bottom w:val="single" w:sz="4" w:space="0" w:color="auto"/>
              <w:right w:val="nil"/>
            </w:tcBorders>
            <w:noWrap/>
            <w:vAlign w:val="bottom"/>
            <w:hideMark/>
          </w:tcPr>
          <w:p w14:paraId="7F629FF8"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r w:rsidRPr="00FC7BB4">
              <w:rPr>
                <w:rFonts w:ascii="Times New Roman" w:eastAsia="Times New Roman" w:hAnsi="Times New Roman" w:cs="Times New Roman"/>
                <w:kern w:val="0"/>
                <w:szCs w:val="20"/>
                <w14:ligatures w14:val="none"/>
              </w:rPr>
              <w:t>-48072</w:t>
            </w:r>
          </w:p>
        </w:tc>
      </w:tr>
      <w:tr w:rsidR="00426A3B" w:rsidRPr="00FC7BB4" w14:paraId="1C48F607" w14:textId="77777777" w:rsidTr="00F3101B">
        <w:trPr>
          <w:trHeight w:val="285"/>
        </w:trPr>
        <w:tc>
          <w:tcPr>
            <w:tcW w:w="1660" w:type="dxa"/>
            <w:tcBorders>
              <w:top w:val="nil"/>
              <w:left w:val="nil"/>
              <w:bottom w:val="nil"/>
              <w:right w:val="nil"/>
            </w:tcBorders>
            <w:noWrap/>
            <w:vAlign w:val="bottom"/>
            <w:hideMark/>
          </w:tcPr>
          <w:p w14:paraId="64426436" w14:textId="77777777" w:rsidR="00426A3B" w:rsidRPr="00FC7BB4" w:rsidRDefault="00426A3B" w:rsidP="00F3101B">
            <w:pPr>
              <w:spacing w:after="0" w:line="240" w:lineRule="auto"/>
              <w:ind w:right="27" w:firstLine="0"/>
              <w:jc w:val="left"/>
              <w:rPr>
                <w:rFonts w:ascii="Times New Roman" w:eastAsia="Times New Roman" w:hAnsi="Times New Roman" w:cs="Times New Roman"/>
                <w:kern w:val="0"/>
                <w:szCs w:val="20"/>
                <w14:ligatures w14:val="none"/>
              </w:rPr>
            </w:pPr>
          </w:p>
        </w:tc>
        <w:tc>
          <w:tcPr>
            <w:tcW w:w="1884" w:type="dxa"/>
            <w:tcBorders>
              <w:top w:val="nil"/>
              <w:left w:val="nil"/>
              <w:bottom w:val="nil"/>
              <w:right w:val="nil"/>
            </w:tcBorders>
            <w:noWrap/>
            <w:vAlign w:val="bottom"/>
            <w:hideMark/>
          </w:tcPr>
          <w:p w14:paraId="620B66A6"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843" w:type="dxa"/>
            <w:tcBorders>
              <w:top w:val="nil"/>
              <w:left w:val="nil"/>
              <w:bottom w:val="nil"/>
              <w:right w:val="nil"/>
            </w:tcBorders>
            <w:noWrap/>
            <w:vAlign w:val="bottom"/>
            <w:hideMark/>
          </w:tcPr>
          <w:p w14:paraId="6A6DD1E2"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984" w:type="dxa"/>
            <w:tcBorders>
              <w:top w:val="nil"/>
              <w:left w:val="nil"/>
              <w:bottom w:val="nil"/>
              <w:right w:val="nil"/>
            </w:tcBorders>
            <w:noWrap/>
            <w:vAlign w:val="bottom"/>
            <w:hideMark/>
          </w:tcPr>
          <w:p w14:paraId="1219B44E"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701" w:type="dxa"/>
            <w:tcBorders>
              <w:top w:val="nil"/>
              <w:left w:val="nil"/>
              <w:bottom w:val="nil"/>
              <w:right w:val="nil"/>
            </w:tcBorders>
            <w:noWrap/>
            <w:vAlign w:val="bottom"/>
            <w:hideMark/>
          </w:tcPr>
          <w:p w14:paraId="7F26C8B5"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c>
          <w:tcPr>
            <w:tcW w:w="1288" w:type="dxa"/>
            <w:tcBorders>
              <w:top w:val="nil"/>
              <w:left w:val="nil"/>
              <w:bottom w:val="nil"/>
              <w:right w:val="nil"/>
            </w:tcBorders>
            <w:noWrap/>
            <w:vAlign w:val="bottom"/>
            <w:hideMark/>
          </w:tcPr>
          <w:p w14:paraId="0DEEC6B0" w14:textId="77777777" w:rsidR="00426A3B" w:rsidRPr="00FC7BB4" w:rsidRDefault="00426A3B" w:rsidP="00F3101B">
            <w:pPr>
              <w:spacing w:after="0" w:line="240" w:lineRule="auto"/>
              <w:ind w:right="27" w:firstLine="0"/>
              <w:jc w:val="left"/>
              <w:rPr>
                <w:rFonts w:ascii="Times New Roman" w:eastAsia="Times New Roman" w:hAnsi="Times New Roman" w:cs="Times New Roman"/>
                <w:color w:val="auto"/>
                <w:kern w:val="0"/>
                <w:szCs w:val="20"/>
                <w14:ligatures w14:val="none"/>
              </w:rPr>
            </w:pPr>
          </w:p>
        </w:tc>
      </w:tr>
    </w:tbl>
    <w:p w14:paraId="19BBFEAE" w14:textId="5FA3CDA1" w:rsidR="00307155" w:rsidRPr="00FC7BB4" w:rsidRDefault="00426A3B" w:rsidP="00055506">
      <w:pPr>
        <w:spacing w:line="240" w:lineRule="auto"/>
        <w:ind w:left="57" w:right="283" w:firstLine="0"/>
        <w:rPr>
          <w:rFonts w:ascii="Times New Roman" w:hAnsi="Times New Roman" w:cs="Times New Roman"/>
          <w:sz w:val="18"/>
          <w:szCs w:val="18"/>
        </w:rPr>
      </w:pPr>
      <w:r w:rsidRPr="00FC7BB4">
        <w:rPr>
          <w:rFonts w:ascii="Times New Roman" w:hAnsi="Times New Roman" w:cs="Times New Roman"/>
        </w:rPr>
        <w:lastRenderedPageBreak/>
        <w:fldChar w:fldCharType="end"/>
      </w:r>
      <w:r w:rsidR="00307155" w:rsidRPr="00FC7BB4">
        <w:rPr>
          <w:rFonts w:ascii="Times New Roman" w:hAnsi="Times New Roman" w:cs="Times New Roman"/>
          <w:sz w:val="18"/>
          <w:szCs w:val="18"/>
        </w:rPr>
        <w:t xml:space="preserve">Notes: </w:t>
      </w:r>
      <w:bookmarkStart w:id="108" w:name="_Hlk213337005"/>
      <w:r w:rsidR="00307155" w:rsidRPr="00FC7BB4">
        <w:rPr>
          <w:rFonts w:ascii="Times New Roman" w:hAnsi="Times New Roman" w:cs="Times New Roman"/>
          <w:sz w:val="18"/>
          <w:szCs w:val="18"/>
        </w:rPr>
        <w:t xml:space="preserve">These estimated versions of equation 2 for profitability changes include the combination of reported demand and cost conditions </w:t>
      </w:r>
      <w:proofErr w:type="spellStart"/>
      <w:r w:rsidR="00307155" w:rsidRPr="00FC7BB4">
        <w:rPr>
          <w:rFonts w:ascii="Times New Roman" w:hAnsi="Times New Roman" w:cs="Times New Roman"/>
          <w:sz w:val="18"/>
          <w:szCs w:val="18"/>
        </w:rPr>
        <w:t>Cnc</w:t>
      </w:r>
      <w:proofErr w:type="spellEnd"/>
      <w:r w:rsidR="00307155" w:rsidRPr="00FC7BB4">
        <w:rPr>
          <w:rFonts w:ascii="Times New Roman" w:hAnsi="Times New Roman" w:cs="Times New Roman"/>
          <w:sz w:val="18"/>
          <w:szCs w:val="18"/>
        </w:rPr>
        <w:t xml:space="preserve">, </w:t>
      </w:r>
      <w:proofErr w:type="spellStart"/>
      <w:r w:rsidR="00307155" w:rsidRPr="00FC7BB4">
        <w:rPr>
          <w:rFonts w:ascii="Times New Roman" w:hAnsi="Times New Roman" w:cs="Times New Roman"/>
          <w:sz w:val="18"/>
          <w:szCs w:val="18"/>
        </w:rPr>
        <w:t>Cdn</w:t>
      </w:r>
      <w:proofErr w:type="spellEnd"/>
      <w:r w:rsidR="00307155" w:rsidRPr="00FC7BB4">
        <w:rPr>
          <w:rFonts w:ascii="Times New Roman" w:hAnsi="Times New Roman" w:cs="Times New Roman"/>
          <w:sz w:val="18"/>
          <w:szCs w:val="18"/>
        </w:rPr>
        <w:t xml:space="preserve"> and </w:t>
      </w:r>
      <w:proofErr w:type="spellStart"/>
      <w:r w:rsidR="00307155" w:rsidRPr="00FC7BB4">
        <w:rPr>
          <w:rFonts w:ascii="Times New Roman" w:hAnsi="Times New Roman" w:cs="Times New Roman"/>
          <w:sz w:val="18"/>
          <w:szCs w:val="18"/>
        </w:rPr>
        <w:t>Dnc</w:t>
      </w:r>
      <w:proofErr w:type="spellEnd"/>
      <w:r w:rsidR="00307155" w:rsidRPr="00FC7BB4">
        <w:rPr>
          <w:rFonts w:ascii="Times New Roman" w:hAnsi="Times New Roman" w:cs="Times New Roman"/>
          <w:sz w:val="18"/>
          <w:szCs w:val="18"/>
        </w:rPr>
        <w:t xml:space="preserve">, </w:t>
      </w:r>
      <w:proofErr w:type="spellStart"/>
      <w:r w:rsidR="00307155" w:rsidRPr="00FC7BB4">
        <w:rPr>
          <w:rFonts w:ascii="Times New Roman" w:hAnsi="Times New Roman" w:cs="Times New Roman"/>
          <w:sz w:val="18"/>
          <w:szCs w:val="18"/>
        </w:rPr>
        <w:t>Ddn</w:t>
      </w:r>
      <w:proofErr w:type="spellEnd"/>
      <w:r w:rsidR="00307155" w:rsidRPr="00FC7BB4">
        <w:rPr>
          <w:rFonts w:ascii="Times New Roman" w:hAnsi="Times New Roman" w:cs="Times New Roman"/>
          <w:sz w:val="18"/>
          <w:szCs w:val="18"/>
        </w:rPr>
        <w:t xml:space="preserve">, where </w:t>
      </w:r>
      <w:proofErr w:type="spellStart"/>
      <w:r w:rsidR="00307155" w:rsidRPr="00FC7BB4">
        <w:rPr>
          <w:rFonts w:ascii="Times New Roman" w:hAnsi="Times New Roman" w:cs="Times New Roman"/>
          <w:sz w:val="18"/>
          <w:szCs w:val="18"/>
        </w:rPr>
        <w:t>nc</w:t>
      </w:r>
      <w:proofErr w:type="spellEnd"/>
      <w:r w:rsidR="00307155" w:rsidRPr="00FC7BB4">
        <w:rPr>
          <w:rFonts w:ascii="Times New Roman" w:hAnsi="Times New Roman" w:cs="Times New Roman"/>
          <w:sz w:val="18"/>
          <w:szCs w:val="18"/>
        </w:rPr>
        <w:t xml:space="preserve">=no change. Standard errors are reported in parentheses: </w:t>
      </w:r>
      <w:r w:rsidR="00307155" w:rsidRPr="00FC7BB4">
        <w:rPr>
          <w:rFonts w:ascii="Cambria Math" w:eastAsia="Cambria" w:hAnsi="Cambria Math" w:cs="Cambria Math"/>
          <w:sz w:val="18"/>
          <w:szCs w:val="18"/>
          <w:vertAlign w:val="superscript"/>
        </w:rPr>
        <w:t>∗∗∗</w:t>
      </w:r>
      <w:r w:rsidR="00307155" w:rsidRPr="00FC7BB4">
        <w:rPr>
          <w:rFonts w:ascii="Times New Roman" w:eastAsia="Cambria" w:hAnsi="Times New Roman" w:cs="Times New Roman"/>
          <w:i/>
          <w:sz w:val="18"/>
          <w:szCs w:val="18"/>
        </w:rPr>
        <w:t xml:space="preserve">p &lt; </w:t>
      </w:r>
      <w:r w:rsidR="00307155" w:rsidRPr="00FC7BB4">
        <w:rPr>
          <w:rFonts w:ascii="Times New Roman" w:eastAsia="Cambria" w:hAnsi="Times New Roman" w:cs="Times New Roman"/>
          <w:sz w:val="18"/>
          <w:szCs w:val="18"/>
        </w:rPr>
        <w:t>0</w:t>
      </w:r>
      <w:r w:rsidR="00307155" w:rsidRPr="00FC7BB4">
        <w:rPr>
          <w:rFonts w:ascii="Times New Roman" w:eastAsia="Cambria" w:hAnsi="Times New Roman" w:cs="Times New Roman"/>
          <w:i/>
          <w:sz w:val="18"/>
          <w:szCs w:val="18"/>
        </w:rPr>
        <w:t>.</w:t>
      </w:r>
      <w:r w:rsidR="00307155" w:rsidRPr="00FC7BB4">
        <w:rPr>
          <w:rFonts w:ascii="Times New Roman" w:eastAsia="Cambria" w:hAnsi="Times New Roman" w:cs="Times New Roman"/>
          <w:sz w:val="18"/>
          <w:szCs w:val="18"/>
        </w:rPr>
        <w:t>01</w:t>
      </w:r>
      <w:r w:rsidR="00307155" w:rsidRPr="00FC7BB4">
        <w:rPr>
          <w:rFonts w:ascii="Times New Roman" w:hAnsi="Times New Roman" w:cs="Times New Roman"/>
          <w:sz w:val="18"/>
          <w:szCs w:val="18"/>
        </w:rPr>
        <w:t xml:space="preserve">; </w:t>
      </w:r>
      <w:r w:rsidR="00307155" w:rsidRPr="00FC7BB4">
        <w:rPr>
          <w:rFonts w:ascii="Cambria Math" w:eastAsia="Cambria" w:hAnsi="Cambria Math" w:cs="Cambria Math"/>
          <w:sz w:val="18"/>
          <w:szCs w:val="18"/>
          <w:vertAlign w:val="superscript"/>
        </w:rPr>
        <w:t>∗∗</w:t>
      </w:r>
      <w:r w:rsidR="00307155" w:rsidRPr="00FC7BB4">
        <w:rPr>
          <w:rFonts w:ascii="Times New Roman" w:eastAsia="Cambria" w:hAnsi="Times New Roman" w:cs="Times New Roman"/>
          <w:i/>
          <w:sz w:val="18"/>
          <w:szCs w:val="18"/>
        </w:rPr>
        <w:t xml:space="preserve">p &lt; </w:t>
      </w:r>
      <w:r w:rsidR="00307155" w:rsidRPr="00FC7BB4">
        <w:rPr>
          <w:rFonts w:ascii="Times New Roman" w:eastAsia="Cambria" w:hAnsi="Times New Roman" w:cs="Times New Roman"/>
          <w:sz w:val="18"/>
          <w:szCs w:val="18"/>
        </w:rPr>
        <w:t>0</w:t>
      </w:r>
      <w:r w:rsidR="00307155" w:rsidRPr="00FC7BB4">
        <w:rPr>
          <w:rFonts w:ascii="Times New Roman" w:eastAsia="Cambria" w:hAnsi="Times New Roman" w:cs="Times New Roman"/>
          <w:i/>
          <w:sz w:val="18"/>
          <w:szCs w:val="18"/>
        </w:rPr>
        <w:t>.</w:t>
      </w:r>
      <w:r w:rsidR="00307155" w:rsidRPr="00FC7BB4">
        <w:rPr>
          <w:rFonts w:ascii="Times New Roman" w:eastAsia="Cambria" w:hAnsi="Times New Roman" w:cs="Times New Roman"/>
          <w:sz w:val="18"/>
          <w:szCs w:val="18"/>
        </w:rPr>
        <w:t>05</w:t>
      </w:r>
      <w:r w:rsidR="00307155" w:rsidRPr="00FC7BB4">
        <w:rPr>
          <w:rFonts w:ascii="Times New Roman" w:hAnsi="Times New Roman" w:cs="Times New Roman"/>
          <w:sz w:val="18"/>
          <w:szCs w:val="18"/>
        </w:rPr>
        <w:t xml:space="preserve">; </w:t>
      </w:r>
      <w:r w:rsidR="00307155" w:rsidRPr="00FC7BB4">
        <w:rPr>
          <w:rFonts w:ascii="Cambria Math" w:eastAsia="Cambria" w:hAnsi="Cambria Math" w:cs="Cambria Math"/>
          <w:sz w:val="18"/>
          <w:szCs w:val="18"/>
          <w:vertAlign w:val="superscript"/>
        </w:rPr>
        <w:t>∗</w:t>
      </w:r>
      <w:r w:rsidR="00307155" w:rsidRPr="00FC7BB4">
        <w:rPr>
          <w:rFonts w:ascii="Times New Roman" w:eastAsia="Cambria" w:hAnsi="Times New Roman" w:cs="Times New Roman"/>
          <w:i/>
          <w:sz w:val="18"/>
          <w:szCs w:val="18"/>
        </w:rPr>
        <w:t xml:space="preserve">p &lt; </w:t>
      </w:r>
      <w:r w:rsidR="00307155" w:rsidRPr="00FC7BB4">
        <w:rPr>
          <w:rFonts w:ascii="Times New Roman" w:eastAsia="Cambria" w:hAnsi="Times New Roman" w:cs="Times New Roman"/>
          <w:sz w:val="18"/>
          <w:szCs w:val="18"/>
        </w:rPr>
        <w:t>0</w:t>
      </w:r>
      <w:r w:rsidR="00307155" w:rsidRPr="00FC7BB4">
        <w:rPr>
          <w:rFonts w:ascii="Times New Roman" w:eastAsia="Cambria" w:hAnsi="Times New Roman" w:cs="Times New Roman"/>
          <w:i/>
          <w:sz w:val="18"/>
          <w:szCs w:val="18"/>
        </w:rPr>
        <w:t>.</w:t>
      </w:r>
      <w:r w:rsidR="00307155" w:rsidRPr="00FC7BB4">
        <w:rPr>
          <w:rFonts w:ascii="Times New Roman" w:eastAsia="Cambria" w:hAnsi="Times New Roman" w:cs="Times New Roman"/>
          <w:sz w:val="18"/>
          <w:szCs w:val="18"/>
        </w:rPr>
        <w:t xml:space="preserve">1.  Model is </w:t>
      </w:r>
      <w:r w:rsidR="00307155" w:rsidRPr="00FC7BB4">
        <w:rPr>
          <w:rFonts w:ascii="Times New Roman" w:hAnsi="Times New Roman" w:cs="Times New Roman"/>
          <w:sz w:val="18"/>
          <w:szCs w:val="18"/>
        </w:rPr>
        <w:t xml:space="preserve">estimated using the </w:t>
      </w:r>
      <w:proofErr w:type="spellStart"/>
      <w:r w:rsidR="00307155" w:rsidRPr="00FC7BB4">
        <w:rPr>
          <w:rFonts w:ascii="Times New Roman" w:hAnsi="Times New Roman" w:cs="Times New Roman"/>
          <w:sz w:val="18"/>
          <w:szCs w:val="18"/>
        </w:rPr>
        <w:t>hetoprobit</w:t>
      </w:r>
      <w:proofErr w:type="spellEnd"/>
      <w:r w:rsidR="00307155" w:rsidRPr="00FC7BB4">
        <w:rPr>
          <w:rFonts w:ascii="Times New Roman" w:hAnsi="Times New Roman" w:cs="Times New Roman"/>
          <w:sz w:val="18"/>
          <w:szCs w:val="18"/>
        </w:rPr>
        <w:t xml:space="preserve"> command in Stata which implements a version of the ordered probit model that allows for the variance to be a function of specified explanatory variables. In the model estimated on the full dataset the variance is modelled as a function of firm sector, firm size and the inflation rate.  Likelihood ratio chi-square is the Likelihood Ratio test statistic. The Likelihood Ratio test statistic calculates by how much the likelihood improves in the model when heteroskedasticity is allowed for versus a model where the variance is assumed to be </w:t>
      </w:r>
      <w:proofErr w:type="spellStart"/>
      <w:r w:rsidR="00FB5BC3" w:rsidRPr="00FC7BB4">
        <w:rPr>
          <w:rFonts w:ascii="Times New Roman" w:hAnsi="Times New Roman" w:cs="Times New Roman"/>
          <w:sz w:val="18"/>
          <w:szCs w:val="18"/>
        </w:rPr>
        <w:t>homoskedastic</w:t>
      </w:r>
      <w:proofErr w:type="spellEnd"/>
      <w:r w:rsidR="00307155" w:rsidRPr="00FC7BB4">
        <w:rPr>
          <w:rFonts w:ascii="Times New Roman" w:hAnsi="Times New Roman" w:cs="Times New Roman"/>
          <w:sz w:val="18"/>
          <w:szCs w:val="18"/>
        </w:rPr>
        <w:t>. The specific formula for the test statistic is LR = -2(</w:t>
      </w:r>
      <w:proofErr w:type="gramStart"/>
      <w:r w:rsidR="00307155" w:rsidRPr="00FC7BB4">
        <w:rPr>
          <w:rFonts w:ascii="Times New Roman" w:hAnsi="Times New Roman" w:cs="Times New Roman"/>
          <w:sz w:val="18"/>
          <w:szCs w:val="18"/>
        </w:rPr>
        <w:t>ln(</w:t>
      </w:r>
      <w:proofErr w:type="spellStart"/>
      <w:proofErr w:type="gramEnd"/>
      <w:r w:rsidR="00307155" w:rsidRPr="00FC7BB4">
        <w:rPr>
          <w:rFonts w:ascii="Times New Roman" w:hAnsi="Times New Roman" w:cs="Times New Roman"/>
          <w:sz w:val="18"/>
          <w:szCs w:val="18"/>
        </w:rPr>
        <w:t>L</w:t>
      </w:r>
      <w:r w:rsidR="00307155" w:rsidRPr="00FC7BB4">
        <w:rPr>
          <w:rFonts w:ascii="Times New Roman" w:hAnsi="Times New Roman" w:cs="Times New Roman"/>
          <w:sz w:val="18"/>
          <w:szCs w:val="18"/>
          <w:vertAlign w:val="subscript"/>
        </w:rPr>
        <w:t>Heteroskedastic</w:t>
      </w:r>
      <w:proofErr w:type="spellEnd"/>
      <w:r w:rsidR="00307155" w:rsidRPr="00FC7BB4">
        <w:rPr>
          <w:rFonts w:ascii="Times New Roman" w:hAnsi="Times New Roman" w:cs="Times New Roman"/>
          <w:sz w:val="18"/>
          <w:szCs w:val="18"/>
        </w:rPr>
        <w:t xml:space="preserve">) – </w:t>
      </w:r>
      <w:proofErr w:type="gramStart"/>
      <w:r w:rsidR="00307155" w:rsidRPr="00FC7BB4">
        <w:rPr>
          <w:rFonts w:ascii="Times New Roman" w:hAnsi="Times New Roman" w:cs="Times New Roman"/>
          <w:sz w:val="18"/>
          <w:szCs w:val="18"/>
        </w:rPr>
        <w:t>ln(</w:t>
      </w:r>
      <w:proofErr w:type="spellStart"/>
      <w:proofErr w:type="gramEnd"/>
      <w:r w:rsidR="00307155" w:rsidRPr="00FC7BB4">
        <w:rPr>
          <w:rFonts w:ascii="Times New Roman" w:hAnsi="Times New Roman" w:cs="Times New Roman"/>
          <w:sz w:val="18"/>
          <w:szCs w:val="18"/>
        </w:rPr>
        <w:t>L</w:t>
      </w:r>
      <w:r w:rsidR="00307155" w:rsidRPr="00FC7BB4">
        <w:rPr>
          <w:rFonts w:ascii="Times New Roman" w:hAnsi="Times New Roman" w:cs="Times New Roman"/>
          <w:sz w:val="18"/>
          <w:szCs w:val="18"/>
          <w:vertAlign w:val="subscript"/>
        </w:rPr>
        <w:t>Homoskedastic</w:t>
      </w:r>
      <w:proofErr w:type="spellEnd"/>
      <w:r w:rsidR="00307155" w:rsidRPr="00FC7BB4">
        <w:rPr>
          <w:rFonts w:ascii="Times New Roman" w:hAnsi="Times New Roman" w:cs="Times New Roman"/>
          <w:sz w:val="18"/>
          <w:szCs w:val="18"/>
        </w:rPr>
        <w:t>)).  If the null hypothesis is true, the Likelihood Ratio test statistic follows a chi-squared distribution with degrees of freedom equal to the number of additional variance parameters in the heteroskedastic version of the model.  Prob&gt;chi</w:t>
      </w:r>
      <w:r w:rsidR="00307155" w:rsidRPr="00FC7BB4">
        <w:rPr>
          <w:rFonts w:ascii="Times New Roman" w:hAnsi="Times New Roman" w:cs="Times New Roman"/>
          <w:sz w:val="18"/>
          <w:szCs w:val="18"/>
          <w:vertAlign w:val="superscript"/>
        </w:rPr>
        <w:t>2</w:t>
      </w:r>
      <w:r w:rsidR="00307155" w:rsidRPr="00FC7BB4">
        <w:rPr>
          <w:rFonts w:ascii="Times New Roman" w:hAnsi="Times New Roman" w:cs="Times New Roman"/>
          <w:sz w:val="18"/>
          <w:szCs w:val="18"/>
        </w:rPr>
        <w:t xml:space="preserve"> is the probability based on the chi-squared distribution and the value of the Likelihood Ratio test statistic that </w:t>
      </w:r>
      <w:r w:rsidR="001D37B9" w:rsidRPr="00FC7BB4">
        <w:rPr>
          <w:rFonts w:ascii="Times New Roman" w:hAnsi="Times New Roman" w:cs="Times New Roman"/>
          <w:sz w:val="18"/>
          <w:szCs w:val="18"/>
        </w:rPr>
        <w:t>one</w:t>
      </w:r>
      <w:r w:rsidR="00307155" w:rsidRPr="00FC7BB4">
        <w:rPr>
          <w:rFonts w:ascii="Times New Roman" w:hAnsi="Times New Roman" w:cs="Times New Roman"/>
          <w:sz w:val="18"/>
          <w:szCs w:val="18"/>
        </w:rPr>
        <w:t xml:space="preserve"> should accept the null hypothesis that there is no difference between the heteroskedastic version of the model and the </w:t>
      </w:r>
      <w:proofErr w:type="spellStart"/>
      <w:r w:rsidR="00307155" w:rsidRPr="00FC7BB4">
        <w:rPr>
          <w:rFonts w:ascii="Times New Roman" w:hAnsi="Times New Roman" w:cs="Times New Roman"/>
          <w:sz w:val="18"/>
          <w:szCs w:val="18"/>
        </w:rPr>
        <w:t>homoskedastic</w:t>
      </w:r>
      <w:proofErr w:type="spellEnd"/>
      <w:r w:rsidR="00307155" w:rsidRPr="00FC7BB4">
        <w:rPr>
          <w:rFonts w:ascii="Times New Roman" w:hAnsi="Times New Roman" w:cs="Times New Roman"/>
          <w:sz w:val="18"/>
          <w:szCs w:val="18"/>
        </w:rPr>
        <w:t xml:space="preserve"> version of the model in terms of likelihood.  </w:t>
      </w:r>
      <w:bookmarkEnd w:id="108"/>
    </w:p>
    <w:p w14:paraId="17324E34" w14:textId="77777777" w:rsidR="00307155" w:rsidRPr="00FC7BB4" w:rsidRDefault="00307155" w:rsidP="00F3101B">
      <w:pPr>
        <w:spacing w:after="17" w:line="262" w:lineRule="auto"/>
        <w:ind w:right="27" w:firstLine="0"/>
        <w:rPr>
          <w:rFonts w:ascii="Times New Roman" w:hAnsi="Times New Roman" w:cs="Times New Roman"/>
          <w:b/>
          <w:bCs/>
          <w:sz w:val="24"/>
        </w:rPr>
      </w:pPr>
    </w:p>
    <w:p w14:paraId="391559BB" w14:textId="781858AD" w:rsidR="00101834" w:rsidRPr="00FC7BB4" w:rsidRDefault="000E2CE8" w:rsidP="00815077">
      <w:pPr>
        <w:tabs>
          <w:tab w:val="left" w:pos="3928"/>
        </w:tabs>
        <w:ind w:right="27"/>
        <w:rPr>
          <w:rFonts w:ascii="Times New Roman" w:hAnsi="Times New Roman" w:cs="Times New Roman"/>
          <w:b/>
          <w:bCs/>
          <w:sz w:val="24"/>
        </w:rPr>
      </w:pPr>
      <w:r w:rsidRPr="00FC7BB4">
        <w:rPr>
          <w:rFonts w:ascii="Times New Roman" w:hAnsi="Times New Roman" w:cs="Times New Roman"/>
          <w:b/>
          <w:bCs/>
          <w:sz w:val="24"/>
        </w:rPr>
        <w:tab/>
      </w:r>
    </w:p>
    <w:p w14:paraId="5ED7C2D6" w14:textId="41DF92F3" w:rsidR="003424CD" w:rsidRPr="00FC7BB4" w:rsidRDefault="003424CD" w:rsidP="00F3101B">
      <w:pPr>
        <w:ind w:right="27"/>
        <w:jc w:val="center"/>
        <w:rPr>
          <w:rFonts w:ascii="Times New Roman" w:hAnsi="Times New Roman" w:cs="Times New Roman"/>
          <w:b/>
          <w:bCs/>
          <w:sz w:val="24"/>
        </w:rPr>
      </w:pPr>
      <w:r w:rsidRPr="00FC7BB4">
        <w:rPr>
          <w:rFonts w:ascii="Times New Roman" w:hAnsi="Times New Roman" w:cs="Times New Roman"/>
          <w:b/>
          <w:bCs/>
          <w:sz w:val="24"/>
        </w:rPr>
        <w:t xml:space="preserve">Figure A1: </w:t>
      </w:r>
      <w:bookmarkStart w:id="109" w:name="_Hlk213337049"/>
      <w:r w:rsidRPr="00FC7BB4">
        <w:rPr>
          <w:rFonts w:ascii="Times New Roman" w:hAnsi="Times New Roman" w:cs="Times New Roman"/>
          <w:b/>
          <w:bCs/>
          <w:sz w:val="24"/>
        </w:rPr>
        <w:t>The duration of prices and the average magnitude of each price adjustment</w:t>
      </w:r>
      <w:bookmarkEnd w:id="109"/>
    </w:p>
    <w:p w14:paraId="165A6B0E" w14:textId="1C02B359" w:rsidR="003424CD" w:rsidRPr="00FC7BB4" w:rsidRDefault="003424CD" w:rsidP="00F3101B">
      <w:pPr>
        <w:ind w:right="27"/>
        <w:rPr>
          <w:rFonts w:ascii="Times New Roman" w:hAnsi="Times New Roman" w:cs="Times New Roman"/>
        </w:rPr>
      </w:pPr>
      <w:r w:rsidRPr="00FC7BB4">
        <w:rPr>
          <w:rFonts w:ascii="Times New Roman" w:hAnsi="Times New Roman" w:cs="Times New Roman"/>
          <w:noProof/>
        </w:rPr>
        <w:drawing>
          <wp:inline distT="0" distB="0" distL="0" distR="0" wp14:anchorId="014568F2" wp14:editId="677A4D4D">
            <wp:extent cx="6350000" cy="3962400"/>
            <wp:effectExtent l="0" t="0" r="0" b="0"/>
            <wp:docPr id="1879194896" name="Picture 2" descr="A graph of a pr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94896" name="Picture 2" descr="A graph of a price&#10;&#10;AI-generated content may be incorrect."/>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350000" cy="3962400"/>
                    </a:xfrm>
                    <a:prstGeom prst="rect">
                      <a:avLst/>
                    </a:prstGeom>
                    <a:noFill/>
                    <a:ln>
                      <a:noFill/>
                    </a:ln>
                  </pic:spPr>
                </pic:pic>
              </a:graphicData>
            </a:graphic>
          </wp:inline>
        </w:drawing>
      </w:r>
    </w:p>
    <w:p w14:paraId="25C9B8D3" w14:textId="0E3E51E1" w:rsidR="003424CD" w:rsidRPr="00FC7BB4" w:rsidRDefault="003424CD" w:rsidP="00F3101B">
      <w:pPr>
        <w:ind w:right="27"/>
        <w:rPr>
          <w:rFonts w:ascii="Times New Roman" w:hAnsi="Times New Roman" w:cs="Times New Roman"/>
        </w:rPr>
      </w:pPr>
      <w:r w:rsidRPr="00FC7BB4">
        <w:rPr>
          <w:rFonts w:ascii="Times New Roman" w:hAnsi="Times New Roman" w:cs="Times New Roman"/>
        </w:rPr>
        <w:t xml:space="preserve">                  Notes: </w:t>
      </w:r>
      <w:bookmarkStart w:id="110" w:name="_Hlk213337070"/>
      <w:r w:rsidRPr="00FC7BB4">
        <w:rPr>
          <w:rFonts w:ascii="Times New Roman" w:hAnsi="Times New Roman" w:cs="Times New Roman"/>
        </w:rPr>
        <w:t xml:space="preserve">Authors’ own calculations using QSBO and Statistics NZ data and the method explained in </w:t>
      </w:r>
      <w:r w:rsidR="00C83016" w:rsidRPr="00FC7BB4">
        <w:rPr>
          <w:rFonts w:ascii="Times New Roman" w:hAnsi="Times New Roman" w:cs="Times New Roman"/>
        </w:rPr>
        <w:t>Section 4.2.</w:t>
      </w:r>
    </w:p>
    <w:bookmarkEnd w:id="110"/>
    <w:p w14:paraId="241E8796" w14:textId="77777777" w:rsidR="00007F46" w:rsidRPr="00FC7BB4" w:rsidRDefault="00007F46" w:rsidP="00F3101B">
      <w:pPr>
        <w:ind w:right="27"/>
        <w:rPr>
          <w:rFonts w:ascii="Times New Roman" w:hAnsi="Times New Roman" w:cs="Times New Roman"/>
        </w:rPr>
      </w:pPr>
    </w:p>
    <w:sectPr w:rsidR="00007F46" w:rsidRPr="00FC7BB4" w:rsidSect="00307155">
      <w:headerReference w:type="even" r:id="rId62"/>
      <w:headerReference w:type="default" r:id="rId63"/>
      <w:footerReference w:type="even" r:id="rId64"/>
      <w:footerReference w:type="default" r:id="rId65"/>
      <w:headerReference w:type="first" r:id="rId66"/>
      <w:footerReference w:type="first" r:id="rId67"/>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5A9C" w14:textId="77777777" w:rsidR="00E562BD" w:rsidRDefault="00E562BD" w:rsidP="00307155">
      <w:pPr>
        <w:spacing w:after="0" w:line="240" w:lineRule="auto"/>
      </w:pPr>
      <w:r>
        <w:separator/>
      </w:r>
    </w:p>
  </w:endnote>
  <w:endnote w:type="continuationSeparator" w:id="0">
    <w:p w14:paraId="115CCDE6" w14:textId="77777777" w:rsidR="00E562BD" w:rsidRDefault="00E562BD" w:rsidP="00307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5576" w14:textId="029D68F4" w:rsidR="00307155" w:rsidRDefault="00616E69">
    <w:pPr>
      <w:pStyle w:val="Footer"/>
      <w:jc w:val="center"/>
    </w:pPr>
    <w:r>
      <w:rPr>
        <w:noProof/>
        <w14:ligatures w14:val="standardContextual"/>
      </w:rPr>
      <mc:AlternateContent>
        <mc:Choice Requires="wps">
          <w:drawing>
            <wp:anchor distT="0" distB="0" distL="0" distR="0" simplePos="0" relativeHeight="251666432" behindDoc="0" locked="0" layoutInCell="1" allowOverlap="1" wp14:anchorId="6BD016D4" wp14:editId="515F1FF5">
              <wp:simplePos x="635" y="635"/>
              <wp:positionH relativeFrom="page">
                <wp:align>center</wp:align>
              </wp:positionH>
              <wp:positionV relativeFrom="page">
                <wp:align>bottom</wp:align>
              </wp:positionV>
              <wp:extent cx="1033145" cy="403860"/>
              <wp:effectExtent l="0" t="0" r="14605" b="0"/>
              <wp:wrapNone/>
              <wp:docPr id="940358695" name="Text Box 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3A822D7B" w14:textId="2F178F64" w:rsidR="00616E69" w:rsidRPr="00616E69" w:rsidRDefault="00616E69" w:rsidP="00616E69">
                          <w:pPr>
                            <w:spacing w:after="0"/>
                            <w:rPr>
                              <w:noProof/>
                              <w:szCs w:val="20"/>
                            </w:rPr>
                          </w:pPr>
                          <w:r w:rsidRPr="00616E69">
                            <w:rPr>
                              <w:noProof/>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D016D4" id="_x0000_t202" coordsize="21600,21600" o:spt="202" path="m,l,21600r21600,l21600,xe">
              <v:stroke joinstyle="miter"/>
              <v:path gradientshapeok="t" o:connecttype="rect"/>
            </v:shapetype>
            <v:shape id="Text Box 9" o:spid="_x0000_s1028" type="#_x0000_t202" alt="UNCLASSIFIED" style="position:absolute;left:0;text-align:left;margin-left:0;margin-top:0;width:81.35pt;height:31.8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" filled="f" stroked="f">
              <v:textbox style="mso-fit-shape-to-text:t" inset="0,0,0,15pt">
                <w:txbxContent>
                  <w:p w14:paraId="3A822D7B" w14:textId="2F178F64" w:rsidR="00616E69" w:rsidRPr="00616E69" w:rsidRDefault="00616E69" w:rsidP="00616E69">
                    <w:pPr>
                      <w:spacing w:after="0"/>
                      <w:rPr>
                        <w:noProof/>
                        <w:szCs w:val="20"/>
                      </w:rPr>
                    </w:pPr>
                    <w:r w:rsidRPr="00616E69">
                      <w:rPr>
                        <w:noProof/>
                        <w:szCs w:val="20"/>
                      </w:rPr>
                      <w:t>UNCLASSIFIED</w:t>
                    </w:r>
                  </w:p>
                </w:txbxContent>
              </v:textbox>
              <w10:wrap anchorx="page" anchory="page"/>
            </v:shape>
          </w:pict>
        </mc:Fallback>
      </mc:AlternateContent>
    </w:r>
  </w:p>
  <w:sdt>
    <w:sdtPr>
      <w:id w:val="-1119454423"/>
      <w:docPartObj>
        <w:docPartGallery w:val="Page Numbers (Bottom of Page)"/>
        <w:docPartUnique/>
      </w:docPartObj>
    </w:sdtPr>
    <w:sdtEndPr>
      <w:rPr>
        <w:noProof/>
      </w:rPr>
    </w:sdtEndPr>
    <w:sdtContent>
      <w:p w14:paraId="7065E268" w14:textId="77777777" w:rsidR="00307155" w:rsidRDefault="003071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26E93" w14:textId="77777777" w:rsidR="00307155" w:rsidRDefault="00307155">
    <w:pPr>
      <w:spacing w:after="160" w:line="259" w:lineRule="auto"/>
      <w:ind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6417" w14:textId="14662B0F" w:rsidR="00616E69" w:rsidRDefault="00616E69">
    <w:pPr>
      <w:pStyle w:val="Footer"/>
    </w:pPr>
    <w:r>
      <w:rPr>
        <w:noProof/>
        <w14:ligatures w14:val="standardContextual"/>
      </w:rPr>
      <mc:AlternateContent>
        <mc:Choice Requires="wps">
          <w:drawing>
            <wp:anchor distT="0" distB="0" distL="0" distR="0" simplePos="0" relativeHeight="251667456" behindDoc="0" locked="0" layoutInCell="1" allowOverlap="1" wp14:anchorId="2E8EA64F" wp14:editId="122D78DF">
              <wp:simplePos x="628650" y="9348788"/>
              <wp:positionH relativeFrom="page">
                <wp:align>center</wp:align>
              </wp:positionH>
              <wp:positionV relativeFrom="page">
                <wp:align>bottom</wp:align>
              </wp:positionV>
              <wp:extent cx="1033145" cy="403860"/>
              <wp:effectExtent l="0" t="0" r="14605" b="0"/>
              <wp:wrapNone/>
              <wp:docPr id="67635940"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04637463" w14:textId="0BB4EFE7" w:rsidR="00616E69" w:rsidRDefault="00616E69" w:rsidP="00616E69">
                          <w:pPr>
                            <w:spacing w:after="0"/>
                            <w:rPr>
                              <w:noProof/>
                              <w:szCs w:val="20"/>
                            </w:rPr>
                          </w:pPr>
                        </w:p>
                        <w:p w14:paraId="1A8CA912" w14:textId="77777777" w:rsidR="00717BD6" w:rsidRPr="00616E69" w:rsidRDefault="00717BD6" w:rsidP="00616E69">
                          <w:pPr>
                            <w:spacing w:after="0"/>
                            <w:rPr>
                              <w:noProof/>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8EA64F" id="_x0000_t202" coordsize="21600,21600" o:spt="202" path="m,l,21600r21600,l21600,xe">
              <v:stroke joinstyle="miter"/>
              <v:path gradientshapeok="t" o:connecttype="rect"/>
            </v:shapetype>
            <v:shape id="Text Box 10" o:spid="_x0000_s1029" type="#_x0000_t202" alt="UNCLASSIFIED" style="position:absolute;margin-left:0;margin-top:0;width:81.35pt;height:31.8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" filled="f" stroked="f">
              <v:textbox style="mso-fit-shape-to-text:t" inset="0,0,0,15pt">
                <w:txbxContent>
                  <w:p w14:paraId="04637463" w14:textId="0BB4EFE7" w:rsidR="00616E69" w:rsidRDefault="00616E69" w:rsidP="00616E69">
                    <w:pPr>
                      <w:spacing w:after="0"/>
                      <w:rPr>
                        <w:noProof/>
                        <w:szCs w:val="20"/>
                      </w:rPr>
                    </w:pPr>
                  </w:p>
                  <w:p w14:paraId="1A8CA912" w14:textId="77777777" w:rsidR="00717BD6" w:rsidRPr="00616E69" w:rsidRDefault="00717BD6" w:rsidP="00616E69">
                    <w:pPr>
                      <w:spacing w:after="0"/>
                      <w:rPr>
                        <w:noProof/>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0FE1" w14:textId="0A1D984D" w:rsidR="00307155" w:rsidRDefault="00616E69">
    <w:pPr>
      <w:spacing w:after="160" w:line="259" w:lineRule="auto"/>
      <w:ind w:right="0" w:firstLine="0"/>
      <w:jc w:val="left"/>
    </w:pPr>
    <w:r>
      <w:rPr>
        <w:noProof/>
      </w:rPr>
      <mc:AlternateContent>
        <mc:Choice Requires="wps">
          <w:drawing>
            <wp:anchor distT="0" distB="0" distL="0" distR="0" simplePos="0" relativeHeight="251665408" behindDoc="0" locked="0" layoutInCell="1" allowOverlap="1" wp14:anchorId="2C68863C" wp14:editId="792D8161">
              <wp:simplePos x="635" y="635"/>
              <wp:positionH relativeFrom="page">
                <wp:align>center</wp:align>
              </wp:positionH>
              <wp:positionV relativeFrom="page">
                <wp:align>bottom</wp:align>
              </wp:positionV>
              <wp:extent cx="1033145" cy="403860"/>
              <wp:effectExtent l="0" t="0" r="14605" b="0"/>
              <wp:wrapNone/>
              <wp:docPr id="696787755" name="Text Box 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64888C44" w14:textId="6579E93D" w:rsidR="00616E69" w:rsidRPr="00616E69" w:rsidRDefault="00616E69" w:rsidP="00616E69">
                          <w:pPr>
                            <w:spacing w:after="0"/>
                            <w:rPr>
                              <w:noProof/>
                              <w:szCs w:val="20"/>
                            </w:rPr>
                          </w:pPr>
                          <w:r w:rsidRPr="00616E69">
                            <w:rPr>
                              <w:noProof/>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68863C" id="_x0000_t202" coordsize="21600,21600" o:spt="202" path="m,l,21600r21600,l21600,xe">
              <v:stroke joinstyle="miter"/>
              <v:path gradientshapeok="t" o:connecttype="rect"/>
            </v:shapetype>
            <v:shape id="Text Box 8" o:spid="_x0000_s1031" type="#_x0000_t202" alt="UNCLASSIFIED" style="position:absolute;margin-left:0;margin-top:0;width:81.35pt;height:31.8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" filled="f" stroked="f">
              <v:textbox style="mso-fit-shape-to-text:t" inset="0,0,0,15pt">
                <w:txbxContent>
                  <w:p w14:paraId="64888C44" w14:textId="6579E93D" w:rsidR="00616E69" w:rsidRPr="00616E69" w:rsidRDefault="00616E69" w:rsidP="00616E69">
                    <w:pPr>
                      <w:spacing w:after="0"/>
                      <w:rPr>
                        <w:noProof/>
                        <w:szCs w:val="20"/>
                      </w:rPr>
                    </w:pPr>
                    <w:r w:rsidRPr="00616E69">
                      <w:rPr>
                        <w:noProof/>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C9C41" w14:textId="57872131" w:rsidR="00307155" w:rsidRDefault="00616E69">
    <w:pPr>
      <w:pStyle w:val="Footer"/>
      <w:jc w:val="center"/>
    </w:pPr>
    <w:r>
      <w:rPr>
        <w:noProof/>
        <w14:ligatures w14:val="standardContextual"/>
      </w:rPr>
      <mc:AlternateContent>
        <mc:Choice Requires="wps">
          <w:drawing>
            <wp:anchor distT="0" distB="0" distL="0" distR="0" simplePos="0" relativeHeight="251669504" behindDoc="0" locked="0" layoutInCell="1" allowOverlap="1" wp14:anchorId="7611329C" wp14:editId="3C536B3A">
              <wp:simplePos x="635" y="635"/>
              <wp:positionH relativeFrom="page">
                <wp:align>center</wp:align>
              </wp:positionH>
              <wp:positionV relativeFrom="page">
                <wp:align>bottom</wp:align>
              </wp:positionV>
              <wp:extent cx="1033145" cy="403860"/>
              <wp:effectExtent l="0" t="0" r="14605" b="0"/>
              <wp:wrapNone/>
              <wp:docPr id="1846314315"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60EEBF6B" w14:textId="42325F09" w:rsidR="00616E69" w:rsidRPr="00616E69" w:rsidRDefault="00616E69" w:rsidP="00616E69">
                          <w:pPr>
                            <w:spacing w:after="0"/>
                            <w:rPr>
                              <w:noProof/>
                              <w:szCs w:val="20"/>
                            </w:rPr>
                          </w:pPr>
                          <w:r w:rsidRPr="00616E69">
                            <w:rPr>
                              <w:noProof/>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11329C" id="_x0000_t202" coordsize="21600,21600" o:spt="202" path="m,l,21600r21600,l21600,xe">
              <v:stroke joinstyle="miter"/>
              <v:path gradientshapeok="t" o:connecttype="rect"/>
            </v:shapetype>
            <v:shape id="Text Box 12" o:spid="_x0000_s1033" type="#_x0000_t202" alt="UNCLASSIFIED" style="position:absolute;left:0;text-align:left;margin-left:0;margin-top:0;width:81.35pt;height:31.8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" filled="f" stroked="f">
              <v:textbox style="mso-fit-shape-to-text:t" inset="0,0,0,15pt">
                <w:txbxContent>
                  <w:p w14:paraId="60EEBF6B" w14:textId="42325F09" w:rsidR="00616E69" w:rsidRPr="00616E69" w:rsidRDefault="00616E69" w:rsidP="00616E69">
                    <w:pPr>
                      <w:spacing w:after="0"/>
                      <w:rPr>
                        <w:noProof/>
                        <w:szCs w:val="20"/>
                      </w:rPr>
                    </w:pPr>
                    <w:r w:rsidRPr="00616E69">
                      <w:rPr>
                        <w:noProof/>
                        <w:szCs w:val="20"/>
                      </w:rPr>
                      <w:t>UNCLASSIFIED</w:t>
                    </w:r>
                  </w:p>
                </w:txbxContent>
              </v:textbox>
              <w10:wrap anchorx="page" anchory="page"/>
            </v:shape>
          </w:pict>
        </mc:Fallback>
      </mc:AlternateContent>
    </w:r>
  </w:p>
  <w:sdt>
    <w:sdtPr>
      <w:id w:val="-1199617657"/>
      <w:docPartObj>
        <w:docPartGallery w:val="Page Numbers (Bottom of Page)"/>
        <w:docPartUnique/>
      </w:docPartObj>
    </w:sdtPr>
    <w:sdtEndPr>
      <w:rPr>
        <w:noProof/>
      </w:rPr>
    </w:sdtEndPr>
    <w:sdtContent>
      <w:p w14:paraId="620FACE9" w14:textId="77777777" w:rsidR="00307155" w:rsidRDefault="003071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E3501D" w14:textId="77777777" w:rsidR="00307155" w:rsidRDefault="00307155">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0E79" w14:textId="33CD7D81" w:rsidR="00307155" w:rsidRDefault="00616E69">
    <w:pPr>
      <w:spacing w:after="160" w:line="259" w:lineRule="auto"/>
      <w:ind w:right="0" w:firstLine="0"/>
      <w:jc w:val="left"/>
    </w:pPr>
    <w:r>
      <w:rPr>
        <w:noProof/>
      </w:rPr>
      <mc:AlternateContent>
        <mc:Choice Requires="wps">
          <w:drawing>
            <wp:anchor distT="0" distB="0" distL="0" distR="0" simplePos="0" relativeHeight="251668480" behindDoc="0" locked="0" layoutInCell="1" allowOverlap="1" wp14:anchorId="6D548C9C" wp14:editId="463FB65A">
              <wp:simplePos x="635" y="635"/>
              <wp:positionH relativeFrom="page">
                <wp:align>center</wp:align>
              </wp:positionH>
              <wp:positionV relativeFrom="page">
                <wp:align>bottom</wp:align>
              </wp:positionV>
              <wp:extent cx="1033145" cy="403860"/>
              <wp:effectExtent l="0" t="0" r="14605" b="0"/>
              <wp:wrapNone/>
              <wp:docPr id="1188587759"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209C33DA" w14:textId="237DE5D3" w:rsidR="00616E69" w:rsidRPr="00616E69" w:rsidRDefault="00616E69" w:rsidP="00616E69">
                          <w:pPr>
                            <w:spacing w:after="0"/>
                            <w:rPr>
                              <w:noProof/>
                              <w:szCs w:val="20"/>
                            </w:rPr>
                          </w:pPr>
                          <w:r w:rsidRPr="00616E69">
                            <w:rPr>
                              <w:noProof/>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48C9C" id="_x0000_t202" coordsize="21600,21600" o:spt="202" path="m,l,21600r21600,l21600,xe">
              <v:stroke joinstyle="miter"/>
              <v:path gradientshapeok="t" o:connecttype="rect"/>
            </v:shapetype>
            <v:shape id="Text Box 11" o:spid="_x0000_s1034" type="#_x0000_t202" alt="UNCLASSIFIED" style="position:absolute;margin-left:0;margin-top:0;width:81.35pt;height:31.8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" filled="f" stroked="f">
              <v:textbox style="mso-fit-shape-to-text:t" inset="0,0,0,15pt">
                <w:txbxContent>
                  <w:p w14:paraId="209C33DA" w14:textId="237DE5D3" w:rsidR="00616E69" w:rsidRPr="00616E69" w:rsidRDefault="00616E69" w:rsidP="00616E69">
                    <w:pPr>
                      <w:spacing w:after="0"/>
                      <w:rPr>
                        <w:noProof/>
                        <w:szCs w:val="20"/>
                      </w:rPr>
                    </w:pPr>
                    <w:r w:rsidRPr="00616E69">
                      <w:rPr>
                        <w:noProof/>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20A9" w14:textId="7D21B922" w:rsidR="00307155" w:rsidRDefault="00616E69">
    <w:pPr>
      <w:spacing w:after="160" w:line="259" w:lineRule="auto"/>
      <w:ind w:right="0" w:firstLine="0"/>
      <w:jc w:val="left"/>
    </w:pPr>
    <w:r>
      <w:rPr>
        <w:noProof/>
      </w:rPr>
      <mc:AlternateContent>
        <mc:Choice Requires="wps">
          <w:drawing>
            <wp:anchor distT="0" distB="0" distL="0" distR="0" simplePos="0" relativeHeight="251671552" behindDoc="0" locked="0" layoutInCell="1" allowOverlap="1" wp14:anchorId="11C84564" wp14:editId="752C37D6">
              <wp:simplePos x="635" y="635"/>
              <wp:positionH relativeFrom="page">
                <wp:align>center</wp:align>
              </wp:positionH>
              <wp:positionV relativeFrom="page">
                <wp:align>bottom</wp:align>
              </wp:positionV>
              <wp:extent cx="1033145" cy="403860"/>
              <wp:effectExtent l="0" t="0" r="14605" b="0"/>
              <wp:wrapNone/>
              <wp:docPr id="2051534359"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34C65D0E" w14:textId="38ECAED0" w:rsidR="00616E69" w:rsidRPr="00616E69" w:rsidRDefault="00616E69" w:rsidP="00616E69">
                          <w:pPr>
                            <w:spacing w:after="0"/>
                            <w:rPr>
                              <w:noProof/>
                              <w:szCs w:val="20"/>
                            </w:rPr>
                          </w:pPr>
                          <w:r w:rsidRPr="00616E69">
                            <w:rPr>
                              <w:noProof/>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84564" id="_x0000_t202" coordsize="21600,21600" o:spt="202" path="m,l,21600r21600,l21600,xe">
              <v:stroke joinstyle="miter"/>
              <v:path gradientshapeok="t" o:connecttype="rect"/>
            </v:shapetype>
            <v:shape id="Text Box 14" o:spid="_x0000_s1037" type="#_x0000_t202" alt="UNCLASSIFIED" style="position:absolute;margin-left:0;margin-top:0;width:81.35pt;height:31.8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" filled="f" stroked="f">
              <v:textbox style="mso-fit-shape-to-text:t" inset="0,0,0,15pt">
                <w:txbxContent>
                  <w:p w14:paraId="34C65D0E" w14:textId="38ECAED0" w:rsidR="00616E69" w:rsidRPr="00616E69" w:rsidRDefault="00616E69" w:rsidP="00616E69">
                    <w:pPr>
                      <w:spacing w:after="0"/>
                      <w:rPr>
                        <w:noProof/>
                        <w:szCs w:val="20"/>
                      </w:rPr>
                    </w:pPr>
                    <w:r w:rsidRPr="00616E69">
                      <w:rPr>
                        <w:noProof/>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ADDBC" w14:textId="5973C58F" w:rsidR="00307155" w:rsidRDefault="00616E69">
    <w:pPr>
      <w:spacing w:after="0" w:line="259" w:lineRule="auto"/>
      <w:ind w:right="4234" w:firstLine="0"/>
      <w:jc w:val="right"/>
    </w:pPr>
    <w:r>
      <w:rPr>
        <w:noProof/>
      </w:rPr>
      <mc:AlternateContent>
        <mc:Choice Requires="wps">
          <w:drawing>
            <wp:anchor distT="0" distB="0" distL="0" distR="0" simplePos="0" relativeHeight="251672576" behindDoc="0" locked="0" layoutInCell="1" allowOverlap="1" wp14:anchorId="496ED8B7" wp14:editId="1C80E0F7">
              <wp:simplePos x="635" y="635"/>
              <wp:positionH relativeFrom="page">
                <wp:align>center</wp:align>
              </wp:positionH>
              <wp:positionV relativeFrom="page">
                <wp:align>bottom</wp:align>
              </wp:positionV>
              <wp:extent cx="1033145" cy="403860"/>
              <wp:effectExtent l="0" t="0" r="14605" b="0"/>
              <wp:wrapNone/>
              <wp:docPr id="1200846421"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01E6F759" w14:textId="0DD46C6E" w:rsidR="00616E69" w:rsidRPr="00616E69" w:rsidRDefault="00616E69" w:rsidP="00616E69">
                          <w:pPr>
                            <w:spacing w:after="0"/>
                            <w:rPr>
                              <w:noProof/>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6ED8B7" id="_x0000_t202" coordsize="21600,21600" o:spt="202" path="m,l,21600r21600,l21600,xe">
              <v:stroke joinstyle="miter"/>
              <v:path gradientshapeok="t" o:connecttype="rect"/>
            </v:shapetype>
            <v:shape id="Text Box 15" o:spid="_x0000_s1038" type="#_x0000_t202" alt="UNCLASSIFIED" style="position:absolute;left:0;text-align:left;margin-left:0;margin-top:0;width:81.35pt;height:31.8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" filled="f" stroked="f">
              <v:textbox style="mso-fit-shape-to-text:t" inset="0,0,0,15pt">
                <w:txbxContent>
                  <w:p w14:paraId="01E6F759" w14:textId="0DD46C6E" w:rsidR="00616E69" w:rsidRPr="00616E69" w:rsidRDefault="00616E69" w:rsidP="00616E69">
                    <w:pPr>
                      <w:spacing w:after="0"/>
                      <w:rPr>
                        <w:noProof/>
                        <w:szCs w:val="20"/>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FB6C9" w14:textId="6B67938D" w:rsidR="00307155" w:rsidRDefault="00616E69">
    <w:pPr>
      <w:spacing w:after="0" w:line="259" w:lineRule="auto"/>
      <w:ind w:right="4234" w:firstLine="0"/>
      <w:jc w:val="right"/>
    </w:pPr>
    <w:r>
      <w:rPr>
        <w:noProof/>
      </w:rPr>
      <mc:AlternateContent>
        <mc:Choice Requires="wps">
          <w:drawing>
            <wp:anchor distT="0" distB="0" distL="0" distR="0" simplePos="0" relativeHeight="251670528" behindDoc="0" locked="0" layoutInCell="1" allowOverlap="1" wp14:anchorId="7F94673A" wp14:editId="2DF91AEA">
              <wp:simplePos x="635" y="635"/>
              <wp:positionH relativeFrom="page">
                <wp:align>center</wp:align>
              </wp:positionH>
              <wp:positionV relativeFrom="page">
                <wp:align>bottom</wp:align>
              </wp:positionV>
              <wp:extent cx="1033145" cy="403860"/>
              <wp:effectExtent l="0" t="0" r="14605" b="0"/>
              <wp:wrapNone/>
              <wp:docPr id="263213920"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377423DA" w14:textId="7D9023FB" w:rsidR="00616E69" w:rsidRPr="00616E69" w:rsidRDefault="00616E69" w:rsidP="00616E69">
                          <w:pPr>
                            <w:spacing w:after="0"/>
                            <w:rPr>
                              <w:noProof/>
                              <w:szCs w:val="20"/>
                            </w:rPr>
                          </w:pPr>
                          <w:r w:rsidRPr="00616E69">
                            <w:rPr>
                              <w:noProof/>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94673A" id="_x0000_t202" coordsize="21600,21600" o:spt="202" path="m,l,21600r21600,l21600,xe">
              <v:stroke joinstyle="miter"/>
              <v:path gradientshapeok="t" o:connecttype="rect"/>
            </v:shapetype>
            <v:shape id="Text Box 13" o:spid="_x0000_s1040" type="#_x0000_t202" alt="UNCLASSIFIED" style="position:absolute;left:0;text-align:left;margin-left:0;margin-top:0;width:81.35pt;height:31.8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" filled="f" stroked="f">
              <v:textbox style="mso-fit-shape-to-text:t" inset="0,0,0,15pt">
                <w:txbxContent>
                  <w:p w14:paraId="377423DA" w14:textId="7D9023FB" w:rsidR="00616E69" w:rsidRPr="00616E69" w:rsidRDefault="00616E69" w:rsidP="00616E69">
                    <w:pPr>
                      <w:spacing w:after="0"/>
                      <w:rPr>
                        <w:noProof/>
                        <w:szCs w:val="20"/>
                      </w:rPr>
                    </w:pPr>
                    <w:r w:rsidRPr="00616E69">
                      <w:rPr>
                        <w:noProof/>
                        <w:szCs w:val="20"/>
                      </w:rPr>
                      <w:t>UNCLASSIFIED</w:t>
                    </w:r>
                  </w:p>
                </w:txbxContent>
              </v:textbox>
              <w10:wrap anchorx="page" anchory="page"/>
            </v:shape>
          </w:pict>
        </mc:Fallback>
      </mc:AlternateContent>
    </w:r>
    <w:r w:rsidR="00307155">
      <w:fldChar w:fldCharType="begin"/>
    </w:r>
    <w:r w:rsidR="00307155">
      <w:instrText xml:space="preserve"> PAGE   \* MERGEFORMAT </w:instrText>
    </w:r>
    <w:r w:rsidR="00307155">
      <w:fldChar w:fldCharType="separate"/>
    </w:r>
    <w:r w:rsidR="00307155">
      <w:t>2</w:t>
    </w:r>
    <w:r w:rsidR="0030715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5F59" w14:textId="77777777" w:rsidR="00E562BD" w:rsidRDefault="00E562BD" w:rsidP="00307155">
      <w:pPr>
        <w:spacing w:after="0" w:line="240" w:lineRule="auto"/>
      </w:pPr>
      <w:r>
        <w:separator/>
      </w:r>
    </w:p>
  </w:footnote>
  <w:footnote w:type="continuationSeparator" w:id="0">
    <w:p w14:paraId="4199C59B" w14:textId="77777777" w:rsidR="00E562BD" w:rsidRDefault="00E562BD" w:rsidP="00307155">
      <w:pPr>
        <w:spacing w:after="0" w:line="240" w:lineRule="auto"/>
      </w:pPr>
      <w:r>
        <w:continuationSeparator/>
      </w:r>
    </w:p>
  </w:footnote>
  <w:footnote w:id="1">
    <w:p w14:paraId="2CAAF852" w14:textId="77777777" w:rsidR="00307155" w:rsidRPr="00014A01" w:rsidRDefault="00307155" w:rsidP="00307155">
      <w:pPr>
        <w:pStyle w:val="FootnoteText"/>
        <w:ind w:firstLine="0"/>
        <w:rPr>
          <w:lang w:val="en-GB"/>
        </w:rPr>
      </w:pPr>
      <w:r w:rsidRPr="00FC7BB4">
        <w:rPr>
          <w:rStyle w:val="FootnoteReference"/>
          <w:rFonts w:ascii="Times New Roman" w:hAnsi="Times New Roman" w:cs="Times New Roman"/>
        </w:rPr>
        <w:footnoteRef/>
      </w:r>
      <w:r w:rsidRPr="00FC7BB4">
        <w:rPr>
          <w:rFonts w:ascii="Times New Roman" w:hAnsi="Times New Roman" w:cs="Times New Roman"/>
        </w:rPr>
        <w:t xml:space="preserve"> </w:t>
      </w:r>
      <w:r w:rsidRPr="00FC7BB4">
        <w:rPr>
          <w:rFonts w:ascii="Times New Roman" w:hAnsi="Times New Roman" w:cs="Times New Roman"/>
          <w:lang w:val="en-GB"/>
        </w:rPr>
        <w:t xml:space="preserve">Blanco, </w:t>
      </w:r>
      <w:r w:rsidRPr="00FC7BB4">
        <w:rPr>
          <w:rFonts w:ascii="Times New Roman" w:hAnsi="Times New Roman" w:cs="Times New Roman"/>
          <w:i/>
          <w:iCs/>
          <w:lang w:val="en-GB"/>
        </w:rPr>
        <w:t>et.al.</w:t>
      </w:r>
      <w:r w:rsidRPr="00FC7BB4">
        <w:rPr>
          <w:rFonts w:ascii="Times New Roman" w:hAnsi="Times New Roman" w:cs="Times New Roman"/>
          <w:lang w:val="en-GB"/>
        </w:rPr>
        <w:t xml:space="preserve"> (2024a, p2) describe the inflation accelerator process as: “On the one hand, an increase in the fraction of price changes increases inflation, more so the higher the inflation rate to begin with. On the other hand, an increase in inflation increases the firms’ incentives to adjust prices, further increasing the fraction of price changes.” They show that this inflation accelerator effect is responsible for the bulk of the steepening of the Phillips curve for the USA during periods of high inflation.</w:t>
      </w:r>
      <w:r>
        <w:rPr>
          <w:lang w:val="en-GB"/>
        </w:rPr>
        <w:t xml:space="preserve"> </w:t>
      </w:r>
    </w:p>
  </w:footnote>
  <w:footnote w:id="2">
    <w:p w14:paraId="360521DB" w14:textId="23B95EF6" w:rsidR="00307155" w:rsidRPr="00FC7BB4" w:rsidRDefault="00307155" w:rsidP="00307155">
      <w:pPr>
        <w:pStyle w:val="FootnoteText"/>
        <w:ind w:firstLine="0"/>
        <w:rPr>
          <w:rFonts w:ascii="Times New Roman" w:hAnsi="Times New Roman" w:cs="Times New Roman"/>
          <w:lang w:val="en-GB"/>
        </w:rPr>
      </w:pPr>
      <w:r w:rsidRPr="00FC7BB4">
        <w:rPr>
          <w:rStyle w:val="FootnoteReference"/>
          <w:rFonts w:ascii="Times New Roman" w:hAnsi="Times New Roman" w:cs="Times New Roman"/>
        </w:rPr>
        <w:footnoteRef/>
      </w:r>
      <w:r w:rsidR="00FC7BB4">
        <w:rPr>
          <w:rFonts w:ascii="Times New Roman" w:hAnsi="Times New Roman" w:cs="Times New Roman"/>
        </w:rPr>
        <w:t xml:space="preserve"> </w:t>
      </w:r>
      <w:r w:rsidRPr="00FC7BB4">
        <w:rPr>
          <w:rFonts w:ascii="Times New Roman" w:hAnsi="Times New Roman" w:cs="Times New Roman"/>
        </w:rPr>
        <w:t>Cecchetti’s concluding remarks foreshadowed what is now taking place in the development of macro-economic models. He concluded “It is clear from this exercise that the frequency of price adjustment is determined endogenously in the economy. Any attempt to build a macroeconomic model of the inflationary process and macroeconomic adjustment must take account of this endogeneity” (1986, p272).</w:t>
      </w:r>
    </w:p>
  </w:footnote>
  <w:footnote w:id="3">
    <w:p w14:paraId="7DF08DA5" w14:textId="16317E4E" w:rsidR="00307155" w:rsidRPr="004C373A" w:rsidRDefault="00307155" w:rsidP="00307155">
      <w:pPr>
        <w:pStyle w:val="FootnoteText"/>
        <w:ind w:firstLine="0"/>
        <w:rPr>
          <w:lang w:val="en-GB"/>
        </w:rPr>
      </w:pPr>
      <w:r w:rsidRPr="00FC7BB4">
        <w:rPr>
          <w:rStyle w:val="FootnoteReference"/>
          <w:rFonts w:ascii="Times New Roman" w:hAnsi="Times New Roman" w:cs="Times New Roman"/>
        </w:rPr>
        <w:footnoteRef/>
      </w:r>
      <w:r w:rsidRPr="00FC7BB4">
        <w:rPr>
          <w:rFonts w:ascii="Times New Roman" w:hAnsi="Times New Roman" w:cs="Times New Roman"/>
        </w:rPr>
        <w:t xml:space="preserve"> </w:t>
      </w:r>
      <w:r w:rsidRPr="00FC7BB4">
        <w:rPr>
          <w:rFonts w:ascii="Times New Roman" w:hAnsi="Times New Roman" w:cs="Times New Roman"/>
          <w:lang w:val="en-GB"/>
        </w:rPr>
        <w:t xml:space="preserve">Several studies found that </w:t>
      </w:r>
      <w:r w:rsidRPr="00FC7BB4">
        <w:rPr>
          <w:rFonts w:ascii="Times New Roman" w:hAnsi="Times New Roman" w:cs="Times New Roman"/>
        </w:rPr>
        <w:t>prices can respond differently to increases in input costs than to decreases, though these studies do not evaluate whether the degree of asymmetry is systematically related to inflation. See for instance Pelzman (2000) and the references therein.</w:t>
      </w:r>
    </w:p>
  </w:footnote>
  <w:footnote w:id="4">
    <w:p w14:paraId="1076F0E6" w14:textId="77777777" w:rsidR="00307155" w:rsidRPr="00FC7BB4" w:rsidRDefault="00307155" w:rsidP="00307155">
      <w:pPr>
        <w:pStyle w:val="FootnoteText"/>
        <w:ind w:firstLine="0"/>
        <w:rPr>
          <w:rFonts w:ascii="Times New Roman" w:hAnsi="Times New Roman" w:cs="Times New Roman"/>
          <w:lang w:val="en-GB"/>
        </w:rPr>
      </w:pPr>
      <w:r w:rsidRPr="00FC7BB4">
        <w:rPr>
          <w:rStyle w:val="FootnoteReference"/>
          <w:rFonts w:ascii="Times New Roman" w:hAnsi="Times New Roman" w:cs="Times New Roman"/>
        </w:rPr>
        <w:footnoteRef/>
      </w:r>
      <w:r w:rsidRPr="00FC7BB4">
        <w:rPr>
          <w:rFonts w:ascii="Times New Roman" w:hAnsi="Times New Roman" w:cs="Times New Roman"/>
        </w:rPr>
        <w:t xml:space="preserve"> Allen and O’Connor (2011).</w:t>
      </w:r>
    </w:p>
  </w:footnote>
  <w:footnote w:id="5">
    <w:p w14:paraId="3E046812" w14:textId="563F124B" w:rsidR="00307155" w:rsidRPr="00FC7BB4" w:rsidRDefault="00307155" w:rsidP="00307155">
      <w:pPr>
        <w:pStyle w:val="FootnoteText"/>
        <w:ind w:firstLine="0"/>
        <w:rPr>
          <w:rFonts w:ascii="Times New Roman" w:hAnsi="Times New Roman" w:cs="Times New Roman"/>
          <w:lang w:val="en-GB"/>
        </w:rPr>
      </w:pPr>
      <w:r w:rsidRPr="00FC7BB4">
        <w:rPr>
          <w:rStyle w:val="FootnoteReference"/>
          <w:rFonts w:ascii="Times New Roman" w:hAnsi="Times New Roman" w:cs="Times New Roman"/>
        </w:rPr>
        <w:footnoteRef/>
      </w:r>
      <w:r w:rsidRPr="00FC7BB4">
        <w:rPr>
          <w:rFonts w:ascii="Times New Roman" w:hAnsi="Times New Roman" w:cs="Times New Roman"/>
          <w:lang w:val="en-GB"/>
        </w:rPr>
        <w:t xml:space="preserve"> See Thiel (1992). The design and implementation of the QSBO was also inspired by surveys undertaken by the Confederation of Business Industries and the European Economic Commission (Gillion, 1964).</w:t>
      </w:r>
      <w:r w:rsidR="004B6564" w:rsidRPr="00FC7BB4">
        <w:rPr>
          <w:rFonts w:ascii="Times New Roman" w:hAnsi="Times New Roman" w:cs="Times New Roman"/>
          <w:lang w:val="en-GB"/>
        </w:rPr>
        <w:t xml:space="preserve"> </w:t>
      </w:r>
      <w:r w:rsidR="00E901C3" w:rsidRPr="00FC7BB4">
        <w:rPr>
          <w:rFonts w:ascii="Times New Roman" w:hAnsi="Times New Roman" w:cs="Times New Roman"/>
          <w:lang w:val="en-GB"/>
        </w:rPr>
        <w:t>Early r</w:t>
      </w:r>
      <w:r w:rsidR="004B6564" w:rsidRPr="00FC7BB4">
        <w:rPr>
          <w:rFonts w:ascii="Times New Roman" w:hAnsi="Times New Roman" w:cs="Times New Roman"/>
          <w:lang w:val="en-GB"/>
        </w:rPr>
        <w:t>esearch appl</w:t>
      </w:r>
      <w:r w:rsidR="00E901C3" w:rsidRPr="00FC7BB4">
        <w:rPr>
          <w:rFonts w:ascii="Times New Roman" w:hAnsi="Times New Roman" w:cs="Times New Roman"/>
          <w:lang w:val="en-GB"/>
        </w:rPr>
        <w:t>ying</w:t>
      </w:r>
      <w:r w:rsidR="004B6564" w:rsidRPr="00FC7BB4">
        <w:rPr>
          <w:rFonts w:ascii="Times New Roman" w:hAnsi="Times New Roman" w:cs="Times New Roman"/>
          <w:lang w:val="en-GB"/>
        </w:rPr>
        <w:t xml:space="preserve"> </w:t>
      </w:r>
      <w:r w:rsidR="00057F9B" w:rsidRPr="00FC7BB4">
        <w:rPr>
          <w:rFonts w:ascii="Times New Roman" w:hAnsi="Times New Roman" w:cs="Times New Roman"/>
          <w:lang w:val="en-GB"/>
        </w:rPr>
        <w:t>firm</w:t>
      </w:r>
      <w:r w:rsidR="00E901C3" w:rsidRPr="00FC7BB4">
        <w:rPr>
          <w:rFonts w:ascii="Times New Roman" w:hAnsi="Times New Roman" w:cs="Times New Roman"/>
          <w:lang w:val="en-GB"/>
        </w:rPr>
        <w:t>-</w:t>
      </w:r>
      <w:proofErr w:type="gramStart"/>
      <w:r w:rsidR="00E901C3" w:rsidRPr="00FC7BB4">
        <w:rPr>
          <w:rFonts w:ascii="Times New Roman" w:hAnsi="Times New Roman" w:cs="Times New Roman"/>
          <w:lang w:val="en-GB"/>
        </w:rPr>
        <w:t xml:space="preserve">level </w:t>
      </w:r>
      <w:r w:rsidR="00057F9B" w:rsidRPr="00FC7BB4">
        <w:rPr>
          <w:rFonts w:ascii="Times New Roman" w:hAnsi="Times New Roman" w:cs="Times New Roman"/>
          <w:lang w:val="en-GB"/>
        </w:rPr>
        <w:t xml:space="preserve"> </w:t>
      </w:r>
      <w:r w:rsidR="004B6564" w:rsidRPr="00FC7BB4">
        <w:rPr>
          <w:rFonts w:ascii="Times New Roman" w:hAnsi="Times New Roman" w:cs="Times New Roman"/>
          <w:lang w:val="en-GB"/>
        </w:rPr>
        <w:t>data</w:t>
      </w:r>
      <w:proofErr w:type="gramEnd"/>
      <w:r w:rsidR="004B6564" w:rsidRPr="00FC7BB4">
        <w:rPr>
          <w:rFonts w:ascii="Times New Roman" w:hAnsi="Times New Roman" w:cs="Times New Roman"/>
          <w:lang w:val="en-GB"/>
        </w:rPr>
        <w:t xml:space="preserve"> created by </w:t>
      </w:r>
      <w:proofErr w:type="gramStart"/>
      <w:r w:rsidR="004B6564" w:rsidRPr="00FC7BB4">
        <w:rPr>
          <w:rFonts w:ascii="Times New Roman" w:hAnsi="Times New Roman" w:cs="Times New Roman"/>
          <w:lang w:val="en-GB"/>
        </w:rPr>
        <w:t>these type of surveys</w:t>
      </w:r>
      <w:proofErr w:type="gramEnd"/>
      <w:r w:rsidR="004B6564" w:rsidRPr="00FC7BB4">
        <w:rPr>
          <w:rFonts w:ascii="Times New Roman" w:hAnsi="Times New Roman" w:cs="Times New Roman"/>
          <w:lang w:val="en-GB"/>
        </w:rPr>
        <w:t xml:space="preserve"> is reviewed by Zimmermann (199</w:t>
      </w:r>
      <w:r w:rsidR="00B31126" w:rsidRPr="00FC7BB4">
        <w:rPr>
          <w:rFonts w:ascii="Times New Roman" w:hAnsi="Times New Roman" w:cs="Times New Roman"/>
          <w:lang w:val="en-GB"/>
        </w:rPr>
        <w:t>9</w:t>
      </w:r>
      <w:r w:rsidR="004B6564" w:rsidRPr="00FC7BB4">
        <w:rPr>
          <w:rFonts w:ascii="Times New Roman" w:hAnsi="Times New Roman" w:cs="Times New Roman"/>
          <w:lang w:val="en-GB"/>
        </w:rPr>
        <w:t>).</w:t>
      </w:r>
    </w:p>
  </w:footnote>
  <w:footnote w:id="6">
    <w:p w14:paraId="76568578" w14:textId="6683490E" w:rsidR="00E37C9A" w:rsidRPr="00FC7BB4" w:rsidRDefault="00E37C9A" w:rsidP="00541970">
      <w:pPr>
        <w:pStyle w:val="FootnoteText"/>
        <w:ind w:firstLine="0"/>
        <w:rPr>
          <w:rFonts w:ascii="Times New Roman" w:hAnsi="Times New Roman" w:cs="Times New Roman"/>
        </w:rPr>
      </w:pPr>
      <w:r w:rsidRPr="00FC7BB4">
        <w:rPr>
          <w:rStyle w:val="FootnoteReference"/>
          <w:rFonts w:ascii="Times New Roman" w:hAnsi="Times New Roman" w:cs="Times New Roman"/>
        </w:rPr>
        <w:footnoteRef/>
      </w:r>
      <w:r w:rsidRPr="00FC7BB4">
        <w:rPr>
          <w:rStyle w:val="FootnoteReference"/>
          <w:rFonts w:ascii="Times New Roman" w:hAnsi="Times New Roman" w:cs="Times New Roman"/>
        </w:rPr>
        <w:t xml:space="preserve"> </w:t>
      </w:r>
      <w:r w:rsidRPr="00FC7BB4">
        <w:rPr>
          <w:rFonts w:ascii="Times New Roman" w:hAnsi="Times New Roman" w:cs="Times New Roman"/>
          <w:lang w:val="en-GB"/>
        </w:rPr>
        <w:t>Allen and O’Connor (2011, p.5) note “[t]</w:t>
      </w:r>
      <w:proofErr w:type="gramStart"/>
      <w:r w:rsidRPr="00FC7BB4">
        <w:rPr>
          <w:rFonts w:ascii="Times New Roman" w:hAnsi="Times New Roman" w:cs="Times New Roman"/>
          <w:lang w:val="en-GB"/>
        </w:rPr>
        <w:t>he</w:t>
      </w:r>
      <w:proofErr w:type="gramEnd"/>
      <w:r w:rsidRPr="00FC7BB4">
        <w:rPr>
          <w:rFonts w:ascii="Times New Roman" w:hAnsi="Times New Roman" w:cs="Times New Roman"/>
          <w:lang w:val="en-GB"/>
        </w:rPr>
        <w:t xml:space="preserve"> proportion of service firms in the survey has increased over time through resampling as they have become a larger part of the economy.”</w:t>
      </w:r>
      <w:r w:rsidRPr="00FC7BB4">
        <w:rPr>
          <w:rFonts w:ascii="Times New Roman" w:hAnsi="Times New Roman" w:cs="Times New Roman"/>
          <w:sz w:val="24"/>
        </w:rPr>
        <w:t xml:space="preserve">  </w:t>
      </w:r>
    </w:p>
  </w:footnote>
  <w:footnote w:id="7">
    <w:p w14:paraId="4A193D13" w14:textId="77777777" w:rsidR="00307155" w:rsidRPr="00762B5E" w:rsidRDefault="00307155" w:rsidP="00307155">
      <w:pPr>
        <w:pStyle w:val="FootnoteText"/>
        <w:ind w:firstLine="0"/>
        <w:rPr>
          <w:lang w:val="en-GB"/>
        </w:rPr>
      </w:pPr>
      <w:r w:rsidRPr="00FC7BB4">
        <w:rPr>
          <w:rStyle w:val="FootnoteReference"/>
          <w:rFonts w:ascii="Times New Roman" w:hAnsi="Times New Roman" w:cs="Times New Roman"/>
        </w:rPr>
        <w:footnoteRef/>
      </w:r>
      <w:r w:rsidRPr="00FC7BB4">
        <w:rPr>
          <w:rFonts w:ascii="Times New Roman" w:hAnsi="Times New Roman" w:cs="Times New Roman"/>
        </w:rPr>
        <w:t xml:space="preserve"> The number of firm responses to the survey questions used in this study are in Table A1 in the Appendix. `Not applicable’ is also an option. The firms are also asked their expectations for the future. These responses are not used in this paper.</w:t>
      </w:r>
      <w:r w:rsidRPr="000732D7">
        <w:t xml:space="preserve"> </w:t>
      </w:r>
    </w:p>
  </w:footnote>
  <w:footnote w:id="8">
    <w:p w14:paraId="57513D18" w14:textId="5240F0B2" w:rsidR="00D57A74" w:rsidRPr="00FC7BB4" w:rsidRDefault="00D57A74" w:rsidP="00541970">
      <w:pPr>
        <w:pStyle w:val="FootnoteText"/>
        <w:ind w:firstLine="0"/>
        <w:rPr>
          <w:rFonts w:ascii="Times New Roman" w:hAnsi="Times New Roman" w:cs="Times New Roman"/>
        </w:rPr>
      </w:pPr>
      <w:r w:rsidRPr="00FC7BB4">
        <w:rPr>
          <w:rStyle w:val="FootnoteReference"/>
          <w:rFonts w:ascii="Times New Roman" w:hAnsi="Times New Roman" w:cs="Times New Roman"/>
        </w:rPr>
        <w:footnoteRef/>
      </w:r>
      <w:r w:rsidRPr="00FC7BB4">
        <w:rPr>
          <w:rFonts w:ascii="Times New Roman" w:hAnsi="Times New Roman" w:cs="Times New Roman"/>
        </w:rPr>
        <w:t xml:space="preserve"> </w:t>
      </w:r>
      <w:r w:rsidR="00C83D1B" w:rsidRPr="00FC7BB4">
        <w:rPr>
          <w:rFonts w:ascii="Times New Roman" w:hAnsi="Times New Roman" w:cs="Times New Roman"/>
        </w:rPr>
        <w:t xml:space="preserve">Product </w:t>
      </w:r>
      <w:r w:rsidR="000C528D" w:rsidRPr="00FC7BB4">
        <w:rPr>
          <w:rFonts w:ascii="Times New Roman" w:hAnsi="Times New Roman" w:cs="Times New Roman"/>
        </w:rPr>
        <w:t xml:space="preserve">and item </w:t>
      </w:r>
      <w:r w:rsidR="00C83D1B" w:rsidRPr="00FC7BB4">
        <w:rPr>
          <w:rFonts w:ascii="Times New Roman" w:hAnsi="Times New Roman" w:cs="Times New Roman"/>
        </w:rPr>
        <w:t xml:space="preserve">level data </w:t>
      </w:r>
      <w:r w:rsidR="003A5128" w:rsidRPr="00FC7BB4">
        <w:rPr>
          <w:rFonts w:ascii="Times New Roman" w:hAnsi="Times New Roman" w:cs="Times New Roman"/>
        </w:rPr>
        <w:t>are</w:t>
      </w:r>
      <w:r w:rsidR="00C83D1B" w:rsidRPr="00FC7BB4">
        <w:rPr>
          <w:rFonts w:ascii="Times New Roman" w:hAnsi="Times New Roman" w:cs="Times New Roman"/>
        </w:rPr>
        <w:t xml:space="preserve"> the most disaggregated price data</w:t>
      </w:r>
      <w:r w:rsidR="00352580" w:rsidRPr="00FC7BB4">
        <w:rPr>
          <w:rFonts w:ascii="Times New Roman" w:hAnsi="Times New Roman" w:cs="Times New Roman"/>
        </w:rPr>
        <w:t xml:space="preserve">. </w:t>
      </w:r>
      <w:r w:rsidR="005E4E92" w:rsidRPr="00FC7BB4">
        <w:rPr>
          <w:rFonts w:ascii="Times New Roman" w:hAnsi="Times New Roman" w:cs="Times New Roman"/>
        </w:rPr>
        <w:t xml:space="preserve">Statistics New Zealand class </w:t>
      </w:r>
      <w:r w:rsidR="00B13EA1" w:rsidRPr="00FC7BB4">
        <w:rPr>
          <w:rFonts w:ascii="Times New Roman" w:hAnsi="Times New Roman" w:cs="Times New Roman"/>
        </w:rPr>
        <w:t>a 600ml soft drink as an item, the differing brands would constitute different products.</w:t>
      </w:r>
    </w:p>
  </w:footnote>
  <w:footnote w:id="9">
    <w:p w14:paraId="4548E721" w14:textId="78F0A580" w:rsidR="00307155" w:rsidRPr="009736CB" w:rsidRDefault="00307155" w:rsidP="00307155">
      <w:pPr>
        <w:pStyle w:val="FootnoteText"/>
        <w:ind w:firstLine="0"/>
        <w:rPr>
          <w:lang w:val="en-GB"/>
        </w:rPr>
      </w:pPr>
      <w:r w:rsidRPr="00FC7BB4">
        <w:rPr>
          <w:rStyle w:val="FootnoteReference"/>
          <w:rFonts w:ascii="Times New Roman" w:hAnsi="Times New Roman" w:cs="Times New Roman"/>
        </w:rPr>
        <w:footnoteRef/>
      </w:r>
      <w:r w:rsidRPr="00FC7BB4">
        <w:rPr>
          <w:rFonts w:ascii="Times New Roman" w:hAnsi="Times New Roman" w:cs="Times New Roman"/>
        </w:rPr>
        <w:t xml:space="preserve"> </w:t>
      </w:r>
      <w:r w:rsidRPr="00FC7BB4">
        <w:rPr>
          <w:rFonts w:ascii="Times New Roman" w:eastAsia="Times New Roman" w:hAnsi="Times New Roman" w:cs="Times New Roman"/>
        </w:rPr>
        <w:t>However, even item or product level price data cannot identify how many times prices for an item change in a period if the data are not continuous or very high frequency.</w:t>
      </w:r>
      <w:r w:rsidRPr="009736CB">
        <w:t xml:space="preserve"> </w:t>
      </w:r>
      <w:r w:rsidR="00E0353B">
        <w:t xml:space="preserve"> </w:t>
      </w:r>
    </w:p>
  </w:footnote>
  <w:footnote w:id="10">
    <w:p w14:paraId="28D53A70" w14:textId="77777777" w:rsidR="00307155" w:rsidRPr="00717BD6" w:rsidRDefault="00307155" w:rsidP="00307155">
      <w:pPr>
        <w:pStyle w:val="FootnoteText"/>
        <w:ind w:firstLine="0"/>
        <w:rPr>
          <w:rFonts w:ascii="Times New Roman" w:hAnsi="Times New Roman" w:cs="Times New Roman"/>
        </w:rPr>
      </w:pPr>
      <w:r w:rsidRPr="00717BD6">
        <w:rPr>
          <w:rStyle w:val="FootnoteReference"/>
          <w:rFonts w:ascii="Times New Roman" w:hAnsi="Times New Roman" w:cs="Times New Roman"/>
        </w:rPr>
        <w:footnoteRef/>
      </w:r>
      <w:r w:rsidRPr="00717BD6">
        <w:rPr>
          <w:rFonts w:ascii="Times New Roman" w:hAnsi="Times New Roman" w:cs="Times New Roman"/>
        </w:rPr>
        <w:t xml:space="preserve"> There is a spike in the item-level series in 2010Q4 and no corresponding spike in the firm-level series. In 2010Q4 the rate of Goods and Services Tax (GST, a comprehensive value-added tax), was increased from 12.5 to 15 per cent. The difference between the two series in this quarter suggests that when firms answer the question about whether they increased, decreased or did not change their prices, they are implicitly considering pre-tax prices. No other change to the rate of GST has occurred since 2000Q2.</w:t>
      </w:r>
    </w:p>
  </w:footnote>
  <w:footnote w:id="11">
    <w:p w14:paraId="6BA57045" w14:textId="77777777" w:rsidR="00DA6647" w:rsidRPr="001B38C7" w:rsidRDefault="00DA6647" w:rsidP="00DA6647">
      <w:pPr>
        <w:spacing w:after="0" w:line="240" w:lineRule="auto"/>
        <w:ind w:right="159" w:firstLine="0"/>
        <w:rPr>
          <w:color w:val="auto"/>
          <w:szCs w:val="20"/>
        </w:rPr>
      </w:pPr>
      <w:r>
        <w:rPr>
          <w:rStyle w:val="FootnoteReference"/>
        </w:rPr>
        <w:footnoteRef/>
      </w:r>
      <w:r>
        <w:t xml:space="preserve"> </w:t>
      </w:r>
      <w:r w:rsidRPr="00903C53">
        <w:rPr>
          <w:color w:val="auto"/>
          <w:szCs w:val="20"/>
        </w:rPr>
        <w:t xml:space="preserve">The correlation coefficient between inflation and </w:t>
      </w:r>
      <w:r>
        <w:rPr>
          <w:color w:val="auto"/>
          <w:szCs w:val="20"/>
        </w:rPr>
        <w:t xml:space="preserve">proportion of firms changing prices (increases plus decreases) </w:t>
      </w:r>
      <w:r w:rsidRPr="00903C53">
        <w:rPr>
          <w:color w:val="auto"/>
          <w:szCs w:val="20"/>
        </w:rPr>
        <w:t xml:space="preserve">for the full period +0.77. This is dominated by the </w:t>
      </w:r>
      <w:r>
        <w:rPr>
          <w:color w:val="auto"/>
          <w:szCs w:val="20"/>
        </w:rPr>
        <w:t>correlation between</w:t>
      </w:r>
      <w:r w:rsidRPr="00903C53">
        <w:rPr>
          <w:color w:val="auto"/>
          <w:szCs w:val="20"/>
        </w:rPr>
        <w:t xml:space="preserve"> price increases and inflation where the correlation coefficient is +0.78. The correlation coefficient between price decreases and inflation is </w:t>
      </w:r>
      <w:r>
        <w:rPr>
          <w:color w:val="auto"/>
          <w:szCs w:val="20"/>
        </w:rPr>
        <w:t>closer to zero in absolute terms</w:t>
      </w:r>
      <w:r w:rsidRPr="00903C53">
        <w:rPr>
          <w:color w:val="auto"/>
          <w:szCs w:val="20"/>
        </w:rPr>
        <w:t xml:space="preserve"> at -0.47.    </w:t>
      </w:r>
    </w:p>
  </w:footnote>
  <w:footnote w:id="12">
    <w:p w14:paraId="177906E8" w14:textId="77777777" w:rsidR="00307155" w:rsidRPr="00717BD6" w:rsidRDefault="00307155" w:rsidP="00307155">
      <w:pPr>
        <w:pStyle w:val="FootnoteText"/>
        <w:ind w:firstLine="0"/>
        <w:rPr>
          <w:rFonts w:ascii="Times New Roman" w:hAnsi="Times New Roman" w:cs="Times New Roman"/>
          <w:lang w:val="en-GB"/>
        </w:rPr>
      </w:pPr>
      <w:r w:rsidRPr="00717BD6">
        <w:rPr>
          <w:rStyle w:val="FootnoteReference"/>
          <w:rFonts w:ascii="Times New Roman" w:hAnsi="Times New Roman" w:cs="Times New Roman"/>
        </w:rPr>
        <w:footnoteRef/>
      </w:r>
      <w:r w:rsidRPr="00717BD6">
        <w:rPr>
          <w:rFonts w:ascii="Times New Roman" w:hAnsi="Times New Roman" w:cs="Times New Roman"/>
        </w:rPr>
        <w:t xml:space="preserve"> There is endogeneity between the inflation rate and the proportion of firms changing prices, whereby changes in the rate of inflation induce a rise in the frequency of price changes, and this in turn affects the general rate of inflation. Nevertheless, estimation of the time-series model specified by equation (1) is indication of how this relationship has evolved over time.</w:t>
      </w:r>
    </w:p>
  </w:footnote>
  <w:footnote w:id="13">
    <w:p w14:paraId="2A0E9640" w14:textId="77777777" w:rsidR="00F3355B" w:rsidRPr="00717BD6" w:rsidRDefault="00F3355B" w:rsidP="00F3355B">
      <w:pPr>
        <w:pStyle w:val="FootnoteText"/>
        <w:ind w:firstLine="0"/>
        <w:rPr>
          <w:rFonts w:ascii="Times New Roman" w:hAnsi="Times New Roman" w:cs="Times New Roman"/>
          <w:lang w:val="en-GB"/>
        </w:rPr>
      </w:pPr>
      <w:r w:rsidRPr="00717BD6">
        <w:rPr>
          <w:rStyle w:val="FootnoteReference"/>
          <w:rFonts w:ascii="Times New Roman" w:hAnsi="Times New Roman" w:cs="Times New Roman"/>
        </w:rPr>
        <w:footnoteRef/>
      </w:r>
      <w:r w:rsidRPr="00717BD6">
        <w:rPr>
          <w:rFonts w:ascii="Times New Roman" w:hAnsi="Times New Roman" w:cs="Times New Roman"/>
        </w:rPr>
        <w:t xml:space="preserve"> </w:t>
      </w:r>
      <w:r w:rsidRPr="00717BD6">
        <w:rPr>
          <w:rFonts w:ascii="Times New Roman" w:hAnsi="Times New Roman" w:cs="Times New Roman"/>
          <w:color w:val="auto"/>
        </w:rPr>
        <w:t>This procedure is suggested in Buckle and Carlson [2000b, p61]</w:t>
      </w:r>
      <w:r w:rsidRPr="00717BD6">
        <w:rPr>
          <w:rFonts w:ascii="Times New Roman" w:hAnsi="Times New Roman" w:cs="Times New Roman"/>
        </w:rPr>
        <w:t>.</w:t>
      </w:r>
    </w:p>
  </w:footnote>
  <w:footnote w:id="14">
    <w:p w14:paraId="6614B20E" w14:textId="3DCA067D" w:rsidR="007C28F2" w:rsidRPr="00717BD6" w:rsidRDefault="007C28F2" w:rsidP="007C28F2">
      <w:pPr>
        <w:pStyle w:val="FootnoteText"/>
        <w:ind w:firstLine="0"/>
        <w:rPr>
          <w:rFonts w:ascii="Times New Roman" w:hAnsi="Times New Roman" w:cs="Times New Roman"/>
          <w:lang w:val="en-GB"/>
        </w:rPr>
      </w:pPr>
      <w:r w:rsidRPr="00717BD6">
        <w:rPr>
          <w:rStyle w:val="FootnoteReference"/>
          <w:rFonts w:ascii="Times New Roman" w:hAnsi="Times New Roman" w:cs="Times New Roman"/>
        </w:rPr>
        <w:footnoteRef/>
      </w:r>
      <w:r w:rsidRPr="00717BD6">
        <w:rPr>
          <w:rFonts w:ascii="Times New Roman" w:hAnsi="Times New Roman" w:cs="Times New Roman"/>
        </w:rPr>
        <w:t xml:space="preserve"> Annual inflation reflects firms’ price change decisions in the last four quarters, so the actual value for the number of price changes</w:t>
      </w:r>
      <w:r w:rsidR="008B311F" w:rsidRPr="00717BD6">
        <w:rPr>
          <w:rFonts w:ascii="Times New Roman" w:hAnsi="Times New Roman" w:cs="Times New Roman"/>
        </w:rPr>
        <w:t xml:space="preserve">, </w:t>
      </w:r>
      <w:r w:rsidR="008B311F" w:rsidRPr="00717BD6">
        <w:rPr>
          <w:rFonts w:ascii="Times New Roman" w:eastAsia="Cambria" w:hAnsi="Times New Roman" w:cs="Times New Roman"/>
          <w:i/>
        </w:rPr>
        <w:t>N</w:t>
      </w:r>
      <w:r w:rsidR="008B311F" w:rsidRPr="00717BD6">
        <w:rPr>
          <w:rFonts w:ascii="Times New Roman" w:eastAsia="Cambria" w:hAnsi="Times New Roman" w:cs="Times New Roman"/>
          <w:i/>
          <w:vertAlign w:val="subscript"/>
        </w:rPr>
        <w:t>p</w:t>
      </w:r>
      <w:r w:rsidR="008B311F" w:rsidRPr="00717BD6">
        <w:rPr>
          <w:rFonts w:ascii="Times New Roman" w:hAnsi="Times New Roman" w:cs="Times New Roman"/>
        </w:rPr>
        <w:t xml:space="preserve">, </w:t>
      </w:r>
      <w:r w:rsidRPr="00717BD6">
        <w:rPr>
          <w:rFonts w:ascii="Times New Roman" w:hAnsi="Times New Roman" w:cs="Times New Roman"/>
        </w:rPr>
        <w:t>use</w:t>
      </w:r>
      <w:r w:rsidR="001B6B50" w:rsidRPr="00717BD6">
        <w:rPr>
          <w:rFonts w:ascii="Times New Roman" w:hAnsi="Times New Roman" w:cs="Times New Roman"/>
        </w:rPr>
        <w:t>d</w:t>
      </w:r>
      <w:r w:rsidRPr="00717BD6">
        <w:rPr>
          <w:rFonts w:ascii="Times New Roman" w:hAnsi="Times New Roman" w:cs="Times New Roman"/>
        </w:rPr>
        <w:t xml:space="preserve"> </w:t>
      </w:r>
      <w:r w:rsidR="000E38AC" w:rsidRPr="00717BD6">
        <w:rPr>
          <w:rFonts w:ascii="Times New Roman" w:hAnsi="Times New Roman" w:cs="Times New Roman"/>
        </w:rPr>
        <w:t xml:space="preserve">in </w:t>
      </w:r>
      <w:r w:rsidR="0089192C" w:rsidRPr="00717BD6">
        <w:rPr>
          <w:rFonts w:ascii="Times New Roman" w:hAnsi="Times New Roman" w:cs="Times New Roman"/>
        </w:rPr>
        <w:t xml:space="preserve">calculating the magnitude of price adjustment </w:t>
      </w:r>
      <w:r w:rsidRPr="00717BD6">
        <w:rPr>
          <w:rFonts w:ascii="Times New Roman" w:hAnsi="Times New Roman" w:cs="Times New Roman"/>
        </w:rPr>
        <w:t xml:space="preserve">is the average of the estimated number of price changes in the current quarter and the three quarters prior. Quarter-specific estimates that use quarterly inflation show similar trends to what </w:t>
      </w:r>
      <w:r w:rsidR="001B6B50" w:rsidRPr="00717BD6">
        <w:rPr>
          <w:rFonts w:ascii="Times New Roman" w:hAnsi="Times New Roman" w:cs="Times New Roman"/>
        </w:rPr>
        <w:t>is found</w:t>
      </w:r>
      <w:r w:rsidRPr="00717BD6">
        <w:rPr>
          <w:rFonts w:ascii="Times New Roman" w:hAnsi="Times New Roman" w:cs="Times New Roman"/>
        </w:rPr>
        <w:t xml:space="preserve"> with these year-to date measures, but they are much more volatile.</w:t>
      </w:r>
    </w:p>
  </w:footnote>
  <w:footnote w:id="15">
    <w:p w14:paraId="6308824D" w14:textId="77777777" w:rsidR="00307155" w:rsidRPr="00903C53" w:rsidRDefault="00307155" w:rsidP="00307155">
      <w:pPr>
        <w:spacing w:after="0" w:line="240" w:lineRule="auto"/>
        <w:ind w:firstLine="0"/>
        <w:rPr>
          <w:lang w:val="en-GB"/>
        </w:rPr>
      </w:pPr>
      <w:r w:rsidRPr="00717BD6">
        <w:rPr>
          <w:rStyle w:val="FootnoteReference"/>
          <w:rFonts w:ascii="Times New Roman" w:hAnsi="Times New Roman" w:cs="Times New Roman"/>
          <w:szCs w:val="20"/>
        </w:rPr>
        <w:footnoteRef/>
      </w:r>
      <w:r w:rsidRPr="00717BD6">
        <w:rPr>
          <w:rFonts w:ascii="Times New Roman" w:hAnsi="Times New Roman" w:cs="Times New Roman"/>
          <w:szCs w:val="20"/>
        </w:rPr>
        <w:t xml:space="preserve"> </w:t>
      </w:r>
      <w:r w:rsidRPr="00717BD6">
        <w:rPr>
          <w:rFonts w:ascii="Times New Roman" w:eastAsiaTheme="minorHAnsi" w:hAnsi="Times New Roman" w:cs="Times New Roman"/>
          <w:color w:val="auto"/>
          <w:szCs w:val="20"/>
          <w:lang w:eastAsia="en-US"/>
        </w:rPr>
        <w:t xml:space="preserve">The formula for calculating the magnitude of each price adjustment in a year has two components: </w:t>
      </w:r>
      <w:r w:rsidRPr="00717BD6">
        <w:rPr>
          <w:rFonts w:ascii="Times New Roman" w:eastAsia="Cambria" w:hAnsi="Times New Roman" w:cs="Times New Roman"/>
          <w:i/>
          <w:szCs w:val="20"/>
        </w:rPr>
        <w:t>N</w:t>
      </w:r>
      <w:r w:rsidRPr="00717BD6">
        <w:rPr>
          <w:rFonts w:ascii="Times New Roman" w:eastAsia="Cambria" w:hAnsi="Times New Roman" w:cs="Times New Roman"/>
          <w:i/>
          <w:szCs w:val="20"/>
          <w:vertAlign w:val="subscript"/>
        </w:rPr>
        <w:t>p</w:t>
      </w:r>
      <w:r w:rsidRPr="00717BD6">
        <w:rPr>
          <w:rFonts w:ascii="Times New Roman" w:eastAsia="Times New Roman" w:hAnsi="Times New Roman" w:cs="Times New Roman"/>
          <w:i/>
          <w:iCs/>
          <w:kern w:val="0"/>
          <w:szCs w:val="20"/>
          <w14:ligatures w14:val="none"/>
        </w:rPr>
        <w:t xml:space="preserve"> </w:t>
      </w:r>
      <w:r w:rsidRPr="00717BD6">
        <w:rPr>
          <w:rFonts w:ascii="Times New Roman" w:eastAsia="Times New Roman" w:hAnsi="Times New Roman" w:cs="Times New Roman"/>
          <w:kern w:val="0"/>
          <w:szCs w:val="20"/>
          <w14:ligatures w14:val="none"/>
        </w:rPr>
        <w:t xml:space="preserve">(estimate of the number of times prices per year) and </w:t>
      </w:r>
      <w:r w:rsidRPr="00717BD6">
        <w:rPr>
          <w:rFonts w:ascii="Times New Roman" w:eastAsia="Cambria" w:hAnsi="Times New Roman" w:cs="Times New Roman"/>
          <w:i/>
          <w:color w:val="auto"/>
          <w:szCs w:val="20"/>
          <w:lang w:eastAsia="en-US"/>
        </w:rPr>
        <w:t xml:space="preserve">π </w:t>
      </w:r>
      <w:r w:rsidRPr="00717BD6">
        <w:rPr>
          <w:rFonts w:ascii="Times New Roman" w:eastAsia="Cambria" w:hAnsi="Times New Roman" w:cs="Times New Roman"/>
          <w:iCs/>
          <w:color w:val="auto"/>
          <w:szCs w:val="20"/>
          <w:lang w:eastAsia="en-US"/>
        </w:rPr>
        <w:t xml:space="preserve">(annual CPI inflation). The CPI measures </w:t>
      </w:r>
      <w:r w:rsidRPr="00717BD6">
        <w:rPr>
          <w:rFonts w:ascii="Times New Roman" w:eastAsiaTheme="minorHAnsi" w:hAnsi="Times New Roman" w:cs="Times New Roman"/>
          <w:color w:val="auto"/>
          <w:szCs w:val="20"/>
          <w:lang w:eastAsia="en-US"/>
        </w:rPr>
        <w:t xml:space="preserve">changes in consumer goods and services (including housing services) but not the prices of manufactured goods. However, as currently estimated, </w:t>
      </w:r>
      <w:r w:rsidRPr="00717BD6">
        <w:rPr>
          <w:rFonts w:ascii="Times New Roman" w:eastAsia="Cambria" w:hAnsi="Times New Roman" w:cs="Times New Roman"/>
          <w:i/>
          <w:szCs w:val="20"/>
        </w:rPr>
        <w:t>N</w:t>
      </w:r>
      <w:r w:rsidRPr="00717BD6">
        <w:rPr>
          <w:rFonts w:ascii="Times New Roman" w:eastAsia="Cambria" w:hAnsi="Times New Roman" w:cs="Times New Roman"/>
          <w:i/>
          <w:szCs w:val="20"/>
          <w:vertAlign w:val="subscript"/>
        </w:rPr>
        <w:t>p</w:t>
      </w:r>
      <w:r w:rsidRPr="00717BD6">
        <w:rPr>
          <w:rFonts w:ascii="Times New Roman" w:eastAsiaTheme="minorHAnsi" w:hAnsi="Times New Roman" w:cs="Times New Roman"/>
          <w:color w:val="auto"/>
          <w:szCs w:val="20"/>
          <w:lang w:eastAsia="en-US"/>
        </w:rPr>
        <w:t xml:space="preserve"> is based in part on the price changing behaviour of firms in the manufacturing sector. The following alternative estimate of the magnitude of price change was undertaken to understand if the inclusion of manufacturing firms in the dataset to estimate </w:t>
      </w:r>
      <w:r w:rsidRPr="00717BD6">
        <w:rPr>
          <w:rFonts w:ascii="Times New Roman" w:eastAsia="Cambria" w:hAnsi="Times New Roman" w:cs="Times New Roman"/>
          <w:i/>
          <w:szCs w:val="20"/>
        </w:rPr>
        <w:t>N</w:t>
      </w:r>
      <w:r w:rsidRPr="00717BD6">
        <w:rPr>
          <w:rFonts w:ascii="Times New Roman" w:eastAsia="Cambria" w:hAnsi="Times New Roman" w:cs="Times New Roman"/>
          <w:i/>
          <w:szCs w:val="20"/>
          <w:vertAlign w:val="subscript"/>
        </w:rPr>
        <w:t>p</w:t>
      </w:r>
      <w:r w:rsidRPr="00717BD6">
        <w:rPr>
          <w:rFonts w:ascii="Times New Roman" w:eastAsiaTheme="minorHAnsi" w:hAnsi="Times New Roman" w:cs="Times New Roman"/>
          <w:color w:val="auto"/>
          <w:szCs w:val="20"/>
          <w:lang w:eastAsia="en-US"/>
        </w:rPr>
        <w:t xml:space="preserve"> is material. </w:t>
      </w:r>
      <w:r w:rsidRPr="00717BD6">
        <w:rPr>
          <w:rFonts w:ascii="Times New Roman" w:eastAsia="Cambria" w:hAnsi="Times New Roman" w:cs="Times New Roman"/>
          <w:i/>
          <w:szCs w:val="20"/>
        </w:rPr>
        <w:t>N</w:t>
      </w:r>
      <w:r w:rsidRPr="00717BD6">
        <w:rPr>
          <w:rFonts w:ascii="Times New Roman" w:eastAsia="Cambria" w:hAnsi="Times New Roman" w:cs="Times New Roman"/>
          <w:i/>
          <w:szCs w:val="20"/>
          <w:vertAlign w:val="subscript"/>
        </w:rPr>
        <w:t>p</w:t>
      </w:r>
      <w:r w:rsidRPr="00717BD6">
        <w:rPr>
          <w:rFonts w:ascii="Times New Roman" w:eastAsiaTheme="minorHAnsi" w:hAnsi="Times New Roman" w:cs="Times New Roman"/>
          <w:color w:val="auto"/>
          <w:szCs w:val="20"/>
          <w:lang w:eastAsia="en-US"/>
        </w:rPr>
        <w:t xml:space="preserve"> was calculated for each </w:t>
      </w:r>
      <w:proofErr w:type="gramStart"/>
      <w:r w:rsidRPr="00717BD6">
        <w:rPr>
          <w:rFonts w:ascii="Times New Roman" w:eastAsiaTheme="minorHAnsi" w:hAnsi="Times New Roman" w:cs="Times New Roman"/>
          <w:color w:val="auto"/>
          <w:szCs w:val="20"/>
          <w:lang w:eastAsia="en-US"/>
        </w:rPr>
        <w:t>sector</w:t>
      </w:r>
      <w:proofErr w:type="gramEnd"/>
      <w:r w:rsidRPr="00717BD6">
        <w:rPr>
          <w:rFonts w:ascii="Times New Roman" w:eastAsiaTheme="minorHAnsi" w:hAnsi="Times New Roman" w:cs="Times New Roman"/>
          <w:color w:val="auto"/>
          <w:szCs w:val="20"/>
          <w:lang w:eastAsia="en-US"/>
        </w:rPr>
        <w:t xml:space="preserve"> and an alternative overall value of </w:t>
      </w:r>
      <w:r w:rsidRPr="00717BD6">
        <w:rPr>
          <w:rFonts w:ascii="Times New Roman" w:eastAsia="Cambria" w:hAnsi="Times New Roman" w:cs="Times New Roman"/>
          <w:i/>
          <w:szCs w:val="20"/>
        </w:rPr>
        <w:t>N</w:t>
      </w:r>
      <w:r w:rsidRPr="00717BD6">
        <w:rPr>
          <w:rFonts w:ascii="Times New Roman" w:eastAsia="Cambria" w:hAnsi="Times New Roman" w:cs="Times New Roman"/>
          <w:i/>
          <w:szCs w:val="20"/>
          <w:vertAlign w:val="subscript"/>
        </w:rPr>
        <w:t>p</w:t>
      </w:r>
      <w:r w:rsidRPr="00717BD6">
        <w:rPr>
          <w:rFonts w:ascii="Times New Roman" w:eastAsia="Times New Roman" w:hAnsi="Times New Roman" w:cs="Times New Roman"/>
          <w:i/>
          <w:iCs/>
          <w:kern w:val="0"/>
          <w:szCs w:val="20"/>
          <w14:ligatures w14:val="none"/>
        </w:rPr>
        <w:t xml:space="preserve"> </w:t>
      </w:r>
      <w:r w:rsidRPr="00717BD6">
        <w:rPr>
          <w:rFonts w:ascii="Times New Roman" w:eastAsiaTheme="minorHAnsi" w:hAnsi="Times New Roman" w:cs="Times New Roman"/>
          <w:color w:val="auto"/>
          <w:szCs w:val="20"/>
          <w:lang w:eastAsia="en-US"/>
        </w:rPr>
        <w:t xml:space="preserve">was calculated by excluding observations for manufacturing firms and weighting the merchant, services and building sector values of </w:t>
      </w:r>
      <w:r w:rsidRPr="00717BD6">
        <w:rPr>
          <w:rFonts w:ascii="Times New Roman" w:eastAsia="Cambria" w:hAnsi="Times New Roman" w:cs="Times New Roman"/>
          <w:i/>
          <w:szCs w:val="20"/>
        </w:rPr>
        <w:t>N</w:t>
      </w:r>
      <w:r w:rsidRPr="00717BD6">
        <w:rPr>
          <w:rFonts w:ascii="Times New Roman" w:eastAsia="Cambria" w:hAnsi="Times New Roman" w:cs="Times New Roman"/>
          <w:i/>
          <w:szCs w:val="20"/>
          <w:vertAlign w:val="subscript"/>
        </w:rPr>
        <w:t>p</w:t>
      </w:r>
      <w:r w:rsidRPr="00717BD6">
        <w:rPr>
          <w:rFonts w:ascii="Times New Roman" w:eastAsiaTheme="minorHAnsi" w:hAnsi="Times New Roman" w:cs="Times New Roman"/>
          <w:color w:val="auto"/>
          <w:szCs w:val="20"/>
          <w:lang w:eastAsia="en-US"/>
        </w:rPr>
        <w:t xml:space="preserve"> by using the respective weights of goods, services and the purchase of new housing from the 2020 reweighting of the CPI.  This alternative value of </w:t>
      </w:r>
      <w:r w:rsidRPr="00717BD6">
        <w:rPr>
          <w:rFonts w:ascii="Times New Roman" w:eastAsia="Cambria" w:hAnsi="Times New Roman" w:cs="Times New Roman"/>
          <w:i/>
          <w:szCs w:val="20"/>
        </w:rPr>
        <w:t>N</w:t>
      </w:r>
      <w:r w:rsidRPr="00717BD6">
        <w:rPr>
          <w:rFonts w:ascii="Times New Roman" w:eastAsia="Cambria" w:hAnsi="Times New Roman" w:cs="Times New Roman"/>
          <w:i/>
          <w:szCs w:val="20"/>
          <w:vertAlign w:val="subscript"/>
        </w:rPr>
        <w:t>p</w:t>
      </w:r>
      <w:r w:rsidRPr="00717BD6">
        <w:rPr>
          <w:rFonts w:ascii="Times New Roman" w:eastAsiaTheme="minorHAnsi" w:hAnsi="Times New Roman" w:cs="Times New Roman"/>
          <w:color w:val="auto"/>
          <w:szCs w:val="20"/>
          <w:lang w:eastAsia="en-US"/>
        </w:rPr>
        <w:t xml:space="preserve"> was then used to calculate an alternative estimate of the magnitude of price changes. The resulting time series of the magnitude of price changes using the CPI weighting is almost identical to the series derived for this paper.</w:t>
      </w:r>
      <w:r w:rsidRPr="00C67AED">
        <w:rPr>
          <w:rFonts w:eastAsiaTheme="minorHAnsi"/>
          <w:color w:val="auto"/>
          <w:szCs w:val="20"/>
          <w:lang w:eastAsia="en-US"/>
        </w:rPr>
        <w:t xml:space="preserve">   </w:t>
      </w:r>
    </w:p>
  </w:footnote>
  <w:footnote w:id="16">
    <w:p w14:paraId="587BB82F" w14:textId="77777777" w:rsidR="00307155" w:rsidRPr="00717BD6" w:rsidRDefault="00307155" w:rsidP="00307155">
      <w:pPr>
        <w:pStyle w:val="FootnoteText"/>
        <w:ind w:firstLine="0"/>
        <w:rPr>
          <w:rFonts w:ascii="Times New Roman" w:hAnsi="Times New Roman" w:cs="Times New Roman"/>
          <w:lang w:val="en-GB"/>
        </w:rPr>
      </w:pPr>
      <w:r w:rsidRPr="00717BD6">
        <w:rPr>
          <w:rStyle w:val="FootnoteReference"/>
          <w:rFonts w:ascii="Times New Roman" w:hAnsi="Times New Roman" w:cs="Times New Roman"/>
        </w:rPr>
        <w:footnoteRef/>
      </w:r>
      <w:r w:rsidRPr="00717BD6">
        <w:rPr>
          <w:rFonts w:ascii="Times New Roman" w:hAnsi="Times New Roman" w:cs="Times New Roman"/>
        </w:rPr>
        <w:t xml:space="preserve"> </w:t>
      </w:r>
      <w:r w:rsidRPr="00717BD6">
        <w:rPr>
          <w:rFonts w:ascii="Times New Roman" w:hAnsi="Times New Roman" w:cs="Times New Roman"/>
          <w:lang w:val="en-GB"/>
        </w:rPr>
        <w:t>Some</w:t>
      </w:r>
      <w:r w:rsidRPr="00717BD6">
        <w:rPr>
          <w:rFonts w:ascii="Times New Roman" w:hAnsi="Times New Roman" w:cs="Times New Roman"/>
        </w:rPr>
        <w:t xml:space="preserve"> judgement is used for temporary inflation blips so to avoid an excessive number of periods containing a small number of quarters. Specifically, if inflation passes through a threshold in one direction, but reverses course for one or two quarters, before continuing in the original direction, this is ignored.</w:t>
      </w:r>
    </w:p>
  </w:footnote>
  <w:footnote w:id="17">
    <w:p w14:paraId="7F401808" w14:textId="0A18112F" w:rsidR="00307155" w:rsidRPr="00903C53" w:rsidRDefault="00307155" w:rsidP="00717BD6">
      <w:pPr>
        <w:spacing w:after="100" w:afterAutospacing="1" w:line="240" w:lineRule="auto"/>
        <w:ind w:right="159" w:firstLine="0"/>
        <w:rPr>
          <w:lang w:val="en-GB"/>
        </w:rPr>
      </w:pPr>
      <w:r w:rsidRPr="00717BD6">
        <w:rPr>
          <w:rStyle w:val="FootnoteReference"/>
          <w:rFonts w:ascii="Times New Roman" w:hAnsi="Times New Roman" w:cs="Times New Roman"/>
        </w:rPr>
        <w:footnoteRef/>
      </w:r>
      <w:r w:rsidRPr="00717BD6">
        <w:rPr>
          <w:rFonts w:ascii="Times New Roman" w:hAnsi="Times New Roman" w:cs="Times New Roman"/>
        </w:rPr>
        <w:t xml:space="preserve"> </w:t>
      </w:r>
      <w:r w:rsidRPr="00717BD6">
        <w:rPr>
          <w:rFonts w:ascii="Times New Roman" w:hAnsi="Times New Roman" w:cs="Times New Roman"/>
          <w:szCs w:val="20"/>
        </w:rPr>
        <w:t xml:space="preserve">As a robustness check, alternative estimates of the annual number of price changes were made by counting the number of </w:t>
      </w:r>
      <w:proofErr w:type="gramStart"/>
      <w:r w:rsidRPr="00717BD6">
        <w:rPr>
          <w:rFonts w:ascii="Times New Roman" w:hAnsi="Times New Roman" w:cs="Times New Roman"/>
          <w:szCs w:val="20"/>
        </w:rPr>
        <w:t>price</w:t>
      </w:r>
      <w:proofErr w:type="gramEnd"/>
      <w:r w:rsidRPr="00717BD6">
        <w:rPr>
          <w:rFonts w:ascii="Times New Roman" w:hAnsi="Times New Roman" w:cs="Times New Roman"/>
          <w:szCs w:val="20"/>
        </w:rPr>
        <w:t xml:space="preserve"> changes each year made by those firms that responded to all four surveys in a calendar year. A disadvantage of this approach is it only creates estimates of the number of annual price changes and the magnitude of price adjustments, for each calendar year rather than on a quarterly basis</w:t>
      </w:r>
      <w:r w:rsidR="00BC6396" w:rsidRPr="00717BD6">
        <w:rPr>
          <w:rFonts w:ascii="Times New Roman" w:hAnsi="Times New Roman" w:cs="Times New Roman"/>
          <w:szCs w:val="20"/>
        </w:rPr>
        <w:t>. Further,</w:t>
      </w:r>
      <w:r w:rsidR="006A2490" w:rsidRPr="00717BD6">
        <w:rPr>
          <w:rFonts w:ascii="Times New Roman" w:hAnsi="Times New Roman" w:cs="Times New Roman"/>
          <w:szCs w:val="20"/>
        </w:rPr>
        <w:t xml:space="preserve"> it relies on a smaller sample of firms</w:t>
      </w:r>
      <w:r w:rsidR="00BC6396" w:rsidRPr="00717BD6">
        <w:rPr>
          <w:rFonts w:ascii="Times New Roman" w:hAnsi="Times New Roman" w:cs="Times New Roman"/>
          <w:szCs w:val="20"/>
        </w:rPr>
        <w:t xml:space="preserve">: </w:t>
      </w:r>
      <w:r w:rsidR="006A2490" w:rsidRPr="00717BD6">
        <w:rPr>
          <w:rFonts w:ascii="Times New Roman" w:hAnsi="Times New Roman" w:cs="Times New Roman"/>
          <w:szCs w:val="20"/>
        </w:rPr>
        <w:t>those that respond to all four surveys each year.</w:t>
      </w:r>
      <w:r w:rsidR="006A2490" w:rsidRPr="00717BD6">
        <w:rPr>
          <w:rFonts w:ascii="Times New Roman" w:hAnsi="Times New Roman" w:cs="Times New Roman"/>
          <w:color w:val="0000FF"/>
          <w:szCs w:val="20"/>
          <w:vertAlign w:val="superscript"/>
        </w:rPr>
        <w:t xml:space="preserve"> </w:t>
      </w:r>
      <w:r w:rsidRPr="00717BD6">
        <w:rPr>
          <w:rFonts w:ascii="Times New Roman" w:hAnsi="Times New Roman" w:cs="Times New Roman"/>
          <w:szCs w:val="20"/>
        </w:rPr>
        <w:t>Nevertheless, there is a strong correlation between the estimated metrics using this method and the method reported in the paper, particularly from period III onward.</w:t>
      </w:r>
    </w:p>
  </w:footnote>
  <w:footnote w:id="18">
    <w:p w14:paraId="58E6F766" w14:textId="77777777" w:rsidR="00307155" w:rsidRPr="00BF18FF" w:rsidRDefault="00307155" w:rsidP="00307155">
      <w:pPr>
        <w:pStyle w:val="FootnoteText"/>
        <w:ind w:firstLine="0"/>
        <w:rPr>
          <w:lang w:val="en-GB"/>
        </w:rPr>
      </w:pPr>
      <w:r>
        <w:rPr>
          <w:rStyle w:val="FootnoteReference"/>
        </w:rPr>
        <w:footnoteRef/>
      </w:r>
      <w:r>
        <w:t xml:space="preserve"> These results for USA and New Zealand differ somewhat from Gagnon’s (2009) findings for Mexico during its much larger fluctuations of inflation between 1994 and 2002 which ranged between 4.9 and 41.8 per cent. Gagnon found when inflation was relatively low (below 10 to 15 per cent) the frequency of price increases and decreases tended to offset each other, and the average magnitude of price changes correlated strongly with inflation. But when inflation rose above 10 to 15 per cent there were fewer price decreases and both the frequency and magnitude of price changes correlated with inflation. </w:t>
      </w:r>
    </w:p>
  </w:footnote>
  <w:footnote w:id="19">
    <w:p w14:paraId="6A4CE687" w14:textId="77777777" w:rsidR="00FA0311" w:rsidRPr="00717BD6" w:rsidRDefault="00FA0311" w:rsidP="009C11DA">
      <w:pPr>
        <w:pStyle w:val="FootnoteText"/>
        <w:ind w:firstLine="0"/>
        <w:rPr>
          <w:rFonts w:ascii="Times New Roman" w:hAnsi="Times New Roman" w:cs="Times New Roman"/>
        </w:rPr>
      </w:pPr>
      <w:r w:rsidRPr="00717BD6">
        <w:rPr>
          <w:rStyle w:val="FootnoteReference"/>
          <w:rFonts w:ascii="Times New Roman" w:hAnsi="Times New Roman" w:cs="Times New Roman"/>
          <w:color w:val="000000" w:themeColor="text1"/>
        </w:rPr>
        <w:footnoteRef/>
      </w:r>
      <w:r w:rsidRPr="00717BD6">
        <w:rPr>
          <w:rFonts w:ascii="Times New Roman" w:hAnsi="Times New Roman" w:cs="Times New Roman"/>
          <w:color w:val="000000" w:themeColor="text1"/>
        </w:rPr>
        <w:t xml:space="preserve"> See the discussion in Kennedy (2011, p258) for the motivation for this interpretation.</w:t>
      </w:r>
    </w:p>
  </w:footnote>
  <w:footnote w:id="20">
    <w:p w14:paraId="408EC3D1" w14:textId="2A69ABB9" w:rsidR="00B86546" w:rsidRPr="00717BD6" w:rsidRDefault="00B86546" w:rsidP="00541970">
      <w:pPr>
        <w:pStyle w:val="FootnoteText"/>
        <w:ind w:firstLine="0"/>
        <w:rPr>
          <w:rFonts w:ascii="Times New Roman" w:hAnsi="Times New Roman" w:cs="Times New Roman"/>
        </w:rPr>
      </w:pPr>
      <w:r w:rsidRPr="00717BD6">
        <w:rPr>
          <w:rStyle w:val="FootnoteReference"/>
          <w:rFonts w:ascii="Times New Roman" w:hAnsi="Times New Roman" w:cs="Times New Roman"/>
        </w:rPr>
        <w:footnoteRef/>
      </w:r>
      <w:r w:rsidRPr="00717BD6">
        <w:rPr>
          <w:rFonts w:ascii="Times New Roman" w:hAnsi="Times New Roman" w:cs="Times New Roman"/>
        </w:rPr>
        <w:t xml:space="preserve"> Ball</w:t>
      </w:r>
      <w:r w:rsidR="00B040BE" w:rsidRPr="00717BD6">
        <w:rPr>
          <w:rFonts w:ascii="Times New Roman" w:hAnsi="Times New Roman" w:cs="Times New Roman"/>
        </w:rPr>
        <w:t xml:space="preserve"> and Mankiw</w:t>
      </w:r>
      <w:r w:rsidRPr="00717BD6">
        <w:rPr>
          <w:rFonts w:ascii="Times New Roman" w:hAnsi="Times New Roman" w:cs="Times New Roman"/>
        </w:rPr>
        <w:t xml:space="preserve"> (1994a) focus on menu costs as the cost of price adjustment</w:t>
      </w:r>
      <w:r w:rsidR="001F018D" w:rsidRPr="00717BD6">
        <w:rPr>
          <w:rFonts w:ascii="Times New Roman" w:hAnsi="Times New Roman" w:cs="Times New Roman"/>
        </w:rPr>
        <w:t xml:space="preserve">. As </w:t>
      </w:r>
      <w:r w:rsidR="00DF2AF3" w:rsidRPr="00717BD6">
        <w:rPr>
          <w:rFonts w:ascii="Times New Roman" w:hAnsi="Times New Roman" w:cs="Times New Roman"/>
        </w:rPr>
        <w:t>suggested</w:t>
      </w:r>
      <w:r w:rsidR="001F018D" w:rsidRPr="00717BD6">
        <w:rPr>
          <w:rFonts w:ascii="Times New Roman" w:hAnsi="Times New Roman" w:cs="Times New Roman"/>
        </w:rPr>
        <w:t xml:space="preserve"> in Section </w:t>
      </w:r>
      <w:r w:rsidR="0055349E" w:rsidRPr="00717BD6">
        <w:rPr>
          <w:rFonts w:ascii="Times New Roman" w:hAnsi="Times New Roman" w:cs="Times New Roman"/>
        </w:rPr>
        <w:t>6</w:t>
      </w:r>
      <w:r w:rsidR="00DF2AF3" w:rsidRPr="00717BD6">
        <w:rPr>
          <w:rFonts w:ascii="Times New Roman" w:hAnsi="Times New Roman" w:cs="Times New Roman"/>
        </w:rPr>
        <w:t xml:space="preserve">, it is </w:t>
      </w:r>
      <w:r w:rsidR="00CF29CB" w:rsidRPr="00717BD6">
        <w:rPr>
          <w:rFonts w:ascii="Times New Roman" w:hAnsi="Times New Roman" w:cs="Times New Roman"/>
        </w:rPr>
        <w:t xml:space="preserve">reasonable to expect that </w:t>
      </w:r>
      <w:r w:rsidR="0055349E" w:rsidRPr="00717BD6">
        <w:rPr>
          <w:rFonts w:ascii="Times New Roman" w:hAnsi="Times New Roman" w:cs="Times New Roman"/>
        </w:rPr>
        <w:t>there are more costs to price adjustment than just menu costs</w:t>
      </w:r>
      <w:r w:rsidR="00B040BE" w:rsidRPr="00717BD6">
        <w:rPr>
          <w:rFonts w:ascii="Times New Roman" w:hAnsi="Times New Roman" w:cs="Times New Roman"/>
        </w:rPr>
        <w:t>, such as information search costs, etc.</w:t>
      </w:r>
    </w:p>
  </w:footnote>
  <w:footnote w:id="21">
    <w:p w14:paraId="6CCD617E" w14:textId="04A7288D" w:rsidR="00584264" w:rsidRDefault="00584264" w:rsidP="00541970">
      <w:pPr>
        <w:spacing w:after="0" w:line="240" w:lineRule="auto"/>
        <w:ind w:firstLine="0"/>
      </w:pPr>
      <w:r w:rsidRPr="00717BD6">
        <w:rPr>
          <w:rStyle w:val="FootnoteReference"/>
          <w:rFonts w:ascii="Times New Roman" w:hAnsi="Times New Roman" w:cs="Times New Roman"/>
        </w:rPr>
        <w:footnoteRef/>
      </w:r>
      <w:r w:rsidRPr="00717BD6">
        <w:rPr>
          <w:rFonts w:ascii="Times New Roman" w:hAnsi="Times New Roman" w:cs="Times New Roman"/>
        </w:rPr>
        <w:t xml:space="preserve"> In the next section we control for firm sector and size which are likely</w:t>
      </w:r>
      <w:r w:rsidR="00596A2B" w:rsidRPr="00717BD6">
        <w:rPr>
          <w:rFonts w:ascii="Times New Roman" w:hAnsi="Times New Roman" w:cs="Times New Roman"/>
        </w:rPr>
        <w:t xml:space="preserve"> to</w:t>
      </w:r>
      <w:r w:rsidRPr="00717BD6">
        <w:rPr>
          <w:rFonts w:ascii="Times New Roman" w:hAnsi="Times New Roman" w:cs="Times New Roman"/>
        </w:rPr>
        <w:t xml:space="preserve"> be correlated with the components of </w:t>
      </w:r>
      <w:r w:rsidRPr="00717BD6">
        <w:rPr>
          <w:rFonts w:ascii="Times New Roman" w:hAnsi="Times New Roman" w:cs="Times New Roman"/>
          <w:b/>
          <w:bCs/>
          <w:i/>
          <w:iCs/>
        </w:rPr>
        <w:t>X</w:t>
      </w:r>
      <w:r w:rsidRPr="00717BD6">
        <w:rPr>
          <w:rFonts w:ascii="Times New Roman" w:hAnsi="Times New Roman" w:cs="Times New Roman"/>
        </w:rPr>
        <w:t>.</w:t>
      </w:r>
      <w:r w:rsidRPr="0018206F">
        <w:rPr>
          <w:rFonts w:eastAsiaTheme="minorEastAsia"/>
          <w:noProof/>
          <w:sz w:val="24"/>
        </w:rPr>
        <w:t xml:space="preserve"> </w:t>
      </w:r>
    </w:p>
  </w:footnote>
  <w:footnote w:id="22">
    <w:p w14:paraId="494B0897" w14:textId="308C11F3" w:rsidR="00863947" w:rsidRPr="00717BD6" w:rsidRDefault="00863947" w:rsidP="00863947">
      <w:pPr>
        <w:pStyle w:val="FootnoteText"/>
        <w:ind w:firstLine="0"/>
        <w:rPr>
          <w:rFonts w:ascii="Times New Roman" w:hAnsi="Times New Roman" w:cs="Times New Roman"/>
        </w:rPr>
      </w:pPr>
      <w:r w:rsidRPr="00717BD6">
        <w:rPr>
          <w:rStyle w:val="FootnoteReference"/>
          <w:rFonts w:ascii="Times New Roman" w:hAnsi="Times New Roman" w:cs="Times New Roman"/>
        </w:rPr>
        <w:footnoteRef/>
      </w:r>
      <w:r w:rsidRPr="00717BD6">
        <w:rPr>
          <w:rFonts w:ascii="Times New Roman" w:hAnsi="Times New Roman" w:cs="Times New Roman"/>
        </w:rPr>
        <w:t xml:space="preserve"> </w:t>
      </w:r>
      <w:r w:rsidRPr="00717BD6">
        <w:rPr>
          <w:rFonts w:ascii="Times New Roman" w:hAnsi="Times New Roman" w:cs="Times New Roman"/>
          <w:szCs w:val="24"/>
        </w:rPr>
        <w:t>As noted above, the threshold points (</w:t>
      </w:r>
      <w:r w:rsidRPr="00717BD6">
        <w:rPr>
          <w:rFonts w:ascii="Times New Roman" w:hAnsi="Times New Roman" w:cs="Times New Roman"/>
          <w:i/>
          <w:iCs/>
          <w:szCs w:val="24"/>
        </w:rPr>
        <w:t>k</w:t>
      </w:r>
      <w:r w:rsidRPr="00717BD6">
        <w:rPr>
          <w:rFonts w:ascii="Times New Roman" w:hAnsi="Times New Roman" w:cs="Times New Roman"/>
          <w:i/>
          <w:iCs/>
          <w:szCs w:val="24"/>
          <w:vertAlign w:val="subscript"/>
        </w:rPr>
        <w:t>1</w:t>
      </w:r>
      <w:r w:rsidRPr="00717BD6">
        <w:rPr>
          <w:rFonts w:ascii="Times New Roman" w:hAnsi="Times New Roman" w:cs="Times New Roman"/>
          <w:i/>
          <w:iCs/>
          <w:szCs w:val="24"/>
        </w:rPr>
        <w:t xml:space="preserve"> </w:t>
      </w:r>
      <w:r w:rsidRPr="00717BD6">
        <w:rPr>
          <w:rFonts w:ascii="Times New Roman" w:hAnsi="Times New Roman" w:cs="Times New Roman"/>
          <w:szCs w:val="24"/>
        </w:rPr>
        <w:t xml:space="preserve">and </w:t>
      </w:r>
      <w:r w:rsidRPr="00717BD6">
        <w:rPr>
          <w:rFonts w:ascii="Times New Roman" w:hAnsi="Times New Roman" w:cs="Times New Roman"/>
          <w:i/>
          <w:iCs/>
          <w:szCs w:val="24"/>
        </w:rPr>
        <w:t>k</w:t>
      </w:r>
      <w:r w:rsidRPr="00717BD6">
        <w:rPr>
          <w:rFonts w:ascii="Times New Roman" w:hAnsi="Times New Roman" w:cs="Times New Roman"/>
          <w:i/>
          <w:iCs/>
          <w:szCs w:val="24"/>
          <w:vertAlign w:val="subscript"/>
        </w:rPr>
        <w:t>2</w:t>
      </w:r>
      <w:r w:rsidRPr="00717BD6">
        <w:rPr>
          <w:rFonts w:ascii="Times New Roman" w:hAnsi="Times New Roman" w:cs="Times New Roman"/>
          <w:szCs w:val="24"/>
        </w:rPr>
        <w:t>) in the Probit model define a range over which actual price will not change.  This maps nicely to the Ball and Mankiw (1994a) model. Rearranging equation (3) means the range over which prices will not change can be defined as:  (</w:t>
      </w:r>
      <m:oMath>
        <m:r>
          <w:rPr>
            <w:rFonts w:ascii="Cambria Math" w:hAnsi="Cambria Math" w:cs="Times New Roman"/>
            <w:sz w:val="18"/>
            <w:szCs w:val="18"/>
          </w:rPr>
          <m:t>-</m:t>
        </m:r>
        <m:r>
          <m:rPr>
            <m:sty m:val="p"/>
          </m:rPr>
          <w:rPr>
            <w:rFonts w:ascii="Cambria Math" w:hAnsi="Cambria Math" w:cs="Times New Roman"/>
            <w:sz w:val="18"/>
            <w:szCs w:val="18"/>
          </w:rPr>
          <m:t>√</m:t>
        </m:r>
        <m:r>
          <w:rPr>
            <w:rFonts w:ascii="Cambria Math" w:hAnsi="Cambria Math" w:cs="Times New Roman"/>
            <w:sz w:val="18"/>
            <w:szCs w:val="18"/>
          </w:rPr>
          <m:t>AC</m:t>
        </m:r>
        <m:r>
          <m:rPr>
            <m:sty m:val="p"/>
          </m:rPr>
          <w:rPr>
            <w:rFonts w:ascii="Cambria Math" w:hAnsi="Cambria Math" w:cs="Times New Roman"/>
            <w:sz w:val="18"/>
            <w:szCs w:val="18"/>
          </w:rPr>
          <m:t xml:space="preserve">- </m:t>
        </m:r>
        <m:r>
          <w:rPr>
            <w:rFonts w:ascii="Cambria Math" w:hAnsi="Cambria Math" w:cs="Times New Roman"/>
            <w:sz w:val="18"/>
            <w:szCs w:val="18"/>
          </w:rPr>
          <m:t xml:space="preserve"> π</m:t>
        </m:r>
        <m:r>
          <m:rPr>
            <m:lit/>
            <m:sty m:val="p"/>
          </m:rPr>
          <w:rPr>
            <w:rFonts w:ascii="Cambria Math" w:hAnsi="Cambria Math" w:cs="Times New Roman"/>
            <w:sz w:val="18"/>
            <w:szCs w:val="18"/>
          </w:rPr>
          <m:t>/</m:t>
        </m:r>
        <m:r>
          <m:rPr>
            <m:sty m:val="p"/>
          </m:rPr>
          <w:rPr>
            <w:rFonts w:ascii="Cambria Math" w:hAnsi="Cambria Math" w:cs="Times New Roman"/>
            <w:sz w:val="18"/>
            <w:szCs w:val="18"/>
          </w:rPr>
          <m:t>2)&lt;</m:t>
        </m:r>
        <m:r>
          <m:rPr>
            <m:sty m:val="p"/>
          </m:rPr>
          <w:rPr>
            <w:rFonts w:ascii="Cambria Math" w:eastAsia="Cambria Math" w:hAnsi="Cambria Math" w:cs="Cambria Math" w:hint="eastAsia"/>
            <w:sz w:val="18"/>
            <w:szCs w:val="18"/>
          </w:rPr>
          <m:t>〖</m:t>
        </m:r>
        <m:r>
          <w:rPr>
            <w:rFonts w:ascii="Cambria Math" w:hAnsi="Cambria Math" w:cs="Times New Roman"/>
            <w:sz w:val="18"/>
            <w:szCs w:val="18"/>
          </w:rPr>
          <m:t>θ</m:t>
        </m:r>
        <m:r>
          <m:rPr>
            <m:sty m:val="p"/>
          </m:rPr>
          <w:rPr>
            <w:rFonts w:ascii="Cambria Math" w:hAnsi="Cambria Math" w:cs="Times New Roman"/>
            <w:sz w:val="18"/>
            <w:szCs w:val="18"/>
          </w:rPr>
          <m:t>&lt;(</m:t>
        </m:r>
        <m:r>
          <w:rPr>
            <w:rFonts w:ascii="Cambria Math" w:hAnsi="Cambria Math" w:cs="Times New Roman"/>
            <w:sz w:val="18"/>
            <w:szCs w:val="18"/>
          </w:rPr>
          <m:t>+</m:t>
        </m:r>
        <m:r>
          <m:rPr>
            <m:sty m:val="p"/>
          </m:rPr>
          <w:rPr>
            <w:rFonts w:ascii="Cambria Math" w:hAnsi="Cambria Math" w:cs="Times New Roman"/>
            <w:sz w:val="18"/>
            <w:szCs w:val="18"/>
          </w:rPr>
          <m:t>√</m:t>
        </m:r>
        <m:r>
          <w:rPr>
            <w:rFonts w:ascii="Cambria Math" w:hAnsi="Cambria Math" w:cs="Times New Roman"/>
            <w:sz w:val="18"/>
            <w:szCs w:val="18"/>
          </w:rPr>
          <m:t>AC</m:t>
        </m:r>
        <m:r>
          <m:rPr>
            <m:sty m:val="p"/>
          </m:rPr>
          <w:rPr>
            <w:rFonts w:ascii="Cambria Math" w:hAnsi="Cambria Math" w:cs="Times New Roman"/>
            <w:sz w:val="18"/>
            <w:szCs w:val="18"/>
          </w:rPr>
          <m:t xml:space="preserve">- </m:t>
        </m:r>
        <m:r>
          <w:rPr>
            <w:rFonts w:ascii="Cambria Math" w:hAnsi="Cambria Math" w:cs="Times New Roman"/>
            <w:sz w:val="18"/>
            <w:szCs w:val="18"/>
          </w:rPr>
          <m:t>π</m:t>
        </m:r>
        <m:r>
          <m:rPr>
            <m:lit/>
            <m:sty m:val="p"/>
          </m:rPr>
          <w:rPr>
            <w:rFonts w:ascii="Cambria Math" w:hAnsi="Cambria Math" w:cs="Times New Roman"/>
            <w:sz w:val="18"/>
            <w:szCs w:val="18"/>
          </w:rPr>
          <m:t>/</m:t>
        </m:r>
        <m:r>
          <m:rPr>
            <m:sty m:val="p"/>
          </m:rPr>
          <w:rPr>
            <w:rFonts w:ascii="Cambria Math" w:hAnsi="Cambria Math" w:cs="Times New Roman"/>
            <w:sz w:val="18"/>
            <w:szCs w:val="18"/>
          </w:rPr>
          <m:t>2).</m:t>
        </m:r>
      </m:oMath>
      <w:r w:rsidR="00DD673D" w:rsidRPr="00DD673D">
        <w:rPr>
          <w:rFonts w:ascii="Times New Roman" w:hAnsi="Times New Roman" w:cs="Times New Roman"/>
          <w:sz w:val="18"/>
          <w:szCs w:val="18"/>
        </w:rPr>
        <w:t xml:space="preserve"> </w:t>
      </w:r>
      <w:r w:rsidRPr="00717BD6">
        <w:rPr>
          <w:rFonts w:ascii="Times New Roman" w:hAnsi="Times New Roman" w:cs="Times New Roman"/>
        </w:rPr>
        <w:t xml:space="preserve"> </w:t>
      </w:r>
      <w:r w:rsidRPr="00717BD6">
        <w:rPr>
          <w:rFonts w:ascii="Cambria Math" w:hAnsi="Cambria Math" w:cs="Cambria Math"/>
        </w:rPr>
        <w:t>𝜃</w:t>
      </w:r>
      <w:r w:rsidRPr="00717BD6">
        <w:rPr>
          <w:rFonts w:ascii="Times New Roman" w:hAnsi="Times New Roman" w:cs="Times New Roman"/>
        </w:rPr>
        <w:t xml:space="preserve"> is above the upper bound, a firm will raise price, and if </w:t>
      </w:r>
      <w:r w:rsidRPr="00717BD6">
        <w:rPr>
          <w:rFonts w:ascii="Cambria Math" w:hAnsi="Cambria Math" w:cs="Cambria Math"/>
        </w:rPr>
        <w:t>𝜃</w:t>
      </w:r>
      <w:r w:rsidRPr="00717BD6">
        <w:rPr>
          <w:rFonts w:ascii="Times New Roman" w:hAnsi="Times New Roman" w:cs="Times New Roman"/>
        </w:rPr>
        <w:t xml:space="preserve"> is below the lower bound, a firm will lower price. </w:t>
      </w:r>
    </w:p>
  </w:footnote>
  <w:footnote w:id="23">
    <w:p w14:paraId="0B88632F" w14:textId="5F3326CF" w:rsidR="007E3645" w:rsidRPr="00717BD6" w:rsidRDefault="007E3645" w:rsidP="00541970">
      <w:pPr>
        <w:pStyle w:val="FootnoteText"/>
        <w:ind w:firstLine="0"/>
        <w:rPr>
          <w:rFonts w:ascii="Times New Roman" w:hAnsi="Times New Roman" w:cs="Times New Roman"/>
        </w:rPr>
      </w:pPr>
      <w:r w:rsidRPr="00717BD6">
        <w:rPr>
          <w:rStyle w:val="FootnoteReference"/>
          <w:rFonts w:ascii="Times New Roman" w:hAnsi="Times New Roman" w:cs="Times New Roman"/>
        </w:rPr>
        <w:footnoteRef/>
      </w:r>
      <w:r w:rsidRPr="00717BD6">
        <w:rPr>
          <w:rFonts w:ascii="Times New Roman" w:hAnsi="Times New Roman" w:cs="Times New Roman"/>
        </w:rPr>
        <w:t xml:space="preserve"> </w:t>
      </w:r>
      <w:r w:rsidRPr="00717BD6">
        <w:rPr>
          <w:rFonts w:ascii="Times New Roman" w:hAnsi="Times New Roman" w:cs="Times New Roman"/>
          <w:szCs w:val="24"/>
        </w:rPr>
        <w:t xml:space="preserve">Kumar and </w:t>
      </w:r>
      <w:proofErr w:type="spellStart"/>
      <w:r w:rsidRPr="00717BD6">
        <w:rPr>
          <w:rFonts w:ascii="Times New Roman" w:hAnsi="Times New Roman" w:cs="Times New Roman"/>
          <w:szCs w:val="24"/>
        </w:rPr>
        <w:t>Wesselbaum</w:t>
      </w:r>
      <w:proofErr w:type="spellEnd"/>
      <w:r w:rsidRPr="00717BD6">
        <w:rPr>
          <w:rFonts w:ascii="Times New Roman" w:hAnsi="Times New Roman" w:cs="Times New Roman"/>
          <w:szCs w:val="24"/>
        </w:rPr>
        <w:t xml:space="preserve"> </w:t>
      </w:r>
      <w:r w:rsidR="00B52AA5" w:rsidRPr="00717BD6">
        <w:rPr>
          <w:rFonts w:ascii="Times New Roman" w:hAnsi="Times New Roman" w:cs="Times New Roman"/>
          <w:szCs w:val="24"/>
        </w:rPr>
        <w:t>(</w:t>
      </w:r>
      <w:r w:rsidRPr="00717BD6">
        <w:rPr>
          <w:rFonts w:ascii="Times New Roman" w:hAnsi="Times New Roman" w:cs="Times New Roman"/>
          <w:szCs w:val="24"/>
        </w:rPr>
        <w:t>2024</w:t>
      </w:r>
      <w:r w:rsidR="00B52AA5" w:rsidRPr="00717BD6">
        <w:rPr>
          <w:rFonts w:ascii="Times New Roman" w:hAnsi="Times New Roman" w:cs="Times New Roman"/>
          <w:szCs w:val="24"/>
        </w:rPr>
        <w:t xml:space="preserve">) </w:t>
      </w:r>
      <w:r w:rsidR="00A916F1" w:rsidRPr="00717BD6">
        <w:rPr>
          <w:rFonts w:ascii="Times New Roman" w:hAnsi="Times New Roman" w:cs="Times New Roman"/>
          <w:szCs w:val="24"/>
        </w:rPr>
        <w:t>imply</w:t>
      </w:r>
      <w:r w:rsidR="00B52AA5" w:rsidRPr="00717BD6">
        <w:rPr>
          <w:rFonts w:ascii="Times New Roman" w:hAnsi="Times New Roman" w:cs="Times New Roman"/>
          <w:szCs w:val="24"/>
        </w:rPr>
        <w:t xml:space="preserve"> an additional motivation for th</w:t>
      </w:r>
      <w:r w:rsidR="00FB4048" w:rsidRPr="00717BD6">
        <w:rPr>
          <w:rFonts w:ascii="Times New Roman" w:hAnsi="Times New Roman" w:cs="Times New Roman"/>
          <w:szCs w:val="24"/>
        </w:rPr>
        <w:t>e</w:t>
      </w:r>
      <w:r w:rsidR="00B52AA5" w:rsidRPr="00717BD6">
        <w:rPr>
          <w:rFonts w:ascii="Times New Roman" w:hAnsi="Times New Roman" w:cs="Times New Roman"/>
          <w:szCs w:val="24"/>
        </w:rPr>
        <w:t xml:space="preserve"> assumption</w:t>
      </w:r>
      <w:r w:rsidR="00FB4048" w:rsidRPr="00717BD6">
        <w:rPr>
          <w:rFonts w:ascii="Times New Roman" w:hAnsi="Times New Roman" w:cs="Times New Roman"/>
          <w:szCs w:val="24"/>
        </w:rPr>
        <w:t xml:space="preserve"> that price adjustment is likely to depend on the level of inflation</w:t>
      </w:r>
      <w:r w:rsidR="00B52AA5" w:rsidRPr="00717BD6">
        <w:rPr>
          <w:rFonts w:ascii="Times New Roman" w:hAnsi="Times New Roman" w:cs="Times New Roman"/>
          <w:szCs w:val="24"/>
        </w:rPr>
        <w:t xml:space="preserve">. They find </w:t>
      </w:r>
      <w:r w:rsidR="008E0113" w:rsidRPr="00717BD6">
        <w:rPr>
          <w:rFonts w:ascii="Times New Roman" w:hAnsi="Times New Roman" w:cs="Times New Roman"/>
          <w:szCs w:val="24"/>
        </w:rPr>
        <w:t xml:space="preserve">firms with </w:t>
      </w:r>
      <w:r w:rsidR="005B68AA" w:rsidRPr="00717BD6">
        <w:rPr>
          <w:rFonts w:ascii="Times New Roman" w:hAnsi="Times New Roman" w:cs="Times New Roman"/>
          <w:szCs w:val="24"/>
        </w:rPr>
        <w:t xml:space="preserve">higher inflation </w:t>
      </w:r>
      <w:r w:rsidR="008E0113" w:rsidRPr="00717BD6">
        <w:rPr>
          <w:rFonts w:ascii="Times New Roman" w:hAnsi="Times New Roman" w:cs="Times New Roman"/>
          <w:szCs w:val="24"/>
        </w:rPr>
        <w:t>expectation</w:t>
      </w:r>
      <w:r w:rsidR="00811146" w:rsidRPr="00717BD6">
        <w:rPr>
          <w:rFonts w:ascii="Times New Roman" w:hAnsi="Times New Roman" w:cs="Times New Roman"/>
          <w:szCs w:val="24"/>
        </w:rPr>
        <w:t>s</w:t>
      </w:r>
      <w:r w:rsidR="008E0113" w:rsidRPr="00717BD6">
        <w:rPr>
          <w:rFonts w:ascii="Times New Roman" w:hAnsi="Times New Roman" w:cs="Times New Roman"/>
          <w:szCs w:val="24"/>
        </w:rPr>
        <w:t xml:space="preserve"> </w:t>
      </w:r>
      <w:r w:rsidR="005B68AA" w:rsidRPr="00717BD6">
        <w:rPr>
          <w:rFonts w:ascii="Times New Roman" w:hAnsi="Times New Roman" w:cs="Times New Roman"/>
          <w:szCs w:val="24"/>
        </w:rPr>
        <w:t>make less use of contracts</w:t>
      </w:r>
      <w:r w:rsidR="00811146" w:rsidRPr="00717BD6">
        <w:rPr>
          <w:rFonts w:ascii="Times New Roman" w:hAnsi="Times New Roman" w:cs="Times New Roman"/>
          <w:szCs w:val="24"/>
        </w:rPr>
        <w:t>. If inflation and inflation expectations are correlated, periods of higher inflation should see less contract use,</w:t>
      </w:r>
      <w:r w:rsidR="005B68AA" w:rsidRPr="00717BD6">
        <w:rPr>
          <w:rFonts w:ascii="Times New Roman" w:hAnsi="Times New Roman" w:cs="Times New Roman"/>
          <w:szCs w:val="24"/>
        </w:rPr>
        <w:t xml:space="preserve"> which will make prices more flexible.</w:t>
      </w:r>
    </w:p>
  </w:footnote>
  <w:footnote w:id="24">
    <w:p w14:paraId="2FADD940" w14:textId="77777777" w:rsidR="00307155" w:rsidRPr="00B01654" w:rsidRDefault="00307155" w:rsidP="00541970">
      <w:pPr>
        <w:spacing w:line="240" w:lineRule="auto"/>
        <w:ind w:left="-17" w:right="159" w:firstLine="0"/>
        <w:rPr>
          <w:color w:val="000000" w:themeColor="text1"/>
        </w:rPr>
      </w:pPr>
      <w:r w:rsidRPr="00717BD6">
        <w:rPr>
          <w:rStyle w:val="FootnoteReference"/>
          <w:rFonts w:ascii="Times New Roman" w:hAnsi="Times New Roman" w:cs="Times New Roman"/>
          <w:color w:val="000000" w:themeColor="text1"/>
        </w:rPr>
        <w:footnoteRef/>
      </w:r>
      <w:r w:rsidRPr="00717BD6">
        <w:rPr>
          <w:rFonts w:ascii="Times New Roman" w:hAnsi="Times New Roman" w:cs="Times New Roman"/>
          <w:color w:val="000000" w:themeColor="text1"/>
        </w:rPr>
        <w:t xml:space="preserve"> The specific choice of 2011Q2 was made to avoid a temporary blip in inflation owing to a GST change in 2010Q4 being included in the recent period. </w:t>
      </w:r>
      <w:r w:rsidRPr="00717BD6">
        <w:rPr>
          <w:rFonts w:ascii="Times New Roman" w:hAnsi="Times New Roman" w:cs="Times New Roman"/>
          <w:color w:val="000000" w:themeColor="text1"/>
          <w:szCs w:val="20"/>
        </w:rPr>
        <w:t xml:space="preserve">In the robustness tests, three alternative constructions of the </w:t>
      </w:r>
      <w:r w:rsidRPr="00717BD6">
        <w:rPr>
          <w:rFonts w:ascii="Times New Roman" w:hAnsi="Times New Roman" w:cs="Times New Roman"/>
          <w:i/>
          <w:iCs/>
          <w:color w:val="000000" w:themeColor="text1"/>
          <w:szCs w:val="20"/>
        </w:rPr>
        <w:t xml:space="preserve">Recent </w:t>
      </w:r>
      <w:r w:rsidRPr="00717BD6">
        <w:rPr>
          <w:rFonts w:ascii="Times New Roman" w:hAnsi="Times New Roman" w:cs="Times New Roman"/>
          <w:color w:val="000000" w:themeColor="text1"/>
          <w:szCs w:val="20"/>
        </w:rPr>
        <w:t>variable were evaluated: (</w:t>
      </w:r>
      <w:proofErr w:type="spellStart"/>
      <w:r w:rsidRPr="00717BD6">
        <w:rPr>
          <w:rFonts w:ascii="Times New Roman" w:hAnsi="Times New Roman" w:cs="Times New Roman"/>
          <w:color w:val="000000" w:themeColor="text1"/>
          <w:szCs w:val="20"/>
        </w:rPr>
        <w:t>i</w:t>
      </w:r>
      <w:proofErr w:type="spellEnd"/>
      <w:r w:rsidRPr="00717BD6">
        <w:rPr>
          <w:rFonts w:ascii="Times New Roman" w:hAnsi="Times New Roman" w:cs="Times New Roman"/>
          <w:color w:val="000000" w:themeColor="text1"/>
          <w:szCs w:val="20"/>
        </w:rPr>
        <w:t xml:space="preserve">) where the </w:t>
      </w:r>
      <w:r w:rsidRPr="00717BD6">
        <w:rPr>
          <w:rFonts w:ascii="Times New Roman" w:hAnsi="Times New Roman" w:cs="Times New Roman"/>
          <w:i/>
          <w:iCs/>
          <w:color w:val="000000" w:themeColor="text1"/>
          <w:szCs w:val="20"/>
        </w:rPr>
        <w:t xml:space="preserve">Recent </w:t>
      </w:r>
      <w:r w:rsidRPr="00717BD6">
        <w:rPr>
          <w:rFonts w:ascii="Times New Roman" w:hAnsi="Times New Roman" w:cs="Times New Roman"/>
          <w:color w:val="000000" w:themeColor="text1"/>
          <w:szCs w:val="20"/>
        </w:rPr>
        <w:t xml:space="preserve">variable starts taking a value of one from 2020Q1 onward; (ii) from 2000Q1 onwards; and (iii) 1990Q1 onward. The key qualitative results identified in the subsequent discussion in this section hold under these three alternative constructions. The results of the estimations using these alternative constructions of the </w:t>
      </w:r>
      <w:r w:rsidRPr="00717BD6">
        <w:rPr>
          <w:rFonts w:ascii="Times New Roman" w:hAnsi="Times New Roman" w:cs="Times New Roman"/>
          <w:i/>
          <w:iCs/>
          <w:color w:val="000000" w:themeColor="text1"/>
          <w:szCs w:val="20"/>
        </w:rPr>
        <w:t>Recent</w:t>
      </w:r>
      <w:r w:rsidRPr="00717BD6">
        <w:rPr>
          <w:rFonts w:ascii="Times New Roman" w:hAnsi="Times New Roman" w:cs="Times New Roman"/>
          <w:color w:val="000000" w:themeColor="text1"/>
          <w:szCs w:val="20"/>
        </w:rPr>
        <w:t xml:space="preserve"> variable are available from the authors on request. The broad conclusions concerning evidence of structural change in pricing behaviour are similar for each break-point period, except that the size of the change in the probit estimate of the coefficients for equation 2 are systematically smaller when </w:t>
      </w:r>
      <w:r w:rsidRPr="00717BD6">
        <w:rPr>
          <w:rFonts w:ascii="Times New Roman" w:hAnsi="Times New Roman" w:cs="Times New Roman"/>
          <w:i/>
          <w:iCs/>
          <w:color w:val="000000" w:themeColor="text1"/>
          <w:szCs w:val="20"/>
        </w:rPr>
        <w:t xml:space="preserve">Recent </w:t>
      </w:r>
      <w:r w:rsidRPr="00717BD6">
        <w:rPr>
          <w:rFonts w:ascii="Times New Roman" w:hAnsi="Times New Roman" w:cs="Times New Roman"/>
          <w:color w:val="000000" w:themeColor="text1"/>
          <w:szCs w:val="20"/>
        </w:rPr>
        <w:t>is set at 1990Q1. This observation is consistent with the conclusion in Section 4 drawn from the time-series analysis, that changes in pricing behaviour of firms started to take place after the mid-1990s.</w:t>
      </w:r>
      <w:r>
        <w:rPr>
          <w:color w:val="000000" w:themeColor="text1"/>
          <w:szCs w:val="20"/>
        </w:rPr>
        <w:t xml:space="preserve">  </w:t>
      </w:r>
    </w:p>
  </w:footnote>
  <w:footnote w:id="25">
    <w:p w14:paraId="73F73173" w14:textId="45104916" w:rsidR="00307155" w:rsidRPr="00717BD6" w:rsidRDefault="00307155" w:rsidP="009C11DA">
      <w:pPr>
        <w:pStyle w:val="FootnoteText"/>
        <w:ind w:firstLine="0"/>
        <w:rPr>
          <w:rFonts w:ascii="Times New Roman" w:hAnsi="Times New Roman" w:cs="Times New Roman"/>
        </w:rPr>
      </w:pPr>
      <w:r w:rsidRPr="00717BD6">
        <w:rPr>
          <w:rStyle w:val="FootnoteReference"/>
          <w:rFonts w:ascii="Times New Roman" w:hAnsi="Times New Roman" w:cs="Times New Roman"/>
        </w:rPr>
        <w:footnoteRef/>
      </w:r>
      <w:r w:rsidR="00DD673D">
        <w:rPr>
          <w:rFonts w:ascii="Times New Roman" w:hAnsi="Times New Roman" w:cs="Times New Roman"/>
        </w:rPr>
        <w:t xml:space="preserve"> </w:t>
      </w:r>
      <w:r w:rsidRPr="00717BD6">
        <w:rPr>
          <w:rFonts w:ascii="Times New Roman" w:hAnsi="Times New Roman" w:cs="Times New Roman"/>
        </w:rPr>
        <w:t xml:space="preserve">The Likelihood Ratio test statistic calculates by how much the likelihood improves in the model when heteroskedasticity is allowed for versus a model where the variance is assumed to </w:t>
      </w:r>
      <w:proofErr w:type="spellStart"/>
      <w:r w:rsidRPr="00717BD6">
        <w:rPr>
          <w:rFonts w:ascii="Times New Roman" w:hAnsi="Times New Roman" w:cs="Times New Roman"/>
        </w:rPr>
        <w:t>homoskedastic</w:t>
      </w:r>
      <w:proofErr w:type="spellEnd"/>
      <w:r w:rsidRPr="00717BD6">
        <w:rPr>
          <w:rFonts w:ascii="Times New Roman" w:hAnsi="Times New Roman" w:cs="Times New Roman"/>
        </w:rPr>
        <w:t>. The specific formula for the test statistic is LR = -2(</w:t>
      </w:r>
      <w:proofErr w:type="gramStart"/>
      <w:r w:rsidRPr="00717BD6">
        <w:rPr>
          <w:rFonts w:ascii="Times New Roman" w:hAnsi="Times New Roman" w:cs="Times New Roman"/>
        </w:rPr>
        <w:t>ln(</w:t>
      </w:r>
      <w:proofErr w:type="spellStart"/>
      <w:proofErr w:type="gramEnd"/>
      <w:r w:rsidRPr="00717BD6">
        <w:rPr>
          <w:rFonts w:ascii="Times New Roman" w:hAnsi="Times New Roman" w:cs="Times New Roman"/>
        </w:rPr>
        <w:t>L</w:t>
      </w:r>
      <w:r w:rsidRPr="00717BD6">
        <w:rPr>
          <w:rFonts w:ascii="Times New Roman" w:hAnsi="Times New Roman" w:cs="Times New Roman"/>
          <w:vertAlign w:val="subscript"/>
        </w:rPr>
        <w:t>Heteroskedastic</w:t>
      </w:r>
      <w:proofErr w:type="spellEnd"/>
      <w:r w:rsidRPr="00717BD6">
        <w:rPr>
          <w:rFonts w:ascii="Times New Roman" w:hAnsi="Times New Roman" w:cs="Times New Roman"/>
        </w:rPr>
        <w:t xml:space="preserve">) – </w:t>
      </w:r>
      <w:proofErr w:type="gramStart"/>
      <w:r w:rsidRPr="00717BD6">
        <w:rPr>
          <w:rFonts w:ascii="Times New Roman" w:hAnsi="Times New Roman" w:cs="Times New Roman"/>
        </w:rPr>
        <w:t>ln(</w:t>
      </w:r>
      <w:proofErr w:type="spellStart"/>
      <w:proofErr w:type="gramEnd"/>
      <w:r w:rsidRPr="00717BD6">
        <w:rPr>
          <w:rFonts w:ascii="Times New Roman" w:hAnsi="Times New Roman" w:cs="Times New Roman"/>
        </w:rPr>
        <w:t>L</w:t>
      </w:r>
      <w:r w:rsidRPr="00717BD6">
        <w:rPr>
          <w:rFonts w:ascii="Times New Roman" w:hAnsi="Times New Roman" w:cs="Times New Roman"/>
          <w:vertAlign w:val="subscript"/>
        </w:rPr>
        <w:t>Homoskedastic</w:t>
      </w:r>
      <w:proofErr w:type="spellEnd"/>
      <w:r w:rsidRPr="00717BD6">
        <w:rPr>
          <w:rFonts w:ascii="Times New Roman" w:hAnsi="Times New Roman" w:cs="Times New Roman"/>
        </w:rPr>
        <w:t>)). If the null hypothesis is true, the Likelihood Ratio test statistic follows a chi-squared distribution with degrees of freedom equal to the number of additional variance parameters in the heteroskedastic version of the model. To test if the improvement in the likelihood is statistically significant (that is, if the null hypothesis</w:t>
      </w:r>
      <w:r w:rsidR="00CF29CB" w:rsidRPr="00717BD6">
        <w:rPr>
          <w:rFonts w:ascii="Times New Roman" w:hAnsi="Times New Roman" w:cs="Times New Roman"/>
        </w:rPr>
        <w:t xml:space="preserve"> </w:t>
      </w:r>
      <w:r w:rsidRPr="00717BD6">
        <w:rPr>
          <w:rFonts w:ascii="Times New Roman" w:hAnsi="Times New Roman" w:cs="Times New Roman"/>
        </w:rPr>
        <w:t xml:space="preserve">of </w:t>
      </w:r>
      <w:proofErr w:type="spellStart"/>
      <w:r w:rsidRPr="00717BD6">
        <w:rPr>
          <w:rFonts w:ascii="Times New Roman" w:hAnsi="Times New Roman" w:cs="Times New Roman"/>
        </w:rPr>
        <w:t>homoskedascity</w:t>
      </w:r>
      <w:proofErr w:type="spellEnd"/>
      <w:r w:rsidR="00CF29CB" w:rsidRPr="00717BD6">
        <w:rPr>
          <w:rFonts w:ascii="Times New Roman" w:hAnsi="Times New Roman" w:cs="Times New Roman"/>
        </w:rPr>
        <w:t xml:space="preserve"> can be rejected</w:t>
      </w:r>
      <w:r w:rsidRPr="00717BD6">
        <w:rPr>
          <w:rFonts w:ascii="Times New Roman" w:hAnsi="Times New Roman" w:cs="Times New Roman"/>
        </w:rPr>
        <w:t xml:space="preserve">), the Likelihood Ratio test statistic </w:t>
      </w:r>
      <w:r w:rsidR="00CF29CB" w:rsidRPr="00717BD6">
        <w:rPr>
          <w:rFonts w:ascii="Times New Roman" w:hAnsi="Times New Roman" w:cs="Times New Roman"/>
        </w:rPr>
        <w:t xml:space="preserve">can be tested </w:t>
      </w:r>
      <w:r w:rsidRPr="00717BD6">
        <w:rPr>
          <w:rFonts w:ascii="Times New Roman" w:hAnsi="Times New Roman" w:cs="Times New Roman"/>
        </w:rPr>
        <w:t>against the appropriate critical value from the Chi-squared distribution.</w:t>
      </w:r>
    </w:p>
  </w:footnote>
  <w:footnote w:id="26">
    <w:p w14:paraId="6D310C80" w14:textId="77777777" w:rsidR="00307155" w:rsidRPr="00717BD6" w:rsidRDefault="00307155" w:rsidP="009C11DA">
      <w:pPr>
        <w:pStyle w:val="FootnoteText"/>
        <w:ind w:firstLine="0"/>
        <w:rPr>
          <w:rFonts w:ascii="Times New Roman" w:hAnsi="Times New Roman" w:cs="Times New Roman"/>
        </w:rPr>
      </w:pPr>
      <w:r w:rsidRPr="00717BD6">
        <w:rPr>
          <w:rStyle w:val="FootnoteReference"/>
          <w:rFonts w:ascii="Times New Roman" w:hAnsi="Times New Roman" w:cs="Times New Roman"/>
        </w:rPr>
        <w:footnoteRef/>
      </w:r>
      <w:r w:rsidRPr="00717BD6">
        <w:rPr>
          <w:rFonts w:ascii="Times New Roman" w:hAnsi="Times New Roman" w:cs="Times New Roman"/>
        </w:rPr>
        <w:t xml:space="preserve"> The models were estimated using the </w:t>
      </w:r>
      <w:proofErr w:type="spellStart"/>
      <w:r w:rsidRPr="00717BD6">
        <w:rPr>
          <w:rFonts w:ascii="Times New Roman" w:hAnsi="Times New Roman" w:cs="Times New Roman"/>
        </w:rPr>
        <w:t>hetoprobit</w:t>
      </w:r>
      <w:proofErr w:type="spellEnd"/>
      <w:r w:rsidRPr="00717BD6">
        <w:rPr>
          <w:rFonts w:ascii="Times New Roman" w:hAnsi="Times New Roman" w:cs="Times New Roman"/>
        </w:rPr>
        <w:t xml:space="preserve"> command in Stata.</w:t>
      </w:r>
    </w:p>
  </w:footnote>
  <w:footnote w:id="27">
    <w:p w14:paraId="0DB970EE" w14:textId="77777777" w:rsidR="00307155" w:rsidRPr="00B01654" w:rsidRDefault="00307155" w:rsidP="009C11DA">
      <w:pPr>
        <w:pStyle w:val="FootnoteText"/>
        <w:ind w:right="-57" w:firstLine="0"/>
        <w:rPr>
          <w:lang w:val="en-GB"/>
        </w:rPr>
      </w:pPr>
      <w:r w:rsidRPr="00717BD6">
        <w:rPr>
          <w:rStyle w:val="FootnoteReference"/>
          <w:rFonts w:ascii="Times New Roman" w:hAnsi="Times New Roman" w:cs="Times New Roman"/>
        </w:rPr>
        <w:footnoteRef/>
      </w:r>
      <w:r w:rsidRPr="00717BD6">
        <w:rPr>
          <w:rFonts w:ascii="Times New Roman" w:hAnsi="Times New Roman" w:cs="Times New Roman"/>
        </w:rPr>
        <w:t xml:space="preserve"> </w:t>
      </w:r>
      <w:r w:rsidRPr="00717BD6">
        <w:rPr>
          <w:rFonts w:ascii="Times New Roman" w:hAnsi="Times New Roman" w:cs="Times New Roman"/>
          <w:lang w:val="en-GB"/>
        </w:rPr>
        <w:t>An explanation of how these conditional probabilities are calculated is provided in Buckle and Carlson (2000a).</w:t>
      </w:r>
    </w:p>
  </w:footnote>
  <w:footnote w:id="28">
    <w:p w14:paraId="1E2E19A1" w14:textId="63C42893" w:rsidR="00307155" w:rsidRPr="00717BD6" w:rsidRDefault="00307155" w:rsidP="009C11DA">
      <w:pPr>
        <w:pStyle w:val="FootnoteText"/>
        <w:ind w:firstLine="0"/>
        <w:rPr>
          <w:rFonts w:ascii="Times New Roman" w:hAnsi="Times New Roman" w:cs="Times New Roman"/>
          <w:lang w:val="en-GB"/>
        </w:rPr>
      </w:pPr>
      <w:r w:rsidRPr="00717BD6">
        <w:rPr>
          <w:rStyle w:val="FootnoteReference"/>
          <w:rFonts w:ascii="Times New Roman" w:hAnsi="Times New Roman" w:cs="Times New Roman"/>
        </w:rPr>
        <w:footnoteRef/>
      </w:r>
      <w:r w:rsidRPr="00717BD6">
        <w:rPr>
          <w:rFonts w:ascii="Times New Roman" w:hAnsi="Times New Roman" w:cs="Times New Roman"/>
        </w:rPr>
        <w:t xml:space="preserve"> </w:t>
      </w:r>
      <w:r w:rsidRPr="00717BD6">
        <w:rPr>
          <w:rFonts w:ascii="Times New Roman" w:hAnsi="Times New Roman" w:cs="Times New Roman"/>
          <w:shd w:val="clear" w:color="auto" w:fill="FFFFFF" w:themeFill="background1"/>
        </w:rPr>
        <w:t>The statistical significance of the size of change i</w:t>
      </w:r>
      <w:r w:rsidRPr="00717BD6">
        <w:rPr>
          <w:rFonts w:ascii="Times New Roman" w:eastAsia="Times New Roman" w:hAnsi="Times New Roman" w:cs="Times New Roman"/>
          <w:color w:val="auto"/>
          <w:kern w:val="0"/>
          <w14:ligatures w14:val="none"/>
        </w:rPr>
        <w:t>n the estimated conditional probability of a price change between Pre- and Post-2011Q2 (and for alternative breakpoints) is evaluated by applying the Delta method (see Wool</w:t>
      </w:r>
      <w:r w:rsidR="002F030E" w:rsidRPr="00717BD6">
        <w:rPr>
          <w:rFonts w:ascii="Times New Roman" w:eastAsia="Times New Roman" w:hAnsi="Times New Roman" w:cs="Times New Roman"/>
          <w:color w:val="auto"/>
          <w:kern w:val="0"/>
          <w14:ligatures w14:val="none"/>
        </w:rPr>
        <w:t>d</w:t>
      </w:r>
      <w:r w:rsidRPr="00717BD6">
        <w:rPr>
          <w:rFonts w:ascii="Times New Roman" w:eastAsia="Times New Roman" w:hAnsi="Times New Roman" w:cs="Times New Roman"/>
          <w:color w:val="auto"/>
          <w:kern w:val="0"/>
          <w14:ligatures w14:val="none"/>
        </w:rPr>
        <w:t>ridge, 2010) using the “margins” command in Stata.</w:t>
      </w:r>
    </w:p>
  </w:footnote>
  <w:footnote w:id="29">
    <w:p w14:paraId="6999EDAF" w14:textId="77777777" w:rsidR="00307155" w:rsidRPr="00717BD6" w:rsidRDefault="00307155" w:rsidP="00307155">
      <w:pPr>
        <w:pStyle w:val="FootnoteText"/>
        <w:ind w:firstLine="0"/>
        <w:rPr>
          <w:rFonts w:ascii="Times New Roman" w:hAnsi="Times New Roman" w:cs="Times New Roman"/>
          <w:color w:val="auto"/>
          <w:u w:val="single"/>
        </w:rPr>
      </w:pPr>
      <w:r w:rsidRPr="00717BD6">
        <w:rPr>
          <w:rStyle w:val="FootnoteReference"/>
          <w:rFonts w:ascii="Times New Roman" w:hAnsi="Times New Roman" w:cs="Times New Roman"/>
          <w:color w:val="auto"/>
        </w:rPr>
        <w:footnoteRef/>
      </w:r>
      <w:r w:rsidRPr="00717BD6">
        <w:rPr>
          <w:rFonts w:ascii="Times New Roman" w:hAnsi="Times New Roman" w:cs="Times New Roman"/>
          <w:color w:val="auto"/>
        </w:rPr>
        <w:t xml:space="preserve">A time series of annual usage is available from: </w:t>
      </w:r>
      <w:hyperlink r:id="rId1" w:history="1">
        <w:r w:rsidRPr="00717BD6">
          <w:rPr>
            <w:rStyle w:val="Hyperlink"/>
            <w:rFonts w:ascii="Times New Roman" w:hAnsi="Times New Roman" w:cs="Times New Roman"/>
            <w:color w:val="auto"/>
          </w:rPr>
          <w:t>Internet users for New Zealand (ITNETUSERP2NZL) | FRED | St. Louis Fed</w:t>
        </w:r>
      </w:hyperlink>
      <w:hyperlink r:id="rId2">
        <w:r w:rsidRPr="00717BD6">
          <w:rPr>
            <w:rFonts w:ascii="Times New Roman" w:hAnsi="Times New Roman" w:cs="Times New Roman"/>
            <w:color w:val="auto"/>
          </w:rPr>
          <w:t>.</w:t>
        </w:r>
      </w:hyperlink>
    </w:p>
  </w:footnote>
  <w:footnote w:id="30">
    <w:p w14:paraId="51403541" w14:textId="55CC56CF" w:rsidR="00307155" w:rsidRPr="00717BD6" w:rsidRDefault="00307155" w:rsidP="00307155">
      <w:pPr>
        <w:pStyle w:val="FootnoteText"/>
        <w:ind w:firstLine="0"/>
        <w:rPr>
          <w:rFonts w:ascii="Times New Roman" w:hAnsi="Times New Roman" w:cs="Times New Roman"/>
          <w:lang w:val="en-GB"/>
        </w:rPr>
      </w:pPr>
      <w:r w:rsidRPr="00717BD6">
        <w:rPr>
          <w:rStyle w:val="FootnoteReference"/>
          <w:rFonts w:ascii="Times New Roman" w:hAnsi="Times New Roman" w:cs="Times New Roman"/>
        </w:rPr>
        <w:footnoteRef/>
      </w:r>
      <w:r w:rsidRPr="00717BD6">
        <w:rPr>
          <w:rFonts w:ascii="Times New Roman" w:hAnsi="Times New Roman" w:cs="Times New Roman"/>
        </w:rPr>
        <w:t xml:space="preserve"> These percentages are the authors’ calculations based on the Business Operations Survey data provided by the Statistics New Zealand’s </w:t>
      </w:r>
      <w:proofErr w:type="spellStart"/>
      <w:r w:rsidRPr="00717BD6">
        <w:rPr>
          <w:rFonts w:ascii="Times New Roman" w:hAnsi="Times New Roman" w:cs="Times New Roman"/>
          <w:i/>
          <w:iCs/>
        </w:rPr>
        <w:t>Infoshare</w:t>
      </w:r>
      <w:proofErr w:type="spellEnd"/>
      <w:r w:rsidRPr="00717BD6">
        <w:rPr>
          <w:rFonts w:ascii="Times New Roman" w:hAnsi="Times New Roman" w:cs="Times New Roman"/>
        </w:rPr>
        <w:t>. Small firms are defined here by those with 6 to 19 employees. An increase in web presence is also observed for larger firms, though for firms with more than 50 employees the percentage</w:t>
      </w:r>
      <w:r w:rsidR="003E4271" w:rsidRPr="00717BD6">
        <w:rPr>
          <w:rFonts w:ascii="Times New Roman" w:hAnsi="Times New Roman" w:cs="Times New Roman"/>
        </w:rPr>
        <w:t xml:space="preserve"> point</w:t>
      </w:r>
      <w:r w:rsidRPr="00717BD6">
        <w:rPr>
          <w:rFonts w:ascii="Times New Roman" w:hAnsi="Times New Roman" w:cs="Times New Roman"/>
        </w:rPr>
        <w:t xml:space="preserve"> increase is smaller because they had a proportionally higher rate of web presence in 2008.  </w:t>
      </w:r>
    </w:p>
  </w:footnote>
  <w:footnote w:id="31">
    <w:p w14:paraId="2747E0EC" w14:textId="77777777" w:rsidR="00307155" w:rsidRPr="00717BD6" w:rsidRDefault="00307155" w:rsidP="00307155">
      <w:pPr>
        <w:pStyle w:val="pf0"/>
        <w:spacing w:before="0" w:beforeAutospacing="0" w:after="0" w:afterAutospacing="0"/>
        <w:jc w:val="both"/>
        <w:rPr>
          <w:sz w:val="20"/>
          <w:szCs w:val="20"/>
        </w:rPr>
      </w:pPr>
      <w:r w:rsidRPr="00717BD6">
        <w:rPr>
          <w:rStyle w:val="FootnoteReference"/>
          <w:rFonts w:eastAsiaTheme="majorEastAsia"/>
          <w:sz w:val="20"/>
          <w:szCs w:val="20"/>
        </w:rPr>
        <w:footnoteRef/>
      </w:r>
      <w:r w:rsidRPr="00717BD6">
        <w:rPr>
          <w:sz w:val="20"/>
          <w:szCs w:val="20"/>
        </w:rPr>
        <w:t xml:space="preserve"> For example, Nakamura </w:t>
      </w:r>
      <w:r w:rsidRPr="00717BD6">
        <w:rPr>
          <w:i/>
          <w:iCs/>
          <w:sz w:val="20"/>
          <w:szCs w:val="20"/>
        </w:rPr>
        <w:t>et al</w:t>
      </w:r>
      <w:r w:rsidRPr="00717BD6">
        <w:rPr>
          <w:sz w:val="20"/>
          <w:szCs w:val="20"/>
        </w:rPr>
        <w:t xml:space="preserve">. [2018] comment: “Given all of the technological advancement that has occurred over the past half-century, it seems natural to conjecture that some of the costs of changing prices may have fallen, allowing prices to become more flexible.” (p. 1969) </w:t>
      </w:r>
    </w:p>
    <w:p w14:paraId="0B8C7D34" w14:textId="77777777" w:rsidR="00307155" w:rsidRPr="00266A31" w:rsidRDefault="00307155" w:rsidP="00307155">
      <w:pPr>
        <w:pStyle w:val="FootnoteText"/>
        <w:rPr>
          <w:lang w:val="en-GB"/>
        </w:rPr>
      </w:pPr>
    </w:p>
  </w:footnote>
  <w:footnote w:id="32">
    <w:p w14:paraId="27ABE199" w14:textId="77777777" w:rsidR="00307155" w:rsidRPr="00717BD6" w:rsidRDefault="00307155" w:rsidP="00307155">
      <w:pPr>
        <w:pStyle w:val="FootnoteText"/>
        <w:ind w:firstLine="0"/>
        <w:rPr>
          <w:rFonts w:ascii="Times New Roman" w:hAnsi="Times New Roman" w:cs="Times New Roman"/>
          <w:color w:val="auto"/>
          <w:lang w:val="en-GB"/>
        </w:rPr>
      </w:pPr>
      <w:r w:rsidRPr="00717BD6">
        <w:rPr>
          <w:rStyle w:val="FootnoteReference"/>
          <w:rFonts w:ascii="Times New Roman" w:hAnsi="Times New Roman" w:cs="Times New Roman"/>
        </w:rPr>
        <w:footnoteRef/>
      </w:r>
      <w:r w:rsidRPr="00717BD6">
        <w:rPr>
          <w:rFonts w:ascii="Times New Roman" w:hAnsi="Times New Roman" w:cs="Times New Roman"/>
        </w:rPr>
        <w:t xml:space="preserve"> The Statistics New Zealand data are from the 2022 Business </w:t>
      </w:r>
      <w:r w:rsidRPr="00717BD6">
        <w:rPr>
          <w:rFonts w:ascii="Times New Roman" w:hAnsi="Times New Roman" w:cs="Times New Roman"/>
          <w:color w:val="auto"/>
        </w:rPr>
        <w:t xml:space="preserve">Operations Survey: </w:t>
      </w:r>
      <w:hyperlink r:id="rId3" w:history="1">
        <w:r w:rsidRPr="00717BD6">
          <w:rPr>
            <w:rStyle w:val="Hyperlink"/>
            <w:rFonts w:ascii="Times New Roman" w:hAnsi="Times New Roman" w:cs="Times New Roman"/>
            <w:color w:val="auto"/>
          </w:rPr>
          <w:t>https://www.stats.govt.nz/information-releases/business-operations-survey-2022</w:t>
        </w:r>
      </w:hyperlink>
      <w:r w:rsidRPr="00717BD6">
        <w:rPr>
          <w:rFonts w:ascii="Times New Roman" w:hAnsi="Times New Roman" w:cs="Times New Roman"/>
          <w:color w:val="auto"/>
        </w:rPr>
        <w:t xml:space="preserve"> </w:t>
      </w:r>
    </w:p>
  </w:footnote>
  <w:footnote w:id="33">
    <w:p w14:paraId="2F91C219" w14:textId="77777777" w:rsidR="00307155" w:rsidRPr="00717BD6" w:rsidRDefault="00307155" w:rsidP="00307155">
      <w:pPr>
        <w:pStyle w:val="FootnoteText"/>
        <w:ind w:firstLine="0"/>
        <w:rPr>
          <w:rFonts w:ascii="Times New Roman" w:hAnsi="Times New Roman" w:cs="Times New Roman"/>
          <w:lang w:val="en-GB"/>
        </w:rPr>
      </w:pPr>
      <w:r w:rsidRPr="00717BD6">
        <w:rPr>
          <w:rStyle w:val="FootnoteReference"/>
          <w:rFonts w:ascii="Times New Roman" w:hAnsi="Times New Roman" w:cs="Times New Roman"/>
        </w:rPr>
        <w:footnoteRef/>
      </w:r>
      <w:r w:rsidRPr="00717BD6">
        <w:rPr>
          <w:rFonts w:ascii="Times New Roman" w:hAnsi="Times New Roman" w:cs="Times New Roman"/>
        </w:rPr>
        <w:t xml:space="preserve"> An exception for Builders is evident in the </w:t>
      </w:r>
      <w:proofErr w:type="gramStart"/>
      <w:r w:rsidRPr="00717BD6">
        <w:rPr>
          <w:rFonts w:ascii="Times New Roman" w:hAnsi="Times New Roman" w:cs="Times New Roman"/>
        </w:rPr>
        <w:t>Pre-2011Q2</w:t>
      </w:r>
      <w:proofErr w:type="gramEnd"/>
      <w:r w:rsidRPr="00717BD6">
        <w:rPr>
          <w:rFonts w:ascii="Times New Roman" w:hAnsi="Times New Roman" w:cs="Times New Roman"/>
        </w:rPr>
        <w:t xml:space="preserve"> period for demand increases, where the conditional probability of a price increase for Builders is </w:t>
      </w:r>
      <w:proofErr w:type="gramStart"/>
      <w:r w:rsidRPr="00717BD6">
        <w:rPr>
          <w:rFonts w:ascii="Times New Roman" w:hAnsi="Times New Roman" w:cs="Times New Roman"/>
        </w:rPr>
        <w:t>similar to</w:t>
      </w:r>
      <w:proofErr w:type="gramEnd"/>
      <w:r w:rsidRPr="00717BD6">
        <w:rPr>
          <w:rFonts w:ascii="Times New Roman" w:hAnsi="Times New Roman" w:cs="Times New Roman"/>
        </w:rPr>
        <w:t xml:space="preserve"> that for Merchant and Service firms. </w:t>
      </w:r>
    </w:p>
  </w:footnote>
  <w:footnote w:id="34">
    <w:p w14:paraId="09BB3DB8" w14:textId="77777777" w:rsidR="007B374F" w:rsidRPr="00717BD6" w:rsidRDefault="007B374F" w:rsidP="007B374F">
      <w:pPr>
        <w:pStyle w:val="FootnoteText"/>
        <w:ind w:firstLine="0"/>
        <w:rPr>
          <w:rFonts w:ascii="Times New Roman" w:hAnsi="Times New Roman" w:cs="Times New Roman"/>
          <w:lang w:val="en-GB"/>
        </w:rPr>
      </w:pPr>
      <w:r w:rsidRPr="00717BD6">
        <w:rPr>
          <w:rStyle w:val="FootnoteReference"/>
          <w:rFonts w:ascii="Times New Roman" w:hAnsi="Times New Roman" w:cs="Times New Roman"/>
        </w:rPr>
        <w:footnoteRef/>
      </w:r>
      <w:r w:rsidRPr="00717BD6">
        <w:rPr>
          <w:rFonts w:ascii="Times New Roman" w:hAnsi="Times New Roman" w:cs="Times New Roman"/>
        </w:rPr>
        <w:t xml:space="preserve"> This result is </w:t>
      </w:r>
      <w:proofErr w:type="gramStart"/>
      <w:r w:rsidRPr="00717BD6">
        <w:rPr>
          <w:rFonts w:ascii="Times New Roman" w:hAnsi="Times New Roman" w:cs="Times New Roman"/>
        </w:rPr>
        <w:t>similar to</w:t>
      </w:r>
      <w:proofErr w:type="gramEnd"/>
      <w:r w:rsidRPr="00717BD6">
        <w:rPr>
          <w:rFonts w:ascii="Times New Roman" w:hAnsi="Times New Roman" w:cs="Times New Roman"/>
        </w:rPr>
        <w:t xml:space="preserve"> Gagnon’s (2009) finding for services prices in Mexico between 1994 and 2002. He concluded “services price decreases are much less frequent than price increases, especially when inflation is high.” (p 1242). </w:t>
      </w:r>
    </w:p>
  </w:footnote>
  <w:footnote w:id="35">
    <w:p w14:paraId="4E313488" w14:textId="722DF05B" w:rsidR="00307155" w:rsidRPr="00717BD6" w:rsidRDefault="00307155" w:rsidP="00307155">
      <w:pPr>
        <w:pStyle w:val="FootnoteText"/>
        <w:ind w:firstLine="0"/>
        <w:rPr>
          <w:rFonts w:ascii="Times New Roman" w:hAnsi="Times New Roman" w:cs="Times New Roman"/>
        </w:rPr>
      </w:pPr>
      <w:r w:rsidRPr="00717BD6">
        <w:rPr>
          <w:rStyle w:val="FootnoteReference"/>
          <w:rFonts w:ascii="Times New Roman" w:hAnsi="Times New Roman" w:cs="Times New Roman"/>
        </w:rPr>
        <w:footnoteRef/>
      </w:r>
      <w:r w:rsidRPr="00717BD6">
        <w:rPr>
          <w:rFonts w:ascii="Times New Roman" w:hAnsi="Times New Roman" w:cs="Times New Roman"/>
        </w:rPr>
        <w:t xml:space="preserve"> T</w:t>
      </w:r>
      <w:r w:rsidRPr="00717BD6">
        <w:rPr>
          <w:rFonts w:ascii="Times New Roman" w:hAnsi="Times New Roman" w:cs="Times New Roman"/>
          <w:color w:val="auto"/>
        </w:rPr>
        <w:t xml:space="preserve">he </w:t>
      </w:r>
      <w:r w:rsidR="00126BC4" w:rsidRPr="00717BD6">
        <w:rPr>
          <w:rFonts w:ascii="Times New Roman" w:hAnsi="Times New Roman" w:cs="Times New Roman"/>
        </w:rPr>
        <w:t xml:space="preserve">low </w:t>
      </w:r>
      <w:r w:rsidRPr="00717BD6">
        <w:rPr>
          <w:rFonts w:ascii="Times New Roman" w:hAnsi="Times New Roman" w:cs="Times New Roman"/>
        </w:rPr>
        <w:t xml:space="preserve">count of large building firms in our sample means </w:t>
      </w:r>
      <w:r w:rsidR="00CF29CB" w:rsidRPr="00717BD6">
        <w:rPr>
          <w:rFonts w:ascii="Times New Roman" w:hAnsi="Times New Roman" w:cs="Times New Roman"/>
        </w:rPr>
        <w:t xml:space="preserve">it is not appropriate to </w:t>
      </w:r>
      <w:r w:rsidRPr="00717BD6">
        <w:rPr>
          <w:rFonts w:ascii="Times New Roman" w:hAnsi="Times New Roman" w:cs="Times New Roman"/>
        </w:rPr>
        <w:t>do the size analysis for firms in the building sector. Hence, both Figure</w:t>
      </w:r>
      <w:r w:rsidR="0049052B" w:rsidRPr="00717BD6">
        <w:rPr>
          <w:rFonts w:ascii="Times New Roman" w:hAnsi="Times New Roman" w:cs="Times New Roman"/>
        </w:rPr>
        <w:t xml:space="preserve"> 4 </w:t>
      </w:r>
      <w:r w:rsidRPr="00717BD6">
        <w:rPr>
          <w:rFonts w:ascii="Times New Roman" w:hAnsi="Times New Roman" w:cs="Times New Roman"/>
        </w:rPr>
        <w:t>exclude</w:t>
      </w:r>
      <w:r w:rsidR="0049052B" w:rsidRPr="00717BD6">
        <w:rPr>
          <w:rFonts w:ascii="Times New Roman" w:hAnsi="Times New Roman" w:cs="Times New Roman"/>
        </w:rPr>
        <w:t>s</w:t>
      </w:r>
      <w:r w:rsidRPr="00717BD6">
        <w:rPr>
          <w:rFonts w:ascii="Times New Roman" w:hAnsi="Times New Roman" w:cs="Times New Roman"/>
        </w:rPr>
        <w:t xml:space="preserve"> Building sector firms.</w:t>
      </w:r>
    </w:p>
  </w:footnote>
  <w:footnote w:id="36">
    <w:p w14:paraId="50B12D08" w14:textId="145202FC" w:rsidR="0005435E" w:rsidRDefault="0005435E" w:rsidP="00541970">
      <w:pPr>
        <w:pStyle w:val="FootnoteText"/>
        <w:ind w:right="0" w:firstLine="0"/>
      </w:pPr>
      <w:r w:rsidRPr="00717BD6">
        <w:rPr>
          <w:rStyle w:val="FootnoteReference"/>
          <w:rFonts w:ascii="Times New Roman" w:hAnsi="Times New Roman" w:cs="Times New Roman"/>
        </w:rPr>
        <w:footnoteRef/>
      </w:r>
      <w:r w:rsidRPr="00717BD6">
        <w:rPr>
          <w:rFonts w:ascii="Times New Roman" w:hAnsi="Times New Roman" w:cs="Times New Roman"/>
        </w:rPr>
        <w:t xml:space="preserve"> </w:t>
      </w:r>
      <w:r w:rsidR="00C656C3" w:rsidRPr="00717BD6">
        <w:rPr>
          <w:rFonts w:ascii="Times New Roman" w:hAnsi="Times New Roman" w:cs="Times New Roman"/>
        </w:rPr>
        <w:t>In the presence of fixed cost</w:t>
      </w:r>
      <w:r w:rsidR="009A65CC" w:rsidRPr="00717BD6">
        <w:rPr>
          <w:rFonts w:ascii="Times New Roman" w:hAnsi="Times New Roman" w:cs="Times New Roman"/>
        </w:rPr>
        <w:t>s</w:t>
      </w:r>
      <w:r w:rsidR="00C656C3" w:rsidRPr="00717BD6">
        <w:rPr>
          <w:rFonts w:ascii="Times New Roman" w:hAnsi="Times New Roman" w:cs="Times New Roman"/>
        </w:rPr>
        <w:t xml:space="preserve"> for price review and </w:t>
      </w:r>
      <w:r w:rsidR="009A65CC" w:rsidRPr="00717BD6">
        <w:rPr>
          <w:rFonts w:ascii="Times New Roman" w:hAnsi="Times New Roman" w:cs="Times New Roman"/>
        </w:rPr>
        <w:t xml:space="preserve">menu costs, the prices </w:t>
      </w:r>
      <w:r w:rsidR="00CF29CB" w:rsidRPr="00717BD6">
        <w:rPr>
          <w:rFonts w:ascii="Times New Roman" w:hAnsi="Times New Roman" w:cs="Times New Roman"/>
        </w:rPr>
        <w:t>posted by</w:t>
      </w:r>
      <w:r w:rsidR="009A65CC" w:rsidRPr="00717BD6">
        <w:rPr>
          <w:rFonts w:ascii="Times New Roman" w:hAnsi="Times New Roman" w:cs="Times New Roman"/>
        </w:rPr>
        <w:t xml:space="preserve"> smaller firms will still be less sensitive</w:t>
      </w:r>
      <w:r w:rsidR="00126BC4" w:rsidRPr="00717BD6">
        <w:rPr>
          <w:rFonts w:ascii="Times New Roman" w:hAnsi="Times New Roman" w:cs="Times New Roman"/>
        </w:rPr>
        <w:t xml:space="preserve"> to cost and demand pressures</w:t>
      </w:r>
      <w:r w:rsidR="009A65CC" w:rsidRPr="00717BD6">
        <w:rPr>
          <w:rFonts w:ascii="Times New Roman" w:hAnsi="Times New Roman" w:cs="Times New Roman"/>
        </w:rPr>
        <w:t xml:space="preserve"> in absolute terms.</w:t>
      </w:r>
    </w:p>
  </w:footnote>
  <w:footnote w:id="37">
    <w:p w14:paraId="50B9270A" w14:textId="77777777" w:rsidR="00307155" w:rsidRPr="00717BD6" w:rsidRDefault="00307155" w:rsidP="00307155">
      <w:pPr>
        <w:pStyle w:val="FootnoteText"/>
        <w:ind w:firstLine="0"/>
        <w:rPr>
          <w:rFonts w:ascii="Times New Roman" w:hAnsi="Times New Roman" w:cs="Times New Roman"/>
        </w:rPr>
      </w:pPr>
      <w:r w:rsidRPr="00717BD6">
        <w:rPr>
          <w:rStyle w:val="FootnoteReference"/>
          <w:rFonts w:ascii="Times New Roman" w:hAnsi="Times New Roman" w:cs="Times New Roman"/>
        </w:rPr>
        <w:footnoteRef/>
      </w:r>
      <w:r w:rsidRPr="00717BD6">
        <w:rPr>
          <w:rFonts w:ascii="Times New Roman" w:hAnsi="Times New Roman" w:cs="Times New Roman"/>
        </w:rPr>
        <w:t>Based on unemployment data from the Data1850 data source (</w:t>
      </w:r>
      <w:hyperlink r:id="rId4" w:history="1">
        <w:r w:rsidRPr="00717BD6">
          <w:rPr>
            <w:rStyle w:val="Hyperlink"/>
            <w:rFonts w:ascii="Times New Roman" w:hAnsi="Times New Roman" w:cs="Times New Roman"/>
          </w:rPr>
          <w:t>https://www.nzier.org.nz/data-1850</w:t>
        </w:r>
      </w:hyperlink>
      <w:r w:rsidRPr="00717BD6">
        <w:rPr>
          <w:rFonts w:ascii="Times New Roman" w:hAnsi="Times New Roman" w:cs="Times New Roman"/>
        </w:rPr>
        <w:t>), the mean unemployment rate is comparable before and after 2011Q2 in our sample period (4.0 and 4.8 per cent, respectively).</w:t>
      </w:r>
    </w:p>
  </w:footnote>
  <w:footnote w:id="38">
    <w:p w14:paraId="6A1B781B" w14:textId="29493E5D" w:rsidR="00307155" w:rsidRDefault="00307155" w:rsidP="00307155">
      <w:pPr>
        <w:pStyle w:val="FootnoteText"/>
        <w:ind w:firstLine="0"/>
      </w:pPr>
      <w:r w:rsidRPr="00717BD6">
        <w:rPr>
          <w:rStyle w:val="FootnoteReference"/>
          <w:rFonts w:ascii="Times New Roman" w:hAnsi="Times New Roman" w:cs="Times New Roman"/>
        </w:rPr>
        <w:footnoteRef/>
      </w:r>
      <w:r w:rsidRPr="00717BD6">
        <w:rPr>
          <w:rFonts w:ascii="Times New Roman" w:hAnsi="Times New Roman" w:cs="Times New Roman"/>
        </w:rPr>
        <w:t xml:space="preserve"> The data are sourced from Statistics New Zealand’s Household Labour Force Survey via </w:t>
      </w:r>
      <w:proofErr w:type="spellStart"/>
      <w:r w:rsidRPr="00717BD6">
        <w:rPr>
          <w:rFonts w:ascii="Times New Roman" w:hAnsi="Times New Roman" w:cs="Times New Roman"/>
        </w:rPr>
        <w:t>Infoshare</w:t>
      </w:r>
      <w:proofErr w:type="spellEnd"/>
      <w:r w:rsidRPr="00717BD6">
        <w:rPr>
          <w:rFonts w:ascii="Times New Roman" w:hAnsi="Times New Roman" w:cs="Times New Roman"/>
        </w:rPr>
        <w:t>.</w:t>
      </w:r>
      <w:r w:rsidR="007207BE" w:rsidRPr="00717BD6">
        <w:rPr>
          <w:rFonts w:ascii="Times New Roman" w:hAnsi="Times New Roman" w:cs="Times New Roman"/>
        </w:rPr>
        <w:t xml:space="preserve"> </w:t>
      </w:r>
      <w:r w:rsidRPr="00717BD6">
        <w:rPr>
          <w:rFonts w:ascii="Times New Roman" w:hAnsi="Times New Roman" w:cs="Times New Roman"/>
        </w:rPr>
        <w:t>The figures presented are arithmetic averages across the participation rates reported for 25-29, 30-34,35-39,40-44 and 45-49 age groups for each gender. This is reported for 1986 as it is the first year Statistics New Zealand report</w:t>
      </w:r>
      <w:r w:rsidR="004033A0" w:rsidRPr="00717BD6">
        <w:rPr>
          <w:rFonts w:ascii="Times New Roman" w:hAnsi="Times New Roman" w:cs="Times New Roman"/>
        </w:rPr>
        <w:t xml:space="preserve"> age</w:t>
      </w:r>
      <w:r w:rsidRPr="00717BD6">
        <w:rPr>
          <w:rFonts w:ascii="Times New Roman" w:hAnsi="Times New Roman" w:cs="Times New Roman"/>
        </w:rPr>
        <w:t xml:space="preserve"> disaggregated data for participation rates.</w:t>
      </w:r>
    </w:p>
  </w:footnote>
  <w:footnote w:id="39">
    <w:p w14:paraId="381F4DD3" w14:textId="3C70FA19" w:rsidR="002F030E" w:rsidRPr="00717BD6" w:rsidRDefault="002F030E" w:rsidP="002F030E">
      <w:pPr>
        <w:pStyle w:val="FootnoteText"/>
        <w:ind w:firstLine="0"/>
        <w:rPr>
          <w:rFonts w:ascii="Times New Roman" w:hAnsi="Times New Roman" w:cs="Times New Roman"/>
          <w:lang w:val="en-GB"/>
        </w:rPr>
      </w:pPr>
      <w:r w:rsidRPr="00717BD6">
        <w:rPr>
          <w:rStyle w:val="FootnoteReference"/>
          <w:rFonts w:ascii="Times New Roman" w:hAnsi="Times New Roman" w:cs="Times New Roman"/>
        </w:rPr>
        <w:footnoteRef/>
      </w:r>
      <w:r w:rsidRPr="00717BD6">
        <w:rPr>
          <w:rFonts w:ascii="Times New Roman" w:hAnsi="Times New Roman" w:cs="Times New Roman"/>
        </w:rPr>
        <w:t xml:space="preserve"> The QSBO questionnaire explained in Section 3 also asks firms to report their experience during the past three months concerning changes in profitability. This question was first included in 1969Q1 and has been included regularly since that date. </w:t>
      </w:r>
    </w:p>
  </w:footnote>
  <w:footnote w:id="40">
    <w:p w14:paraId="0E6B656E" w14:textId="2094FA30" w:rsidR="00FD26EA" w:rsidRPr="00717BD6" w:rsidRDefault="00FD26EA" w:rsidP="0008355B">
      <w:pPr>
        <w:pStyle w:val="FootnoteText"/>
        <w:ind w:firstLine="0"/>
        <w:rPr>
          <w:rFonts w:ascii="Times New Roman" w:hAnsi="Times New Roman" w:cs="Times New Roman"/>
          <w:lang w:val="en-GB"/>
        </w:rPr>
      </w:pPr>
      <w:r w:rsidRPr="00717BD6">
        <w:rPr>
          <w:rStyle w:val="FootnoteReference"/>
          <w:rFonts w:ascii="Times New Roman" w:hAnsi="Times New Roman" w:cs="Times New Roman"/>
        </w:rPr>
        <w:footnoteRef/>
      </w:r>
      <w:r w:rsidRPr="00717BD6">
        <w:rPr>
          <w:rFonts w:ascii="Times New Roman" w:hAnsi="Times New Roman" w:cs="Times New Roman"/>
        </w:rPr>
        <w:t xml:space="preserve"> The inattention and confusion channels posited here are likely enhanced by technology. Abrardi</w:t>
      </w:r>
      <w:r w:rsidR="00EF6564" w:rsidRPr="00717BD6">
        <w:rPr>
          <w:rFonts w:ascii="Times New Roman" w:hAnsi="Times New Roman" w:cs="Times New Roman"/>
        </w:rPr>
        <w:t>,</w:t>
      </w:r>
      <w:r w:rsidRPr="00717BD6">
        <w:rPr>
          <w:rFonts w:ascii="Times New Roman" w:hAnsi="Times New Roman" w:cs="Times New Roman"/>
        </w:rPr>
        <w:t xml:space="preserve"> </w:t>
      </w:r>
      <w:r w:rsidRPr="00717BD6">
        <w:rPr>
          <w:rFonts w:ascii="Times New Roman" w:hAnsi="Times New Roman" w:cs="Times New Roman"/>
          <w:i/>
          <w:iCs/>
        </w:rPr>
        <w:t>et al.</w:t>
      </w:r>
      <w:r w:rsidRPr="00717BD6">
        <w:rPr>
          <w:rFonts w:ascii="Times New Roman" w:hAnsi="Times New Roman" w:cs="Times New Roman"/>
        </w:rPr>
        <w:t xml:space="preserve"> (2021) note dynamic pricing means consumers face constant price fluctuations. More generally, technology allows the implementation </w:t>
      </w:r>
      <w:r w:rsidR="00EF6564" w:rsidRPr="00717BD6">
        <w:rPr>
          <w:rFonts w:ascii="Times New Roman" w:hAnsi="Times New Roman" w:cs="Times New Roman"/>
        </w:rPr>
        <w:t xml:space="preserve">of </w:t>
      </w:r>
      <w:r w:rsidRPr="00717BD6">
        <w:rPr>
          <w:rFonts w:ascii="Times New Roman" w:hAnsi="Times New Roman" w:cs="Times New Roman"/>
        </w:rPr>
        <w:t>more complex pricing strategies which make it harder for customers to isolate and respond to relative price movements.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33C75" w14:textId="10F85BCD" w:rsidR="00616E69" w:rsidRDefault="00616E69">
    <w:pPr>
      <w:pStyle w:val="Header"/>
    </w:pPr>
    <w:r>
      <w:rPr>
        <w:noProof/>
      </w:rPr>
      <mc:AlternateContent>
        <mc:Choice Requires="wps">
          <w:drawing>
            <wp:anchor distT="0" distB="0" distL="0" distR="0" simplePos="0" relativeHeight="251659264" behindDoc="0" locked="0" layoutInCell="1" allowOverlap="1" wp14:anchorId="22E680DF" wp14:editId="4200D8FD">
              <wp:simplePos x="635" y="635"/>
              <wp:positionH relativeFrom="page">
                <wp:align>center</wp:align>
              </wp:positionH>
              <wp:positionV relativeFrom="page">
                <wp:align>top</wp:align>
              </wp:positionV>
              <wp:extent cx="1033145" cy="403860"/>
              <wp:effectExtent l="0" t="0" r="14605" b="15240"/>
              <wp:wrapNone/>
              <wp:docPr id="189099032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53913A5D" w14:textId="0578EA3D" w:rsidR="00616E69" w:rsidRPr="00616E69" w:rsidRDefault="00616E69" w:rsidP="00616E69">
                          <w:pPr>
                            <w:spacing w:after="0"/>
                            <w:rPr>
                              <w:noProof/>
                              <w:szCs w:val="20"/>
                            </w:rPr>
                          </w:pPr>
                          <w:r w:rsidRPr="00616E69">
                            <w:rPr>
                              <w:noProof/>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E680DF" id="_x0000_t202" coordsize="21600,21600" o:spt="202" path="m,l,21600r21600,l21600,xe">
              <v:stroke joinstyle="miter"/>
              <v:path gradientshapeok="t" o:connecttype="rect"/>
            </v:shapetype>
            <v:shape id="Text Box 2" o:spid="_x0000_s1026" type="#_x0000_t202" alt="UNCLASSIFIED" style="position:absolute;left:0;text-align:left;margin-left:0;margin-top:0;width:81.35pt;height:31.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" filled="f" stroked="f">
              <v:textbox style="mso-fit-shape-to-text:t" inset="0,15pt,0,0">
                <w:txbxContent>
                  <w:p w14:paraId="53913A5D" w14:textId="0578EA3D" w:rsidR="00616E69" w:rsidRPr="00616E69" w:rsidRDefault="00616E69" w:rsidP="00616E69">
                    <w:pPr>
                      <w:spacing w:after="0"/>
                      <w:rPr>
                        <w:noProof/>
                        <w:szCs w:val="20"/>
                      </w:rPr>
                    </w:pPr>
                    <w:r w:rsidRPr="00616E69">
                      <w:rPr>
                        <w:noProof/>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A4EC" w14:textId="21BEEEA1" w:rsidR="00307155" w:rsidRDefault="00616E69">
    <w:pPr>
      <w:pStyle w:val="Header"/>
      <w:jc w:val="right"/>
    </w:pPr>
    <w:r>
      <w:rPr>
        <w:noProof/>
      </w:rPr>
      <mc:AlternateContent>
        <mc:Choice Requires="wps">
          <w:drawing>
            <wp:anchor distT="0" distB="0" distL="0" distR="0" simplePos="0" relativeHeight="251660288" behindDoc="0" locked="0" layoutInCell="1" allowOverlap="1" wp14:anchorId="34D55282" wp14:editId="2BCBC30E">
              <wp:simplePos x="628650" y="457200"/>
              <wp:positionH relativeFrom="page">
                <wp:align>center</wp:align>
              </wp:positionH>
              <wp:positionV relativeFrom="page">
                <wp:align>top</wp:align>
              </wp:positionV>
              <wp:extent cx="1033145" cy="403860"/>
              <wp:effectExtent l="0" t="0" r="14605" b="15240"/>
              <wp:wrapNone/>
              <wp:docPr id="607713475"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02B15C9E" w14:textId="388E0AAE" w:rsidR="00616E69" w:rsidRPr="00616E69" w:rsidRDefault="00A94E4B" w:rsidP="00616E69">
                          <w:pPr>
                            <w:spacing w:after="0"/>
                            <w:rPr>
                              <w:noProof/>
                              <w:szCs w:val="20"/>
                            </w:rPr>
                          </w:pPr>
                          <w:r>
                            <w:rPr>
                              <w:noProof/>
                              <w:szCs w:val="20"/>
                            </w:rPr>
                            <w:t xml:space="preserve">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D55282" id="_x0000_t202" coordsize="21600,21600" o:spt="202" path="m,l,21600r21600,l21600,xe">
              <v:stroke joinstyle="miter"/>
              <v:path gradientshapeok="t" o:connecttype="rect"/>
            </v:shapetype>
            <v:shape id="Text Box 3" o:spid="_x0000_s1027" type="#_x0000_t202" alt="UNCLASSIFIED" style="position:absolute;left:0;text-align:left;margin-left:0;margin-top:0;width:81.35pt;height:31.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" filled="f" stroked="f">
              <v:textbox style="mso-fit-shape-to-text:t" inset="0,15pt,0,0">
                <w:txbxContent>
                  <w:p w14:paraId="02B15C9E" w14:textId="388E0AAE" w:rsidR="00616E69" w:rsidRPr="00616E69" w:rsidRDefault="00A94E4B" w:rsidP="00616E69">
                    <w:pPr>
                      <w:spacing w:after="0"/>
                      <w:rPr>
                        <w:noProof/>
                        <w:szCs w:val="20"/>
                      </w:rPr>
                    </w:pPr>
                    <w:r>
                      <w:rPr>
                        <w:noProof/>
                        <w:szCs w:val="20"/>
                      </w:rPr>
                      <w:t xml:space="preserve"> </w:t>
                    </w:r>
                  </w:p>
                </w:txbxContent>
              </v:textbox>
              <w10:wrap anchorx="page" anchory="page"/>
            </v:shape>
          </w:pict>
        </mc:Fallback>
      </mc:AlternateContent>
    </w:r>
    <w:sdt>
      <w:sdtPr>
        <w:id w:val="-1004656117"/>
        <w:docPartObj>
          <w:docPartGallery w:val="Page Numbers (Top of Page)"/>
          <w:docPartUnique/>
        </w:docPartObj>
      </w:sdtPr>
      <w:sdtEndPr>
        <w:rPr>
          <w:noProof/>
        </w:rPr>
      </w:sdtEndPr>
      <w:sdtContent>
        <w:r w:rsidR="00307155">
          <w:fldChar w:fldCharType="begin"/>
        </w:r>
        <w:r w:rsidR="00307155">
          <w:instrText xml:space="preserve"> PAGE   \* MERGEFORMAT </w:instrText>
        </w:r>
        <w:r w:rsidR="00307155">
          <w:fldChar w:fldCharType="separate"/>
        </w:r>
        <w:r w:rsidR="00307155">
          <w:rPr>
            <w:noProof/>
          </w:rPr>
          <w:t>2</w:t>
        </w:r>
        <w:r w:rsidR="00307155">
          <w:rPr>
            <w:noProof/>
          </w:rPr>
          <w:fldChar w:fldCharType="end"/>
        </w:r>
      </w:sdtContent>
    </w:sdt>
  </w:p>
  <w:p w14:paraId="23C0A882" w14:textId="77777777" w:rsidR="00307155" w:rsidRDefault="00307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F69E9" w14:textId="7C251678" w:rsidR="00616E69" w:rsidRDefault="00616E69">
    <w:pPr>
      <w:pStyle w:val="Header"/>
    </w:pPr>
    <w:r>
      <w:rPr>
        <w:noProof/>
      </w:rPr>
      <mc:AlternateContent>
        <mc:Choice Requires="wps">
          <w:drawing>
            <wp:anchor distT="0" distB="0" distL="0" distR="0" simplePos="0" relativeHeight="251658240" behindDoc="0" locked="0" layoutInCell="1" allowOverlap="1" wp14:anchorId="35DC03C3" wp14:editId="39A5AB9F">
              <wp:simplePos x="635" y="635"/>
              <wp:positionH relativeFrom="page">
                <wp:align>center</wp:align>
              </wp:positionH>
              <wp:positionV relativeFrom="page">
                <wp:align>top</wp:align>
              </wp:positionV>
              <wp:extent cx="1033145" cy="403860"/>
              <wp:effectExtent l="0" t="0" r="14605" b="15240"/>
              <wp:wrapNone/>
              <wp:docPr id="121612406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686A278D" w14:textId="4B7C3652" w:rsidR="00616E69" w:rsidRPr="00616E69" w:rsidRDefault="00616E69" w:rsidP="00616E69">
                          <w:pPr>
                            <w:spacing w:after="0"/>
                            <w:rPr>
                              <w:noProof/>
                              <w:szCs w:val="20"/>
                            </w:rPr>
                          </w:pPr>
                          <w:r w:rsidRPr="00616E69">
                            <w:rPr>
                              <w:noProof/>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DC03C3" id="_x0000_t202" coordsize="21600,21600" o:spt="202" path="m,l,21600r21600,l21600,xe">
              <v:stroke joinstyle="miter"/>
              <v:path gradientshapeok="t" o:connecttype="rect"/>
            </v:shapetype>
            <v:shape id="Text Box 1" o:spid="_x0000_s1030" type="#_x0000_t202" alt="UNCLASSIFIED" style="position:absolute;left:0;text-align:left;margin-left:0;margin-top:0;width:81.35pt;height:31.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" filled="f" stroked="f">
              <v:textbox style="mso-fit-shape-to-text:t" inset="0,15pt,0,0">
                <w:txbxContent>
                  <w:p w14:paraId="686A278D" w14:textId="4B7C3652" w:rsidR="00616E69" w:rsidRPr="00616E69" w:rsidRDefault="00616E69" w:rsidP="00616E69">
                    <w:pPr>
                      <w:spacing w:after="0"/>
                      <w:rPr>
                        <w:noProof/>
                        <w:szCs w:val="20"/>
                      </w:rPr>
                    </w:pPr>
                    <w:r w:rsidRPr="00616E69">
                      <w:rPr>
                        <w:noProof/>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B1D73" w14:textId="740AB6F6" w:rsidR="00307155" w:rsidRDefault="00616E69">
    <w:pPr>
      <w:pStyle w:val="Header"/>
      <w:jc w:val="right"/>
    </w:pPr>
    <w:r>
      <w:rPr>
        <w:noProof/>
      </w:rPr>
      <mc:AlternateContent>
        <mc:Choice Requires="wps">
          <w:drawing>
            <wp:anchor distT="0" distB="0" distL="0" distR="0" simplePos="0" relativeHeight="251661312" behindDoc="0" locked="0" layoutInCell="1" allowOverlap="1" wp14:anchorId="5A19E4CA" wp14:editId="5541CABB">
              <wp:simplePos x="635" y="635"/>
              <wp:positionH relativeFrom="page">
                <wp:align>center</wp:align>
              </wp:positionH>
              <wp:positionV relativeFrom="page">
                <wp:align>top</wp:align>
              </wp:positionV>
              <wp:extent cx="1033145" cy="403860"/>
              <wp:effectExtent l="0" t="0" r="14605" b="15240"/>
              <wp:wrapNone/>
              <wp:docPr id="336415070"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1A3661B4" w14:textId="73999EF6" w:rsidR="00616E69" w:rsidRDefault="00616E69" w:rsidP="00616E69">
                          <w:pPr>
                            <w:spacing w:after="0"/>
                            <w:rPr>
                              <w:noProof/>
                              <w:szCs w:val="20"/>
                            </w:rPr>
                          </w:pPr>
                        </w:p>
                        <w:p w14:paraId="6E20DA19" w14:textId="77777777" w:rsidR="006122C4" w:rsidRPr="00616E69" w:rsidRDefault="006122C4" w:rsidP="00616E69">
                          <w:pPr>
                            <w:spacing w:after="0"/>
                            <w:rPr>
                              <w:noProof/>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19E4CA" id="_x0000_t202" coordsize="21600,21600" o:spt="202" path="m,l,21600r21600,l21600,xe">
              <v:stroke joinstyle="miter"/>
              <v:path gradientshapeok="t" o:connecttype="rect"/>
            </v:shapetype>
            <v:shape id="Text Box 4" o:spid="_x0000_s1032" type="#_x0000_t202" alt="UNCLASSIFIED" style="position:absolute;left:0;text-align:left;margin-left:0;margin-top:0;width:81.35pt;height:31.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" filled="f" stroked="f">
              <v:textbox style="mso-fit-shape-to-text:t" inset="0,15pt,0,0">
                <w:txbxContent>
                  <w:p w14:paraId="1A3661B4" w14:textId="73999EF6" w:rsidR="00616E69" w:rsidRDefault="00616E69" w:rsidP="00616E69">
                    <w:pPr>
                      <w:spacing w:after="0"/>
                      <w:rPr>
                        <w:noProof/>
                        <w:szCs w:val="20"/>
                      </w:rPr>
                    </w:pPr>
                  </w:p>
                  <w:p w14:paraId="6E20DA19" w14:textId="77777777" w:rsidR="006122C4" w:rsidRPr="00616E69" w:rsidRDefault="006122C4" w:rsidP="00616E69">
                    <w:pPr>
                      <w:spacing w:after="0"/>
                      <w:rPr>
                        <w:noProof/>
                        <w:szCs w:val="20"/>
                      </w:rPr>
                    </w:pPr>
                  </w:p>
                </w:txbxContent>
              </v:textbox>
              <w10:wrap anchorx="page" anchory="page"/>
            </v:shape>
          </w:pict>
        </mc:Fallback>
      </mc:AlternateContent>
    </w:r>
    <w:sdt>
      <w:sdtPr>
        <w:id w:val="-2005734979"/>
        <w:docPartObj>
          <w:docPartGallery w:val="Page Numbers (Top of Page)"/>
          <w:docPartUnique/>
        </w:docPartObj>
      </w:sdtPr>
      <w:sdtEndPr>
        <w:rPr>
          <w:noProof/>
        </w:rPr>
      </w:sdtEndPr>
      <w:sdtContent>
        <w:r w:rsidR="00307155">
          <w:fldChar w:fldCharType="begin"/>
        </w:r>
        <w:r w:rsidR="00307155">
          <w:instrText xml:space="preserve"> PAGE   \* MERGEFORMAT </w:instrText>
        </w:r>
        <w:r w:rsidR="00307155">
          <w:fldChar w:fldCharType="separate"/>
        </w:r>
        <w:r w:rsidR="00307155">
          <w:rPr>
            <w:noProof/>
          </w:rPr>
          <w:t>2</w:t>
        </w:r>
        <w:r w:rsidR="00307155">
          <w:rPr>
            <w:noProof/>
          </w:rPr>
          <w:fldChar w:fldCharType="end"/>
        </w:r>
      </w:sdtContent>
    </w:sdt>
  </w:p>
  <w:p w14:paraId="1F55BA7E" w14:textId="77777777" w:rsidR="00307155" w:rsidRDefault="003071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39C4" w14:textId="486EF18B" w:rsidR="00307155" w:rsidRDefault="00616E69">
    <w:pPr>
      <w:pStyle w:val="Header"/>
    </w:pPr>
    <w:r>
      <w:rPr>
        <w:noProof/>
      </w:rPr>
      <mc:AlternateContent>
        <mc:Choice Requires="wps">
          <w:drawing>
            <wp:anchor distT="0" distB="0" distL="0" distR="0" simplePos="0" relativeHeight="251663360" behindDoc="0" locked="0" layoutInCell="1" allowOverlap="1" wp14:anchorId="63353DF5" wp14:editId="25E06E54">
              <wp:simplePos x="635" y="635"/>
              <wp:positionH relativeFrom="page">
                <wp:align>center</wp:align>
              </wp:positionH>
              <wp:positionV relativeFrom="page">
                <wp:align>top</wp:align>
              </wp:positionV>
              <wp:extent cx="1033145" cy="403860"/>
              <wp:effectExtent l="0" t="0" r="14605" b="15240"/>
              <wp:wrapNone/>
              <wp:docPr id="1499447411"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3FE38B61" w14:textId="1766CBD4" w:rsidR="00616E69" w:rsidRPr="00616E69" w:rsidRDefault="00616E69" w:rsidP="00616E69">
                          <w:pPr>
                            <w:spacing w:after="0"/>
                            <w:rPr>
                              <w:noProof/>
                              <w:szCs w:val="20"/>
                            </w:rPr>
                          </w:pPr>
                          <w:r w:rsidRPr="00616E69">
                            <w:rPr>
                              <w:noProof/>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353DF5" id="_x0000_t202" coordsize="21600,21600" o:spt="202" path="m,l,21600r21600,l21600,xe">
              <v:stroke joinstyle="miter"/>
              <v:path gradientshapeok="t" o:connecttype="rect"/>
            </v:shapetype>
            <v:shape id="Text Box 6" o:spid="_x0000_s1035" type="#_x0000_t202" alt="UNCLASSIFIED" style="position:absolute;left:0;text-align:left;margin-left:0;margin-top:0;width:81.35pt;height:31.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" filled="f" stroked="f">
              <v:textbox style="mso-fit-shape-to-text:t" inset="0,15pt,0,0">
                <w:txbxContent>
                  <w:p w14:paraId="3FE38B61" w14:textId="1766CBD4" w:rsidR="00616E69" w:rsidRPr="00616E69" w:rsidRDefault="00616E69" w:rsidP="00616E69">
                    <w:pPr>
                      <w:spacing w:after="0"/>
                      <w:rPr>
                        <w:noProof/>
                        <w:szCs w:val="20"/>
                      </w:rPr>
                    </w:pPr>
                    <w:r w:rsidRPr="00616E69">
                      <w:rPr>
                        <w:noProof/>
                        <w:szCs w:val="20"/>
                      </w:rPr>
                      <w:t>UNCLASSIFIED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B8AD" w14:textId="35AD390C" w:rsidR="00307155" w:rsidRDefault="00616E69">
    <w:pPr>
      <w:pStyle w:val="Header"/>
      <w:jc w:val="right"/>
    </w:pPr>
    <w:r>
      <w:rPr>
        <w:noProof/>
      </w:rPr>
      <mc:AlternateContent>
        <mc:Choice Requires="wps">
          <w:drawing>
            <wp:anchor distT="0" distB="0" distL="0" distR="0" simplePos="0" relativeHeight="251664384" behindDoc="0" locked="0" layoutInCell="1" allowOverlap="1" wp14:anchorId="51725F3E" wp14:editId="3EEAA5A5">
              <wp:simplePos x="635" y="635"/>
              <wp:positionH relativeFrom="page">
                <wp:align>center</wp:align>
              </wp:positionH>
              <wp:positionV relativeFrom="page">
                <wp:align>top</wp:align>
              </wp:positionV>
              <wp:extent cx="1033145" cy="403860"/>
              <wp:effectExtent l="0" t="0" r="14605" b="15240"/>
              <wp:wrapNone/>
              <wp:docPr id="1980111249"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05CAC68D" w14:textId="1CD0B5A0" w:rsidR="00616E69" w:rsidRPr="00616E69" w:rsidRDefault="00616E69" w:rsidP="00616E69">
                          <w:pPr>
                            <w:spacing w:after="0"/>
                            <w:rPr>
                              <w:noProof/>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725F3E" id="_x0000_t202" coordsize="21600,21600" o:spt="202" path="m,l,21600r21600,l21600,xe">
              <v:stroke joinstyle="miter"/>
              <v:path gradientshapeok="t" o:connecttype="rect"/>
            </v:shapetype>
            <v:shape id="Text Box 7" o:spid="_x0000_s1036" type="#_x0000_t202" alt="UNCLASSIFIED" style="position:absolute;left:0;text-align:left;margin-left:0;margin-top:0;width:81.35pt;height:31.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" filled="f" stroked="f">
              <v:textbox style="mso-fit-shape-to-text:t" inset="0,15pt,0,0">
                <w:txbxContent>
                  <w:p w14:paraId="05CAC68D" w14:textId="1CD0B5A0" w:rsidR="00616E69" w:rsidRPr="00616E69" w:rsidRDefault="00616E69" w:rsidP="00616E69">
                    <w:pPr>
                      <w:spacing w:after="0"/>
                      <w:rPr>
                        <w:noProof/>
                        <w:szCs w:val="20"/>
                      </w:rPr>
                    </w:pPr>
                  </w:p>
                </w:txbxContent>
              </v:textbox>
              <w10:wrap anchorx="page" anchory="page"/>
            </v:shape>
          </w:pict>
        </mc:Fallback>
      </mc:AlternateContent>
    </w:r>
    <w:sdt>
      <w:sdtPr>
        <w:id w:val="1765424226"/>
        <w:docPartObj>
          <w:docPartGallery w:val="Page Numbers (Top of Page)"/>
          <w:docPartUnique/>
        </w:docPartObj>
      </w:sdtPr>
      <w:sdtEndPr>
        <w:rPr>
          <w:noProof/>
        </w:rPr>
      </w:sdtEndPr>
      <w:sdtContent>
        <w:r w:rsidR="00307155">
          <w:fldChar w:fldCharType="begin"/>
        </w:r>
        <w:r w:rsidR="00307155">
          <w:instrText xml:space="preserve"> PAGE   \* MERGEFORMAT </w:instrText>
        </w:r>
        <w:r w:rsidR="00307155">
          <w:fldChar w:fldCharType="separate"/>
        </w:r>
        <w:r w:rsidR="00307155">
          <w:rPr>
            <w:noProof/>
          </w:rPr>
          <w:t>2</w:t>
        </w:r>
        <w:r w:rsidR="00307155">
          <w:rPr>
            <w:noProof/>
          </w:rPr>
          <w:fldChar w:fldCharType="end"/>
        </w:r>
      </w:sdtContent>
    </w:sdt>
  </w:p>
  <w:p w14:paraId="12BEA9EE" w14:textId="77777777" w:rsidR="00307155" w:rsidRDefault="003071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1E9A" w14:textId="46F1EC0B" w:rsidR="00307155" w:rsidRDefault="00616E69">
    <w:pPr>
      <w:pStyle w:val="Header"/>
    </w:pPr>
    <w:r>
      <w:rPr>
        <w:noProof/>
      </w:rPr>
      <mc:AlternateContent>
        <mc:Choice Requires="wps">
          <w:drawing>
            <wp:anchor distT="0" distB="0" distL="0" distR="0" simplePos="0" relativeHeight="251662336" behindDoc="0" locked="0" layoutInCell="1" allowOverlap="1" wp14:anchorId="49F947F9" wp14:editId="79B454B5">
              <wp:simplePos x="635" y="635"/>
              <wp:positionH relativeFrom="page">
                <wp:align>center</wp:align>
              </wp:positionH>
              <wp:positionV relativeFrom="page">
                <wp:align>top</wp:align>
              </wp:positionV>
              <wp:extent cx="1033145" cy="403860"/>
              <wp:effectExtent l="0" t="0" r="14605" b="15240"/>
              <wp:wrapNone/>
              <wp:docPr id="393622472"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3145" cy="403860"/>
                      </a:xfrm>
                      <a:prstGeom prst="rect">
                        <a:avLst/>
                      </a:prstGeom>
                      <a:noFill/>
                      <a:ln>
                        <a:noFill/>
                      </a:ln>
                    </wps:spPr>
                    <wps:txbx>
                      <w:txbxContent>
                        <w:p w14:paraId="6E7757B3" w14:textId="736C6C0E" w:rsidR="00616E69" w:rsidRPr="00616E69" w:rsidRDefault="00616E69" w:rsidP="00616E69">
                          <w:pPr>
                            <w:spacing w:after="0"/>
                            <w:rPr>
                              <w:noProof/>
                              <w:szCs w:val="20"/>
                            </w:rPr>
                          </w:pPr>
                          <w:r w:rsidRPr="00616E69">
                            <w:rPr>
                              <w:noProof/>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F947F9" id="_x0000_t202" coordsize="21600,21600" o:spt="202" path="m,l,21600r21600,l21600,xe">
              <v:stroke joinstyle="miter"/>
              <v:path gradientshapeok="t" o:connecttype="rect"/>
            </v:shapetype>
            <v:shape id="Text Box 5" o:spid="_x0000_s1039" type="#_x0000_t202" alt="UNCLASSIFIED" style="position:absolute;left:0;text-align:left;margin-left:0;margin-top:0;width:81.35pt;height:31.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" filled="f" stroked="f">
              <v:textbox style="mso-fit-shape-to-text:t" inset="0,15pt,0,0">
                <w:txbxContent>
                  <w:p w14:paraId="6E7757B3" w14:textId="736C6C0E" w:rsidR="00616E69" w:rsidRPr="00616E69" w:rsidRDefault="00616E69" w:rsidP="00616E69">
                    <w:pPr>
                      <w:spacing w:after="0"/>
                      <w:rPr>
                        <w:noProof/>
                        <w:szCs w:val="20"/>
                      </w:rPr>
                    </w:pPr>
                    <w:r w:rsidRPr="00616E69">
                      <w:rPr>
                        <w:noProof/>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81A"/>
    <w:multiLevelType w:val="hybridMultilevel"/>
    <w:tmpl w:val="6898E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340CB3"/>
    <w:multiLevelType w:val="hybridMultilevel"/>
    <w:tmpl w:val="72F21742"/>
    <w:lvl w:ilvl="0" w:tplc="C60C71F0">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74571F5"/>
    <w:multiLevelType w:val="hybridMultilevel"/>
    <w:tmpl w:val="B66A8F0A"/>
    <w:lvl w:ilvl="0" w:tplc="1409000F">
      <w:start w:val="1"/>
      <w:numFmt w:val="decimal"/>
      <w:lvlText w:val="%1."/>
      <w:lvlJc w:val="left"/>
      <w:pPr>
        <w:ind w:left="1778" w:hanging="360"/>
      </w:pPr>
      <w:rPr>
        <w:rFonts w:hint="default"/>
      </w:rPr>
    </w:lvl>
    <w:lvl w:ilvl="1" w:tplc="14090019">
      <w:start w:val="1"/>
      <w:numFmt w:val="lowerLetter"/>
      <w:lvlText w:val="%2."/>
      <w:lvlJc w:val="left"/>
      <w:pPr>
        <w:ind w:left="3065" w:hanging="360"/>
      </w:pPr>
    </w:lvl>
    <w:lvl w:ilvl="2" w:tplc="1409001B" w:tentative="1">
      <w:start w:val="1"/>
      <w:numFmt w:val="lowerRoman"/>
      <w:lvlText w:val="%3."/>
      <w:lvlJc w:val="right"/>
      <w:pPr>
        <w:ind w:left="3785" w:hanging="180"/>
      </w:pPr>
    </w:lvl>
    <w:lvl w:ilvl="3" w:tplc="1409000F" w:tentative="1">
      <w:start w:val="1"/>
      <w:numFmt w:val="decimal"/>
      <w:lvlText w:val="%4."/>
      <w:lvlJc w:val="left"/>
      <w:pPr>
        <w:ind w:left="4505" w:hanging="360"/>
      </w:pPr>
    </w:lvl>
    <w:lvl w:ilvl="4" w:tplc="14090019" w:tentative="1">
      <w:start w:val="1"/>
      <w:numFmt w:val="lowerLetter"/>
      <w:lvlText w:val="%5."/>
      <w:lvlJc w:val="left"/>
      <w:pPr>
        <w:ind w:left="5225" w:hanging="360"/>
      </w:pPr>
    </w:lvl>
    <w:lvl w:ilvl="5" w:tplc="1409001B" w:tentative="1">
      <w:start w:val="1"/>
      <w:numFmt w:val="lowerRoman"/>
      <w:lvlText w:val="%6."/>
      <w:lvlJc w:val="right"/>
      <w:pPr>
        <w:ind w:left="5945" w:hanging="180"/>
      </w:pPr>
    </w:lvl>
    <w:lvl w:ilvl="6" w:tplc="1409000F" w:tentative="1">
      <w:start w:val="1"/>
      <w:numFmt w:val="decimal"/>
      <w:lvlText w:val="%7."/>
      <w:lvlJc w:val="left"/>
      <w:pPr>
        <w:ind w:left="6665" w:hanging="360"/>
      </w:pPr>
    </w:lvl>
    <w:lvl w:ilvl="7" w:tplc="14090019" w:tentative="1">
      <w:start w:val="1"/>
      <w:numFmt w:val="lowerLetter"/>
      <w:lvlText w:val="%8."/>
      <w:lvlJc w:val="left"/>
      <w:pPr>
        <w:ind w:left="7385" w:hanging="360"/>
      </w:pPr>
    </w:lvl>
    <w:lvl w:ilvl="8" w:tplc="1409001B" w:tentative="1">
      <w:start w:val="1"/>
      <w:numFmt w:val="lowerRoman"/>
      <w:lvlText w:val="%9."/>
      <w:lvlJc w:val="right"/>
      <w:pPr>
        <w:ind w:left="8105" w:hanging="180"/>
      </w:pPr>
    </w:lvl>
  </w:abstractNum>
  <w:abstractNum w:abstractNumId="3" w15:restartNumberingAfterBreak="0">
    <w:nsid w:val="1A834BE9"/>
    <w:multiLevelType w:val="hybridMultilevel"/>
    <w:tmpl w:val="8B0E40D8"/>
    <w:lvl w:ilvl="0" w:tplc="1409000F">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E263E5C"/>
    <w:multiLevelType w:val="hybridMultilevel"/>
    <w:tmpl w:val="47CAA552"/>
    <w:lvl w:ilvl="0" w:tplc="9B4AD0D6">
      <w:start w:val="1"/>
      <w:numFmt w:val="lowerRoman"/>
      <w:lvlText w:val="(%1)"/>
      <w:lvlJc w:val="left"/>
      <w:pPr>
        <w:ind w:left="1149" w:hanging="720"/>
      </w:pPr>
      <w:rPr>
        <w:rFonts w:hint="default"/>
      </w:rPr>
    </w:lvl>
    <w:lvl w:ilvl="1" w:tplc="14090019" w:tentative="1">
      <w:start w:val="1"/>
      <w:numFmt w:val="lowerLetter"/>
      <w:lvlText w:val="%2."/>
      <w:lvlJc w:val="left"/>
      <w:pPr>
        <w:ind w:left="1509" w:hanging="360"/>
      </w:pPr>
    </w:lvl>
    <w:lvl w:ilvl="2" w:tplc="1409001B" w:tentative="1">
      <w:start w:val="1"/>
      <w:numFmt w:val="lowerRoman"/>
      <w:lvlText w:val="%3."/>
      <w:lvlJc w:val="right"/>
      <w:pPr>
        <w:ind w:left="2229" w:hanging="180"/>
      </w:pPr>
    </w:lvl>
    <w:lvl w:ilvl="3" w:tplc="1409000F" w:tentative="1">
      <w:start w:val="1"/>
      <w:numFmt w:val="decimal"/>
      <w:lvlText w:val="%4."/>
      <w:lvlJc w:val="left"/>
      <w:pPr>
        <w:ind w:left="2949" w:hanging="360"/>
      </w:pPr>
    </w:lvl>
    <w:lvl w:ilvl="4" w:tplc="14090019" w:tentative="1">
      <w:start w:val="1"/>
      <w:numFmt w:val="lowerLetter"/>
      <w:lvlText w:val="%5."/>
      <w:lvlJc w:val="left"/>
      <w:pPr>
        <w:ind w:left="3669" w:hanging="360"/>
      </w:pPr>
    </w:lvl>
    <w:lvl w:ilvl="5" w:tplc="1409001B" w:tentative="1">
      <w:start w:val="1"/>
      <w:numFmt w:val="lowerRoman"/>
      <w:lvlText w:val="%6."/>
      <w:lvlJc w:val="right"/>
      <w:pPr>
        <w:ind w:left="4389" w:hanging="180"/>
      </w:pPr>
    </w:lvl>
    <w:lvl w:ilvl="6" w:tplc="1409000F" w:tentative="1">
      <w:start w:val="1"/>
      <w:numFmt w:val="decimal"/>
      <w:lvlText w:val="%7."/>
      <w:lvlJc w:val="left"/>
      <w:pPr>
        <w:ind w:left="5109" w:hanging="360"/>
      </w:pPr>
    </w:lvl>
    <w:lvl w:ilvl="7" w:tplc="14090019" w:tentative="1">
      <w:start w:val="1"/>
      <w:numFmt w:val="lowerLetter"/>
      <w:lvlText w:val="%8."/>
      <w:lvlJc w:val="left"/>
      <w:pPr>
        <w:ind w:left="5829" w:hanging="360"/>
      </w:pPr>
    </w:lvl>
    <w:lvl w:ilvl="8" w:tplc="1409001B" w:tentative="1">
      <w:start w:val="1"/>
      <w:numFmt w:val="lowerRoman"/>
      <w:lvlText w:val="%9."/>
      <w:lvlJc w:val="right"/>
      <w:pPr>
        <w:ind w:left="6549" w:hanging="180"/>
      </w:pPr>
    </w:lvl>
  </w:abstractNum>
  <w:abstractNum w:abstractNumId="5" w15:restartNumberingAfterBreak="0">
    <w:nsid w:val="29932B14"/>
    <w:multiLevelType w:val="hybridMultilevel"/>
    <w:tmpl w:val="5650ADF4"/>
    <w:lvl w:ilvl="0" w:tplc="886CFE32">
      <w:start w:val="2"/>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C4F1FDD"/>
    <w:multiLevelType w:val="hybridMultilevel"/>
    <w:tmpl w:val="7340BC98"/>
    <w:lvl w:ilvl="0" w:tplc="FEE8941C">
      <w:start w:val="1"/>
      <w:numFmt w:val="lowerRoman"/>
      <w:lvlText w:val="(%1)"/>
      <w:lvlJc w:val="left"/>
      <w:pPr>
        <w:ind w:left="992" w:hanging="720"/>
      </w:pPr>
      <w:rPr>
        <w:rFonts w:hint="default"/>
      </w:rPr>
    </w:lvl>
    <w:lvl w:ilvl="1" w:tplc="14090019" w:tentative="1">
      <w:start w:val="1"/>
      <w:numFmt w:val="lowerLetter"/>
      <w:lvlText w:val="%2."/>
      <w:lvlJc w:val="left"/>
      <w:pPr>
        <w:ind w:left="1352" w:hanging="360"/>
      </w:pPr>
    </w:lvl>
    <w:lvl w:ilvl="2" w:tplc="1409001B" w:tentative="1">
      <w:start w:val="1"/>
      <w:numFmt w:val="lowerRoman"/>
      <w:lvlText w:val="%3."/>
      <w:lvlJc w:val="right"/>
      <w:pPr>
        <w:ind w:left="2072" w:hanging="180"/>
      </w:pPr>
    </w:lvl>
    <w:lvl w:ilvl="3" w:tplc="1409000F" w:tentative="1">
      <w:start w:val="1"/>
      <w:numFmt w:val="decimal"/>
      <w:lvlText w:val="%4."/>
      <w:lvlJc w:val="left"/>
      <w:pPr>
        <w:ind w:left="2792" w:hanging="360"/>
      </w:pPr>
    </w:lvl>
    <w:lvl w:ilvl="4" w:tplc="14090019" w:tentative="1">
      <w:start w:val="1"/>
      <w:numFmt w:val="lowerLetter"/>
      <w:lvlText w:val="%5."/>
      <w:lvlJc w:val="left"/>
      <w:pPr>
        <w:ind w:left="3512" w:hanging="360"/>
      </w:pPr>
    </w:lvl>
    <w:lvl w:ilvl="5" w:tplc="1409001B" w:tentative="1">
      <w:start w:val="1"/>
      <w:numFmt w:val="lowerRoman"/>
      <w:lvlText w:val="%6."/>
      <w:lvlJc w:val="right"/>
      <w:pPr>
        <w:ind w:left="4232" w:hanging="180"/>
      </w:pPr>
    </w:lvl>
    <w:lvl w:ilvl="6" w:tplc="1409000F" w:tentative="1">
      <w:start w:val="1"/>
      <w:numFmt w:val="decimal"/>
      <w:lvlText w:val="%7."/>
      <w:lvlJc w:val="left"/>
      <w:pPr>
        <w:ind w:left="4952" w:hanging="360"/>
      </w:pPr>
    </w:lvl>
    <w:lvl w:ilvl="7" w:tplc="14090019" w:tentative="1">
      <w:start w:val="1"/>
      <w:numFmt w:val="lowerLetter"/>
      <w:lvlText w:val="%8."/>
      <w:lvlJc w:val="left"/>
      <w:pPr>
        <w:ind w:left="5672" w:hanging="360"/>
      </w:pPr>
    </w:lvl>
    <w:lvl w:ilvl="8" w:tplc="1409001B" w:tentative="1">
      <w:start w:val="1"/>
      <w:numFmt w:val="lowerRoman"/>
      <w:lvlText w:val="%9."/>
      <w:lvlJc w:val="right"/>
      <w:pPr>
        <w:ind w:left="6392" w:hanging="180"/>
      </w:pPr>
    </w:lvl>
  </w:abstractNum>
  <w:abstractNum w:abstractNumId="7" w15:restartNumberingAfterBreak="0">
    <w:nsid w:val="393604AA"/>
    <w:multiLevelType w:val="hybridMultilevel"/>
    <w:tmpl w:val="03682D1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29E708C"/>
    <w:multiLevelType w:val="hybridMultilevel"/>
    <w:tmpl w:val="8BAA8CC8"/>
    <w:lvl w:ilvl="0" w:tplc="6E843F44">
      <w:start w:val="3"/>
      <w:numFmt w:val="decimal"/>
      <w:lvlText w:val="%1."/>
      <w:lvlJc w:val="left"/>
      <w:pPr>
        <w:ind w:left="649" w:hanging="360"/>
      </w:pPr>
      <w:rPr>
        <w:rFonts w:hint="default"/>
      </w:rPr>
    </w:lvl>
    <w:lvl w:ilvl="1" w:tplc="14090019" w:tentative="1">
      <w:start w:val="1"/>
      <w:numFmt w:val="lowerLetter"/>
      <w:lvlText w:val="%2."/>
      <w:lvlJc w:val="left"/>
      <w:pPr>
        <w:ind w:left="1369" w:hanging="360"/>
      </w:pPr>
    </w:lvl>
    <w:lvl w:ilvl="2" w:tplc="1409001B" w:tentative="1">
      <w:start w:val="1"/>
      <w:numFmt w:val="lowerRoman"/>
      <w:lvlText w:val="%3."/>
      <w:lvlJc w:val="right"/>
      <w:pPr>
        <w:ind w:left="2089" w:hanging="180"/>
      </w:pPr>
    </w:lvl>
    <w:lvl w:ilvl="3" w:tplc="1409000F" w:tentative="1">
      <w:start w:val="1"/>
      <w:numFmt w:val="decimal"/>
      <w:lvlText w:val="%4."/>
      <w:lvlJc w:val="left"/>
      <w:pPr>
        <w:ind w:left="2809" w:hanging="360"/>
      </w:pPr>
    </w:lvl>
    <w:lvl w:ilvl="4" w:tplc="14090019" w:tentative="1">
      <w:start w:val="1"/>
      <w:numFmt w:val="lowerLetter"/>
      <w:lvlText w:val="%5."/>
      <w:lvlJc w:val="left"/>
      <w:pPr>
        <w:ind w:left="3529" w:hanging="360"/>
      </w:pPr>
    </w:lvl>
    <w:lvl w:ilvl="5" w:tplc="1409001B" w:tentative="1">
      <w:start w:val="1"/>
      <w:numFmt w:val="lowerRoman"/>
      <w:lvlText w:val="%6."/>
      <w:lvlJc w:val="right"/>
      <w:pPr>
        <w:ind w:left="4249" w:hanging="180"/>
      </w:pPr>
    </w:lvl>
    <w:lvl w:ilvl="6" w:tplc="1409000F" w:tentative="1">
      <w:start w:val="1"/>
      <w:numFmt w:val="decimal"/>
      <w:lvlText w:val="%7."/>
      <w:lvlJc w:val="left"/>
      <w:pPr>
        <w:ind w:left="4969" w:hanging="360"/>
      </w:pPr>
    </w:lvl>
    <w:lvl w:ilvl="7" w:tplc="14090019" w:tentative="1">
      <w:start w:val="1"/>
      <w:numFmt w:val="lowerLetter"/>
      <w:lvlText w:val="%8."/>
      <w:lvlJc w:val="left"/>
      <w:pPr>
        <w:ind w:left="5689" w:hanging="360"/>
      </w:pPr>
    </w:lvl>
    <w:lvl w:ilvl="8" w:tplc="1409001B" w:tentative="1">
      <w:start w:val="1"/>
      <w:numFmt w:val="lowerRoman"/>
      <w:lvlText w:val="%9."/>
      <w:lvlJc w:val="right"/>
      <w:pPr>
        <w:ind w:left="6409" w:hanging="180"/>
      </w:pPr>
    </w:lvl>
  </w:abstractNum>
  <w:num w:numId="1" w16cid:durableId="1827628281">
    <w:abstractNumId w:val="7"/>
  </w:num>
  <w:num w:numId="2" w16cid:durableId="1460369595">
    <w:abstractNumId w:val="2"/>
  </w:num>
  <w:num w:numId="3" w16cid:durableId="1432242593">
    <w:abstractNumId w:val="1"/>
  </w:num>
  <w:num w:numId="4" w16cid:durableId="1742099196">
    <w:abstractNumId w:val="4"/>
  </w:num>
  <w:num w:numId="5" w16cid:durableId="1979801015">
    <w:abstractNumId w:val="0"/>
  </w:num>
  <w:num w:numId="6" w16cid:durableId="1307662596">
    <w:abstractNumId w:val="3"/>
  </w:num>
  <w:num w:numId="7" w16cid:durableId="1673214730">
    <w:abstractNumId w:val="8"/>
  </w:num>
  <w:num w:numId="8" w16cid:durableId="590771481">
    <w:abstractNumId w:val="6"/>
  </w:num>
  <w:num w:numId="9" w16cid:durableId="1953170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55"/>
    <w:rsid w:val="0000457B"/>
    <w:rsid w:val="000058EE"/>
    <w:rsid w:val="0000599F"/>
    <w:rsid w:val="00005E41"/>
    <w:rsid w:val="00005E7A"/>
    <w:rsid w:val="00007773"/>
    <w:rsid w:val="00007F46"/>
    <w:rsid w:val="00011B36"/>
    <w:rsid w:val="0002057A"/>
    <w:rsid w:val="000209B8"/>
    <w:rsid w:val="00021183"/>
    <w:rsid w:val="00022207"/>
    <w:rsid w:val="000230BC"/>
    <w:rsid w:val="000237B5"/>
    <w:rsid w:val="00024530"/>
    <w:rsid w:val="00025489"/>
    <w:rsid w:val="00025922"/>
    <w:rsid w:val="00026367"/>
    <w:rsid w:val="000264C4"/>
    <w:rsid w:val="00030A6E"/>
    <w:rsid w:val="00031C4D"/>
    <w:rsid w:val="00033AF3"/>
    <w:rsid w:val="00035ECC"/>
    <w:rsid w:val="00035F59"/>
    <w:rsid w:val="00040E59"/>
    <w:rsid w:val="00041A11"/>
    <w:rsid w:val="00044F27"/>
    <w:rsid w:val="0004610B"/>
    <w:rsid w:val="0004707C"/>
    <w:rsid w:val="000521C1"/>
    <w:rsid w:val="000540EB"/>
    <w:rsid w:val="00054167"/>
    <w:rsid w:val="0005435E"/>
    <w:rsid w:val="000547F7"/>
    <w:rsid w:val="00055506"/>
    <w:rsid w:val="00055EA4"/>
    <w:rsid w:val="00057F9B"/>
    <w:rsid w:val="0006090C"/>
    <w:rsid w:val="0006161A"/>
    <w:rsid w:val="00061E9D"/>
    <w:rsid w:val="00067E46"/>
    <w:rsid w:val="00072766"/>
    <w:rsid w:val="00072A5B"/>
    <w:rsid w:val="00081147"/>
    <w:rsid w:val="0008355B"/>
    <w:rsid w:val="000919CA"/>
    <w:rsid w:val="00092C83"/>
    <w:rsid w:val="00093654"/>
    <w:rsid w:val="000971E4"/>
    <w:rsid w:val="000A24FC"/>
    <w:rsid w:val="000A2F13"/>
    <w:rsid w:val="000A3B39"/>
    <w:rsid w:val="000A62F1"/>
    <w:rsid w:val="000B0176"/>
    <w:rsid w:val="000B05C1"/>
    <w:rsid w:val="000B1407"/>
    <w:rsid w:val="000B1AE9"/>
    <w:rsid w:val="000C067C"/>
    <w:rsid w:val="000C44F8"/>
    <w:rsid w:val="000C4B5C"/>
    <w:rsid w:val="000C528D"/>
    <w:rsid w:val="000C751C"/>
    <w:rsid w:val="000D063A"/>
    <w:rsid w:val="000D1B9A"/>
    <w:rsid w:val="000D4460"/>
    <w:rsid w:val="000E2CA1"/>
    <w:rsid w:val="000E2CE8"/>
    <w:rsid w:val="000E38AC"/>
    <w:rsid w:val="000F0213"/>
    <w:rsid w:val="000F1014"/>
    <w:rsid w:val="000F1EC4"/>
    <w:rsid w:val="000F1FA9"/>
    <w:rsid w:val="000F402E"/>
    <w:rsid w:val="000F5FD3"/>
    <w:rsid w:val="000F61F0"/>
    <w:rsid w:val="000F6F2B"/>
    <w:rsid w:val="000F745C"/>
    <w:rsid w:val="000F7888"/>
    <w:rsid w:val="00101146"/>
    <w:rsid w:val="00101834"/>
    <w:rsid w:val="00102734"/>
    <w:rsid w:val="00103E8E"/>
    <w:rsid w:val="0010511B"/>
    <w:rsid w:val="001057B2"/>
    <w:rsid w:val="00105FF6"/>
    <w:rsid w:val="00107D44"/>
    <w:rsid w:val="00110ADC"/>
    <w:rsid w:val="0011494F"/>
    <w:rsid w:val="00116987"/>
    <w:rsid w:val="0011779F"/>
    <w:rsid w:val="00122B78"/>
    <w:rsid w:val="00122CE7"/>
    <w:rsid w:val="00125BC2"/>
    <w:rsid w:val="00126BC4"/>
    <w:rsid w:val="00126CCE"/>
    <w:rsid w:val="00126F1E"/>
    <w:rsid w:val="0013093F"/>
    <w:rsid w:val="0013331C"/>
    <w:rsid w:val="00133A12"/>
    <w:rsid w:val="00133EBA"/>
    <w:rsid w:val="0013451C"/>
    <w:rsid w:val="00137ACE"/>
    <w:rsid w:val="00140CE6"/>
    <w:rsid w:val="00142916"/>
    <w:rsid w:val="00144E29"/>
    <w:rsid w:val="00144E86"/>
    <w:rsid w:val="001514DF"/>
    <w:rsid w:val="00151DD1"/>
    <w:rsid w:val="00153406"/>
    <w:rsid w:val="00155BF7"/>
    <w:rsid w:val="001644BD"/>
    <w:rsid w:val="00167BDC"/>
    <w:rsid w:val="00167F11"/>
    <w:rsid w:val="0017209F"/>
    <w:rsid w:val="00176B5E"/>
    <w:rsid w:val="00177F77"/>
    <w:rsid w:val="00180549"/>
    <w:rsid w:val="00183128"/>
    <w:rsid w:val="001914DC"/>
    <w:rsid w:val="00193E69"/>
    <w:rsid w:val="001941D9"/>
    <w:rsid w:val="00194249"/>
    <w:rsid w:val="001945FF"/>
    <w:rsid w:val="00194B70"/>
    <w:rsid w:val="001A0B4D"/>
    <w:rsid w:val="001A101A"/>
    <w:rsid w:val="001A19CF"/>
    <w:rsid w:val="001A2A56"/>
    <w:rsid w:val="001A2D97"/>
    <w:rsid w:val="001A68D0"/>
    <w:rsid w:val="001B3278"/>
    <w:rsid w:val="001B33BD"/>
    <w:rsid w:val="001B4440"/>
    <w:rsid w:val="001B6B50"/>
    <w:rsid w:val="001C0D25"/>
    <w:rsid w:val="001C116F"/>
    <w:rsid w:val="001C6DC5"/>
    <w:rsid w:val="001D2BEF"/>
    <w:rsid w:val="001D3506"/>
    <w:rsid w:val="001D37B9"/>
    <w:rsid w:val="001D558C"/>
    <w:rsid w:val="001E0065"/>
    <w:rsid w:val="001E1398"/>
    <w:rsid w:val="001E2325"/>
    <w:rsid w:val="001E4067"/>
    <w:rsid w:val="001E62EF"/>
    <w:rsid w:val="001E664B"/>
    <w:rsid w:val="001F018D"/>
    <w:rsid w:val="001F108C"/>
    <w:rsid w:val="001F25CF"/>
    <w:rsid w:val="001F427A"/>
    <w:rsid w:val="001F7BC4"/>
    <w:rsid w:val="00200934"/>
    <w:rsid w:val="00203A87"/>
    <w:rsid w:val="002074FB"/>
    <w:rsid w:val="00210450"/>
    <w:rsid w:val="00210E0E"/>
    <w:rsid w:val="002120BE"/>
    <w:rsid w:val="00217500"/>
    <w:rsid w:val="002271E4"/>
    <w:rsid w:val="0023013C"/>
    <w:rsid w:val="00230E07"/>
    <w:rsid w:val="00231544"/>
    <w:rsid w:val="00232C34"/>
    <w:rsid w:val="00235FB4"/>
    <w:rsid w:val="002373D6"/>
    <w:rsid w:val="0024200A"/>
    <w:rsid w:val="00243609"/>
    <w:rsid w:val="00243843"/>
    <w:rsid w:val="00250131"/>
    <w:rsid w:val="00250244"/>
    <w:rsid w:val="00251EB1"/>
    <w:rsid w:val="00252199"/>
    <w:rsid w:val="002554D1"/>
    <w:rsid w:val="0026080D"/>
    <w:rsid w:val="00263FE6"/>
    <w:rsid w:val="00264C01"/>
    <w:rsid w:val="0026549A"/>
    <w:rsid w:val="002659B0"/>
    <w:rsid w:val="00265D81"/>
    <w:rsid w:val="00266B23"/>
    <w:rsid w:val="00267790"/>
    <w:rsid w:val="002706AA"/>
    <w:rsid w:val="00272EE9"/>
    <w:rsid w:val="00273664"/>
    <w:rsid w:val="00273DC0"/>
    <w:rsid w:val="0027496D"/>
    <w:rsid w:val="002752BC"/>
    <w:rsid w:val="00276F4F"/>
    <w:rsid w:val="00277239"/>
    <w:rsid w:val="002841F3"/>
    <w:rsid w:val="00284CB2"/>
    <w:rsid w:val="0028594E"/>
    <w:rsid w:val="002954B8"/>
    <w:rsid w:val="002977BC"/>
    <w:rsid w:val="002A4780"/>
    <w:rsid w:val="002A724A"/>
    <w:rsid w:val="002A7527"/>
    <w:rsid w:val="002B009F"/>
    <w:rsid w:val="002B0FA8"/>
    <w:rsid w:val="002B3FF6"/>
    <w:rsid w:val="002B43EB"/>
    <w:rsid w:val="002B4595"/>
    <w:rsid w:val="002B6787"/>
    <w:rsid w:val="002C1655"/>
    <w:rsid w:val="002C20A9"/>
    <w:rsid w:val="002C2657"/>
    <w:rsid w:val="002C29DC"/>
    <w:rsid w:val="002C50F1"/>
    <w:rsid w:val="002C622C"/>
    <w:rsid w:val="002C670F"/>
    <w:rsid w:val="002D196F"/>
    <w:rsid w:val="002D44FD"/>
    <w:rsid w:val="002D5FA9"/>
    <w:rsid w:val="002D6E45"/>
    <w:rsid w:val="002E031D"/>
    <w:rsid w:val="002E2559"/>
    <w:rsid w:val="002E44E2"/>
    <w:rsid w:val="002F030E"/>
    <w:rsid w:val="002F171C"/>
    <w:rsid w:val="00300158"/>
    <w:rsid w:val="0030226E"/>
    <w:rsid w:val="003033F6"/>
    <w:rsid w:val="0030353F"/>
    <w:rsid w:val="003037DE"/>
    <w:rsid w:val="00303F75"/>
    <w:rsid w:val="00306742"/>
    <w:rsid w:val="00307155"/>
    <w:rsid w:val="0031264E"/>
    <w:rsid w:val="00312A7C"/>
    <w:rsid w:val="00313B30"/>
    <w:rsid w:val="00313EF5"/>
    <w:rsid w:val="00314961"/>
    <w:rsid w:val="003217BA"/>
    <w:rsid w:val="00321A21"/>
    <w:rsid w:val="00321B03"/>
    <w:rsid w:val="003238BC"/>
    <w:rsid w:val="003238FE"/>
    <w:rsid w:val="00326153"/>
    <w:rsid w:val="00326DE2"/>
    <w:rsid w:val="0033019F"/>
    <w:rsid w:val="00331156"/>
    <w:rsid w:val="0033674D"/>
    <w:rsid w:val="00340175"/>
    <w:rsid w:val="003424CD"/>
    <w:rsid w:val="003503A5"/>
    <w:rsid w:val="003505BB"/>
    <w:rsid w:val="00351749"/>
    <w:rsid w:val="00351D90"/>
    <w:rsid w:val="00352580"/>
    <w:rsid w:val="00353528"/>
    <w:rsid w:val="00355AAF"/>
    <w:rsid w:val="003603E1"/>
    <w:rsid w:val="00360E5F"/>
    <w:rsid w:val="00364618"/>
    <w:rsid w:val="0037088C"/>
    <w:rsid w:val="00372394"/>
    <w:rsid w:val="0037252F"/>
    <w:rsid w:val="003730FC"/>
    <w:rsid w:val="00374927"/>
    <w:rsid w:val="0037523E"/>
    <w:rsid w:val="00375FC6"/>
    <w:rsid w:val="003769FA"/>
    <w:rsid w:val="003821DB"/>
    <w:rsid w:val="00382FF8"/>
    <w:rsid w:val="00383303"/>
    <w:rsid w:val="00383407"/>
    <w:rsid w:val="0038605B"/>
    <w:rsid w:val="00386157"/>
    <w:rsid w:val="003A02D2"/>
    <w:rsid w:val="003A5128"/>
    <w:rsid w:val="003A627D"/>
    <w:rsid w:val="003A6695"/>
    <w:rsid w:val="003A6B2A"/>
    <w:rsid w:val="003A71B9"/>
    <w:rsid w:val="003B400F"/>
    <w:rsid w:val="003B4645"/>
    <w:rsid w:val="003B492F"/>
    <w:rsid w:val="003B60E3"/>
    <w:rsid w:val="003B66F6"/>
    <w:rsid w:val="003C1776"/>
    <w:rsid w:val="003C3C50"/>
    <w:rsid w:val="003C7F96"/>
    <w:rsid w:val="003D0399"/>
    <w:rsid w:val="003D0825"/>
    <w:rsid w:val="003D2461"/>
    <w:rsid w:val="003E1E69"/>
    <w:rsid w:val="003E4271"/>
    <w:rsid w:val="003E56FD"/>
    <w:rsid w:val="003E625F"/>
    <w:rsid w:val="003E76BD"/>
    <w:rsid w:val="003E7D02"/>
    <w:rsid w:val="003F6D51"/>
    <w:rsid w:val="003F7002"/>
    <w:rsid w:val="00400A90"/>
    <w:rsid w:val="004033A0"/>
    <w:rsid w:val="004034D9"/>
    <w:rsid w:val="004040C7"/>
    <w:rsid w:val="004117BC"/>
    <w:rsid w:val="00412E01"/>
    <w:rsid w:val="00420503"/>
    <w:rsid w:val="0042263B"/>
    <w:rsid w:val="004236B7"/>
    <w:rsid w:val="00426A3B"/>
    <w:rsid w:val="00426D3C"/>
    <w:rsid w:val="00431485"/>
    <w:rsid w:val="004315E6"/>
    <w:rsid w:val="004355EE"/>
    <w:rsid w:val="00435FAE"/>
    <w:rsid w:val="00441F4D"/>
    <w:rsid w:val="004422A4"/>
    <w:rsid w:val="0044673F"/>
    <w:rsid w:val="00447F18"/>
    <w:rsid w:val="00450E2D"/>
    <w:rsid w:val="00451747"/>
    <w:rsid w:val="004531B2"/>
    <w:rsid w:val="00455A4B"/>
    <w:rsid w:val="004611E9"/>
    <w:rsid w:val="004637BA"/>
    <w:rsid w:val="00464862"/>
    <w:rsid w:val="00464979"/>
    <w:rsid w:val="004650F0"/>
    <w:rsid w:val="00466334"/>
    <w:rsid w:val="00471F4B"/>
    <w:rsid w:val="00472130"/>
    <w:rsid w:val="00473B5D"/>
    <w:rsid w:val="00473D3D"/>
    <w:rsid w:val="00475BDC"/>
    <w:rsid w:val="00482264"/>
    <w:rsid w:val="004864D5"/>
    <w:rsid w:val="00490499"/>
    <w:rsid w:val="0049052B"/>
    <w:rsid w:val="00490697"/>
    <w:rsid w:val="00494B80"/>
    <w:rsid w:val="004957FD"/>
    <w:rsid w:val="00496460"/>
    <w:rsid w:val="00497BC5"/>
    <w:rsid w:val="004A0187"/>
    <w:rsid w:val="004A1CAE"/>
    <w:rsid w:val="004A33B9"/>
    <w:rsid w:val="004A3CAF"/>
    <w:rsid w:val="004A4EE9"/>
    <w:rsid w:val="004B36B1"/>
    <w:rsid w:val="004B3F66"/>
    <w:rsid w:val="004B6564"/>
    <w:rsid w:val="004C03EB"/>
    <w:rsid w:val="004C14AB"/>
    <w:rsid w:val="004C2F8E"/>
    <w:rsid w:val="004C5DA0"/>
    <w:rsid w:val="004D0AAB"/>
    <w:rsid w:val="004D0D9F"/>
    <w:rsid w:val="004D1FCC"/>
    <w:rsid w:val="004D270D"/>
    <w:rsid w:val="004D382C"/>
    <w:rsid w:val="004D3E51"/>
    <w:rsid w:val="004D51A6"/>
    <w:rsid w:val="004D7276"/>
    <w:rsid w:val="004D7E21"/>
    <w:rsid w:val="004E547A"/>
    <w:rsid w:val="004E6791"/>
    <w:rsid w:val="004E75F3"/>
    <w:rsid w:val="004F173F"/>
    <w:rsid w:val="004F193A"/>
    <w:rsid w:val="00500445"/>
    <w:rsid w:val="005021E6"/>
    <w:rsid w:val="005025E0"/>
    <w:rsid w:val="0050367D"/>
    <w:rsid w:val="005042BE"/>
    <w:rsid w:val="00504BFC"/>
    <w:rsid w:val="00505FF2"/>
    <w:rsid w:val="005069AA"/>
    <w:rsid w:val="0051137A"/>
    <w:rsid w:val="00513D43"/>
    <w:rsid w:val="00515738"/>
    <w:rsid w:val="0052354A"/>
    <w:rsid w:val="00523B0E"/>
    <w:rsid w:val="00524F7F"/>
    <w:rsid w:val="00525CD7"/>
    <w:rsid w:val="00526B81"/>
    <w:rsid w:val="00531E32"/>
    <w:rsid w:val="00541296"/>
    <w:rsid w:val="00541970"/>
    <w:rsid w:val="00543000"/>
    <w:rsid w:val="00544D17"/>
    <w:rsid w:val="00547576"/>
    <w:rsid w:val="0055349E"/>
    <w:rsid w:val="00553661"/>
    <w:rsid w:val="005544E0"/>
    <w:rsid w:val="00554C70"/>
    <w:rsid w:val="0056152E"/>
    <w:rsid w:val="00562C25"/>
    <w:rsid w:val="005663B0"/>
    <w:rsid w:val="00566894"/>
    <w:rsid w:val="00567520"/>
    <w:rsid w:val="00570ED0"/>
    <w:rsid w:val="005713BF"/>
    <w:rsid w:val="00571D45"/>
    <w:rsid w:val="005762DA"/>
    <w:rsid w:val="00582856"/>
    <w:rsid w:val="0058293F"/>
    <w:rsid w:val="00584264"/>
    <w:rsid w:val="00587B17"/>
    <w:rsid w:val="00590425"/>
    <w:rsid w:val="005947D8"/>
    <w:rsid w:val="0059543B"/>
    <w:rsid w:val="00596A2B"/>
    <w:rsid w:val="00596AAA"/>
    <w:rsid w:val="00596DE4"/>
    <w:rsid w:val="005A2854"/>
    <w:rsid w:val="005A54CB"/>
    <w:rsid w:val="005A6173"/>
    <w:rsid w:val="005A78EE"/>
    <w:rsid w:val="005B37D0"/>
    <w:rsid w:val="005B3D20"/>
    <w:rsid w:val="005B47FD"/>
    <w:rsid w:val="005B4C2E"/>
    <w:rsid w:val="005B6702"/>
    <w:rsid w:val="005B68AA"/>
    <w:rsid w:val="005C2F24"/>
    <w:rsid w:val="005C6400"/>
    <w:rsid w:val="005D0A7B"/>
    <w:rsid w:val="005D1287"/>
    <w:rsid w:val="005D1876"/>
    <w:rsid w:val="005D65C5"/>
    <w:rsid w:val="005D6674"/>
    <w:rsid w:val="005E2B34"/>
    <w:rsid w:val="005E4E92"/>
    <w:rsid w:val="005E52CB"/>
    <w:rsid w:val="005E54FE"/>
    <w:rsid w:val="005E783F"/>
    <w:rsid w:val="005F7ED4"/>
    <w:rsid w:val="006017BF"/>
    <w:rsid w:val="00601C79"/>
    <w:rsid w:val="00602819"/>
    <w:rsid w:val="00602F88"/>
    <w:rsid w:val="00603FB5"/>
    <w:rsid w:val="00605826"/>
    <w:rsid w:val="00610AC2"/>
    <w:rsid w:val="006122C4"/>
    <w:rsid w:val="006128DC"/>
    <w:rsid w:val="00613076"/>
    <w:rsid w:val="006165BA"/>
    <w:rsid w:val="006166F9"/>
    <w:rsid w:val="00616E69"/>
    <w:rsid w:val="00620C48"/>
    <w:rsid w:val="00621BDD"/>
    <w:rsid w:val="0063188E"/>
    <w:rsid w:val="00632625"/>
    <w:rsid w:val="00634394"/>
    <w:rsid w:val="00635B2A"/>
    <w:rsid w:val="00635F41"/>
    <w:rsid w:val="006401A2"/>
    <w:rsid w:val="0064120A"/>
    <w:rsid w:val="00643567"/>
    <w:rsid w:val="006541CC"/>
    <w:rsid w:val="00656B24"/>
    <w:rsid w:val="00661F91"/>
    <w:rsid w:val="006640BD"/>
    <w:rsid w:val="0066442C"/>
    <w:rsid w:val="006649FF"/>
    <w:rsid w:val="00667934"/>
    <w:rsid w:val="00670E7C"/>
    <w:rsid w:val="00671980"/>
    <w:rsid w:val="00672477"/>
    <w:rsid w:val="0067428B"/>
    <w:rsid w:val="00675B46"/>
    <w:rsid w:val="00681124"/>
    <w:rsid w:val="00681985"/>
    <w:rsid w:val="00684408"/>
    <w:rsid w:val="006878F6"/>
    <w:rsid w:val="00692932"/>
    <w:rsid w:val="00693186"/>
    <w:rsid w:val="00693B2B"/>
    <w:rsid w:val="00694CD4"/>
    <w:rsid w:val="006965E8"/>
    <w:rsid w:val="006977F2"/>
    <w:rsid w:val="006A1864"/>
    <w:rsid w:val="006A23EF"/>
    <w:rsid w:val="006A2490"/>
    <w:rsid w:val="006A2645"/>
    <w:rsid w:val="006A491F"/>
    <w:rsid w:val="006A7E12"/>
    <w:rsid w:val="006B04C9"/>
    <w:rsid w:val="006B31EF"/>
    <w:rsid w:val="006B3CB4"/>
    <w:rsid w:val="006B5068"/>
    <w:rsid w:val="006B576C"/>
    <w:rsid w:val="006B7838"/>
    <w:rsid w:val="006C0851"/>
    <w:rsid w:val="006C0DDD"/>
    <w:rsid w:val="006C3C19"/>
    <w:rsid w:val="006C6E7B"/>
    <w:rsid w:val="006C7BB1"/>
    <w:rsid w:val="006D7A72"/>
    <w:rsid w:val="006D7AA5"/>
    <w:rsid w:val="006E0D86"/>
    <w:rsid w:val="006E21DB"/>
    <w:rsid w:val="006E7694"/>
    <w:rsid w:val="006F406B"/>
    <w:rsid w:val="006F4928"/>
    <w:rsid w:val="007024C4"/>
    <w:rsid w:val="007040D9"/>
    <w:rsid w:val="007048FE"/>
    <w:rsid w:val="0071265E"/>
    <w:rsid w:val="007127C3"/>
    <w:rsid w:val="00716032"/>
    <w:rsid w:val="007164A5"/>
    <w:rsid w:val="007170FF"/>
    <w:rsid w:val="00717BD6"/>
    <w:rsid w:val="007201B1"/>
    <w:rsid w:val="007207BE"/>
    <w:rsid w:val="00722C77"/>
    <w:rsid w:val="00723BF6"/>
    <w:rsid w:val="007247DA"/>
    <w:rsid w:val="00730F11"/>
    <w:rsid w:val="0073337B"/>
    <w:rsid w:val="00733C18"/>
    <w:rsid w:val="007343D7"/>
    <w:rsid w:val="00735A17"/>
    <w:rsid w:val="0074020E"/>
    <w:rsid w:val="0074062E"/>
    <w:rsid w:val="00741902"/>
    <w:rsid w:val="00747B12"/>
    <w:rsid w:val="00750570"/>
    <w:rsid w:val="00754F39"/>
    <w:rsid w:val="007558A1"/>
    <w:rsid w:val="007568DD"/>
    <w:rsid w:val="00762ACD"/>
    <w:rsid w:val="0076463E"/>
    <w:rsid w:val="00767158"/>
    <w:rsid w:val="00782AAD"/>
    <w:rsid w:val="00786806"/>
    <w:rsid w:val="00786C57"/>
    <w:rsid w:val="00790C59"/>
    <w:rsid w:val="00790CF9"/>
    <w:rsid w:val="00794465"/>
    <w:rsid w:val="00794CE6"/>
    <w:rsid w:val="0079514E"/>
    <w:rsid w:val="00795E0B"/>
    <w:rsid w:val="00797463"/>
    <w:rsid w:val="0079776F"/>
    <w:rsid w:val="007A0000"/>
    <w:rsid w:val="007A0290"/>
    <w:rsid w:val="007A0442"/>
    <w:rsid w:val="007A22E1"/>
    <w:rsid w:val="007A3360"/>
    <w:rsid w:val="007A5FCC"/>
    <w:rsid w:val="007B1073"/>
    <w:rsid w:val="007B2CCD"/>
    <w:rsid w:val="007B374F"/>
    <w:rsid w:val="007B3D08"/>
    <w:rsid w:val="007B473F"/>
    <w:rsid w:val="007B7823"/>
    <w:rsid w:val="007C0BA5"/>
    <w:rsid w:val="007C1498"/>
    <w:rsid w:val="007C28F2"/>
    <w:rsid w:val="007C7EE4"/>
    <w:rsid w:val="007D038B"/>
    <w:rsid w:val="007D3AD4"/>
    <w:rsid w:val="007D3CDF"/>
    <w:rsid w:val="007D4588"/>
    <w:rsid w:val="007D59F2"/>
    <w:rsid w:val="007E2511"/>
    <w:rsid w:val="007E3645"/>
    <w:rsid w:val="007E3ABB"/>
    <w:rsid w:val="007E7948"/>
    <w:rsid w:val="007F46DE"/>
    <w:rsid w:val="007F4D08"/>
    <w:rsid w:val="007F76A3"/>
    <w:rsid w:val="008012D8"/>
    <w:rsid w:val="008058BC"/>
    <w:rsid w:val="008061FC"/>
    <w:rsid w:val="008079C7"/>
    <w:rsid w:val="00811146"/>
    <w:rsid w:val="008137CE"/>
    <w:rsid w:val="00814463"/>
    <w:rsid w:val="00814E8D"/>
    <w:rsid w:val="00815077"/>
    <w:rsid w:val="00815CAF"/>
    <w:rsid w:val="00817098"/>
    <w:rsid w:val="00825A91"/>
    <w:rsid w:val="008308E1"/>
    <w:rsid w:val="00831B41"/>
    <w:rsid w:val="008373EC"/>
    <w:rsid w:val="0083785D"/>
    <w:rsid w:val="00840007"/>
    <w:rsid w:val="0084135E"/>
    <w:rsid w:val="00842712"/>
    <w:rsid w:val="00842790"/>
    <w:rsid w:val="00843F2E"/>
    <w:rsid w:val="00845830"/>
    <w:rsid w:val="00845AB0"/>
    <w:rsid w:val="00852692"/>
    <w:rsid w:val="00852D48"/>
    <w:rsid w:val="0085496D"/>
    <w:rsid w:val="008607BA"/>
    <w:rsid w:val="00863947"/>
    <w:rsid w:val="00866182"/>
    <w:rsid w:val="008732B0"/>
    <w:rsid w:val="0087375D"/>
    <w:rsid w:val="00873D58"/>
    <w:rsid w:val="008772EC"/>
    <w:rsid w:val="00881A5D"/>
    <w:rsid w:val="00882A33"/>
    <w:rsid w:val="0088342B"/>
    <w:rsid w:val="00885269"/>
    <w:rsid w:val="008852E2"/>
    <w:rsid w:val="008906DD"/>
    <w:rsid w:val="0089192C"/>
    <w:rsid w:val="0089246E"/>
    <w:rsid w:val="008954DC"/>
    <w:rsid w:val="00895C99"/>
    <w:rsid w:val="00896969"/>
    <w:rsid w:val="008976A2"/>
    <w:rsid w:val="00897866"/>
    <w:rsid w:val="008A0E10"/>
    <w:rsid w:val="008A3563"/>
    <w:rsid w:val="008A4164"/>
    <w:rsid w:val="008A50C1"/>
    <w:rsid w:val="008A5DD5"/>
    <w:rsid w:val="008A6A00"/>
    <w:rsid w:val="008A7A47"/>
    <w:rsid w:val="008B0D02"/>
    <w:rsid w:val="008B198E"/>
    <w:rsid w:val="008B311F"/>
    <w:rsid w:val="008C006F"/>
    <w:rsid w:val="008C01FD"/>
    <w:rsid w:val="008C2FEF"/>
    <w:rsid w:val="008C4EFC"/>
    <w:rsid w:val="008C7039"/>
    <w:rsid w:val="008D03B8"/>
    <w:rsid w:val="008D0737"/>
    <w:rsid w:val="008D1D73"/>
    <w:rsid w:val="008D3022"/>
    <w:rsid w:val="008D35FB"/>
    <w:rsid w:val="008D4B1C"/>
    <w:rsid w:val="008D54BA"/>
    <w:rsid w:val="008D61FD"/>
    <w:rsid w:val="008E0113"/>
    <w:rsid w:val="008E233B"/>
    <w:rsid w:val="008E4894"/>
    <w:rsid w:val="008E5B05"/>
    <w:rsid w:val="008E6411"/>
    <w:rsid w:val="008F5DDC"/>
    <w:rsid w:val="00902A5E"/>
    <w:rsid w:val="00913AE3"/>
    <w:rsid w:val="00914CBB"/>
    <w:rsid w:val="009172AA"/>
    <w:rsid w:val="00925F3B"/>
    <w:rsid w:val="009271E5"/>
    <w:rsid w:val="00931C85"/>
    <w:rsid w:val="009320D3"/>
    <w:rsid w:val="00932894"/>
    <w:rsid w:val="00932F8D"/>
    <w:rsid w:val="0093392F"/>
    <w:rsid w:val="0093657F"/>
    <w:rsid w:val="0093743C"/>
    <w:rsid w:val="009408CC"/>
    <w:rsid w:val="00940BAD"/>
    <w:rsid w:val="0094255C"/>
    <w:rsid w:val="0094612C"/>
    <w:rsid w:val="00947F43"/>
    <w:rsid w:val="00950DFF"/>
    <w:rsid w:val="00953293"/>
    <w:rsid w:val="009544FA"/>
    <w:rsid w:val="009546DA"/>
    <w:rsid w:val="00954B40"/>
    <w:rsid w:val="009604BC"/>
    <w:rsid w:val="009610F0"/>
    <w:rsid w:val="00963A80"/>
    <w:rsid w:val="00965856"/>
    <w:rsid w:val="009658EF"/>
    <w:rsid w:val="00967694"/>
    <w:rsid w:val="00971BBD"/>
    <w:rsid w:val="00980BD4"/>
    <w:rsid w:val="00982E56"/>
    <w:rsid w:val="00983B6F"/>
    <w:rsid w:val="00983C76"/>
    <w:rsid w:val="00984774"/>
    <w:rsid w:val="00986A6B"/>
    <w:rsid w:val="0099106E"/>
    <w:rsid w:val="00995303"/>
    <w:rsid w:val="009A362F"/>
    <w:rsid w:val="009A65CC"/>
    <w:rsid w:val="009A6756"/>
    <w:rsid w:val="009A79F9"/>
    <w:rsid w:val="009B16D0"/>
    <w:rsid w:val="009B1F12"/>
    <w:rsid w:val="009B2B0B"/>
    <w:rsid w:val="009B75DC"/>
    <w:rsid w:val="009C017A"/>
    <w:rsid w:val="009C11DA"/>
    <w:rsid w:val="009C1FDA"/>
    <w:rsid w:val="009C2173"/>
    <w:rsid w:val="009C4027"/>
    <w:rsid w:val="009C6777"/>
    <w:rsid w:val="009C6E64"/>
    <w:rsid w:val="009C6FC4"/>
    <w:rsid w:val="009C7095"/>
    <w:rsid w:val="009D1BC9"/>
    <w:rsid w:val="009D7ECE"/>
    <w:rsid w:val="009E6D94"/>
    <w:rsid w:val="009E6DF6"/>
    <w:rsid w:val="009E7AD8"/>
    <w:rsid w:val="009F1234"/>
    <w:rsid w:val="009F24D9"/>
    <w:rsid w:val="009F3997"/>
    <w:rsid w:val="009F5663"/>
    <w:rsid w:val="00A13072"/>
    <w:rsid w:val="00A131D9"/>
    <w:rsid w:val="00A1452E"/>
    <w:rsid w:val="00A15C65"/>
    <w:rsid w:val="00A177FB"/>
    <w:rsid w:val="00A2224F"/>
    <w:rsid w:val="00A243A1"/>
    <w:rsid w:val="00A26690"/>
    <w:rsid w:val="00A27E2B"/>
    <w:rsid w:val="00A30F65"/>
    <w:rsid w:val="00A33909"/>
    <w:rsid w:val="00A35165"/>
    <w:rsid w:val="00A3555F"/>
    <w:rsid w:val="00A37C85"/>
    <w:rsid w:val="00A402D2"/>
    <w:rsid w:val="00A433B6"/>
    <w:rsid w:val="00A4365D"/>
    <w:rsid w:val="00A44438"/>
    <w:rsid w:val="00A44B38"/>
    <w:rsid w:val="00A44D86"/>
    <w:rsid w:val="00A45734"/>
    <w:rsid w:val="00A461B9"/>
    <w:rsid w:val="00A47577"/>
    <w:rsid w:val="00A47C30"/>
    <w:rsid w:val="00A53C6F"/>
    <w:rsid w:val="00A53F7F"/>
    <w:rsid w:val="00A63086"/>
    <w:rsid w:val="00A63FF5"/>
    <w:rsid w:val="00A64471"/>
    <w:rsid w:val="00A64DA3"/>
    <w:rsid w:val="00A65161"/>
    <w:rsid w:val="00A65CF7"/>
    <w:rsid w:val="00A662D5"/>
    <w:rsid w:val="00A72A14"/>
    <w:rsid w:val="00A731DD"/>
    <w:rsid w:val="00A76066"/>
    <w:rsid w:val="00A80F32"/>
    <w:rsid w:val="00A81D6D"/>
    <w:rsid w:val="00A8366A"/>
    <w:rsid w:val="00A85CF6"/>
    <w:rsid w:val="00A86984"/>
    <w:rsid w:val="00A87FF7"/>
    <w:rsid w:val="00A916F1"/>
    <w:rsid w:val="00A91DA7"/>
    <w:rsid w:val="00A9377B"/>
    <w:rsid w:val="00A93AC1"/>
    <w:rsid w:val="00A94B77"/>
    <w:rsid w:val="00A94E4B"/>
    <w:rsid w:val="00A96DB6"/>
    <w:rsid w:val="00AA1CEB"/>
    <w:rsid w:val="00AB015B"/>
    <w:rsid w:val="00AB0B45"/>
    <w:rsid w:val="00AB1BDE"/>
    <w:rsid w:val="00AB4FB9"/>
    <w:rsid w:val="00AC2DC4"/>
    <w:rsid w:val="00AC3594"/>
    <w:rsid w:val="00AC4410"/>
    <w:rsid w:val="00AC5099"/>
    <w:rsid w:val="00AC53B2"/>
    <w:rsid w:val="00AC6CFC"/>
    <w:rsid w:val="00AC7A6B"/>
    <w:rsid w:val="00AC7D8E"/>
    <w:rsid w:val="00AD3A0B"/>
    <w:rsid w:val="00AD4A74"/>
    <w:rsid w:val="00AD4F98"/>
    <w:rsid w:val="00AE1D6B"/>
    <w:rsid w:val="00AE2AB4"/>
    <w:rsid w:val="00AE31EB"/>
    <w:rsid w:val="00AE38A3"/>
    <w:rsid w:val="00AE3AAB"/>
    <w:rsid w:val="00AE4280"/>
    <w:rsid w:val="00AE4C51"/>
    <w:rsid w:val="00AE64B9"/>
    <w:rsid w:val="00AF1002"/>
    <w:rsid w:val="00AF5937"/>
    <w:rsid w:val="00AF6960"/>
    <w:rsid w:val="00B009A7"/>
    <w:rsid w:val="00B02619"/>
    <w:rsid w:val="00B03A70"/>
    <w:rsid w:val="00B040BE"/>
    <w:rsid w:val="00B05144"/>
    <w:rsid w:val="00B07475"/>
    <w:rsid w:val="00B0784C"/>
    <w:rsid w:val="00B07890"/>
    <w:rsid w:val="00B07C7D"/>
    <w:rsid w:val="00B12A59"/>
    <w:rsid w:val="00B12B44"/>
    <w:rsid w:val="00B12EFE"/>
    <w:rsid w:val="00B13BA7"/>
    <w:rsid w:val="00B13CEA"/>
    <w:rsid w:val="00B13EA1"/>
    <w:rsid w:val="00B15BDF"/>
    <w:rsid w:val="00B20CDD"/>
    <w:rsid w:val="00B21C23"/>
    <w:rsid w:val="00B22FE6"/>
    <w:rsid w:val="00B24D15"/>
    <w:rsid w:val="00B31126"/>
    <w:rsid w:val="00B322E0"/>
    <w:rsid w:val="00B328BD"/>
    <w:rsid w:val="00B35CB9"/>
    <w:rsid w:val="00B37DA3"/>
    <w:rsid w:val="00B406F9"/>
    <w:rsid w:val="00B40985"/>
    <w:rsid w:val="00B417E4"/>
    <w:rsid w:val="00B43169"/>
    <w:rsid w:val="00B4465A"/>
    <w:rsid w:val="00B44FE7"/>
    <w:rsid w:val="00B45A92"/>
    <w:rsid w:val="00B46765"/>
    <w:rsid w:val="00B5087A"/>
    <w:rsid w:val="00B52680"/>
    <w:rsid w:val="00B52AA5"/>
    <w:rsid w:val="00B54AA3"/>
    <w:rsid w:val="00B57E4F"/>
    <w:rsid w:val="00B61EA0"/>
    <w:rsid w:val="00B6294B"/>
    <w:rsid w:val="00B62F75"/>
    <w:rsid w:val="00B6356C"/>
    <w:rsid w:val="00B648D0"/>
    <w:rsid w:val="00B66C68"/>
    <w:rsid w:val="00B66EBF"/>
    <w:rsid w:val="00B702DA"/>
    <w:rsid w:val="00B70BF4"/>
    <w:rsid w:val="00B7107F"/>
    <w:rsid w:val="00B7213C"/>
    <w:rsid w:val="00B77734"/>
    <w:rsid w:val="00B8240C"/>
    <w:rsid w:val="00B8389E"/>
    <w:rsid w:val="00B843C4"/>
    <w:rsid w:val="00B86546"/>
    <w:rsid w:val="00B879E1"/>
    <w:rsid w:val="00B905E0"/>
    <w:rsid w:val="00B90C5B"/>
    <w:rsid w:val="00B939E0"/>
    <w:rsid w:val="00B94C1B"/>
    <w:rsid w:val="00BA2ED5"/>
    <w:rsid w:val="00BA5510"/>
    <w:rsid w:val="00BA5512"/>
    <w:rsid w:val="00BA58ED"/>
    <w:rsid w:val="00BA6475"/>
    <w:rsid w:val="00BB0987"/>
    <w:rsid w:val="00BB377F"/>
    <w:rsid w:val="00BC6396"/>
    <w:rsid w:val="00BC6A70"/>
    <w:rsid w:val="00BC76E6"/>
    <w:rsid w:val="00BC7ECF"/>
    <w:rsid w:val="00BD08B6"/>
    <w:rsid w:val="00BD328C"/>
    <w:rsid w:val="00BD5F76"/>
    <w:rsid w:val="00BD6192"/>
    <w:rsid w:val="00BE0098"/>
    <w:rsid w:val="00BE1043"/>
    <w:rsid w:val="00BE2689"/>
    <w:rsid w:val="00BE4333"/>
    <w:rsid w:val="00BE497C"/>
    <w:rsid w:val="00BE4985"/>
    <w:rsid w:val="00BE78F3"/>
    <w:rsid w:val="00BF1EA7"/>
    <w:rsid w:val="00BF299C"/>
    <w:rsid w:val="00BF2C5E"/>
    <w:rsid w:val="00BF37CA"/>
    <w:rsid w:val="00BF40A2"/>
    <w:rsid w:val="00BF70AE"/>
    <w:rsid w:val="00C052DD"/>
    <w:rsid w:val="00C057FD"/>
    <w:rsid w:val="00C065E3"/>
    <w:rsid w:val="00C06A36"/>
    <w:rsid w:val="00C06CE8"/>
    <w:rsid w:val="00C11821"/>
    <w:rsid w:val="00C12412"/>
    <w:rsid w:val="00C135D5"/>
    <w:rsid w:val="00C137BE"/>
    <w:rsid w:val="00C143E9"/>
    <w:rsid w:val="00C151A9"/>
    <w:rsid w:val="00C1695F"/>
    <w:rsid w:val="00C16E47"/>
    <w:rsid w:val="00C202E8"/>
    <w:rsid w:val="00C27C8D"/>
    <w:rsid w:val="00C3051F"/>
    <w:rsid w:val="00C31E51"/>
    <w:rsid w:val="00C3234D"/>
    <w:rsid w:val="00C32DFD"/>
    <w:rsid w:val="00C33617"/>
    <w:rsid w:val="00C34022"/>
    <w:rsid w:val="00C35344"/>
    <w:rsid w:val="00C35AA8"/>
    <w:rsid w:val="00C40145"/>
    <w:rsid w:val="00C40B1E"/>
    <w:rsid w:val="00C456C1"/>
    <w:rsid w:val="00C520BB"/>
    <w:rsid w:val="00C55E4C"/>
    <w:rsid w:val="00C63B8E"/>
    <w:rsid w:val="00C63E6F"/>
    <w:rsid w:val="00C63FED"/>
    <w:rsid w:val="00C646DD"/>
    <w:rsid w:val="00C648BC"/>
    <w:rsid w:val="00C656C3"/>
    <w:rsid w:val="00C66E07"/>
    <w:rsid w:val="00C67109"/>
    <w:rsid w:val="00C67D78"/>
    <w:rsid w:val="00C70885"/>
    <w:rsid w:val="00C71C64"/>
    <w:rsid w:val="00C72993"/>
    <w:rsid w:val="00C73C49"/>
    <w:rsid w:val="00C75668"/>
    <w:rsid w:val="00C7764D"/>
    <w:rsid w:val="00C80B90"/>
    <w:rsid w:val="00C8231F"/>
    <w:rsid w:val="00C83016"/>
    <w:rsid w:val="00C83D1B"/>
    <w:rsid w:val="00C83F9A"/>
    <w:rsid w:val="00C85D78"/>
    <w:rsid w:val="00C8702C"/>
    <w:rsid w:val="00C87320"/>
    <w:rsid w:val="00C9023D"/>
    <w:rsid w:val="00C90EBC"/>
    <w:rsid w:val="00C91FDA"/>
    <w:rsid w:val="00C95668"/>
    <w:rsid w:val="00C95A4D"/>
    <w:rsid w:val="00C972D5"/>
    <w:rsid w:val="00CA0D3F"/>
    <w:rsid w:val="00CA4523"/>
    <w:rsid w:val="00CA506C"/>
    <w:rsid w:val="00CA5265"/>
    <w:rsid w:val="00CB2569"/>
    <w:rsid w:val="00CB3271"/>
    <w:rsid w:val="00CB78FD"/>
    <w:rsid w:val="00CC09DE"/>
    <w:rsid w:val="00CC2898"/>
    <w:rsid w:val="00CC44CA"/>
    <w:rsid w:val="00CC6B7E"/>
    <w:rsid w:val="00CC7151"/>
    <w:rsid w:val="00CD0EDC"/>
    <w:rsid w:val="00CD2E11"/>
    <w:rsid w:val="00CD469B"/>
    <w:rsid w:val="00CD4C82"/>
    <w:rsid w:val="00CD5FB3"/>
    <w:rsid w:val="00CE3006"/>
    <w:rsid w:val="00CE4970"/>
    <w:rsid w:val="00CE5646"/>
    <w:rsid w:val="00CE62A2"/>
    <w:rsid w:val="00CE7179"/>
    <w:rsid w:val="00CF1656"/>
    <w:rsid w:val="00CF1F2F"/>
    <w:rsid w:val="00CF29CB"/>
    <w:rsid w:val="00CF33C1"/>
    <w:rsid w:val="00CF48BE"/>
    <w:rsid w:val="00CF671C"/>
    <w:rsid w:val="00CF6785"/>
    <w:rsid w:val="00D02B16"/>
    <w:rsid w:val="00D03454"/>
    <w:rsid w:val="00D069EB"/>
    <w:rsid w:val="00D06AA5"/>
    <w:rsid w:val="00D06B29"/>
    <w:rsid w:val="00D07BEB"/>
    <w:rsid w:val="00D149C0"/>
    <w:rsid w:val="00D1758C"/>
    <w:rsid w:val="00D175BD"/>
    <w:rsid w:val="00D21B89"/>
    <w:rsid w:val="00D22621"/>
    <w:rsid w:val="00D22A86"/>
    <w:rsid w:val="00D22D57"/>
    <w:rsid w:val="00D2580D"/>
    <w:rsid w:val="00D27915"/>
    <w:rsid w:val="00D27D2B"/>
    <w:rsid w:val="00D30A5C"/>
    <w:rsid w:val="00D30F7A"/>
    <w:rsid w:val="00D3162F"/>
    <w:rsid w:val="00D336E5"/>
    <w:rsid w:val="00D36225"/>
    <w:rsid w:val="00D3630A"/>
    <w:rsid w:val="00D403DA"/>
    <w:rsid w:val="00D421B8"/>
    <w:rsid w:val="00D472D2"/>
    <w:rsid w:val="00D559D3"/>
    <w:rsid w:val="00D56193"/>
    <w:rsid w:val="00D57A74"/>
    <w:rsid w:val="00D57F53"/>
    <w:rsid w:val="00D65375"/>
    <w:rsid w:val="00D71027"/>
    <w:rsid w:val="00D7760C"/>
    <w:rsid w:val="00D832BA"/>
    <w:rsid w:val="00D84FB6"/>
    <w:rsid w:val="00D8693E"/>
    <w:rsid w:val="00D905AA"/>
    <w:rsid w:val="00D90D58"/>
    <w:rsid w:val="00D91D86"/>
    <w:rsid w:val="00D935FB"/>
    <w:rsid w:val="00D936D6"/>
    <w:rsid w:val="00D95F7C"/>
    <w:rsid w:val="00D960E4"/>
    <w:rsid w:val="00D960EA"/>
    <w:rsid w:val="00DA05A4"/>
    <w:rsid w:val="00DA5F02"/>
    <w:rsid w:val="00DA6647"/>
    <w:rsid w:val="00DA6A25"/>
    <w:rsid w:val="00DA7DA6"/>
    <w:rsid w:val="00DB5ABB"/>
    <w:rsid w:val="00DB6652"/>
    <w:rsid w:val="00DC10F2"/>
    <w:rsid w:val="00DC2458"/>
    <w:rsid w:val="00DC42A6"/>
    <w:rsid w:val="00DD0EC3"/>
    <w:rsid w:val="00DD2FA7"/>
    <w:rsid w:val="00DD51E7"/>
    <w:rsid w:val="00DD673D"/>
    <w:rsid w:val="00DE0D7B"/>
    <w:rsid w:val="00DE18A7"/>
    <w:rsid w:val="00DE2CC7"/>
    <w:rsid w:val="00DE3035"/>
    <w:rsid w:val="00DE36A7"/>
    <w:rsid w:val="00DE3F5A"/>
    <w:rsid w:val="00DE42D6"/>
    <w:rsid w:val="00DE6428"/>
    <w:rsid w:val="00DE6B14"/>
    <w:rsid w:val="00DE7683"/>
    <w:rsid w:val="00DF0AC4"/>
    <w:rsid w:val="00DF0E8B"/>
    <w:rsid w:val="00DF1CEC"/>
    <w:rsid w:val="00DF2AF3"/>
    <w:rsid w:val="00DF5761"/>
    <w:rsid w:val="00DF6D18"/>
    <w:rsid w:val="00DF6E9B"/>
    <w:rsid w:val="00E027EA"/>
    <w:rsid w:val="00E0353B"/>
    <w:rsid w:val="00E05CA3"/>
    <w:rsid w:val="00E06193"/>
    <w:rsid w:val="00E10069"/>
    <w:rsid w:val="00E10D46"/>
    <w:rsid w:val="00E14302"/>
    <w:rsid w:val="00E173B4"/>
    <w:rsid w:val="00E2124B"/>
    <w:rsid w:val="00E2130A"/>
    <w:rsid w:val="00E219B8"/>
    <w:rsid w:val="00E2247A"/>
    <w:rsid w:val="00E22550"/>
    <w:rsid w:val="00E22DFE"/>
    <w:rsid w:val="00E22EE5"/>
    <w:rsid w:val="00E23947"/>
    <w:rsid w:val="00E24C19"/>
    <w:rsid w:val="00E302CE"/>
    <w:rsid w:val="00E31922"/>
    <w:rsid w:val="00E326D7"/>
    <w:rsid w:val="00E35B11"/>
    <w:rsid w:val="00E35FDB"/>
    <w:rsid w:val="00E37C9A"/>
    <w:rsid w:val="00E40389"/>
    <w:rsid w:val="00E405CD"/>
    <w:rsid w:val="00E40963"/>
    <w:rsid w:val="00E441CF"/>
    <w:rsid w:val="00E45AB8"/>
    <w:rsid w:val="00E47EFF"/>
    <w:rsid w:val="00E5262B"/>
    <w:rsid w:val="00E529D6"/>
    <w:rsid w:val="00E53314"/>
    <w:rsid w:val="00E55F27"/>
    <w:rsid w:val="00E562BD"/>
    <w:rsid w:val="00E56B56"/>
    <w:rsid w:val="00E62087"/>
    <w:rsid w:val="00E64445"/>
    <w:rsid w:val="00E6592B"/>
    <w:rsid w:val="00E66C74"/>
    <w:rsid w:val="00E67067"/>
    <w:rsid w:val="00E70A3E"/>
    <w:rsid w:val="00E755DA"/>
    <w:rsid w:val="00E76625"/>
    <w:rsid w:val="00E8022D"/>
    <w:rsid w:val="00E8025F"/>
    <w:rsid w:val="00E818C7"/>
    <w:rsid w:val="00E853E8"/>
    <w:rsid w:val="00E85BBF"/>
    <w:rsid w:val="00E86F68"/>
    <w:rsid w:val="00E87171"/>
    <w:rsid w:val="00E901C3"/>
    <w:rsid w:val="00E94E8E"/>
    <w:rsid w:val="00E972A2"/>
    <w:rsid w:val="00E97EA9"/>
    <w:rsid w:val="00EA476F"/>
    <w:rsid w:val="00EB2A81"/>
    <w:rsid w:val="00EB3C55"/>
    <w:rsid w:val="00EB4F24"/>
    <w:rsid w:val="00EB6198"/>
    <w:rsid w:val="00EC5541"/>
    <w:rsid w:val="00ED3595"/>
    <w:rsid w:val="00EE1346"/>
    <w:rsid w:val="00EE1A0F"/>
    <w:rsid w:val="00EE1BCB"/>
    <w:rsid w:val="00EE6CD9"/>
    <w:rsid w:val="00EF4668"/>
    <w:rsid w:val="00EF4B28"/>
    <w:rsid w:val="00EF6564"/>
    <w:rsid w:val="00F00713"/>
    <w:rsid w:val="00F02820"/>
    <w:rsid w:val="00F03ADD"/>
    <w:rsid w:val="00F0423A"/>
    <w:rsid w:val="00F048AA"/>
    <w:rsid w:val="00F06375"/>
    <w:rsid w:val="00F06740"/>
    <w:rsid w:val="00F06CAC"/>
    <w:rsid w:val="00F06F69"/>
    <w:rsid w:val="00F07545"/>
    <w:rsid w:val="00F07E84"/>
    <w:rsid w:val="00F10E9D"/>
    <w:rsid w:val="00F11764"/>
    <w:rsid w:val="00F118F5"/>
    <w:rsid w:val="00F11E7A"/>
    <w:rsid w:val="00F13044"/>
    <w:rsid w:val="00F13252"/>
    <w:rsid w:val="00F159C3"/>
    <w:rsid w:val="00F15CDC"/>
    <w:rsid w:val="00F22778"/>
    <w:rsid w:val="00F22CD4"/>
    <w:rsid w:val="00F236D4"/>
    <w:rsid w:val="00F27B0C"/>
    <w:rsid w:val="00F3101B"/>
    <w:rsid w:val="00F319FA"/>
    <w:rsid w:val="00F3355B"/>
    <w:rsid w:val="00F43182"/>
    <w:rsid w:val="00F435BE"/>
    <w:rsid w:val="00F438BD"/>
    <w:rsid w:val="00F43B09"/>
    <w:rsid w:val="00F44395"/>
    <w:rsid w:val="00F4554D"/>
    <w:rsid w:val="00F45804"/>
    <w:rsid w:val="00F47249"/>
    <w:rsid w:val="00F509E4"/>
    <w:rsid w:val="00F52ED0"/>
    <w:rsid w:val="00F56CCE"/>
    <w:rsid w:val="00F579DF"/>
    <w:rsid w:val="00F606A5"/>
    <w:rsid w:val="00F62E45"/>
    <w:rsid w:val="00F63641"/>
    <w:rsid w:val="00F665DF"/>
    <w:rsid w:val="00F70E42"/>
    <w:rsid w:val="00F72112"/>
    <w:rsid w:val="00F75BF3"/>
    <w:rsid w:val="00F76E64"/>
    <w:rsid w:val="00F76F76"/>
    <w:rsid w:val="00F83E5B"/>
    <w:rsid w:val="00F84B7F"/>
    <w:rsid w:val="00F86694"/>
    <w:rsid w:val="00F872D8"/>
    <w:rsid w:val="00F878BF"/>
    <w:rsid w:val="00F87DA6"/>
    <w:rsid w:val="00F910B1"/>
    <w:rsid w:val="00F93144"/>
    <w:rsid w:val="00F93703"/>
    <w:rsid w:val="00F94C84"/>
    <w:rsid w:val="00F9785A"/>
    <w:rsid w:val="00FA0311"/>
    <w:rsid w:val="00FA16B0"/>
    <w:rsid w:val="00FA2DD0"/>
    <w:rsid w:val="00FA4B8D"/>
    <w:rsid w:val="00FA7EA5"/>
    <w:rsid w:val="00FB373B"/>
    <w:rsid w:val="00FB4048"/>
    <w:rsid w:val="00FB58D6"/>
    <w:rsid w:val="00FB5BC3"/>
    <w:rsid w:val="00FB644D"/>
    <w:rsid w:val="00FB7680"/>
    <w:rsid w:val="00FB78B0"/>
    <w:rsid w:val="00FB79EB"/>
    <w:rsid w:val="00FB7A04"/>
    <w:rsid w:val="00FC0720"/>
    <w:rsid w:val="00FC2024"/>
    <w:rsid w:val="00FC227A"/>
    <w:rsid w:val="00FC25AA"/>
    <w:rsid w:val="00FC3255"/>
    <w:rsid w:val="00FC6CD0"/>
    <w:rsid w:val="00FC7BB4"/>
    <w:rsid w:val="00FD26EA"/>
    <w:rsid w:val="00FD3272"/>
    <w:rsid w:val="00FD3EF6"/>
    <w:rsid w:val="00FD64E8"/>
    <w:rsid w:val="00FE1080"/>
    <w:rsid w:val="00FE34D4"/>
    <w:rsid w:val="00FE3687"/>
    <w:rsid w:val="00FE488C"/>
    <w:rsid w:val="00FF00EF"/>
    <w:rsid w:val="00FF05CA"/>
    <w:rsid w:val="00FF2E3D"/>
    <w:rsid w:val="00FF5C7F"/>
    <w:rsid w:val="00FF6880"/>
    <w:rsid w:val="00FF6CC7"/>
    <w:rsid w:val="00FF6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B404AB2"/>
  <w15:chartTrackingRefBased/>
  <w15:docId w15:val="{CB11D400-4705-4395-A74A-281CC969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55"/>
    <w:pPr>
      <w:spacing w:after="11" w:line="330" w:lineRule="auto"/>
      <w:ind w:right="176" w:firstLine="289"/>
      <w:jc w:val="both"/>
    </w:pPr>
    <w:rPr>
      <w:rFonts w:ascii="Calibri" w:eastAsia="Calibri" w:hAnsi="Calibri" w:cs="Calibri"/>
      <w:color w:val="000000"/>
      <w:sz w:val="20"/>
      <w:szCs w:val="24"/>
      <w:lang w:val="en-NZ" w:eastAsia="en-NZ"/>
    </w:rPr>
  </w:style>
  <w:style w:type="paragraph" w:styleId="Heading1">
    <w:name w:val="heading 1"/>
    <w:basedOn w:val="Normal"/>
    <w:next w:val="Normal"/>
    <w:link w:val="Heading1Char"/>
    <w:uiPriority w:val="9"/>
    <w:qFormat/>
    <w:rsid w:val="00307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7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1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1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1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71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071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1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1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1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1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1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1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155"/>
    <w:rPr>
      <w:rFonts w:eastAsiaTheme="majorEastAsia" w:cstheme="majorBidi"/>
      <w:color w:val="272727" w:themeColor="text1" w:themeTint="D8"/>
    </w:rPr>
  </w:style>
  <w:style w:type="paragraph" w:styleId="Title">
    <w:name w:val="Title"/>
    <w:basedOn w:val="Normal"/>
    <w:next w:val="Normal"/>
    <w:link w:val="TitleChar"/>
    <w:uiPriority w:val="10"/>
    <w:qFormat/>
    <w:rsid w:val="00307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155"/>
    <w:pPr>
      <w:numPr>
        <w:ilvl w:val="1"/>
      </w:numPr>
      <w:ind w:firstLine="28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155"/>
    <w:pPr>
      <w:spacing w:before="160"/>
      <w:jc w:val="center"/>
    </w:pPr>
    <w:rPr>
      <w:i/>
      <w:iCs/>
      <w:color w:val="404040" w:themeColor="text1" w:themeTint="BF"/>
    </w:rPr>
  </w:style>
  <w:style w:type="character" w:customStyle="1" w:styleId="QuoteChar">
    <w:name w:val="Quote Char"/>
    <w:basedOn w:val="DefaultParagraphFont"/>
    <w:link w:val="Quote"/>
    <w:uiPriority w:val="29"/>
    <w:rsid w:val="00307155"/>
    <w:rPr>
      <w:i/>
      <w:iCs/>
      <w:color w:val="404040" w:themeColor="text1" w:themeTint="BF"/>
    </w:rPr>
  </w:style>
  <w:style w:type="paragraph" w:styleId="ListParagraph">
    <w:name w:val="List Paragraph"/>
    <w:basedOn w:val="Normal"/>
    <w:uiPriority w:val="34"/>
    <w:qFormat/>
    <w:rsid w:val="00307155"/>
    <w:pPr>
      <w:ind w:left="720"/>
      <w:contextualSpacing/>
    </w:pPr>
  </w:style>
  <w:style w:type="character" w:styleId="IntenseEmphasis">
    <w:name w:val="Intense Emphasis"/>
    <w:basedOn w:val="DefaultParagraphFont"/>
    <w:uiPriority w:val="21"/>
    <w:qFormat/>
    <w:rsid w:val="00307155"/>
    <w:rPr>
      <w:i/>
      <w:iCs/>
      <w:color w:val="0F4761" w:themeColor="accent1" w:themeShade="BF"/>
    </w:rPr>
  </w:style>
  <w:style w:type="paragraph" w:styleId="IntenseQuote">
    <w:name w:val="Intense Quote"/>
    <w:basedOn w:val="Normal"/>
    <w:next w:val="Normal"/>
    <w:link w:val="IntenseQuoteChar"/>
    <w:uiPriority w:val="30"/>
    <w:qFormat/>
    <w:rsid w:val="00307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155"/>
    <w:rPr>
      <w:i/>
      <w:iCs/>
      <w:color w:val="0F4761" w:themeColor="accent1" w:themeShade="BF"/>
    </w:rPr>
  </w:style>
  <w:style w:type="character" w:styleId="IntenseReference">
    <w:name w:val="Intense Reference"/>
    <w:basedOn w:val="DefaultParagraphFont"/>
    <w:uiPriority w:val="32"/>
    <w:qFormat/>
    <w:rsid w:val="00307155"/>
    <w:rPr>
      <w:b/>
      <w:bCs/>
      <w:smallCaps/>
      <w:color w:val="0F4761" w:themeColor="accent1" w:themeShade="BF"/>
      <w:spacing w:val="5"/>
    </w:rPr>
  </w:style>
  <w:style w:type="paragraph" w:customStyle="1" w:styleId="footnotedescription">
    <w:name w:val="footnote description"/>
    <w:next w:val="Normal"/>
    <w:link w:val="footnotedescriptionChar"/>
    <w:hidden/>
    <w:rsid w:val="00307155"/>
    <w:pPr>
      <w:spacing w:after="0"/>
      <w:ind w:firstLine="149"/>
      <w:jc w:val="both"/>
    </w:pPr>
    <w:rPr>
      <w:rFonts w:ascii="Calibri" w:eastAsia="Calibri" w:hAnsi="Calibri" w:cs="Calibri"/>
      <w:color w:val="000000"/>
      <w:sz w:val="16"/>
      <w:szCs w:val="24"/>
      <w:lang w:val="en-NZ" w:eastAsia="en-NZ"/>
    </w:rPr>
  </w:style>
  <w:style w:type="character" w:customStyle="1" w:styleId="footnotedescriptionChar">
    <w:name w:val="footnote description Char"/>
    <w:link w:val="footnotedescription"/>
    <w:rsid w:val="00307155"/>
    <w:rPr>
      <w:rFonts w:ascii="Calibri" w:eastAsia="Calibri" w:hAnsi="Calibri" w:cs="Calibri"/>
      <w:color w:val="000000"/>
      <w:sz w:val="16"/>
      <w:szCs w:val="24"/>
      <w:lang w:val="en-NZ" w:eastAsia="en-NZ"/>
    </w:rPr>
  </w:style>
  <w:style w:type="character" w:customStyle="1" w:styleId="footnotemark">
    <w:name w:val="footnote mark"/>
    <w:hidden/>
    <w:rsid w:val="00307155"/>
    <w:rPr>
      <w:rFonts w:ascii="Calibri" w:eastAsia="Calibri" w:hAnsi="Calibri" w:cs="Calibri"/>
      <w:color w:val="000000"/>
      <w:sz w:val="16"/>
      <w:vertAlign w:val="superscript"/>
    </w:rPr>
  </w:style>
  <w:style w:type="table" w:customStyle="1" w:styleId="TableGrid">
    <w:name w:val="TableGrid"/>
    <w:rsid w:val="00307155"/>
    <w:pPr>
      <w:spacing w:after="0" w:line="240" w:lineRule="auto"/>
    </w:pPr>
    <w:rPr>
      <w:rFonts w:eastAsiaTheme="minorEastAsia"/>
      <w:sz w:val="24"/>
      <w:szCs w:val="24"/>
      <w:lang w:val="en-NZ" w:eastAsia="en-NZ"/>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307155"/>
    <w:pPr>
      <w:spacing w:after="0" w:line="240" w:lineRule="auto"/>
    </w:pPr>
    <w:rPr>
      <w:szCs w:val="20"/>
    </w:rPr>
  </w:style>
  <w:style w:type="character" w:customStyle="1" w:styleId="FootnoteTextChar">
    <w:name w:val="Footnote Text Char"/>
    <w:basedOn w:val="DefaultParagraphFont"/>
    <w:link w:val="FootnoteText"/>
    <w:uiPriority w:val="99"/>
    <w:rsid w:val="00307155"/>
    <w:rPr>
      <w:rFonts w:ascii="Calibri" w:eastAsia="Calibri" w:hAnsi="Calibri" w:cs="Calibri"/>
      <w:color w:val="000000"/>
      <w:sz w:val="20"/>
      <w:szCs w:val="20"/>
      <w:lang w:val="en-NZ" w:eastAsia="en-NZ"/>
    </w:rPr>
  </w:style>
  <w:style w:type="character" w:styleId="FootnoteReference">
    <w:name w:val="footnote reference"/>
    <w:basedOn w:val="DefaultParagraphFont"/>
    <w:uiPriority w:val="99"/>
    <w:semiHidden/>
    <w:unhideWhenUsed/>
    <w:rsid w:val="00307155"/>
    <w:rPr>
      <w:vertAlign w:val="superscript"/>
    </w:rPr>
  </w:style>
  <w:style w:type="character" w:styleId="PlaceholderText">
    <w:name w:val="Placeholder Text"/>
    <w:basedOn w:val="DefaultParagraphFont"/>
    <w:uiPriority w:val="99"/>
    <w:semiHidden/>
    <w:rsid w:val="00307155"/>
    <w:rPr>
      <w:color w:val="666666"/>
    </w:rPr>
  </w:style>
  <w:style w:type="table" w:styleId="TableGrid0">
    <w:name w:val="Table Grid"/>
    <w:basedOn w:val="TableNormal"/>
    <w:uiPriority w:val="39"/>
    <w:rsid w:val="00307155"/>
    <w:pPr>
      <w:spacing w:after="0" w:line="240" w:lineRule="auto"/>
    </w:pPr>
    <w:rPr>
      <w:sz w:val="24"/>
      <w:szCs w:val="24"/>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7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155"/>
    <w:rPr>
      <w:rFonts w:ascii="Calibri" w:eastAsia="Calibri" w:hAnsi="Calibri" w:cs="Calibri"/>
      <w:color w:val="000000"/>
      <w:sz w:val="20"/>
      <w:szCs w:val="24"/>
      <w:lang w:val="en-NZ" w:eastAsia="en-NZ"/>
    </w:rPr>
  </w:style>
  <w:style w:type="paragraph" w:styleId="Revision">
    <w:name w:val="Revision"/>
    <w:hidden/>
    <w:uiPriority w:val="99"/>
    <w:semiHidden/>
    <w:rsid w:val="00307155"/>
    <w:pPr>
      <w:spacing w:after="0" w:line="240" w:lineRule="auto"/>
    </w:pPr>
    <w:rPr>
      <w:rFonts w:ascii="Calibri" w:eastAsia="Calibri" w:hAnsi="Calibri" w:cs="Calibri"/>
      <w:color w:val="000000"/>
      <w:sz w:val="20"/>
      <w:szCs w:val="24"/>
      <w:lang w:val="en-NZ" w:eastAsia="en-NZ"/>
    </w:rPr>
  </w:style>
  <w:style w:type="character" w:styleId="CommentReference">
    <w:name w:val="annotation reference"/>
    <w:basedOn w:val="DefaultParagraphFont"/>
    <w:uiPriority w:val="99"/>
    <w:semiHidden/>
    <w:unhideWhenUsed/>
    <w:rsid w:val="00307155"/>
    <w:rPr>
      <w:sz w:val="16"/>
      <w:szCs w:val="16"/>
    </w:rPr>
  </w:style>
  <w:style w:type="paragraph" w:styleId="CommentText">
    <w:name w:val="annotation text"/>
    <w:basedOn w:val="Normal"/>
    <w:link w:val="CommentTextChar"/>
    <w:uiPriority w:val="99"/>
    <w:unhideWhenUsed/>
    <w:rsid w:val="00307155"/>
    <w:pPr>
      <w:spacing w:line="240" w:lineRule="auto"/>
    </w:pPr>
    <w:rPr>
      <w:szCs w:val="20"/>
    </w:rPr>
  </w:style>
  <w:style w:type="character" w:customStyle="1" w:styleId="CommentTextChar">
    <w:name w:val="Comment Text Char"/>
    <w:basedOn w:val="DefaultParagraphFont"/>
    <w:link w:val="CommentText"/>
    <w:uiPriority w:val="99"/>
    <w:rsid w:val="00307155"/>
    <w:rPr>
      <w:rFonts w:ascii="Calibri" w:eastAsia="Calibri" w:hAnsi="Calibri" w:cs="Calibri"/>
      <w:color w:val="000000"/>
      <w:sz w:val="20"/>
      <w:szCs w:val="20"/>
      <w:lang w:val="en-NZ" w:eastAsia="en-NZ"/>
    </w:rPr>
  </w:style>
  <w:style w:type="paragraph" w:styleId="CommentSubject">
    <w:name w:val="annotation subject"/>
    <w:basedOn w:val="CommentText"/>
    <w:next w:val="CommentText"/>
    <w:link w:val="CommentSubjectChar"/>
    <w:uiPriority w:val="99"/>
    <w:semiHidden/>
    <w:unhideWhenUsed/>
    <w:rsid w:val="00307155"/>
    <w:rPr>
      <w:b/>
      <w:bCs/>
    </w:rPr>
  </w:style>
  <w:style w:type="character" w:customStyle="1" w:styleId="CommentSubjectChar">
    <w:name w:val="Comment Subject Char"/>
    <w:basedOn w:val="CommentTextChar"/>
    <w:link w:val="CommentSubject"/>
    <w:uiPriority w:val="99"/>
    <w:semiHidden/>
    <w:rsid w:val="00307155"/>
    <w:rPr>
      <w:rFonts w:ascii="Calibri" w:eastAsia="Calibri" w:hAnsi="Calibri" w:cs="Calibri"/>
      <w:b/>
      <w:bCs/>
      <w:color w:val="000000"/>
      <w:sz w:val="20"/>
      <w:szCs w:val="20"/>
      <w:lang w:val="en-NZ" w:eastAsia="en-NZ"/>
    </w:rPr>
  </w:style>
  <w:style w:type="character" w:customStyle="1" w:styleId="year">
    <w:name w:val="year"/>
    <w:basedOn w:val="DefaultParagraphFont"/>
    <w:rsid w:val="00307155"/>
  </w:style>
  <w:style w:type="character" w:customStyle="1" w:styleId="Title1">
    <w:name w:val="Title1"/>
    <w:basedOn w:val="DefaultParagraphFont"/>
    <w:rsid w:val="00307155"/>
  </w:style>
  <w:style w:type="character" w:customStyle="1" w:styleId="journal">
    <w:name w:val="journal"/>
    <w:basedOn w:val="DefaultParagraphFont"/>
    <w:rsid w:val="00307155"/>
  </w:style>
  <w:style w:type="character" w:customStyle="1" w:styleId="vol">
    <w:name w:val="vol"/>
    <w:basedOn w:val="DefaultParagraphFont"/>
    <w:rsid w:val="00307155"/>
  </w:style>
  <w:style w:type="character" w:customStyle="1" w:styleId="pages">
    <w:name w:val="pages"/>
    <w:basedOn w:val="DefaultParagraphFont"/>
    <w:rsid w:val="00307155"/>
  </w:style>
  <w:style w:type="paragraph" w:styleId="NormalWeb">
    <w:name w:val="Normal (Web)"/>
    <w:basedOn w:val="Normal"/>
    <w:uiPriority w:val="99"/>
    <w:semiHidden/>
    <w:unhideWhenUsed/>
    <w:rsid w:val="00307155"/>
    <w:pPr>
      <w:spacing w:before="100" w:beforeAutospacing="1" w:after="100" w:afterAutospacing="1" w:line="240" w:lineRule="auto"/>
      <w:ind w:right="0" w:firstLine="0"/>
      <w:jc w:val="left"/>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307155"/>
    <w:rPr>
      <w:color w:val="0000FF"/>
      <w:u w:val="single"/>
    </w:rPr>
  </w:style>
  <w:style w:type="character" w:styleId="UnresolvedMention">
    <w:name w:val="Unresolved Mention"/>
    <w:basedOn w:val="DefaultParagraphFont"/>
    <w:uiPriority w:val="99"/>
    <w:semiHidden/>
    <w:unhideWhenUsed/>
    <w:rsid w:val="00307155"/>
    <w:rPr>
      <w:color w:val="605E5C"/>
      <w:shd w:val="clear" w:color="auto" w:fill="E1DFDD"/>
    </w:rPr>
  </w:style>
  <w:style w:type="character" w:customStyle="1" w:styleId="cf01">
    <w:name w:val="cf01"/>
    <w:basedOn w:val="DefaultParagraphFont"/>
    <w:rsid w:val="00307155"/>
    <w:rPr>
      <w:rFonts w:ascii="Segoe UI" w:hAnsi="Segoe UI" w:cs="Segoe UI" w:hint="default"/>
      <w:sz w:val="18"/>
      <w:szCs w:val="18"/>
    </w:rPr>
  </w:style>
  <w:style w:type="paragraph" w:customStyle="1" w:styleId="pf0">
    <w:name w:val="pf0"/>
    <w:basedOn w:val="Normal"/>
    <w:rsid w:val="00307155"/>
    <w:pPr>
      <w:spacing w:before="100" w:beforeAutospacing="1" w:after="100" w:afterAutospacing="1" w:line="240" w:lineRule="auto"/>
      <w:ind w:right="0" w:firstLine="0"/>
      <w:jc w:val="left"/>
    </w:pPr>
    <w:rPr>
      <w:rFonts w:ascii="Times New Roman" w:eastAsia="Times New Roman" w:hAnsi="Times New Roman" w:cs="Times New Roman"/>
      <w:color w:val="auto"/>
      <w:kern w:val="0"/>
      <w:sz w:val="24"/>
      <w14:ligatures w14:val="none"/>
    </w:rPr>
  </w:style>
  <w:style w:type="character" w:customStyle="1" w:styleId="cf11">
    <w:name w:val="cf11"/>
    <w:basedOn w:val="DefaultParagraphFont"/>
    <w:rsid w:val="00307155"/>
    <w:rPr>
      <w:rFonts w:ascii="Segoe UI" w:hAnsi="Segoe UI" w:cs="Segoe UI" w:hint="default"/>
      <w:b/>
      <w:bCs/>
      <w:sz w:val="18"/>
      <w:szCs w:val="18"/>
    </w:rPr>
  </w:style>
  <w:style w:type="character" w:customStyle="1" w:styleId="cf21">
    <w:name w:val="cf21"/>
    <w:basedOn w:val="DefaultParagraphFont"/>
    <w:rsid w:val="00307155"/>
    <w:rPr>
      <w:rFonts w:ascii="Segoe UI" w:hAnsi="Segoe UI" w:cs="Segoe UI" w:hint="default"/>
      <w:sz w:val="18"/>
      <w:szCs w:val="18"/>
    </w:rPr>
  </w:style>
  <w:style w:type="paragraph" w:styleId="Footer">
    <w:name w:val="footer"/>
    <w:basedOn w:val="Normal"/>
    <w:link w:val="FooterChar"/>
    <w:uiPriority w:val="99"/>
    <w:unhideWhenUsed/>
    <w:rsid w:val="00307155"/>
    <w:pPr>
      <w:tabs>
        <w:tab w:val="center" w:pos="4680"/>
        <w:tab w:val="right" w:pos="9360"/>
      </w:tabs>
      <w:spacing w:after="0" w:line="240" w:lineRule="auto"/>
      <w:ind w:right="0" w:firstLine="0"/>
      <w:jc w:val="left"/>
    </w:pPr>
    <w:rPr>
      <w:rFonts w:asciiTheme="minorHAnsi" w:eastAsiaTheme="minorEastAsia" w:hAnsiTheme="minorHAnsi" w:cs="Times New Roman"/>
      <w:color w:val="auto"/>
      <w:kern w:val="0"/>
      <w:sz w:val="22"/>
      <w:szCs w:val="22"/>
      <w:lang w:val="en-US" w:eastAsia="en-US"/>
      <w14:ligatures w14:val="none"/>
    </w:rPr>
  </w:style>
  <w:style w:type="character" w:customStyle="1" w:styleId="FooterChar">
    <w:name w:val="Footer Char"/>
    <w:basedOn w:val="DefaultParagraphFont"/>
    <w:link w:val="Footer"/>
    <w:uiPriority w:val="99"/>
    <w:rsid w:val="00307155"/>
    <w:rPr>
      <w:rFonts w:eastAsiaTheme="minorEastAsia" w:cs="Times New Roman"/>
      <w:kern w:val="0"/>
      <w:lang w:val="en-US"/>
      <w14:ligatures w14:val="none"/>
    </w:rPr>
  </w:style>
  <w:style w:type="character" w:customStyle="1" w:styleId="page-headercitation-item-label">
    <w:name w:val="page-header__citation-item-label"/>
    <w:basedOn w:val="DefaultParagraphFont"/>
    <w:rsid w:val="00307155"/>
  </w:style>
  <w:style w:type="character" w:styleId="FollowedHyperlink">
    <w:name w:val="FollowedHyperlink"/>
    <w:basedOn w:val="DefaultParagraphFont"/>
    <w:uiPriority w:val="99"/>
    <w:semiHidden/>
    <w:unhideWhenUsed/>
    <w:rsid w:val="00307155"/>
    <w:rPr>
      <w:color w:val="96607D" w:themeColor="followedHyperlink"/>
      <w:u w:val="single"/>
    </w:rPr>
  </w:style>
  <w:style w:type="paragraph" w:styleId="PlainText">
    <w:name w:val="Plain Text"/>
    <w:basedOn w:val="Normal"/>
    <w:link w:val="PlainTextChar"/>
    <w:unhideWhenUsed/>
    <w:rsid w:val="00307155"/>
    <w:pPr>
      <w:spacing w:after="0" w:line="240" w:lineRule="auto"/>
      <w:ind w:right="0" w:firstLine="0"/>
      <w:jc w:val="left"/>
    </w:pPr>
    <w:rPr>
      <w:rFonts w:eastAsiaTheme="minorHAnsi" w:cstheme="minorBidi"/>
      <w:color w:val="auto"/>
      <w:kern w:val="0"/>
      <w:sz w:val="22"/>
      <w:szCs w:val="21"/>
      <w:lang w:eastAsia="en-US"/>
      <w14:ligatures w14:val="none"/>
    </w:rPr>
  </w:style>
  <w:style w:type="character" w:customStyle="1" w:styleId="PlainTextChar">
    <w:name w:val="Plain Text Char"/>
    <w:basedOn w:val="DefaultParagraphFont"/>
    <w:link w:val="PlainText"/>
    <w:rsid w:val="00307155"/>
    <w:rPr>
      <w:rFonts w:ascii="Calibri" w:hAnsi="Calibri"/>
      <w:kern w:val="0"/>
      <w:szCs w:val="21"/>
      <w:lang w:val="en-NZ"/>
      <w14:ligatures w14:val="none"/>
    </w:rPr>
  </w:style>
  <w:style w:type="character" w:customStyle="1" w:styleId="anchor-text">
    <w:name w:val="anchor-text"/>
    <w:basedOn w:val="DefaultParagraphFont"/>
    <w:rsid w:val="00382FF8"/>
  </w:style>
  <w:style w:type="paragraph" w:customStyle="1" w:styleId="Default">
    <w:name w:val="Default"/>
    <w:rsid w:val="00A94E4B"/>
    <w:pPr>
      <w:autoSpaceDE w:val="0"/>
      <w:autoSpaceDN w:val="0"/>
      <w:adjustRightInd w:val="0"/>
      <w:spacing w:after="0" w:line="240" w:lineRule="auto"/>
    </w:pPr>
    <w:rPr>
      <w:rFonts w:ascii="Times New Roman" w:hAnsi="Times New Roman" w:cs="Times New Roman"/>
      <w:color w:val="000000"/>
      <w:kern w:val="0"/>
      <w:sz w:val="24"/>
      <w:szCs w:val="24"/>
      <w:lang w:val="en-PH"/>
      <w14:ligatures w14:val="none"/>
    </w:rPr>
  </w:style>
  <w:style w:type="character" w:styleId="Strong">
    <w:name w:val="Strong"/>
    <w:basedOn w:val="DefaultParagraphFont"/>
    <w:uiPriority w:val="22"/>
    <w:qFormat/>
    <w:rsid w:val="00A94E4B"/>
    <w:rPr>
      <w:b/>
      <w:bCs/>
    </w:rPr>
  </w:style>
  <w:style w:type="paragraph" w:customStyle="1" w:styleId="CM3">
    <w:name w:val="CM3"/>
    <w:basedOn w:val="Default"/>
    <w:next w:val="Default"/>
    <w:rsid w:val="00A94E4B"/>
    <w:pPr>
      <w:widowControl w:val="0"/>
    </w:pPr>
    <w:rPr>
      <w:rFonts w:eastAsia="Times New Roman"/>
      <w:color w:val="auto"/>
      <w:lang w:val="en-US"/>
    </w:rPr>
  </w:style>
  <w:style w:type="paragraph" w:customStyle="1" w:styleId="CM4">
    <w:name w:val="CM4"/>
    <w:basedOn w:val="Default"/>
    <w:next w:val="Default"/>
    <w:rsid w:val="00A94E4B"/>
    <w:pPr>
      <w:widowControl w:val="0"/>
      <w:spacing w:line="253" w:lineRule="atLeast"/>
    </w:pPr>
    <w:rPr>
      <w:rFonts w:eastAsia="Times New Roman"/>
      <w:color w:val="auto"/>
      <w:lang w:val="en-US"/>
    </w:rPr>
  </w:style>
  <w:style w:type="paragraph" w:customStyle="1" w:styleId="CM23">
    <w:name w:val="CM23"/>
    <w:basedOn w:val="Default"/>
    <w:next w:val="Default"/>
    <w:rsid w:val="00A94E4B"/>
    <w:pPr>
      <w:widowControl w:val="0"/>
      <w:spacing w:after="233"/>
    </w:pPr>
    <w:rPr>
      <w:rFonts w:eastAsia="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6520">
      <w:bodyDiv w:val="1"/>
      <w:marLeft w:val="0"/>
      <w:marRight w:val="0"/>
      <w:marTop w:val="0"/>
      <w:marBottom w:val="0"/>
      <w:divBdr>
        <w:top w:val="none" w:sz="0" w:space="0" w:color="auto"/>
        <w:left w:val="none" w:sz="0" w:space="0" w:color="auto"/>
        <w:bottom w:val="none" w:sz="0" w:space="0" w:color="auto"/>
        <w:right w:val="none" w:sz="0" w:space="0" w:color="auto"/>
      </w:divBdr>
    </w:div>
    <w:div w:id="184558197">
      <w:bodyDiv w:val="1"/>
      <w:marLeft w:val="0"/>
      <w:marRight w:val="0"/>
      <w:marTop w:val="0"/>
      <w:marBottom w:val="0"/>
      <w:divBdr>
        <w:top w:val="none" w:sz="0" w:space="0" w:color="auto"/>
        <w:left w:val="none" w:sz="0" w:space="0" w:color="auto"/>
        <w:bottom w:val="none" w:sz="0" w:space="0" w:color="auto"/>
        <w:right w:val="none" w:sz="0" w:space="0" w:color="auto"/>
      </w:divBdr>
    </w:div>
    <w:div w:id="467824910">
      <w:bodyDiv w:val="1"/>
      <w:marLeft w:val="0"/>
      <w:marRight w:val="0"/>
      <w:marTop w:val="0"/>
      <w:marBottom w:val="0"/>
      <w:divBdr>
        <w:top w:val="none" w:sz="0" w:space="0" w:color="auto"/>
        <w:left w:val="none" w:sz="0" w:space="0" w:color="auto"/>
        <w:bottom w:val="none" w:sz="0" w:space="0" w:color="auto"/>
        <w:right w:val="none" w:sz="0" w:space="0" w:color="auto"/>
      </w:divBdr>
    </w:div>
    <w:div w:id="512300728">
      <w:bodyDiv w:val="1"/>
      <w:marLeft w:val="0"/>
      <w:marRight w:val="0"/>
      <w:marTop w:val="0"/>
      <w:marBottom w:val="0"/>
      <w:divBdr>
        <w:top w:val="none" w:sz="0" w:space="0" w:color="auto"/>
        <w:left w:val="none" w:sz="0" w:space="0" w:color="auto"/>
        <w:bottom w:val="none" w:sz="0" w:space="0" w:color="auto"/>
        <w:right w:val="none" w:sz="0" w:space="0" w:color="auto"/>
      </w:divBdr>
    </w:div>
    <w:div w:id="699748495">
      <w:bodyDiv w:val="1"/>
      <w:marLeft w:val="0"/>
      <w:marRight w:val="0"/>
      <w:marTop w:val="0"/>
      <w:marBottom w:val="0"/>
      <w:divBdr>
        <w:top w:val="none" w:sz="0" w:space="0" w:color="auto"/>
        <w:left w:val="none" w:sz="0" w:space="0" w:color="auto"/>
        <w:bottom w:val="none" w:sz="0" w:space="0" w:color="auto"/>
        <w:right w:val="none" w:sz="0" w:space="0" w:color="auto"/>
      </w:divBdr>
    </w:div>
    <w:div w:id="986907102">
      <w:bodyDiv w:val="1"/>
      <w:marLeft w:val="0"/>
      <w:marRight w:val="0"/>
      <w:marTop w:val="0"/>
      <w:marBottom w:val="0"/>
      <w:divBdr>
        <w:top w:val="none" w:sz="0" w:space="0" w:color="auto"/>
        <w:left w:val="none" w:sz="0" w:space="0" w:color="auto"/>
        <w:bottom w:val="none" w:sz="0" w:space="0" w:color="auto"/>
        <w:right w:val="none" w:sz="0" w:space="0" w:color="auto"/>
      </w:divBdr>
    </w:div>
    <w:div w:id="1038894788">
      <w:bodyDiv w:val="1"/>
      <w:marLeft w:val="0"/>
      <w:marRight w:val="0"/>
      <w:marTop w:val="0"/>
      <w:marBottom w:val="0"/>
      <w:divBdr>
        <w:top w:val="none" w:sz="0" w:space="0" w:color="auto"/>
        <w:left w:val="none" w:sz="0" w:space="0" w:color="auto"/>
        <w:bottom w:val="none" w:sz="0" w:space="0" w:color="auto"/>
        <w:right w:val="none" w:sz="0" w:space="0" w:color="auto"/>
      </w:divBdr>
    </w:div>
    <w:div w:id="1370716663">
      <w:bodyDiv w:val="1"/>
      <w:marLeft w:val="0"/>
      <w:marRight w:val="0"/>
      <w:marTop w:val="0"/>
      <w:marBottom w:val="0"/>
      <w:divBdr>
        <w:top w:val="none" w:sz="0" w:space="0" w:color="auto"/>
        <w:left w:val="none" w:sz="0" w:space="0" w:color="auto"/>
        <w:bottom w:val="none" w:sz="0" w:space="0" w:color="auto"/>
        <w:right w:val="none" w:sz="0" w:space="0" w:color="auto"/>
      </w:divBdr>
    </w:div>
    <w:div w:id="1475178744">
      <w:bodyDiv w:val="1"/>
      <w:marLeft w:val="0"/>
      <w:marRight w:val="0"/>
      <w:marTop w:val="0"/>
      <w:marBottom w:val="0"/>
      <w:divBdr>
        <w:top w:val="none" w:sz="0" w:space="0" w:color="auto"/>
        <w:left w:val="none" w:sz="0" w:space="0" w:color="auto"/>
        <w:bottom w:val="none" w:sz="0" w:space="0" w:color="auto"/>
        <w:right w:val="none" w:sz="0" w:space="0" w:color="auto"/>
      </w:divBdr>
    </w:div>
    <w:div w:id="158421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307/2234746" TargetMode="External"/><Relationship Id="rId21" Type="http://schemas.openxmlformats.org/officeDocument/2006/relationships/hyperlink" Target="https://doi.org/10.1093/qje/qjr043" TargetMode="External"/><Relationship Id="rId42" Type="http://schemas.openxmlformats.org/officeDocument/2006/relationships/hyperlink" Target="https://doi.org/10.5089/9798400269097.001" TargetMode="External"/><Relationship Id="rId47" Type="http://schemas.openxmlformats.org/officeDocument/2006/relationships/hyperlink" Target="https://doi.org/10.1162/rest_a_01115" TargetMode="External"/><Relationship Id="rId63" Type="http://schemas.openxmlformats.org/officeDocument/2006/relationships/header" Target="header6.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s://doi.org/10.1111/j.1465-7295.1998.tb01708.x" TargetMode="External"/><Relationship Id="rId11" Type="http://schemas.openxmlformats.org/officeDocument/2006/relationships/image" Target="media/image3.png"/><Relationship Id="rId24" Type="http://schemas.openxmlformats.org/officeDocument/2006/relationships/hyperlink" Target="https://doi.org/10.1016/j.red.2004.01.004" TargetMode="External"/><Relationship Id="rId32" Type="http://schemas.openxmlformats.org/officeDocument/2006/relationships/hyperlink" Target="https://ssrn.com/abstract=5048607" TargetMode="External"/><Relationship Id="rId37" Type="http://schemas.openxmlformats.org/officeDocument/2006/relationships/hyperlink" Target="https://doi.org/10.1006/redy.2000.0126" TargetMode="External"/><Relationship Id="rId40" Type="http://schemas.openxmlformats.org/officeDocument/2006/relationships/hyperlink" Target="https://doi.org/10.1086/512625" TargetMode="External"/><Relationship Id="rId45" Type="http://schemas.openxmlformats.org/officeDocument/2006/relationships/hyperlink" Target="https://doi.org/10.1016/B978-0-444-53238-1.00006-5" TargetMode="External"/><Relationship Id="rId53" Type="http://schemas.openxmlformats.org/officeDocument/2006/relationships/hyperlink" Target="http://dx.doi.org/10.1086/262126" TargetMode="External"/><Relationship Id="rId58" Type="http://schemas.openxmlformats.org/officeDocument/2006/relationships/header" Target="header4.xml"/><Relationship Id="rId66" Type="http://schemas.openxmlformats.org/officeDocument/2006/relationships/header" Target="header7.xml"/><Relationship Id="rId5" Type="http://schemas.openxmlformats.org/officeDocument/2006/relationships/webSettings" Target="webSettings.xml"/><Relationship Id="rId61" Type="http://schemas.openxmlformats.org/officeDocument/2006/relationships/image" Target="media/image5.png"/><Relationship Id="rId19" Type="http://schemas.openxmlformats.org/officeDocument/2006/relationships/hyperlink" Target="https://doi.org/10.1111/joes.12455" TargetMode="External"/><Relationship Id="rId14" Type="http://schemas.openxmlformats.org/officeDocument/2006/relationships/footer" Target="footer1.xml"/><Relationship Id="rId22" Type="http://schemas.openxmlformats.org/officeDocument/2006/relationships/hyperlink" Target="https://doi.org/10.1093/qje/qjy022" TargetMode="External"/><Relationship Id="rId27" Type="http://schemas.openxmlformats.org/officeDocument/2006/relationships/hyperlink" Target="http://www.nber.org/papers/w32531" TargetMode="External"/><Relationship Id="rId30" Type="http://schemas.openxmlformats.org/officeDocument/2006/relationships/hyperlink" Target="https://www.jstor.org/stable/2646681" TargetMode="External"/><Relationship Id="rId35" Type="http://schemas.openxmlformats.org/officeDocument/2006/relationships/hyperlink" Target="https://doi.org/10.1016/0304-4076(86)90061-8" TargetMode="External"/><Relationship Id="rId43" Type="http://schemas.openxmlformats.org/officeDocument/2006/relationships/hyperlink" Target="https://doi.org/10.1016/j.jbusres.2020.11.052" TargetMode="External"/><Relationship Id="rId48" Type="http://schemas.openxmlformats.org/officeDocument/2006/relationships/hyperlink" Target="https://doi.org/10.1006/redy.2000.0126" TargetMode="External"/><Relationship Id="rId56" Type="http://schemas.openxmlformats.org/officeDocument/2006/relationships/hyperlink" Target="https://doi.org/10.1016/S0304-3932(03)00029-1" TargetMode="External"/><Relationship Id="rId64" Type="http://schemas.openxmlformats.org/officeDocument/2006/relationships/footer" Target="footer6.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1162/qjec.2008.123.4.1415"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016/0014-2921(90)90016-R" TargetMode="External"/><Relationship Id="rId33" Type="http://schemas.openxmlformats.org/officeDocument/2006/relationships/hyperlink" Target="https://doi.org/10.1016/B978-0-12-822927-9.00018-5" TargetMode="External"/><Relationship Id="rId38" Type="http://schemas.openxmlformats.org/officeDocument/2006/relationships/hyperlink" Target="https://doi.org/10.1162/qjec.2009.124.3.1221" TargetMode="External"/><Relationship Id="rId46" Type="http://schemas.openxmlformats.org/officeDocument/2006/relationships/hyperlink" Target="https://doi.org/10.1016/j.jmoneco.2004.07.006" TargetMode="External"/><Relationship Id="rId59" Type="http://schemas.openxmlformats.org/officeDocument/2006/relationships/footer" Target="footer4.xml"/><Relationship Id="rId67" Type="http://schemas.openxmlformats.org/officeDocument/2006/relationships/footer" Target="footer8.xml"/><Relationship Id="rId20" Type="http://schemas.openxmlformats.org/officeDocument/2006/relationships/hyperlink" Target="https://doi.org/10.1016/j.jeconom.2020.03.021" TargetMode="External"/><Relationship Id="rId41" Type="http://schemas.openxmlformats.org/officeDocument/2006/relationships/hyperlink" Target="https://doi.org/10.1016/j.econlet.2018.01.014" TargetMode="External"/><Relationship Id="rId54" Type="http://schemas.openxmlformats.org/officeDocument/2006/relationships/hyperlink" Target="https://doi.org/10.1016/j.econmod.2025.107294" TargetMode="External"/><Relationship Id="rId62"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rbnz.govt.nz/hub/publications/analytical-note/2024/comparing-services-inflation-in-new-zealand-to-abroad" TargetMode="External"/><Relationship Id="rId28" Type="http://schemas.openxmlformats.org/officeDocument/2006/relationships/hyperlink" Target="http://www.nber.org/papers/w32094" TargetMode="External"/><Relationship Id="rId36" Type="http://schemas.openxmlformats.org/officeDocument/2006/relationships/hyperlink" Target="https://doi.org/10.1016/j.jmoneco.2008.05.002" TargetMode="External"/><Relationship Id="rId49" Type="http://schemas.openxmlformats.org/officeDocument/2006/relationships/hyperlink" Target="https://www.spark.co.nz/online/large-business-govt/why-choose-spark/why-spark/one-tech-generation/nzier-report" TargetMode="External"/><Relationship Id="rId57" Type="http://schemas.openxmlformats.org/officeDocument/2006/relationships/hyperlink" Target="https://doi.org/10.1111/b.9780631216339.1999.00010.x" TargetMode="External"/><Relationship Id="rId10" Type="http://schemas.openxmlformats.org/officeDocument/2006/relationships/hyperlink" Target="https://infoshare.stats.govt.nz/SelectVariables.aspx?pxID=b22579ee-5a3b-498a-954b-3ab67e043f68" TargetMode="External"/><Relationship Id="rId31" Type="http://schemas.openxmlformats.org/officeDocument/2006/relationships/hyperlink" Target="https://doi.org/10.1016/S0165-1765(99)00188-3" TargetMode="External"/><Relationship Id="rId44" Type="http://schemas.openxmlformats.org/officeDocument/2006/relationships/hyperlink" Target="https://ssrn.com/abstract=4991920" TargetMode="External"/><Relationship Id="rId52" Type="http://schemas.openxmlformats.org/officeDocument/2006/relationships/hyperlink" Target="https://doi.org/10.1093/qje/qjy017" TargetMode="External"/><Relationship Id="rId60" Type="http://schemas.openxmlformats.org/officeDocument/2006/relationships/footer" Target="footer5.xml"/><Relationship Id="rId65"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image" Target="media/image4.png"/><Relationship Id="rId39" Type="http://schemas.openxmlformats.org/officeDocument/2006/relationships/hyperlink" Target="https://doi.org/10.1111/j.1475-4932.1964.tb02132.x" TargetMode="External"/><Relationship Id="rId34" Type="http://schemas.openxmlformats.org/officeDocument/2006/relationships/hyperlink" Target="http://www.nber.org/papers/w25138" TargetMode="External"/><Relationship Id="rId50" Type="http://schemas.openxmlformats.org/officeDocument/2006/relationships/hyperlink" Target="https://doi.org/10.2307/1885395" TargetMode="External"/><Relationship Id="rId55" Type="http://schemas.openxmlformats.org/officeDocument/2006/relationships/hyperlink" Target="https://doi.org/10.1016/j.econlet.2023.11145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tats.govt.nz/information-releases/business-operations-survey-2022" TargetMode="External"/><Relationship Id="rId2" Type="http://schemas.openxmlformats.org/officeDocument/2006/relationships/hyperlink" Target="https://fred.stlouisfed.org/series/ITNETUSERP2NZL" TargetMode="External"/><Relationship Id="rId1" Type="http://schemas.openxmlformats.org/officeDocument/2006/relationships/hyperlink" Target="https://fred.stlouisfed.org/series/ITNETUSERP2NZL" TargetMode="External"/><Relationship Id="rId4" Type="http://schemas.openxmlformats.org/officeDocument/2006/relationships/hyperlink" Target="https://www.nzier.org.nz/data-1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DB30A-E701-4F48-AB9F-6E20E6408E19}">
  <ds:schemaRefs>
    <ds:schemaRef ds:uri="http://schemas.openxmlformats.org/officeDocument/2006/bibliography"/>
  </ds:schemaRefs>
</ds:datastoreItem>
</file>

<file path=docMetadata/LabelInfo.xml><?xml version="1.0" encoding="utf-8"?>
<clbl:labelList xmlns:clbl="http://schemas.microsoft.com/office/2020/mipLabelMetadata">
  <clbl:label id="{220f5dc3-9452-48e5-9b4f-888df42f7a2d}" enabled="0" method="" siteId="{220f5dc3-9452-48e5-9b4f-888df42f7a2d}" removed="1"/>
</clbl:labelList>
</file>

<file path=docProps/app.xml><?xml version="1.0" encoding="utf-8"?>
<Properties xmlns="http://schemas.openxmlformats.org/officeDocument/2006/extended-properties" xmlns:vt="http://schemas.openxmlformats.org/officeDocument/2006/docPropsVTypes">
  <Template>Normal</Template>
  <TotalTime>12</TotalTime>
  <Pages>49</Pages>
  <Words>19960</Words>
  <Characters>110584</Characters>
  <Application>Microsoft Office Word</Application>
  <DocSecurity>0</DocSecurity>
  <Lines>4253</Lines>
  <Paragraphs>3035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Buckle</dc:creator>
  <cp:keywords/>
  <dc:description/>
  <cp:lastModifiedBy>Geua Boe-Gibson</cp:lastModifiedBy>
  <cp:revision>4</cp:revision>
  <cp:lastPrinted>2025-12-05T01:01:00Z</cp:lastPrinted>
  <dcterms:created xsi:type="dcterms:W3CDTF">2025-12-05T01:00:00Z</dcterms:created>
  <dcterms:modified xsi:type="dcterms:W3CDTF">2025-12-05T01:12:00Z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487c94a1,70b638f2,2438f8c3,140d495e,177633c8,595fc073,76061991</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2988232b,380cbc27,4080ae4,46d868ef,6e0c854b,fb05360,7a47ee17,47937655</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5d084612-fdd7-4c96-b029-c9d0d9c6179f_Enabled">
    <vt:lpwstr>true</vt:lpwstr>
  </property>
  <property fmtid="{D5CDD505-2E9C-101B-9397-08002B2CF9AE}" pid="9" name="MSIP_Label_5d084612-fdd7-4c96-b029-c9d0d9c6179f_SetDate">
    <vt:lpwstr>2025-10-28T20:19:14Z</vt:lpwstr>
  </property>
  <property fmtid="{D5CDD505-2E9C-101B-9397-08002B2CF9AE}" pid="10" name="MSIP_Label_5d084612-fdd7-4c96-b029-c9d0d9c6179f_Method">
    <vt:lpwstr>Privileged</vt:lpwstr>
  </property>
  <property fmtid="{D5CDD505-2E9C-101B-9397-08002B2CF9AE}" pid="11" name="MSIP_Label_5d084612-fdd7-4c96-b029-c9d0d9c6179f_Name">
    <vt:lpwstr>UNCLASSIFIED_00</vt:lpwstr>
  </property>
  <property fmtid="{D5CDD505-2E9C-101B-9397-08002B2CF9AE}" pid="12" name="MSIP_Label_5d084612-fdd7-4c96-b029-c9d0d9c6179f_SiteId">
    <vt:lpwstr>ef09e631-f62d-48d5-8cdb-02f838550358</vt:lpwstr>
  </property>
  <property fmtid="{D5CDD505-2E9C-101B-9397-08002B2CF9AE}" pid="13" name="MSIP_Label_5d084612-fdd7-4c96-b029-c9d0d9c6179f_ActionId">
    <vt:lpwstr>d4294a5d-d9c6-44e9-9d0f-9410bcb3ee54</vt:lpwstr>
  </property>
  <property fmtid="{D5CDD505-2E9C-101B-9397-08002B2CF9AE}" pid="14" name="MSIP_Label_5d084612-fdd7-4c96-b029-c9d0d9c6179f_ContentBits">
    <vt:lpwstr>3</vt:lpwstr>
  </property>
  <property fmtid="{D5CDD505-2E9C-101B-9397-08002B2CF9AE}" pid="15" name="MSIP_Label_5d084612-fdd7-4c96-b029-c9d0d9c6179f_Tag">
    <vt:lpwstr>10, 0, 1, 1</vt:lpwstr>
  </property>
</Properties>
</file>