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E5F1" w14:textId="120508D0" w:rsidR="009F71A2" w:rsidRDefault="009F71A2" w:rsidP="009F71A2">
      <w:pPr>
        <w:pStyle w:val="Default"/>
        <w:rPr>
          <w:b/>
          <w:bCs/>
          <w:sz w:val="28"/>
          <w:szCs w:val="28"/>
        </w:rPr>
      </w:pPr>
    </w:p>
    <w:p w14:paraId="1DA91B48" w14:textId="77777777" w:rsidR="009F71A2" w:rsidRDefault="009F71A2" w:rsidP="009F71A2">
      <w:pPr>
        <w:pStyle w:val="Default"/>
        <w:jc w:val="center"/>
        <w:rPr>
          <w:b/>
          <w:bCs/>
          <w:sz w:val="28"/>
          <w:szCs w:val="28"/>
        </w:rPr>
      </w:pPr>
    </w:p>
    <w:p w14:paraId="7B884CA1" w14:textId="77777777" w:rsidR="009F71A2" w:rsidRDefault="009F71A2" w:rsidP="009F71A2">
      <w:pPr>
        <w:pStyle w:val="Default"/>
        <w:jc w:val="center"/>
        <w:rPr>
          <w:b/>
          <w:iCs/>
        </w:rPr>
      </w:pPr>
      <w:r>
        <w:rPr>
          <w:b/>
          <w:bCs/>
          <w:sz w:val="28"/>
          <w:szCs w:val="28"/>
        </w:rPr>
        <w:t>UNIVERSITY OF WAIKATO</w:t>
      </w:r>
    </w:p>
    <w:p w14:paraId="36F0B486" w14:textId="77777777" w:rsidR="009F71A2" w:rsidRDefault="009F71A2" w:rsidP="009F71A2">
      <w:pPr>
        <w:pStyle w:val="Default"/>
        <w:jc w:val="center"/>
        <w:rPr>
          <w:b/>
          <w:bCs/>
          <w:sz w:val="28"/>
          <w:szCs w:val="28"/>
        </w:rPr>
      </w:pPr>
      <w:r>
        <w:rPr>
          <w:b/>
          <w:bCs/>
          <w:sz w:val="28"/>
          <w:szCs w:val="28"/>
        </w:rPr>
        <w:br/>
        <w:t>Hamilton</w:t>
      </w:r>
    </w:p>
    <w:p w14:paraId="4B4A5238" w14:textId="77777777" w:rsidR="009F71A2" w:rsidRDefault="009F71A2" w:rsidP="009F71A2">
      <w:pPr>
        <w:pStyle w:val="CM1"/>
        <w:spacing w:line="240" w:lineRule="auto"/>
        <w:jc w:val="center"/>
        <w:rPr>
          <w:b/>
          <w:bCs/>
          <w:sz w:val="28"/>
          <w:szCs w:val="28"/>
        </w:rPr>
      </w:pPr>
      <w:r>
        <w:rPr>
          <w:b/>
          <w:bCs/>
          <w:sz w:val="28"/>
          <w:szCs w:val="28"/>
        </w:rPr>
        <w:t xml:space="preserve">New Zealand </w:t>
      </w:r>
    </w:p>
    <w:p w14:paraId="7D410A81" w14:textId="77777777" w:rsidR="009F71A2" w:rsidRDefault="009F71A2" w:rsidP="009F71A2">
      <w:pPr>
        <w:pStyle w:val="Default"/>
      </w:pPr>
    </w:p>
    <w:p w14:paraId="433CE0BD" w14:textId="77777777" w:rsidR="009F71A2" w:rsidRDefault="009F71A2" w:rsidP="009F71A2">
      <w:pPr>
        <w:pStyle w:val="Default"/>
      </w:pPr>
    </w:p>
    <w:p w14:paraId="11867F77" w14:textId="77777777" w:rsidR="009F71A2" w:rsidRDefault="009F71A2" w:rsidP="009F71A2">
      <w:pPr>
        <w:pStyle w:val="Title"/>
        <w:pBdr>
          <w:top w:val="thinThickSmallGap" w:sz="24" w:space="1" w:color="auto"/>
          <w:left w:val="thinThickSmallGap" w:sz="24" w:space="4" w:color="auto"/>
          <w:bottom w:val="thinThickSmallGap" w:sz="24" w:space="1" w:color="auto"/>
          <w:right w:val="thinThickSmallGap" w:sz="24" w:space="4" w:color="auto"/>
        </w:pBdr>
        <w:rPr>
          <w:sz w:val="28"/>
          <w:szCs w:val="28"/>
        </w:rPr>
      </w:pPr>
    </w:p>
    <w:p w14:paraId="4DD76466" w14:textId="53C2677B" w:rsidR="009F71A2" w:rsidRDefault="009F71A2" w:rsidP="009F71A2">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rPr>
          <w:b/>
          <w:sz w:val="28"/>
          <w:szCs w:val="28"/>
        </w:rPr>
      </w:pPr>
      <w:r>
        <w:rPr>
          <w:b/>
          <w:sz w:val="28"/>
          <w:szCs w:val="28"/>
        </w:rPr>
        <w:t xml:space="preserve">Motivations to speculate are the driving forces in experimental asset market </w:t>
      </w:r>
      <w:proofErr w:type="gramStart"/>
      <w:r>
        <w:rPr>
          <w:b/>
          <w:sz w:val="28"/>
          <w:szCs w:val="28"/>
        </w:rPr>
        <w:t>bubbles</w:t>
      </w:r>
      <w:proofErr w:type="gramEnd"/>
    </w:p>
    <w:p w14:paraId="40D85F71" w14:textId="77777777" w:rsidR="009F71A2" w:rsidRDefault="009F71A2" w:rsidP="009F71A2">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rPr>
          <w:sz w:val="28"/>
          <w:szCs w:val="28"/>
        </w:rPr>
      </w:pPr>
    </w:p>
    <w:p w14:paraId="5B3376E4" w14:textId="77777777" w:rsidR="009F71A2" w:rsidRPr="00B63CC0" w:rsidRDefault="009F71A2" w:rsidP="009F71A2">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rPr>
          <w:sz w:val="28"/>
          <w:szCs w:val="28"/>
        </w:rPr>
      </w:pPr>
      <w:r>
        <w:rPr>
          <w:sz w:val="28"/>
          <w:szCs w:val="28"/>
        </w:rPr>
        <w:t xml:space="preserve">Steven Tucker and </w:t>
      </w:r>
      <w:r w:rsidRPr="00911619">
        <w:rPr>
          <w:sz w:val="28"/>
          <w:szCs w:val="28"/>
          <w:lang w:val="en-AU"/>
        </w:rPr>
        <w:t>Yilong Xu</w:t>
      </w:r>
      <w:r>
        <w:rPr>
          <w:b/>
          <w:bCs/>
          <w:sz w:val="28"/>
          <w:szCs w:val="28"/>
        </w:rPr>
        <w:t xml:space="preserve"> </w:t>
      </w:r>
    </w:p>
    <w:p w14:paraId="606500DD" w14:textId="77777777" w:rsidR="009F71A2" w:rsidRDefault="009F71A2" w:rsidP="009F71A2">
      <w:pPr>
        <w:rPr>
          <w:lang w:val="en-US" w:eastAsia="ko-KR"/>
        </w:rPr>
      </w:pPr>
    </w:p>
    <w:p w14:paraId="1DDEF7AD" w14:textId="68DEA532" w:rsidR="009F71A2" w:rsidRDefault="009F71A2" w:rsidP="009F71A2">
      <w:pPr>
        <w:pStyle w:val="CM22"/>
        <w:spacing w:after="0"/>
        <w:jc w:val="center"/>
        <w:rPr>
          <w:b/>
          <w:bCs/>
          <w:sz w:val="28"/>
          <w:szCs w:val="28"/>
        </w:rPr>
      </w:pPr>
      <w:r>
        <w:rPr>
          <w:b/>
          <w:bCs/>
          <w:sz w:val="28"/>
          <w:szCs w:val="28"/>
        </w:rPr>
        <w:t>Working Paper in Economics 2/24</w:t>
      </w:r>
    </w:p>
    <w:p w14:paraId="0DD07614" w14:textId="77777777" w:rsidR="009F71A2" w:rsidRDefault="009F71A2" w:rsidP="009F71A2">
      <w:pPr>
        <w:pStyle w:val="CM22"/>
        <w:spacing w:after="0"/>
        <w:jc w:val="center"/>
        <w:rPr>
          <w:b/>
          <w:bCs/>
          <w:sz w:val="28"/>
          <w:szCs w:val="28"/>
        </w:rPr>
      </w:pPr>
    </w:p>
    <w:p w14:paraId="114E82A8" w14:textId="77777777" w:rsidR="009F71A2" w:rsidRDefault="009F71A2" w:rsidP="009F71A2">
      <w:pPr>
        <w:pStyle w:val="CM22"/>
        <w:spacing w:after="0"/>
        <w:jc w:val="center"/>
        <w:rPr>
          <w:sz w:val="28"/>
          <w:szCs w:val="28"/>
        </w:rPr>
      </w:pPr>
      <w:r>
        <w:rPr>
          <w:sz w:val="28"/>
          <w:szCs w:val="28"/>
        </w:rPr>
        <w:t>January 2024</w:t>
      </w:r>
    </w:p>
    <w:p w14:paraId="0BF73303" w14:textId="77777777" w:rsidR="009F71A2" w:rsidRDefault="009F71A2" w:rsidP="009F71A2">
      <w:pPr>
        <w:pStyle w:val="Default"/>
        <w:rPr>
          <w:lang w:val="en-US"/>
        </w:rPr>
      </w:pPr>
    </w:p>
    <w:p w14:paraId="256CB49C" w14:textId="77777777" w:rsidR="009F71A2" w:rsidRDefault="009F71A2" w:rsidP="009F71A2">
      <w:pPr>
        <w:pStyle w:val="Default"/>
      </w:pPr>
    </w:p>
    <w:p w14:paraId="56599931" w14:textId="77777777" w:rsidR="009F71A2" w:rsidRDefault="009F71A2" w:rsidP="009F71A2">
      <w:pPr>
        <w:pStyle w:val="Default"/>
        <w:jc w:val="center"/>
        <w:rPr>
          <w:i/>
        </w:rPr>
      </w:pPr>
      <w:r>
        <w:rPr>
          <w:i/>
        </w:rPr>
        <w:t>Corresponding Author</w:t>
      </w:r>
    </w:p>
    <w:tbl>
      <w:tblPr>
        <w:tblW w:w="0" w:type="auto"/>
        <w:jc w:val="center"/>
        <w:tblLook w:val="04A0" w:firstRow="1" w:lastRow="0" w:firstColumn="1" w:lastColumn="0" w:noHBand="0" w:noVBand="1"/>
      </w:tblPr>
      <w:tblGrid>
        <w:gridCol w:w="6946"/>
      </w:tblGrid>
      <w:tr w:rsidR="009F71A2" w14:paraId="109CC7C9" w14:textId="77777777" w:rsidTr="00765F7B">
        <w:trPr>
          <w:jc w:val="center"/>
        </w:trPr>
        <w:tc>
          <w:tcPr>
            <w:tcW w:w="6946" w:type="dxa"/>
          </w:tcPr>
          <w:p w14:paraId="4656C272" w14:textId="77777777" w:rsidR="009F71A2" w:rsidRDefault="009F71A2" w:rsidP="00765F7B">
            <w:pPr>
              <w:pStyle w:val="CM4"/>
              <w:spacing w:line="240" w:lineRule="auto"/>
              <w:jc w:val="center"/>
              <w:rPr>
                <w:b/>
                <w:sz w:val="8"/>
                <w:szCs w:val="8"/>
              </w:rPr>
            </w:pPr>
          </w:p>
          <w:p w14:paraId="096E5A7F" w14:textId="77777777" w:rsidR="009F71A2" w:rsidRPr="00911619" w:rsidRDefault="009F71A2" w:rsidP="00765F7B">
            <w:pPr>
              <w:pStyle w:val="CM4"/>
              <w:spacing w:line="240" w:lineRule="auto"/>
              <w:jc w:val="center"/>
            </w:pPr>
            <w:r w:rsidRPr="00911619">
              <w:rPr>
                <w:b/>
                <w:bCs/>
              </w:rPr>
              <w:t>Steven Tucker</w:t>
            </w:r>
          </w:p>
          <w:p w14:paraId="69926DC3" w14:textId="77777777" w:rsidR="009F71A2" w:rsidRPr="00911619" w:rsidRDefault="009F71A2" w:rsidP="00765F7B">
            <w:pPr>
              <w:pStyle w:val="FootnoteText"/>
              <w:spacing w:after="0" w:line="240" w:lineRule="auto"/>
              <w:ind w:hanging="284"/>
              <w:jc w:val="center"/>
              <w:rPr>
                <w:sz w:val="22"/>
                <w:szCs w:val="22"/>
                <w:lang w:val="en-US"/>
              </w:rPr>
            </w:pPr>
            <w:r w:rsidRPr="00911619">
              <w:rPr>
                <w:sz w:val="22"/>
                <w:szCs w:val="22"/>
                <w:lang w:val="en-US"/>
              </w:rPr>
              <w:t>School of Accounting Finance and Economics</w:t>
            </w:r>
          </w:p>
          <w:p w14:paraId="3189B173" w14:textId="77777777" w:rsidR="009F71A2" w:rsidRPr="00911619" w:rsidRDefault="009F71A2" w:rsidP="00765F7B">
            <w:pPr>
              <w:pStyle w:val="FootnoteText"/>
              <w:spacing w:after="0" w:line="240" w:lineRule="auto"/>
              <w:ind w:hanging="284"/>
              <w:jc w:val="center"/>
              <w:rPr>
                <w:sz w:val="22"/>
                <w:szCs w:val="22"/>
                <w:lang w:val="en-US"/>
              </w:rPr>
            </w:pPr>
            <w:proofErr w:type="spellStart"/>
            <w:r w:rsidRPr="00911619">
              <w:rPr>
                <w:sz w:val="22"/>
                <w:szCs w:val="22"/>
                <w:lang w:val="en-US"/>
              </w:rPr>
              <w:t>Te</w:t>
            </w:r>
            <w:proofErr w:type="spellEnd"/>
            <w:r w:rsidRPr="00911619">
              <w:rPr>
                <w:sz w:val="22"/>
                <w:szCs w:val="22"/>
                <w:lang w:val="en-US"/>
              </w:rPr>
              <w:t xml:space="preserve"> </w:t>
            </w:r>
            <w:proofErr w:type="spellStart"/>
            <w:r w:rsidRPr="00911619">
              <w:rPr>
                <w:sz w:val="22"/>
                <w:szCs w:val="22"/>
                <w:lang w:val="en-US"/>
              </w:rPr>
              <w:t>Raupapa</w:t>
            </w:r>
            <w:proofErr w:type="spellEnd"/>
            <w:r w:rsidRPr="00911619">
              <w:rPr>
                <w:sz w:val="22"/>
                <w:szCs w:val="22"/>
                <w:lang w:val="en-US"/>
              </w:rPr>
              <w:t xml:space="preserve"> – Waikato Management School</w:t>
            </w:r>
          </w:p>
          <w:p w14:paraId="0A6959EE" w14:textId="77777777" w:rsidR="009F71A2" w:rsidRPr="00911619" w:rsidRDefault="009F71A2" w:rsidP="00765F7B">
            <w:pPr>
              <w:pStyle w:val="FootnoteText"/>
              <w:spacing w:line="240" w:lineRule="auto"/>
              <w:ind w:hanging="284"/>
              <w:jc w:val="center"/>
              <w:rPr>
                <w:sz w:val="22"/>
                <w:szCs w:val="22"/>
                <w:lang w:val="en-US"/>
              </w:rPr>
            </w:pPr>
            <w:r w:rsidRPr="00911619">
              <w:rPr>
                <w:sz w:val="22"/>
                <w:szCs w:val="22"/>
                <w:lang w:val="en-US"/>
              </w:rPr>
              <w:t>University of Waikato</w:t>
            </w:r>
          </w:p>
          <w:p w14:paraId="06ABA813" w14:textId="77777777" w:rsidR="009F71A2" w:rsidRDefault="009F71A2" w:rsidP="00765F7B">
            <w:pPr>
              <w:pStyle w:val="FootnoteText"/>
              <w:spacing w:after="0" w:line="240" w:lineRule="auto"/>
              <w:ind w:hanging="284"/>
              <w:jc w:val="center"/>
              <w:rPr>
                <w:bCs/>
                <w:sz w:val="22"/>
                <w:szCs w:val="22"/>
              </w:rPr>
            </w:pPr>
            <w:r w:rsidRPr="00911619">
              <w:rPr>
                <w:bCs/>
                <w:sz w:val="22"/>
                <w:szCs w:val="22"/>
              </w:rPr>
              <w:t xml:space="preserve">Email: </w:t>
            </w:r>
            <w:bookmarkStart w:id="0" w:name="_Hlk11947265"/>
            <w:r w:rsidRPr="00911619">
              <w:rPr>
                <w:bCs/>
                <w:sz w:val="22"/>
                <w:szCs w:val="22"/>
              </w:rPr>
              <w:t>steven.t</w:t>
            </w:r>
            <w:bookmarkEnd w:id="0"/>
            <w:r w:rsidRPr="00911619">
              <w:rPr>
                <w:bCs/>
                <w:sz w:val="22"/>
                <w:szCs w:val="22"/>
              </w:rPr>
              <w:t>ucker@waikato.ac.nz</w:t>
            </w:r>
          </w:p>
          <w:p w14:paraId="025BA59E" w14:textId="77777777" w:rsidR="009F71A2" w:rsidRDefault="009F71A2" w:rsidP="00765F7B">
            <w:pPr>
              <w:pStyle w:val="FootnoteText"/>
              <w:spacing w:after="0" w:line="240" w:lineRule="auto"/>
              <w:ind w:hanging="284"/>
              <w:jc w:val="center"/>
              <w:rPr>
                <w:bCs/>
                <w:sz w:val="22"/>
                <w:szCs w:val="22"/>
              </w:rPr>
            </w:pPr>
          </w:p>
          <w:p w14:paraId="10ED412B" w14:textId="77777777" w:rsidR="009F71A2" w:rsidRDefault="009F71A2" w:rsidP="00765F7B">
            <w:pPr>
              <w:pStyle w:val="CM4"/>
              <w:spacing w:line="240" w:lineRule="auto"/>
              <w:jc w:val="center"/>
              <w:rPr>
                <w:b/>
                <w:bCs/>
              </w:rPr>
            </w:pPr>
          </w:p>
          <w:p w14:paraId="78E9CCE3" w14:textId="77777777" w:rsidR="009F71A2" w:rsidRPr="00911619" w:rsidRDefault="009F71A2" w:rsidP="00765F7B">
            <w:pPr>
              <w:pStyle w:val="CM4"/>
              <w:spacing w:line="240" w:lineRule="auto"/>
              <w:jc w:val="center"/>
            </w:pPr>
            <w:r>
              <w:rPr>
                <w:b/>
                <w:bCs/>
              </w:rPr>
              <w:t>Yilong Xu</w:t>
            </w:r>
          </w:p>
          <w:p w14:paraId="3C660F22" w14:textId="77777777" w:rsidR="009F71A2" w:rsidRDefault="009F71A2" w:rsidP="00765F7B">
            <w:pPr>
              <w:pStyle w:val="FootnoteText"/>
              <w:spacing w:after="0" w:line="240" w:lineRule="auto"/>
              <w:ind w:hanging="284"/>
              <w:jc w:val="center"/>
              <w:rPr>
                <w:sz w:val="22"/>
                <w:szCs w:val="22"/>
                <w:lang w:val="en-US"/>
              </w:rPr>
            </w:pPr>
            <w:r w:rsidRPr="00911619">
              <w:rPr>
                <w:sz w:val="22"/>
                <w:szCs w:val="22"/>
                <w:lang w:val="en-US"/>
              </w:rPr>
              <w:t xml:space="preserve">Utrecht School of Economics </w:t>
            </w:r>
          </w:p>
          <w:p w14:paraId="325F7022" w14:textId="77777777" w:rsidR="009F71A2" w:rsidRDefault="009F71A2" w:rsidP="00765F7B">
            <w:pPr>
              <w:pStyle w:val="FootnoteText"/>
              <w:spacing w:line="240" w:lineRule="auto"/>
              <w:ind w:hanging="284"/>
              <w:jc w:val="center"/>
              <w:rPr>
                <w:sz w:val="22"/>
                <w:szCs w:val="22"/>
                <w:lang w:val="en-US"/>
              </w:rPr>
            </w:pPr>
            <w:r w:rsidRPr="00911619">
              <w:rPr>
                <w:sz w:val="22"/>
                <w:szCs w:val="22"/>
                <w:lang w:val="en-US"/>
              </w:rPr>
              <w:t xml:space="preserve">Utrecht University, The Netherlands </w:t>
            </w:r>
          </w:p>
          <w:p w14:paraId="125D8798" w14:textId="77777777" w:rsidR="009F71A2" w:rsidRPr="00911619" w:rsidRDefault="009F71A2" w:rsidP="00765F7B">
            <w:pPr>
              <w:pStyle w:val="FootnoteText"/>
              <w:spacing w:after="0" w:line="240" w:lineRule="auto"/>
              <w:ind w:hanging="284"/>
              <w:jc w:val="center"/>
              <w:rPr>
                <w:sz w:val="22"/>
                <w:szCs w:val="22"/>
              </w:rPr>
            </w:pPr>
            <w:r w:rsidRPr="00911619">
              <w:rPr>
                <w:bCs/>
                <w:sz w:val="22"/>
                <w:szCs w:val="22"/>
              </w:rPr>
              <w:t>Email: y.xu3@uu.nl</w:t>
            </w:r>
          </w:p>
          <w:p w14:paraId="29279163" w14:textId="77777777" w:rsidR="009F71A2" w:rsidRPr="00911619" w:rsidRDefault="009F71A2" w:rsidP="00765F7B">
            <w:pPr>
              <w:pStyle w:val="FootnoteText"/>
              <w:spacing w:after="0" w:line="240" w:lineRule="auto"/>
              <w:ind w:hanging="284"/>
              <w:jc w:val="center"/>
              <w:rPr>
                <w:sz w:val="22"/>
                <w:szCs w:val="22"/>
              </w:rPr>
            </w:pPr>
          </w:p>
          <w:p w14:paraId="6E013B29" w14:textId="77777777" w:rsidR="009F71A2" w:rsidRDefault="009F71A2" w:rsidP="00765F7B">
            <w:pPr>
              <w:pStyle w:val="CM4"/>
              <w:spacing w:line="240" w:lineRule="auto"/>
              <w:jc w:val="center"/>
              <w:rPr>
                <w:b/>
                <w:bCs/>
              </w:rPr>
            </w:pPr>
          </w:p>
          <w:p w14:paraId="40477693" w14:textId="77777777" w:rsidR="009F71A2" w:rsidRDefault="009F71A2" w:rsidP="00765F7B">
            <w:pPr>
              <w:pStyle w:val="FootnoteText"/>
              <w:ind w:hanging="284"/>
              <w:rPr>
                <w:lang w:val="en-US" w:eastAsia="ko-KR"/>
              </w:rPr>
            </w:pPr>
          </w:p>
        </w:tc>
      </w:tr>
    </w:tbl>
    <w:p w14:paraId="073FB7CD" w14:textId="69A93073" w:rsidR="009F71A2" w:rsidRDefault="009F71A2">
      <w:pPr>
        <w:tabs>
          <w:tab w:val="clear" w:pos="425"/>
        </w:tabs>
        <w:spacing w:after="0" w:line="240" w:lineRule="auto"/>
        <w:rPr>
          <w:b/>
          <w:sz w:val="28"/>
          <w:szCs w:val="28"/>
          <w:lang w:val="en-US"/>
        </w:rPr>
      </w:pPr>
    </w:p>
    <w:p w14:paraId="6D72908F" w14:textId="616B4385" w:rsidR="000A395D" w:rsidRDefault="000A395D" w:rsidP="000A395D">
      <w:pPr>
        <w:spacing w:line="276" w:lineRule="auto"/>
        <w:jc w:val="center"/>
        <w:rPr>
          <w:b/>
          <w:lang w:val="en-US"/>
        </w:rPr>
      </w:pPr>
    </w:p>
    <w:p w14:paraId="4A38E0ED" w14:textId="77777777" w:rsidR="009F71A2" w:rsidRDefault="009F71A2">
      <w:pPr>
        <w:tabs>
          <w:tab w:val="clear" w:pos="425"/>
        </w:tabs>
        <w:spacing w:after="0" w:line="240" w:lineRule="auto"/>
        <w:rPr>
          <w:b/>
          <w:lang w:val="en-US"/>
        </w:rPr>
      </w:pPr>
      <w:r>
        <w:rPr>
          <w:b/>
          <w:lang w:val="en-US"/>
        </w:rPr>
        <w:br w:type="page"/>
      </w:r>
    </w:p>
    <w:p w14:paraId="711B34D1" w14:textId="70F6E194" w:rsidR="000A395D" w:rsidRPr="00BD733F" w:rsidRDefault="000A395D" w:rsidP="000A395D">
      <w:pPr>
        <w:pStyle w:val="PlainText"/>
        <w:spacing w:line="276" w:lineRule="auto"/>
        <w:jc w:val="center"/>
        <w:rPr>
          <w:rFonts w:ascii="Times New Roman" w:hAnsi="Times New Roman" w:cs="Times New Roman"/>
          <w:b/>
          <w:sz w:val="24"/>
          <w:szCs w:val="24"/>
          <w:lang w:val="en-US"/>
        </w:rPr>
      </w:pPr>
      <w:r w:rsidRPr="00BD733F">
        <w:rPr>
          <w:rFonts w:ascii="Times New Roman" w:hAnsi="Times New Roman" w:cs="Times New Roman"/>
          <w:b/>
          <w:sz w:val="24"/>
          <w:szCs w:val="24"/>
          <w:lang w:val="en-US"/>
        </w:rPr>
        <w:lastRenderedPageBreak/>
        <w:t>Abstract</w:t>
      </w:r>
    </w:p>
    <w:p w14:paraId="0FB1963A" w14:textId="601819AE" w:rsidR="00C36E35" w:rsidRPr="00BD733F" w:rsidRDefault="00C36E35" w:rsidP="00FF5565">
      <w:pPr>
        <w:spacing w:line="276" w:lineRule="auto"/>
        <w:jc w:val="both"/>
        <w:rPr>
          <w:color w:val="000000"/>
          <w:shd w:val="clear" w:color="auto" w:fill="FFFFFF"/>
          <w:lang w:val="en-US"/>
        </w:rPr>
      </w:pPr>
      <w:r w:rsidRPr="00BD733F">
        <w:rPr>
          <w:color w:val="000000"/>
          <w:shd w:val="clear" w:color="auto" w:fill="FFFFFF"/>
          <w:lang w:val="en-US"/>
        </w:rPr>
        <w:t>Research in Finance has long been intrigued by the causes of price bubbles.</w:t>
      </w:r>
      <w:r w:rsidR="00FF5565" w:rsidRPr="00BD733F">
        <w:rPr>
          <w:color w:val="000000"/>
          <w:shd w:val="clear" w:color="auto" w:fill="FFFFFF"/>
          <w:lang w:val="en-US"/>
        </w:rPr>
        <w:t xml:space="preserve"> It has been argued that </w:t>
      </w:r>
      <w:r w:rsidRPr="00BD733F">
        <w:rPr>
          <w:color w:val="000000"/>
          <w:shd w:val="clear" w:color="auto" w:fill="FFFFFF"/>
          <w:lang w:val="en-US"/>
        </w:rPr>
        <w:t>investors hav</w:t>
      </w:r>
      <w:r w:rsidR="00FF5565" w:rsidRPr="00BD733F">
        <w:rPr>
          <w:color w:val="000000"/>
          <w:shd w:val="clear" w:color="auto" w:fill="FFFFFF"/>
          <w:lang w:val="en-US"/>
        </w:rPr>
        <w:t>ing</w:t>
      </w:r>
      <w:r w:rsidRPr="00BD733F">
        <w:rPr>
          <w:color w:val="000000"/>
          <w:shd w:val="clear" w:color="auto" w:fill="FFFFFF"/>
          <w:lang w:val="en-US"/>
        </w:rPr>
        <w:t xml:space="preserve"> doubts about the rationality of others</w:t>
      </w:r>
      <w:r w:rsidR="00FF5565" w:rsidRPr="00BD733F">
        <w:rPr>
          <w:color w:val="000000"/>
          <w:shd w:val="clear" w:color="auto" w:fill="FFFFFF"/>
          <w:lang w:val="en-US"/>
        </w:rPr>
        <w:t xml:space="preserve"> may</w:t>
      </w:r>
      <w:r w:rsidRPr="00BD733F">
        <w:rPr>
          <w:color w:val="000000"/>
          <w:shd w:val="clear" w:color="auto" w:fill="FFFFFF"/>
          <w:lang w:val="en-US"/>
        </w:rPr>
        <w:t xml:space="preserve"> speculate </w:t>
      </w:r>
      <w:r w:rsidR="00FF5565" w:rsidRPr="00BD733F">
        <w:rPr>
          <w:color w:val="000000"/>
          <w:shd w:val="clear" w:color="auto" w:fill="FFFFFF"/>
          <w:lang w:val="en-US"/>
        </w:rPr>
        <w:t>on</w:t>
      </w:r>
      <w:r w:rsidRPr="00BD733F">
        <w:rPr>
          <w:color w:val="000000"/>
          <w:shd w:val="clear" w:color="auto" w:fill="FFFFFF"/>
          <w:lang w:val="en-US"/>
        </w:rPr>
        <w:t xml:space="preserve"> future capital gains</w:t>
      </w:r>
      <w:r w:rsidR="00F06E64" w:rsidRPr="00BD733F">
        <w:rPr>
          <w:color w:val="000000"/>
          <w:shd w:val="clear" w:color="auto" w:fill="FFFFFF"/>
          <w:lang w:val="en-US"/>
        </w:rPr>
        <w:t>.</w:t>
      </w:r>
      <w:r w:rsidRPr="00BD733F">
        <w:rPr>
          <w:color w:val="000000"/>
          <w:shd w:val="clear" w:color="auto" w:fill="FFFFFF"/>
          <w:lang w:val="en-US"/>
        </w:rPr>
        <w:t xml:space="preserve"> </w:t>
      </w:r>
      <w:r w:rsidR="00FF5565" w:rsidRPr="00BD733F">
        <w:rPr>
          <w:color w:val="000000"/>
          <w:shd w:val="clear" w:color="auto" w:fill="FFFFFF"/>
          <w:lang w:val="en-US"/>
        </w:rPr>
        <w:t>However, in an important contribution, Lei et al. (</w:t>
      </w:r>
      <w:r w:rsidR="00DC012A" w:rsidRPr="00BD733F">
        <w:rPr>
          <w:color w:val="000000"/>
          <w:shd w:val="clear" w:color="auto" w:fill="FFFFFF"/>
          <w:lang w:val="en-US"/>
        </w:rPr>
        <w:t>2001</w:t>
      </w:r>
      <w:r w:rsidR="00073FA6" w:rsidRPr="00BD733F">
        <w:rPr>
          <w:color w:val="000000"/>
          <w:shd w:val="clear" w:color="auto" w:fill="FFFFFF"/>
          <w:lang w:val="en-US"/>
        </w:rPr>
        <w:t xml:space="preserve">, </w:t>
      </w:r>
      <w:proofErr w:type="spellStart"/>
      <w:r w:rsidR="00073FA6" w:rsidRPr="00BD733F">
        <w:rPr>
          <w:color w:val="000000"/>
          <w:shd w:val="clear" w:color="auto" w:fill="FFFFFF"/>
          <w:lang w:val="en-US"/>
        </w:rPr>
        <w:t>Econometrica</w:t>
      </w:r>
      <w:proofErr w:type="spellEnd"/>
      <w:r w:rsidR="00FF5565" w:rsidRPr="00BD733F">
        <w:rPr>
          <w:color w:val="000000"/>
          <w:shd w:val="clear" w:color="auto" w:fill="FFFFFF"/>
          <w:lang w:val="en-US"/>
        </w:rPr>
        <w:t xml:space="preserve">) </w:t>
      </w:r>
      <w:r w:rsidR="004843AB" w:rsidRPr="00BD733F">
        <w:rPr>
          <w:color w:val="000000"/>
          <w:shd w:val="clear" w:color="auto" w:fill="FFFFFF"/>
          <w:lang w:val="en-US"/>
        </w:rPr>
        <w:t xml:space="preserve">argue </w:t>
      </w:r>
      <w:r w:rsidR="00FF5565" w:rsidRPr="00BD733F">
        <w:rPr>
          <w:color w:val="000000"/>
          <w:shd w:val="clear" w:color="auto" w:fill="FFFFFF"/>
          <w:lang w:val="en-US"/>
        </w:rPr>
        <w:t xml:space="preserve">that speculation is not the driver </w:t>
      </w:r>
      <w:r w:rsidR="00CB22EC" w:rsidRPr="00BD733F">
        <w:rPr>
          <w:color w:val="000000"/>
          <w:shd w:val="clear" w:color="auto" w:fill="FFFFFF"/>
          <w:lang w:val="en-US"/>
        </w:rPr>
        <w:t xml:space="preserve">of </w:t>
      </w:r>
      <w:r w:rsidR="00FF5565" w:rsidRPr="00BD733F">
        <w:rPr>
          <w:color w:val="000000"/>
          <w:shd w:val="clear" w:color="auto" w:fill="FFFFFF"/>
          <w:lang w:val="en-US"/>
        </w:rPr>
        <w:t>bubbles in the absence of common knowledge of rationality, suggesting a focus on mistakes and confusion</w:t>
      </w:r>
      <w:r w:rsidR="00AC5ED3" w:rsidRPr="00BD733F">
        <w:rPr>
          <w:color w:val="000000"/>
          <w:shd w:val="clear" w:color="auto" w:fill="FFFFFF"/>
          <w:lang w:val="en-US"/>
        </w:rPr>
        <w:t>.</w:t>
      </w:r>
      <w:r w:rsidR="00F35A40">
        <w:rPr>
          <w:color w:val="000000"/>
          <w:shd w:val="clear" w:color="auto" w:fill="FFFFFF"/>
          <w:lang w:val="en-US"/>
        </w:rPr>
        <w:t xml:space="preserve">  Tucker and Xu (2024) </w:t>
      </w:r>
      <w:r w:rsidRPr="00BD733F">
        <w:rPr>
          <w:color w:val="000000"/>
          <w:shd w:val="clear" w:color="auto" w:fill="FFFFFF"/>
          <w:lang w:val="en-US"/>
        </w:rPr>
        <w:t xml:space="preserve">revisit </w:t>
      </w:r>
      <w:r w:rsidR="00AC5ED3" w:rsidRPr="00BD733F">
        <w:rPr>
          <w:color w:val="000000"/>
          <w:shd w:val="clear" w:color="auto" w:fill="FFFFFF"/>
          <w:lang w:val="en-US"/>
        </w:rPr>
        <w:t>Lei et al.’s (</w:t>
      </w:r>
      <w:r w:rsidR="00465B45" w:rsidRPr="00BD733F">
        <w:rPr>
          <w:color w:val="000000"/>
          <w:shd w:val="clear" w:color="auto" w:fill="FFFFFF"/>
          <w:lang w:val="en-US"/>
        </w:rPr>
        <w:t>2001</w:t>
      </w:r>
      <w:r w:rsidR="00AC5ED3" w:rsidRPr="00BD733F">
        <w:rPr>
          <w:color w:val="000000"/>
          <w:shd w:val="clear" w:color="auto" w:fill="FFFFFF"/>
          <w:lang w:val="en-US"/>
        </w:rPr>
        <w:t xml:space="preserve">) </w:t>
      </w:r>
      <w:r w:rsidR="00F06E64" w:rsidRPr="00BD733F">
        <w:rPr>
          <w:color w:val="000000"/>
          <w:shd w:val="clear" w:color="auto" w:fill="FFFFFF"/>
          <w:lang w:val="en-US"/>
        </w:rPr>
        <w:t>design</w:t>
      </w:r>
      <w:r w:rsidR="005B4AD5" w:rsidRPr="00BD733F">
        <w:rPr>
          <w:color w:val="000000"/>
          <w:shd w:val="clear" w:color="auto" w:fill="FFFFFF"/>
          <w:lang w:val="en-US"/>
        </w:rPr>
        <w:t xml:space="preserve">, </w:t>
      </w:r>
      <w:r w:rsidR="00F06E64" w:rsidRPr="00BD733F">
        <w:rPr>
          <w:color w:val="000000"/>
          <w:shd w:val="clear" w:color="auto" w:fill="FFFFFF"/>
          <w:lang w:val="en-US"/>
        </w:rPr>
        <w:t>confirm</w:t>
      </w:r>
      <w:r w:rsidR="001300F5" w:rsidRPr="00BD733F">
        <w:rPr>
          <w:color w:val="000000"/>
          <w:shd w:val="clear" w:color="auto" w:fill="FFFFFF"/>
          <w:lang w:val="en-US"/>
        </w:rPr>
        <w:t>ing</w:t>
      </w:r>
      <w:r w:rsidR="00F06E64" w:rsidRPr="00BD733F">
        <w:rPr>
          <w:color w:val="000000"/>
          <w:shd w:val="clear" w:color="auto" w:fill="FFFFFF"/>
          <w:lang w:val="en-US"/>
        </w:rPr>
        <w:t xml:space="preserve"> the existence of </w:t>
      </w:r>
      <w:r w:rsidRPr="003F2A1B">
        <w:rPr>
          <w:shd w:val="clear" w:color="auto" w:fill="FFFFFF"/>
          <w:lang w:val="en-US"/>
        </w:rPr>
        <w:t>bubbles</w:t>
      </w:r>
      <w:r w:rsidR="00F35A40">
        <w:rPr>
          <w:shd w:val="clear" w:color="auto" w:fill="FFFFFF"/>
          <w:lang w:val="en-US"/>
        </w:rPr>
        <w:t xml:space="preserve">, but </w:t>
      </w:r>
      <w:r w:rsidR="007F38E6">
        <w:rPr>
          <w:shd w:val="clear" w:color="auto" w:fill="FFFFFF"/>
          <w:lang w:val="en-US"/>
        </w:rPr>
        <w:t>argue that</w:t>
      </w:r>
      <w:r w:rsidRPr="003F2A1B">
        <w:rPr>
          <w:shd w:val="clear" w:color="auto" w:fill="FFFFFF"/>
          <w:lang w:val="en-US"/>
        </w:rPr>
        <w:t xml:space="preserve"> although the</w:t>
      </w:r>
      <w:r w:rsidR="00AC5ED3" w:rsidRPr="003F2A1B">
        <w:rPr>
          <w:shd w:val="clear" w:color="auto" w:fill="FFFFFF"/>
          <w:lang w:val="en-US"/>
        </w:rPr>
        <w:t>ir</w:t>
      </w:r>
      <w:r w:rsidRPr="003F2A1B">
        <w:rPr>
          <w:shd w:val="clear" w:color="auto" w:fill="FFFFFF"/>
          <w:lang w:val="en-US"/>
        </w:rPr>
        <w:t xml:space="preserve"> design removes the ability to speculate, </w:t>
      </w:r>
      <w:r w:rsidR="00F06E64" w:rsidRPr="003F2A1B">
        <w:rPr>
          <w:shd w:val="clear" w:color="auto" w:fill="FFFFFF"/>
          <w:lang w:val="en-US"/>
        </w:rPr>
        <w:t>it</w:t>
      </w:r>
      <w:r w:rsidR="003F2A1B" w:rsidRPr="003F2A1B">
        <w:rPr>
          <w:shd w:val="clear" w:color="auto" w:fill="FFFFFF"/>
          <w:lang w:val="en-US"/>
        </w:rPr>
        <w:t xml:space="preserve"> potentially</w:t>
      </w:r>
      <w:r w:rsidR="00F06E64" w:rsidRPr="003F2A1B">
        <w:rPr>
          <w:shd w:val="clear" w:color="auto" w:fill="FFFFFF"/>
          <w:lang w:val="en-US"/>
        </w:rPr>
        <w:t xml:space="preserve"> introduces </w:t>
      </w:r>
      <w:r w:rsidR="00CB22EC" w:rsidRPr="003F2A1B">
        <w:rPr>
          <w:shd w:val="clear" w:color="auto" w:fill="FFFFFF"/>
          <w:lang w:val="en-US"/>
        </w:rPr>
        <w:t>unintended design artifacts</w:t>
      </w:r>
      <w:r w:rsidR="003F2A1B" w:rsidRPr="003F2A1B">
        <w:rPr>
          <w:shd w:val="clear" w:color="auto" w:fill="FFFFFF"/>
          <w:lang w:val="en-US"/>
        </w:rPr>
        <w:t xml:space="preserve"> that</w:t>
      </w:r>
      <w:r w:rsidR="007F38E6">
        <w:rPr>
          <w:shd w:val="clear" w:color="auto" w:fill="FFFFFF"/>
          <w:lang w:val="en-US"/>
        </w:rPr>
        <w:t xml:space="preserve"> may</w:t>
      </w:r>
      <w:r w:rsidR="003F2A1B" w:rsidRPr="003F2A1B">
        <w:rPr>
          <w:shd w:val="clear" w:color="auto" w:fill="FFFFFF"/>
          <w:lang w:val="en-US"/>
        </w:rPr>
        <w:t xml:space="preserve"> induce</w:t>
      </w:r>
      <w:r w:rsidR="00CB22EC" w:rsidRPr="003F2A1B">
        <w:rPr>
          <w:shd w:val="clear" w:color="auto" w:fill="FFFFFF"/>
          <w:lang w:val="en-US"/>
        </w:rPr>
        <w:t xml:space="preserve"> bubbles</w:t>
      </w:r>
      <w:r w:rsidR="00F06E64" w:rsidRPr="003F2A1B">
        <w:rPr>
          <w:shd w:val="clear" w:color="auto" w:fill="FFFFFF"/>
          <w:lang w:val="en-US"/>
        </w:rPr>
        <w:t>. W</w:t>
      </w:r>
      <w:r w:rsidRPr="003F2A1B">
        <w:rPr>
          <w:shd w:val="clear" w:color="auto" w:fill="FFFFFF"/>
          <w:lang w:val="en-US"/>
        </w:rPr>
        <w:t xml:space="preserve">e </w:t>
      </w:r>
      <w:r w:rsidR="005B251D" w:rsidRPr="003F2A1B">
        <w:rPr>
          <w:shd w:val="clear" w:color="auto" w:fill="FFFFFF"/>
          <w:lang w:val="en-US"/>
        </w:rPr>
        <w:t>design</w:t>
      </w:r>
      <w:r w:rsidR="00F06E64" w:rsidRPr="003F2A1B">
        <w:rPr>
          <w:shd w:val="clear" w:color="auto" w:fill="FFFFFF"/>
          <w:lang w:val="en-US"/>
        </w:rPr>
        <w:t xml:space="preserve"> </w:t>
      </w:r>
      <w:r w:rsidRPr="003F2A1B">
        <w:rPr>
          <w:shd w:val="clear" w:color="auto" w:fill="FFFFFF"/>
          <w:lang w:val="en-US"/>
        </w:rPr>
        <w:t xml:space="preserve">a </w:t>
      </w:r>
      <w:r w:rsidR="005F3C30" w:rsidRPr="003F2A1B">
        <w:rPr>
          <w:shd w:val="clear" w:color="auto" w:fill="FFFFFF"/>
          <w:lang w:val="en-US"/>
        </w:rPr>
        <w:t xml:space="preserve">novel </w:t>
      </w:r>
      <w:r w:rsidR="00AC5ED3" w:rsidRPr="003F2A1B">
        <w:rPr>
          <w:shd w:val="clear" w:color="auto" w:fill="FFFFFF"/>
          <w:lang w:val="en-US"/>
        </w:rPr>
        <w:t xml:space="preserve">condition </w:t>
      </w:r>
      <w:r w:rsidRPr="003F2A1B">
        <w:rPr>
          <w:shd w:val="clear" w:color="auto" w:fill="FFFFFF"/>
          <w:lang w:val="en-US"/>
        </w:rPr>
        <w:t>that eliminate</w:t>
      </w:r>
      <w:r w:rsidR="00F06E64" w:rsidRPr="003F2A1B">
        <w:rPr>
          <w:shd w:val="clear" w:color="auto" w:fill="FFFFFF"/>
          <w:lang w:val="en-US"/>
        </w:rPr>
        <w:t>s</w:t>
      </w:r>
      <w:r w:rsidRPr="003F2A1B">
        <w:rPr>
          <w:shd w:val="clear" w:color="auto" w:fill="FFFFFF"/>
          <w:lang w:val="en-US"/>
        </w:rPr>
        <w:t xml:space="preserve"> incentives </w:t>
      </w:r>
      <w:r w:rsidR="00F06E64" w:rsidRPr="003F2A1B">
        <w:rPr>
          <w:shd w:val="clear" w:color="auto" w:fill="FFFFFF"/>
          <w:lang w:val="en-US"/>
        </w:rPr>
        <w:t>for</w:t>
      </w:r>
      <w:r w:rsidRPr="003F2A1B">
        <w:rPr>
          <w:shd w:val="clear" w:color="auto" w:fill="FFFFFF"/>
          <w:lang w:val="en-US"/>
        </w:rPr>
        <w:t xml:space="preserve"> </w:t>
      </w:r>
      <w:r w:rsidR="00F06E64" w:rsidRPr="003F2A1B">
        <w:rPr>
          <w:shd w:val="clear" w:color="auto" w:fill="FFFFFF"/>
          <w:lang w:val="en-US"/>
        </w:rPr>
        <w:t>speculation</w:t>
      </w:r>
      <w:r w:rsidR="00AC5ED3" w:rsidRPr="003F2A1B">
        <w:rPr>
          <w:shd w:val="clear" w:color="auto" w:fill="FFFFFF"/>
          <w:lang w:val="en-US"/>
        </w:rPr>
        <w:t xml:space="preserve"> without </w:t>
      </w:r>
      <w:r w:rsidR="004843AB" w:rsidRPr="003F2A1B">
        <w:rPr>
          <w:shd w:val="clear" w:color="auto" w:fill="FFFFFF"/>
          <w:lang w:val="en-US"/>
        </w:rPr>
        <w:t xml:space="preserve">these </w:t>
      </w:r>
      <w:r w:rsidR="005F3C30" w:rsidRPr="003F2A1B">
        <w:rPr>
          <w:shd w:val="clear" w:color="auto" w:fill="FFFFFF"/>
          <w:lang w:val="en-US"/>
        </w:rPr>
        <w:t xml:space="preserve">undesirable </w:t>
      </w:r>
      <w:r w:rsidR="004843AB" w:rsidRPr="003F2A1B">
        <w:rPr>
          <w:shd w:val="clear" w:color="auto" w:fill="FFFFFF"/>
          <w:lang w:val="en-US"/>
        </w:rPr>
        <w:t>effects</w:t>
      </w:r>
      <w:r w:rsidR="005B6C18" w:rsidRPr="003F2A1B">
        <w:rPr>
          <w:shd w:val="clear" w:color="auto" w:fill="FFFFFF"/>
          <w:lang w:val="en-US"/>
        </w:rPr>
        <w:t xml:space="preserve">, </w:t>
      </w:r>
      <w:r w:rsidR="005B6C18" w:rsidRPr="00BD733F">
        <w:rPr>
          <w:color w:val="000000"/>
          <w:shd w:val="clear" w:color="auto" w:fill="FFFFFF"/>
          <w:lang w:val="en-US"/>
        </w:rPr>
        <w:t xml:space="preserve">which effectively eliminates bubbles even </w:t>
      </w:r>
      <w:r w:rsidR="003F2A1B" w:rsidRPr="003F2A1B">
        <w:rPr>
          <w:color w:val="000000"/>
          <w:shd w:val="clear" w:color="auto" w:fill="FFFFFF"/>
          <w:lang w:val="en-US"/>
        </w:rPr>
        <w:t>in the presence of confusion and/or lack of common expectations</w:t>
      </w:r>
      <w:r w:rsidRPr="00BD733F">
        <w:rPr>
          <w:color w:val="000000"/>
          <w:shd w:val="clear" w:color="auto" w:fill="FFFFFF"/>
          <w:lang w:val="en-US"/>
        </w:rPr>
        <w:t xml:space="preserve">. </w:t>
      </w:r>
      <w:r w:rsidR="004843AB" w:rsidRPr="00BD733F">
        <w:rPr>
          <w:color w:val="000000"/>
          <w:shd w:val="clear" w:color="auto" w:fill="FFFFFF"/>
          <w:lang w:val="en-US"/>
        </w:rPr>
        <w:t>We</w:t>
      </w:r>
      <w:r w:rsidRPr="00BD733F">
        <w:rPr>
          <w:color w:val="000000"/>
          <w:shd w:val="clear" w:color="auto" w:fill="FFFFFF"/>
          <w:lang w:val="en-US"/>
        </w:rPr>
        <w:t xml:space="preserve"> conclude that speculation</w:t>
      </w:r>
      <w:r w:rsidR="00F77D88" w:rsidRPr="00BD733F">
        <w:rPr>
          <w:color w:val="000000"/>
          <w:shd w:val="clear" w:color="auto" w:fill="FFFFFF"/>
          <w:lang w:val="en-US"/>
        </w:rPr>
        <w:t xml:space="preserve"> plays a critical </w:t>
      </w:r>
      <w:r w:rsidR="00C92F8C" w:rsidRPr="00BD733F">
        <w:rPr>
          <w:color w:val="000000"/>
          <w:shd w:val="clear" w:color="auto" w:fill="FFFFFF"/>
          <w:lang w:val="en-US"/>
        </w:rPr>
        <w:t>role in bubble formation, and thus</w:t>
      </w:r>
      <w:r w:rsidRPr="00BD733F">
        <w:rPr>
          <w:color w:val="000000"/>
          <w:shd w:val="clear" w:color="auto" w:fill="FFFFFF"/>
          <w:lang w:val="en-US"/>
        </w:rPr>
        <w:t> </w:t>
      </w:r>
      <w:r w:rsidRPr="00BD733F">
        <w:rPr>
          <w:rStyle w:val="Emphasis"/>
          <w:color w:val="000000"/>
          <w:shd w:val="clear" w:color="auto" w:fill="FFFFFF"/>
          <w:lang w:val="en-US"/>
        </w:rPr>
        <w:t>does</w:t>
      </w:r>
      <w:r w:rsidRPr="00BD733F">
        <w:rPr>
          <w:rStyle w:val="Emphasis"/>
          <w:i w:val="0"/>
          <w:iCs w:val="0"/>
          <w:color w:val="000000"/>
          <w:shd w:val="clear" w:color="auto" w:fill="FFFFFF"/>
          <w:lang w:val="en-US"/>
        </w:rPr>
        <w:t xml:space="preserve"> matter.</w:t>
      </w:r>
    </w:p>
    <w:p w14:paraId="409205E1" w14:textId="77777777" w:rsidR="00CE3D8E" w:rsidRDefault="00CE3D8E" w:rsidP="000A395D">
      <w:pPr>
        <w:pStyle w:val="PlainText"/>
        <w:spacing w:line="276" w:lineRule="auto"/>
        <w:jc w:val="both"/>
        <w:rPr>
          <w:rFonts w:ascii="Times New Roman" w:hAnsi="Times New Roman" w:cs="Times New Roman"/>
          <w:sz w:val="24"/>
          <w:szCs w:val="24"/>
          <w:lang w:val="en-US" w:eastAsia="zh-CN"/>
        </w:rPr>
      </w:pPr>
    </w:p>
    <w:p w14:paraId="64F8FE4F" w14:textId="77777777" w:rsidR="009F71A2" w:rsidRPr="00AE48A5" w:rsidRDefault="009F71A2" w:rsidP="00CD364E">
      <w:pPr>
        <w:spacing w:line="240" w:lineRule="auto"/>
        <w:jc w:val="center"/>
        <w:rPr>
          <w:b/>
          <w:bCs/>
          <w:lang w:val="fr-FR"/>
        </w:rPr>
      </w:pPr>
      <w:r w:rsidRPr="00AE48A5">
        <w:rPr>
          <w:b/>
          <w:bCs/>
          <w:lang w:val="fr-FR"/>
        </w:rPr>
        <w:t>JEL Classification</w:t>
      </w:r>
    </w:p>
    <w:p w14:paraId="3F4114E2" w14:textId="77777777" w:rsidR="009F71A2" w:rsidRDefault="009F71A2" w:rsidP="009F71A2">
      <w:pPr>
        <w:spacing w:after="0" w:line="240" w:lineRule="auto"/>
        <w:jc w:val="center"/>
        <w:rPr>
          <w:lang w:val="fr-FR"/>
        </w:rPr>
      </w:pPr>
      <w:r w:rsidRPr="00BD733F">
        <w:rPr>
          <w:lang w:val="en-US"/>
        </w:rPr>
        <w:t>C91</w:t>
      </w:r>
      <w:r>
        <w:rPr>
          <w:lang w:val="en-US"/>
        </w:rPr>
        <w:t>,</w:t>
      </w:r>
      <w:r w:rsidRPr="00BD733F">
        <w:rPr>
          <w:lang w:val="en-US"/>
        </w:rPr>
        <w:t xml:space="preserve"> G13</w:t>
      </w:r>
    </w:p>
    <w:p w14:paraId="3ECB096E" w14:textId="77777777" w:rsidR="009F71A2" w:rsidRPr="00AE48A5" w:rsidRDefault="009F71A2" w:rsidP="009F71A2">
      <w:pPr>
        <w:spacing w:after="0" w:line="240" w:lineRule="auto"/>
        <w:jc w:val="center"/>
        <w:rPr>
          <w:lang w:val="fr-FR"/>
        </w:rPr>
      </w:pPr>
    </w:p>
    <w:p w14:paraId="0E3586F3" w14:textId="77777777" w:rsidR="009F71A2" w:rsidRPr="00AE48A5" w:rsidRDefault="009F71A2" w:rsidP="009F71A2">
      <w:pPr>
        <w:spacing w:after="0" w:line="240" w:lineRule="auto"/>
        <w:jc w:val="center"/>
        <w:rPr>
          <w:b/>
          <w:bCs/>
          <w:sz w:val="20"/>
          <w:szCs w:val="20"/>
          <w:lang w:val="fr-FR"/>
        </w:rPr>
      </w:pPr>
    </w:p>
    <w:p w14:paraId="3686BE6B" w14:textId="77777777" w:rsidR="009F71A2" w:rsidRPr="00AE48A5" w:rsidRDefault="009F71A2" w:rsidP="00CD364E">
      <w:pPr>
        <w:spacing w:line="240" w:lineRule="auto"/>
        <w:jc w:val="center"/>
        <w:rPr>
          <w:lang w:val="fr-FR"/>
        </w:rPr>
      </w:pPr>
      <w:r w:rsidRPr="00AE48A5">
        <w:rPr>
          <w:b/>
          <w:bCs/>
          <w:lang w:val="fr-FR"/>
        </w:rPr>
        <w:t>Keywords</w:t>
      </w:r>
    </w:p>
    <w:p w14:paraId="6A43D3CE" w14:textId="77777777" w:rsidR="009F71A2" w:rsidRDefault="009F71A2" w:rsidP="00CD364E">
      <w:pPr>
        <w:spacing w:line="240" w:lineRule="auto"/>
        <w:jc w:val="center"/>
        <w:rPr>
          <w:rFonts w:asciiTheme="majorBidi" w:hAnsiTheme="majorBidi" w:cstheme="majorBidi"/>
          <w:lang w:val="fr-FR"/>
        </w:rPr>
      </w:pPr>
      <w:proofErr w:type="spellStart"/>
      <w:proofErr w:type="gramStart"/>
      <w:r>
        <w:rPr>
          <w:rFonts w:asciiTheme="majorBidi" w:hAnsiTheme="majorBidi" w:cstheme="majorBidi"/>
          <w:lang w:val="fr-FR"/>
        </w:rPr>
        <w:t>s</w:t>
      </w:r>
      <w:r w:rsidRPr="00911619">
        <w:rPr>
          <w:rFonts w:asciiTheme="majorBidi" w:hAnsiTheme="majorBidi" w:cstheme="majorBidi"/>
          <w:lang w:val="fr-FR"/>
        </w:rPr>
        <w:t>peculation</w:t>
      </w:r>
      <w:proofErr w:type="spellEnd"/>
      <w:proofErr w:type="gramEnd"/>
    </w:p>
    <w:p w14:paraId="472163DF" w14:textId="77777777" w:rsidR="009F71A2" w:rsidRDefault="009F71A2" w:rsidP="00CD364E">
      <w:pPr>
        <w:spacing w:line="240" w:lineRule="auto"/>
        <w:jc w:val="center"/>
        <w:rPr>
          <w:rFonts w:asciiTheme="majorBidi" w:hAnsiTheme="majorBidi" w:cstheme="majorBidi"/>
          <w:lang w:val="fr-FR"/>
        </w:rPr>
      </w:pPr>
      <w:proofErr w:type="spellStart"/>
      <w:proofErr w:type="gramStart"/>
      <w:r w:rsidRPr="00911619">
        <w:rPr>
          <w:rFonts w:asciiTheme="majorBidi" w:hAnsiTheme="majorBidi" w:cstheme="majorBidi"/>
          <w:lang w:val="fr-FR"/>
        </w:rPr>
        <w:t>bubbles</w:t>
      </w:r>
      <w:proofErr w:type="spellEnd"/>
      <w:proofErr w:type="gramEnd"/>
      <w:r w:rsidRPr="00911619">
        <w:rPr>
          <w:rFonts w:asciiTheme="majorBidi" w:hAnsiTheme="majorBidi" w:cstheme="majorBidi"/>
          <w:lang w:val="fr-FR"/>
        </w:rPr>
        <w:t xml:space="preserve"> </w:t>
      </w:r>
    </w:p>
    <w:p w14:paraId="67013A46" w14:textId="77777777" w:rsidR="009F71A2" w:rsidRDefault="009F71A2" w:rsidP="00CD364E">
      <w:pPr>
        <w:spacing w:line="240" w:lineRule="auto"/>
        <w:jc w:val="center"/>
        <w:rPr>
          <w:rFonts w:asciiTheme="majorBidi" w:hAnsiTheme="majorBidi" w:cstheme="majorBidi"/>
          <w:lang w:val="fr-FR"/>
        </w:rPr>
      </w:pPr>
      <w:proofErr w:type="gramStart"/>
      <w:r w:rsidRPr="00911619">
        <w:rPr>
          <w:rFonts w:asciiTheme="majorBidi" w:hAnsiTheme="majorBidi" w:cstheme="majorBidi"/>
          <w:lang w:val="fr-FR"/>
        </w:rPr>
        <w:t>cognitive</w:t>
      </w:r>
      <w:proofErr w:type="gramEnd"/>
      <w:r w:rsidRPr="00911619">
        <w:rPr>
          <w:rFonts w:asciiTheme="majorBidi" w:hAnsiTheme="majorBidi" w:cstheme="majorBidi"/>
          <w:lang w:val="fr-FR"/>
        </w:rPr>
        <w:t xml:space="preserve"> </w:t>
      </w:r>
      <w:proofErr w:type="spellStart"/>
      <w:r w:rsidRPr="00911619">
        <w:rPr>
          <w:rFonts w:asciiTheme="majorBidi" w:hAnsiTheme="majorBidi" w:cstheme="majorBidi"/>
          <w:lang w:val="fr-FR"/>
        </w:rPr>
        <w:t>ability</w:t>
      </w:r>
      <w:proofErr w:type="spellEnd"/>
    </w:p>
    <w:p w14:paraId="35258E95" w14:textId="77777777" w:rsidR="009F71A2" w:rsidRDefault="009F71A2" w:rsidP="00CD364E">
      <w:pPr>
        <w:spacing w:line="240" w:lineRule="auto"/>
        <w:jc w:val="center"/>
        <w:rPr>
          <w:rFonts w:asciiTheme="majorBidi" w:hAnsiTheme="majorBidi" w:cstheme="majorBidi"/>
          <w:lang w:val="fr-FR"/>
        </w:rPr>
      </w:pPr>
      <w:proofErr w:type="gramStart"/>
      <w:r w:rsidRPr="00911619">
        <w:rPr>
          <w:rFonts w:asciiTheme="majorBidi" w:hAnsiTheme="majorBidi" w:cstheme="majorBidi"/>
          <w:lang w:val="fr-FR"/>
        </w:rPr>
        <w:t>asset</w:t>
      </w:r>
      <w:proofErr w:type="gramEnd"/>
      <w:r w:rsidRPr="00911619">
        <w:rPr>
          <w:rFonts w:asciiTheme="majorBidi" w:hAnsiTheme="majorBidi" w:cstheme="majorBidi"/>
          <w:lang w:val="fr-FR"/>
        </w:rPr>
        <w:t xml:space="preserve"> </w:t>
      </w:r>
      <w:proofErr w:type="spellStart"/>
      <w:r w:rsidRPr="00911619">
        <w:rPr>
          <w:rFonts w:asciiTheme="majorBidi" w:hAnsiTheme="majorBidi" w:cstheme="majorBidi"/>
          <w:lang w:val="fr-FR"/>
        </w:rPr>
        <w:t>market</w:t>
      </w:r>
      <w:proofErr w:type="spellEnd"/>
      <w:r w:rsidRPr="00911619">
        <w:rPr>
          <w:rFonts w:asciiTheme="majorBidi" w:hAnsiTheme="majorBidi" w:cstheme="majorBidi"/>
          <w:lang w:val="fr-FR"/>
        </w:rPr>
        <w:t xml:space="preserve"> </w:t>
      </w:r>
      <w:proofErr w:type="spellStart"/>
      <w:r w:rsidRPr="00911619">
        <w:rPr>
          <w:rFonts w:asciiTheme="majorBidi" w:hAnsiTheme="majorBidi" w:cstheme="majorBidi"/>
          <w:lang w:val="fr-FR"/>
        </w:rPr>
        <w:t>experiment</w:t>
      </w:r>
      <w:proofErr w:type="spellEnd"/>
    </w:p>
    <w:p w14:paraId="2A283EAB" w14:textId="77777777" w:rsidR="009F71A2" w:rsidRDefault="009F71A2" w:rsidP="000A395D">
      <w:pPr>
        <w:pStyle w:val="PlainText"/>
        <w:spacing w:line="276" w:lineRule="auto"/>
        <w:jc w:val="both"/>
        <w:rPr>
          <w:rFonts w:ascii="Times New Roman" w:hAnsi="Times New Roman" w:cs="Times New Roman"/>
          <w:sz w:val="24"/>
          <w:szCs w:val="24"/>
          <w:lang w:val="en-US" w:eastAsia="zh-CN"/>
        </w:rPr>
      </w:pPr>
    </w:p>
    <w:p w14:paraId="4F99CF0E" w14:textId="77777777" w:rsidR="00CD364E" w:rsidRPr="00BD733F" w:rsidRDefault="00CD364E" w:rsidP="000A395D">
      <w:pPr>
        <w:pStyle w:val="PlainText"/>
        <w:spacing w:line="276" w:lineRule="auto"/>
        <w:jc w:val="both"/>
        <w:rPr>
          <w:rFonts w:ascii="Times New Roman" w:hAnsi="Times New Roman" w:cs="Times New Roman"/>
          <w:sz w:val="24"/>
          <w:szCs w:val="24"/>
          <w:lang w:val="en-US" w:eastAsia="zh-CN"/>
        </w:rPr>
      </w:pPr>
    </w:p>
    <w:p w14:paraId="5D0E90B1" w14:textId="096FB8EA" w:rsidR="009F71A2" w:rsidRPr="00536A28" w:rsidRDefault="009F71A2" w:rsidP="00CD364E">
      <w:pPr>
        <w:spacing w:after="200" w:line="240" w:lineRule="auto"/>
        <w:jc w:val="center"/>
        <w:rPr>
          <w:b/>
          <w:bCs/>
          <w:lang w:val="en-US"/>
        </w:rPr>
      </w:pPr>
      <w:r w:rsidRPr="00536A28">
        <w:rPr>
          <w:b/>
          <w:bCs/>
          <w:lang w:val="en-US"/>
        </w:rPr>
        <w:t>Acknowledgment</w:t>
      </w:r>
    </w:p>
    <w:p w14:paraId="12D1ACB2" w14:textId="00F29213" w:rsidR="009F71A2" w:rsidRPr="00BD733F" w:rsidRDefault="009F71A2" w:rsidP="009F71A2">
      <w:pPr>
        <w:pStyle w:val="PlainText"/>
        <w:spacing w:line="276" w:lineRule="auto"/>
        <w:jc w:val="both"/>
        <w:rPr>
          <w:rFonts w:ascii="Times New Roman" w:hAnsi="Times New Roman" w:cs="Times New Roman"/>
          <w:sz w:val="24"/>
          <w:szCs w:val="24"/>
          <w:lang w:val="en-US" w:eastAsia="zh-CN"/>
        </w:rPr>
      </w:pPr>
      <w:r w:rsidRPr="00911619">
        <w:rPr>
          <w:rFonts w:ascii="Times New Roman" w:hAnsi="Times New Roman" w:cs="Times New Roman"/>
          <w:sz w:val="24"/>
          <w:szCs w:val="24"/>
          <w:lang w:val="en-US" w:eastAsia="zh-CN"/>
        </w:rPr>
        <w:t xml:space="preserve">We thank participants at the Experimental Finance Conference 2018, </w:t>
      </w:r>
      <w:proofErr w:type="spellStart"/>
      <w:r w:rsidRPr="00911619">
        <w:rPr>
          <w:rFonts w:ascii="Times New Roman" w:hAnsi="Times New Roman" w:cs="Times New Roman"/>
          <w:sz w:val="24"/>
          <w:szCs w:val="24"/>
          <w:lang w:val="en-US" w:eastAsia="zh-CN"/>
        </w:rPr>
        <w:t>HeiKaMaX</w:t>
      </w:r>
      <w:proofErr w:type="spellEnd"/>
      <w:r w:rsidRPr="00911619">
        <w:rPr>
          <w:rFonts w:ascii="Times New Roman" w:hAnsi="Times New Roman" w:cs="Times New Roman"/>
          <w:sz w:val="24"/>
          <w:szCs w:val="24"/>
          <w:lang w:val="en-US" w:eastAsia="zh-CN"/>
        </w:rPr>
        <w:t xml:space="preserve"> workshop 2018, External Validity, Generalizability and Replicability of Economic Experiments workshop 2019 (Barcelona GSE) for helpful comments.</w:t>
      </w:r>
      <w:r w:rsidR="001B13A8">
        <w:rPr>
          <w:rFonts w:ascii="Times New Roman" w:hAnsi="Times New Roman" w:cs="Times New Roman"/>
          <w:sz w:val="24"/>
          <w:szCs w:val="24"/>
          <w:lang w:val="en-US" w:eastAsia="zh-CN"/>
        </w:rPr>
        <w:t xml:space="preserve"> </w:t>
      </w:r>
      <w:r w:rsidR="001B13A8" w:rsidRPr="00911619">
        <w:rPr>
          <w:rFonts w:ascii="Times New Roman" w:hAnsi="Times New Roman" w:cs="Times New Roman"/>
          <w:sz w:val="24"/>
          <w:szCs w:val="24"/>
          <w:lang w:val="en-US" w:eastAsia="zh-CN"/>
        </w:rPr>
        <w:t>We</w:t>
      </w:r>
      <w:r w:rsidR="001B13A8">
        <w:rPr>
          <w:rFonts w:ascii="Times New Roman" w:hAnsi="Times New Roman" w:cs="Times New Roman"/>
          <w:sz w:val="24"/>
          <w:szCs w:val="24"/>
          <w:lang w:val="en-US" w:eastAsia="zh-CN"/>
        </w:rPr>
        <w:t xml:space="preserve"> also</w:t>
      </w:r>
      <w:r w:rsidR="001B13A8" w:rsidRPr="00911619">
        <w:rPr>
          <w:rFonts w:ascii="Times New Roman" w:hAnsi="Times New Roman" w:cs="Times New Roman"/>
          <w:sz w:val="24"/>
          <w:szCs w:val="24"/>
          <w:lang w:val="en-US" w:eastAsia="zh-CN"/>
        </w:rPr>
        <w:t xml:space="preserve"> thank the seminar participants at Erasmus School of Economics (finance group) and Simon Fraser University for their valuable suggestions. </w:t>
      </w:r>
      <w:r w:rsidR="001B13A8">
        <w:rPr>
          <w:rFonts w:ascii="Times New Roman" w:hAnsi="Times New Roman" w:cs="Times New Roman"/>
          <w:sz w:val="24"/>
          <w:szCs w:val="24"/>
          <w:lang w:val="en-US" w:eastAsia="zh-CN"/>
        </w:rPr>
        <w:t xml:space="preserve"> </w:t>
      </w:r>
      <w:r w:rsidR="001B13A8" w:rsidRPr="00911619">
        <w:rPr>
          <w:rFonts w:ascii="Times New Roman" w:hAnsi="Times New Roman" w:cs="Times New Roman"/>
          <w:sz w:val="24"/>
          <w:szCs w:val="24"/>
          <w:lang w:val="en-US" w:eastAsia="zh-CN"/>
        </w:rPr>
        <w:t xml:space="preserve">We thank Tim Cason, David Freeman, Georg </w:t>
      </w:r>
      <w:proofErr w:type="spellStart"/>
      <w:r w:rsidR="001B13A8" w:rsidRPr="00911619">
        <w:rPr>
          <w:rFonts w:ascii="Times New Roman" w:hAnsi="Times New Roman" w:cs="Times New Roman"/>
          <w:sz w:val="24"/>
          <w:szCs w:val="24"/>
          <w:lang w:val="en-US" w:eastAsia="zh-CN"/>
        </w:rPr>
        <w:t>Kirchsteiger</w:t>
      </w:r>
      <w:proofErr w:type="spellEnd"/>
      <w:r w:rsidR="001B13A8" w:rsidRPr="00911619">
        <w:rPr>
          <w:rFonts w:ascii="Times New Roman" w:hAnsi="Times New Roman" w:cs="Times New Roman"/>
          <w:sz w:val="24"/>
          <w:szCs w:val="24"/>
          <w:lang w:val="en-US" w:eastAsia="zh-CN"/>
        </w:rPr>
        <w:t xml:space="preserve">, Volodymyr </w:t>
      </w:r>
      <w:proofErr w:type="spellStart"/>
      <w:r w:rsidR="001B13A8" w:rsidRPr="00911619">
        <w:rPr>
          <w:rFonts w:ascii="Times New Roman" w:hAnsi="Times New Roman" w:cs="Times New Roman"/>
          <w:sz w:val="24"/>
          <w:szCs w:val="24"/>
          <w:lang w:val="en-US" w:eastAsia="zh-CN"/>
        </w:rPr>
        <w:t>Lugovskyy</w:t>
      </w:r>
      <w:proofErr w:type="spellEnd"/>
      <w:r w:rsidR="001B13A8" w:rsidRPr="00911619">
        <w:rPr>
          <w:rFonts w:ascii="Times New Roman" w:hAnsi="Times New Roman" w:cs="Times New Roman"/>
          <w:sz w:val="24"/>
          <w:szCs w:val="24"/>
          <w:lang w:val="en-US" w:eastAsia="zh-CN"/>
        </w:rPr>
        <w:t xml:space="preserve">, Charles </w:t>
      </w:r>
      <w:proofErr w:type="spellStart"/>
      <w:r w:rsidR="001B13A8" w:rsidRPr="00911619">
        <w:rPr>
          <w:rFonts w:ascii="Times New Roman" w:hAnsi="Times New Roman" w:cs="Times New Roman"/>
          <w:sz w:val="24"/>
          <w:szCs w:val="24"/>
          <w:lang w:val="en-US" w:eastAsia="zh-CN"/>
        </w:rPr>
        <w:t>Noussair</w:t>
      </w:r>
      <w:proofErr w:type="spellEnd"/>
      <w:r w:rsidR="001B13A8" w:rsidRPr="00911619">
        <w:rPr>
          <w:rFonts w:ascii="Times New Roman" w:hAnsi="Times New Roman" w:cs="Times New Roman"/>
          <w:sz w:val="24"/>
          <w:szCs w:val="24"/>
          <w:lang w:val="en-US" w:eastAsia="zh-CN"/>
        </w:rPr>
        <w:t xml:space="preserve">, Joerg </w:t>
      </w:r>
      <w:proofErr w:type="spellStart"/>
      <w:r w:rsidR="001B13A8" w:rsidRPr="00911619">
        <w:rPr>
          <w:rFonts w:ascii="Times New Roman" w:hAnsi="Times New Roman" w:cs="Times New Roman"/>
          <w:sz w:val="24"/>
          <w:szCs w:val="24"/>
          <w:lang w:val="en-US" w:eastAsia="zh-CN"/>
        </w:rPr>
        <w:t>Oechssler</w:t>
      </w:r>
      <w:proofErr w:type="spellEnd"/>
      <w:r w:rsidR="001B13A8" w:rsidRPr="00911619">
        <w:rPr>
          <w:rFonts w:ascii="Times New Roman" w:hAnsi="Times New Roman" w:cs="Times New Roman"/>
          <w:sz w:val="24"/>
          <w:szCs w:val="24"/>
          <w:lang w:val="en-US" w:eastAsia="zh-CN"/>
        </w:rPr>
        <w:t xml:space="preserve">, Luba Petersen, Daniela Puzzello, Stefan Trautmann for their constructive comments. </w:t>
      </w:r>
      <w:r w:rsidRPr="00911619">
        <w:rPr>
          <w:rFonts w:ascii="Times New Roman" w:hAnsi="Times New Roman" w:cs="Times New Roman"/>
          <w:sz w:val="24"/>
          <w:szCs w:val="24"/>
          <w:lang w:val="en-US" w:eastAsia="zh-CN"/>
        </w:rPr>
        <w:t xml:space="preserve"> We gratefully acknowledge financial support from Waikato Management School, University of Waikato.  The study has received human ethics approval from the Waikato Management School Human Ethics Committee.</w:t>
      </w:r>
    </w:p>
    <w:p w14:paraId="374A15AD" w14:textId="77777777" w:rsidR="005B2B03" w:rsidRDefault="005B2B03">
      <w:pPr>
        <w:tabs>
          <w:tab w:val="clear" w:pos="425"/>
        </w:tabs>
        <w:spacing w:after="0" w:line="240" w:lineRule="auto"/>
        <w:rPr>
          <w:b/>
          <w:lang w:val="en-US"/>
        </w:rPr>
      </w:pPr>
    </w:p>
    <w:p w14:paraId="3136BA79" w14:textId="355E914D" w:rsidR="000A395D" w:rsidRDefault="005B251D" w:rsidP="00CD364E">
      <w:pPr>
        <w:tabs>
          <w:tab w:val="clear" w:pos="425"/>
        </w:tabs>
        <w:spacing w:after="0" w:line="240" w:lineRule="auto"/>
        <w:rPr>
          <w:b/>
          <w:lang w:val="en-US"/>
        </w:rPr>
      </w:pPr>
      <w:r w:rsidRPr="00BD733F">
        <w:rPr>
          <w:b/>
          <w:lang w:val="en-US"/>
        </w:rPr>
        <w:t xml:space="preserve">1. </w:t>
      </w:r>
      <w:r w:rsidR="000A395D" w:rsidRPr="00BD733F">
        <w:rPr>
          <w:b/>
          <w:lang w:val="en-US"/>
        </w:rPr>
        <w:t>Introduction</w:t>
      </w:r>
    </w:p>
    <w:p w14:paraId="75ED70ED" w14:textId="77777777" w:rsidR="00CD364E" w:rsidRPr="00BD733F" w:rsidRDefault="00CD364E" w:rsidP="00CD364E">
      <w:pPr>
        <w:tabs>
          <w:tab w:val="clear" w:pos="425"/>
        </w:tabs>
        <w:spacing w:after="0" w:line="240" w:lineRule="auto"/>
        <w:rPr>
          <w:b/>
          <w:lang w:val="en-US"/>
        </w:rPr>
      </w:pPr>
    </w:p>
    <w:p w14:paraId="3383CC09" w14:textId="5054C887" w:rsidR="007E37B8" w:rsidRDefault="00C92CA8" w:rsidP="00307CEF">
      <w:pPr>
        <w:jc w:val="both"/>
        <w:rPr>
          <w:lang w:val="en-US"/>
        </w:rPr>
      </w:pPr>
      <w:r w:rsidRPr="00BD733F">
        <w:rPr>
          <w:lang w:val="en-US"/>
        </w:rPr>
        <w:t>The</w:t>
      </w:r>
      <w:r w:rsidR="00F37BA4" w:rsidRPr="00BD733F">
        <w:rPr>
          <w:lang w:val="en-US"/>
        </w:rPr>
        <w:t xml:space="preserve"> history of financial markets</w:t>
      </w:r>
      <w:r w:rsidRPr="00BD733F">
        <w:rPr>
          <w:lang w:val="en-US"/>
        </w:rPr>
        <w:t xml:space="preserve"> is filled with many episodes of bubbles and crashes. </w:t>
      </w:r>
      <w:r w:rsidR="0067034E" w:rsidRPr="00BD733F">
        <w:rPr>
          <w:lang w:val="en-US"/>
        </w:rPr>
        <w:t xml:space="preserve">Understanding the causes </w:t>
      </w:r>
      <w:r w:rsidR="00F4794C" w:rsidRPr="00BD733F">
        <w:rPr>
          <w:lang w:val="en-US"/>
        </w:rPr>
        <w:t xml:space="preserve">of </w:t>
      </w:r>
      <w:r w:rsidR="000F115D" w:rsidRPr="00BD733F">
        <w:rPr>
          <w:lang w:val="en-US"/>
        </w:rPr>
        <w:t xml:space="preserve">bubbles </w:t>
      </w:r>
      <w:r w:rsidR="003F7CDB" w:rsidRPr="00BD733F">
        <w:rPr>
          <w:lang w:val="en-US"/>
        </w:rPr>
        <w:t>is</w:t>
      </w:r>
      <w:r w:rsidR="000F115D" w:rsidRPr="00BD733F">
        <w:rPr>
          <w:lang w:val="en-US"/>
        </w:rPr>
        <w:t xml:space="preserve"> </w:t>
      </w:r>
      <w:r w:rsidR="00EE66DF" w:rsidRPr="00BD733F">
        <w:rPr>
          <w:lang w:val="en-US"/>
        </w:rPr>
        <w:t xml:space="preserve">important, for </w:t>
      </w:r>
      <w:r w:rsidR="00350C5D" w:rsidRPr="00BD733F">
        <w:rPr>
          <w:lang w:val="en-US"/>
        </w:rPr>
        <w:t>their</w:t>
      </w:r>
      <w:r w:rsidR="00CC4A01" w:rsidRPr="00BD733F">
        <w:rPr>
          <w:lang w:val="en-US"/>
        </w:rPr>
        <w:t xml:space="preserve"> subsequent crashes </w:t>
      </w:r>
      <w:r w:rsidR="000F115D" w:rsidRPr="00BD733F">
        <w:rPr>
          <w:lang w:val="en-US"/>
        </w:rPr>
        <w:t xml:space="preserve">often </w:t>
      </w:r>
      <w:r w:rsidR="00350C5D" w:rsidRPr="00BD733F">
        <w:rPr>
          <w:lang w:val="en-US"/>
        </w:rPr>
        <w:t xml:space="preserve">result in </w:t>
      </w:r>
      <w:r w:rsidR="000F115D" w:rsidRPr="00BD733F">
        <w:rPr>
          <w:lang w:val="en-US"/>
        </w:rPr>
        <w:t xml:space="preserve">severe </w:t>
      </w:r>
      <w:r w:rsidR="00292111" w:rsidRPr="00BD733F">
        <w:rPr>
          <w:lang w:val="en-US"/>
        </w:rPr>
        <w:t xml:space="preserve">and </w:t>
      </w:r>
      <w:r w:rsidR="00F37BA4" w:rsidRPr="00BD733F">
        <w:rPr>
          <w:lang w:val="en-US"/>
        </w:rPr>
        <w:t>long-lasting</w:t>
      </w:r>
      <w:r w:rsidR="00292111" w:rsidRPr="00BD733F">
        <w:rPr>
          <w:lang w:val="en-US"/>
        </w:rPr>
        <w:t xml:space="preserve"> macro</w:t>
      </w:r>
      <w:r w:rsidR="00350C5D" w:rsidRPr="00BD733F">
        <w:rPr>
          <w:lang w:val="en-US"/>
        </w:rPr>
        <w:t>economic disruptions</w:t>
      </w:r>
      <w:r w:rsidR="00F57D75" w:rsidRPr="00BD733F">
        <w:rPr>
          <w:lang w:val="en-US"/>
        </w:rPr>
        <w:t>, affecting the real economy</w:t>
      </w:r>
      <w:r w:rsidR="000F115D" w:rsidRPr="00BD733F">
        <w:rPr>
          <w:lang w:val="en-US"/>
        </w:rPr>
        <w:t xml:space="preserve"> (see e.g., </w:t>
      </w:r>
      <w:proofErr w:type="spellStart"/>
      <w:r w:rsidR="000F115D" w:rsidRPr="00BD733F">
        <w:rPr>
          <w:lang w:val="en-US"/>
        </w:rPr>
        <w:t>Brunnermeier</w:t>
      </w:r>
      <w:proofErr w:type="spellEnd"/>
      <w:r w:rsidR="000F115D" w:rsidRPr="00BD733F">
        <w:rPr>
          <w:lang w:val="en-US"/>
        </w:rPr>
        <w:t xml:space="preserve"> and Schnabel 2016 for a comprehensive review</w:t>
      </w:r>
      <w:r w:rsidR="00350C5D" w:rsidRPr="00BD733F">
        <w:rPr>
          <w:lang w:val="en-US"/>
        </w:rPr>
        <w:t>, or Shiller, 20</w:t>
      </w:r>
      <w:r w:rsidR="00F57D75" w:rsidRPr="00BD733F">
        <w:rPr>
          <w:lang w:val="en-US"/>
        </w:rPr>
        <w:t>15</w:t>
      </w:r>
      <w:r w:rsidR="000F115D" w:rsidRPr="00BD733F">
        <w:rPr>
          <w:lang w:val="en-US"/>
        </w:rPr>
        <w:t xml:space="preserve">). </w:t>
      </w:r>
      <w:r w:rsidR="00307CEF">
        <w:rPr>
          <w:lang w:val="en-US"/>
        </w:rPr>
        <w:t>St</w:t>
      </w:r>
      <w:r w:rsidR="005766E0" w:rsidRPr="00BD733F">
        <w:rPr>
          <w:lang w:val="en-US"/>
        </w:rPr>
        <w:t xml:space="preserve">udying bubbles </w:t>
      </w:r>
      <w:r w:rsidR="00185B9C" w:rsidRPr="00BD733F">
        <w:rPr>
          <w:lang w:val="en-US"/>
        </w:rPr>
        <w:t>using naturally occurring financial data is difficult, as</w:t>
      </w:r>
      <w:r w:rsidR="00A17671">
        <w:rPr>
          <w:lang w:val="en-US"/>
        </w:rPr>
        <w:t xml:space="preserve"> each instance is essentially a one-off event given the heterogeneity of the different bubble environments/institutions and</w:t>
      </w:r>
      <w:r w:rsidR="00185B9C" w:rsidRPr="00BD733F">
        <w:rPr>
          <w:lang w:val="en-US"/>
        </w:rPr>
        <w:t xml:space="preserve"> the fundamental values of the assets are often hard to estimate. </w:t>
      </w:r>
      <w:r w:rsidR="0053302D" w:rsidRPr="00BD733F">
        <w:rPr>
          <w:lang w:val="en-US"/>
        </w:rPr>
        <w:t>Smith, Suchanek, and Williams (1988, hereafter SSW) published a seminal paper that initiated research on long-lived asset markets</w:t>
      </w:r>
      <w:r w:rsidR="00185B9C" w:rsidRPr="00BD733F">
        <w:rPr>
          <w:lang w:val="en-US"/>
        </w:rPr>
        <w:t xml:space="preserve"> in a controllable setting, where </w:t>
      </w:r>
      <w:r w:rsidR="00553F99">
        <w:rPr>
          <w:lang w:val="en-US"/>
        </w:rPr>
        <w:t xml:space="preserve">the </w:t>
      </w:r>
      <w:r w:rsidR="00185B9C" w:rsidRPr="00BD733F">
        <w:rPr>
          <w:lang w:val="en-US"/>
        </w:rPr>
        <w:t xml:space="preserve">fundamental value </w:t>
      </w:r>
      <w:r w:rsidR="00056773" w:rsidRPr="00BD733F">
        <w:rPr>
          <w:lang w:val="en-US"/>
        </w:rPr>
        <w:t>can be</w:t>
      </w:r>
      <w:r w:rsidR="00185B9C" w:rsidRPr="00BD733F">
        <w:rPr>
          <w:lang w:val="en-US"/>
        </w:rPr>
        <w:t xml:space="preserve"> pre-defined</w:t>
      </w:r>
      <w:r w:rsidR="00725F97" w:rsidRPr="00BD733F">
        <w:rPr>
          <w:lang w:val="en-US"/>
        </w:rPr>
        <w:t xml:space="preserve"> </w:t>
      </w:r>
      <w:r w:rsidR="00307CEF">
        <w:rPr>
          <w:lang w:val="en-US"/>
        </w:rPr>
        <w:t>such that</w:t>
      </w:r>
      <w:r w:rsidR="00725F97" w:rsidRPr="00BD733F">
        <w:rPr>
          <w:lang w:val="en-US"/>
        </w:rPr>
        <w:t xml:space="preserve"> the intrinsic value of the asset</w:t>
      </w:r>
      <w:r w:rsidR="00307CEF">
        <w:rPr>
          <w:lang w:val="en-US"/>
        </w:rPr>
        <w:t xml:space="preserve"> is known</w:t>
      </w:r>
      <w:r w:rsidR="0053302D" w:rsidRPr="00BD733F">
        <w:rPr>
          <w:lang w:val="en-US"/>
        </w:rPr>
        <w:t xml:space="preserve">. The </w:t>
      </w:r>
      <w:r w:rsidR="00D61D67" w:rsidRPr="00BD733F">
        <w:rPr>
          <w:lang w:val="en-US"/>
        </w:rPr>
        <w:t>principal</w:t>
      </w:r>
      <w:r w:rsidR="0053302D" w:rsidRPr="00BD733F">
        <w:rPr>
          <w:lang w:val="en-US"/>
        </w:rPr>
        <w:t xml:space="preserve"> result </w:t>
      </w:r>
      <w:r w:rsidR="005319D5" w:rsidRPr="00BD733F">
        <w:rPr>
          <w:lang w:val="en-US"/>
        </w:rPr>
        <w:t xml:space="preserve">from </w:t>
      </w:r>
      <w:r w:rsidR="0053302D" w:rsidRPr="00BD733F">
        <w:rPr>
          <w:lang w:val="en-US"/>
        </w:rPr>
        <w:t xml:space="preserve">the considerable research that followed is that markets consistently produce price bubbles. </w:t>
      </w:r>
    </w:p>
    <w:p w14:paraId="02259DB7" w14:textId="40F6E283" w:rsidR="00703AC6" w:rsidRPr="00BD733F" w:rsidRDefault="007E37B8" w:rsidP="00307CEF">
      <w:pPr>
        <w:jc w:val="both"/>
        <w:rPr>
          <w:lang w:val="en-US"/>
        </w:rPr>
      </w:pPr>
      <w:r>
        <w:rPr>
          <w:lang w:val="en-US"/>
        </w:rPr>
        <w:tab/>
      </w:r>
      <w:r w:rsidR="004741CB" w:rsidRPr="00BD733F">
        <w:rPr>
          <w:lang w:val="en-US"/>
        </w:rPr>
        <w:t xml:space="preserve">The SSW paradigm has </w:t>
      </w:r>
      <w:r w:rsidR="00F06E64" w:rsidRPr="00BD733F">
        <w:rPr>
          <w:lang w:val="en-US"/>
        </w:rPr>
        <w:t xml:space="preserve">subsequently </w:t>
      </w:r>
      <w:r w:rsidR="004741CB" w:rsidRPr="00BD733F">
        <w:rPr>
          <w:lang w:val="en-US"/>
        </w:rPr>
        <w:t xml:space="preserve">triggered a large experimental literature </w:t>
      </w:r>
      <w:r w:rsidR="00F06E64" w:rsidRPr="00BD733F">
        <w:rPr>
          <w:lang w:val="en-US"/>
        </w:rPr>
        <w:t xml:space="preserve">studying </w:t>
      </w:r>
      <w:r w:rsidR="00535576" w:rsidRPr="00BD733F">
        <w:rPr>
          <w:lang w:val="en-US"/>
        </w:rPr>
        <w:t xml:space="preserve">factors associated with bubble </w:t>
      </w:r>
      <w:r w:rsidR="00BF0C4F" w:rsidRPr="00BD733F">
        <w:rPr>
          <w:lang w:val="en-US"/>
        </w:rPr>
        <w:t>formation</w:t>
      </w:r>
      <w:r w:rsidR="00AA3E5B" w:rsidRPr="00BD733F">
        <w:rPr>
          <w:lang w:val="en-US"/>
        </w:rPr>
        <w:t>,</w:t>
      </w:r>
      <w:r w:rsidR="00BF0C4F" w:rsidRPr="00BD733F">
        <w:rPr>
          <w:lang w:val="en-US"/>
        </w:rPr>
        <w:t xml:space="preserve"> </w:t>
      </w:r>
      <w:r w:rsidR="00F06E64" w:rsidRPr="00BD733F">
        <w:rPr>
          <w:lang w:val="en-US"/>
        </w:rPr>
        <w:t>in a controlled way</w:t>
      </w:r>
      <w:r w:rsidR="00AA3E5B" w:rsidRPr="00BD733F">
        <w:rPr>
          <w:lang w:val="en-US"/>
        </w:rPr>
        <w:t xml:space="preserve"> that </w:t>
      </w:r>
      <w:r w:rsidR="005E3094" w:rsidRPr="00BD733F">
        <w:rPr>
          <w:lang w:val="en-US"/>
        </w:rPr>
        <w:t xml:space="preserve">is </w:t>
      </w:r>
      <w:r w:rsidR="00AA3E5B" w:rsidRPr="00BD733F">
        <w:rPr>
          <w:lang w:val="en-US"/>
        </w:rPr>
        <w:t xml:space="preserve">not feasible with </w:t>
      </w:r>
      <w:r w:rsidR="00F06E64" w:rsidRPr="00BD733F">
        <w:rPr>
          <w:lang w:val="en-US"/>
        </w:rPr>
        <w:t>observational data</w:t>
      </w:r>
      <w:r w:rsidR="004741CB" w:rsidRPr="00BD733F">
        <w:rPr>
          <w:lang w:val="en-US"/>
        </w:rPr>
        <w:t xml:space="preserve"> (for reviews, see</w:t>
      </w:r>
      <w:r w:rsidR="00F32A38" w:rsidRPr="00BD733F">
        <w:rPr>
          <w:lang w:val="en-US"/>
        </w:rPr>
        <w:t xml:space="preserve"> Plott and Smith 2008, </w:t>
      </w:r>
      <w:proofErr w:type="spellStart"/>
      <w:r w:rsidR="00F32A38" w:rsidRPr="00BD733F">
        <w:rPr>
          <w:lang w:val="en-US"/>
        </w:rPr>
        <w:t>Noussair</w:t>
      </w:r>
      <w:proofErr w:type="spellEnd"/>
      <w:r w:rsidR="00F32A38" w:rsidRPr="00BD733F">
        <w:rPr>
          <w:lang w:val="en-US"/>
        </w:rPr>
        <w:t xml:space="preserve"> and Tucker 2013,</w:t>
      </w:r>
      <w:r w:rsidR="004741CB" w:rsidRPr="00BD733F">
        <w:rPr>
          <w:lang w:val="en-US"/>
        </w:rPr>
        <w:t xml:space="preserve"> Palan 2013)</w:t>
      </w:r>
      <w:r w:rsidR="004820AB" w:rsidRPr="00BD733F">
        <w:rPr>
          <w:lang w:val="en-US"/>
        </w:rPr>
        <w:t xml:space="preserve">. </w:t>
      </w:r>
      <w:r w:rsidR="00307CEF">
        <w:rPr>
          <w:lang w:val="en-US"/>
        </w:rPr>
        <w:t>B</w:t>
      </w:r>
      <w:r w:rsidR="00F06E64" w:rsidRPr="00BD733F">
        <w:rPr>
          <w:lang w:val="en-US"/>
        </w:rPr>
        <w:t xml:space="preserve">oth </w:t>
      </w:r>
      <w:r w:rsidR="0053302D" w:rsidRPr="00BD733F">
        <w:rPr>
          <w:lang w:val="en-US"/>
        </w:rPr>
        <w:t>SSW and Plott (1991)</w:t>
      </w:r>
      <w:r w:rsidR="000D3D92" w:rsidRPr="00BD733F">
        <w:rPr>
          <w:lang w:val="en-US"/>
        </w:rPr>
        <w:t xml:space="preserve"> conjecture</w:t>
      </w:r>
      <w:r w:rsidR="0053302D" w:rsidRPr="00BD733F">
        <w:rPr>
          <w:lang w:val="en-US"/>
        </w:rPr>
        <w:t xml:space="preserve"> that </w:t>
      </w:r>
      <w:r w:rsidR="00307CEF">
        <w:rPr>
          <w:lang w:val="en-US"/>
        </w:rPr>
        <w:t>bubbles</w:t>
      </w:r>
      <w:r w:rsidR="00307CEF" w:rsidRPr="00BD733F">
        <w:rPr>
          <w:lang w:val="en-US"/>
        </w:rPr>
        <w:t xml:space="preserve"> </w:t>
      </w:r>
      <w:r w:rsidR="000668AD" w:rsidRPr="00BD733F">
        <w:rPr>
          <w:lang w:val="en-US"/>
        </w:rPr>
        <w:t xml:space="preserve">occur because </w:t>
      </w:r>
      <w:r w:rsidR="0053302D" w:rsidRPr="00BD733F">
        <w:rPr>
          <w:lang w:val="en-US"/>
        </w:rPr>
        <w:t>common knowledge of rationality</w:t>
      </w:r>
      <w:r w:rsidR="000668AD" w:rsidRPr="00BD733F">
        <w:rPr>
          <w:lang w:val="en-US"/>
        </w:rPr>
        <w:t xml:space="preserve"> cannot be established</w:t>
      </w:r>
      <w:r w:rsidR="0053302D" w:rsidRPr="00BD733F">
        <w:rPr>
          <w:lang w:val="en-US"/>
        </w:rPr>
        <w:t>.</w:t>
      </w:r>
      <w:r w:rsidR="00770595" w:rsidRPr="00BD733F">
        <w:rPr>
          <w:lang w:val="en-US"/>
        </w:rPr>
        <w:t xml:space="preserve"> </w:t>
      </w:r>
      <w:r w:rsidR="00CA2384">
        <w:rPr>
          <w:lang w:val="en-US"/>
        </w:rPr>
        <w:t>That is, i</w:t>
      </w:r>
      <w:r w:rsidR="00F42058" w:rsidRPr="00BD733F">
        <w:rPr>
          <w:lang w:val="en-US"/>
        </w:rPr>
        <w:t xml:space="preserve">n the presence of </w:t>
      </w:r>
      <w:r w:rsidR="00D61D67" w:rsidRPr="00BD733F">
        <w:rPr>
          <w:lang w:val="en-US"/>
        </w:rPr>
        <w:t>heterogenous beliefs</w:t>
      </w:r>
      <w:r w:rsidR="00B86C3A" w:rsidRPr="00BD733F">
        <w:rPr>
          <w:lang w:val="en-US"/>
        </w:rPr>
        <w:t>, agents</w:t>
      </w:r>
      <w:r w:rsidR="00663621" w:rsidRPr="00BD733F">
        <w:rPr>
          <w:lang w:val="en-US"/>
        </w:rPr>
        <w:t xml:space="preserve"> </w:t>
      </w:r>
      <w:r w:rsidR="006720EA" w:rsidRPr="00BD733F">
        <w:rPr>
          <w:lang w:val="en-US"/>
        </w:rPr>
        <w:t xml:space="preserve">are more willing to engage in speculative </w:t>
      </w:r>
      <w:r w:rsidR="000668AD" w:rsidRPr="00BD733F">
        <w:rPr>
          <w:lang w:val="en-US"/>
        </w:rPr>
        <w:t>activities</w:t>
      </w:r>
      <w:r w:rsidR="00703AC6" w:rsidRPr="00BD733F">
        <w:rPr>
          <w:lang w:val="en-US"/>
        </w:rPr>
        <w:t xml:space="preserve">. </w:t>
      </w:r>
      <w:r w:rsidR="00141FB7">
        <w:rPr>
          <w:lang w:val="en-US"/>
        </w:rPr>
        <w:t xml:space="preserve"> </w:t>
      </w:r>
      <w:r w:rsidR="00EA7414">
        <w:rPr>
          <w:lang w:val="en-US"/>
        </w:rPr>
        <w:t xml:space="preserve">In their seminal paper, </w:t>
      </w:r>
      <w:r w:rsidR="002C00D1" w:rsidRPr="00BD733F">
        <w:rPr>
          <w:lang w:val="en-US"/>
        </w:rPr>
        <w:t xml:space="preserve">Lei, </w:t>
      </w:r>
      <w:proofErr w:type="spellStart"/>
      <w:r w:rsidR="002C00D1" w:rsidRPr="00BD733F">
        <w:rPr>
          <w:lang w:val="en-US"/>
        </w:rPr>
        <w:t>Noussair</w:t>
      </w:r>
      <w:proofErr w:type="spellEnd"/>
      <w:r w:rsidR="002C00D1" w:rsidRPr="00BD733F">
        <w:rPr>
          <w:lang w:val="en-US"/>
        </w:rPr>
        <w:t xml:space="preserve">, and Plott (2001, hereafter LNP) </w:t>
      </w:r>
      <w:r w:rsidR="00AD6624" w:rsidRPr="00BD733F">
        <w:rPr>
          <w:lang w:val="en-US"/>
        </w:rPr>
        <w:t>created a</w:t>
      </w:r>
      <w:r w:rsidR="00016BD7">
        <w:rPr>
          <w:lang w:val="en-US"/>
        </w:rPr>
        <w:t xml:space="preserve"> clever</w:t>
      </w:r>
      <w:r w:rsidR="00093580" w:rsidRPr="00BD733F">
        <w:rPr>
          <w:lang w:val="en-US"/>
        </w:rPr>
        <w:t xml:space="preserve"> </w:t>
      </w:r>
      <w:r w:rsidR="00AD6624" w:rsidRPr="00BD733F">
        <w:rPr>
          <w:lang w:val="en-US"/>
        </w:rPr>
        <w:t xml:space="preserve">experimental design that can offer direct evidence on whether speculative behaviors drive bubbles. </w:t>
      </w:r>
      <w:r w:rsidR="00307CEF" w:rsidRPr="00307CEF">
        <w:rPr>
          <w:lang w:val="en-US"/>
        </w:rPr>
        <w:t>Their design restricts traders to one market side, eliminating the potential for speculation and making it impossible to buy low and sell high.</w:t>
      </w:r>
      <w:r w:rsidR="00307CEF">
        <w:rPr>
          <w:lang w:val="en-US"/>
        </w:rPr>
        <w:t xml:space="preserve"> T</w:t>
      </w:r>
      <w:r w:rsidR="00703AC6" w:rsidRPr="00BD733F">
        <w:rPr>
          <w:lang w:val="en-US"/>
        </w:rPr>
        <w:t>his</w:t>
      </w:r>
      <w:r w:rsidR="002C00D1" w:rsidRPr="00BD733F">
        <w:rPr>
          <w:lang w:val="en-US"/>
        </w:rPr>
        <w:t xml:space="preserve"> design </w:t>
      </w:r>
      <w:r w:rsidR="00703AC6" w:rsidRPr="00BD733F">
        <w:rPr>
          <w:lang w:val="en-US"/>
        </w:rPr>
        <w:t xml:space="preserve">should </w:t>
      </w:r>
      <w:r w:rsidR="002C00D1" w:rsidRPr="00BD733F">
        <w:rPr>
          <w:lang w:val="en-US"/>
        </w:rPr>
        <w:t>remove bubbles</w:t>
      </w:r>
      <w:r w:rsidR="00307CEF">
        <w:rPr>
          <w:lang w:val="en-US"/>
        </w:rPr>
        <w:t xml:space="preserve"> i</w:t>
      </w:r>
      <w:r w:rsidR="00307CEF" w:rsidRPr="00BD733F">
        <w:rPr>
          <w:lang w:val="en-US"/>
        </w:rPr>
        <w:t xml:space="preserve">f speculation is the </w:t>
      </w:r>
      <w:r w:rsidR="00307CEF">
        <w:rPr>
          <w:lang w:val="en-US"/>
        </w:rPr>
        <w:t>necessary condition</w:t>
      </w:r>
      <w:r w:rsidR="00307CEF" w:rsidRPr="00BD733F">
        <w:rPr>
          <w:lang w:val="en-US"/>
        </w:rPr>
        <w:t xml:space="preserve"> for bubble formation</w:t>
      </w:r>
      <w:r w:rsidR="002C00D1" w:rsidRPr="00BD733F">
        <w:rPr>
          <w:lang w:val="en-US"/>
        </w:rPr>
        <w:t>.</w:t>
      </w:r>
      <w:r w:rsidR="00703AC6" w:rsidRPr="00BD733F">
        <w:rPr>
          <w:lang w:val="en-US"/>
        </w:rPr>
        <w:t xml:space="preserve"> </w:t>
      </w:r>
      <w:r w:rsidR="00D01DAC" w:rsidRPr="00BD733F">
        <w:rPr>
          <w:lang w:val="en-US"/>
        </w:rPr>
        <w:t xml:space="preserve">However, </w:t>
      </w:r>
      <w:r w:rsidR="00307CEF">
        <w:rPr>
          <w:lang w:val="en-US"/>
        </w:rPr>
        <w:t>b</w:t>
      </w:r>
      <w:r w:rsidR="00B11274" w:rsidRPr="00BD733F">
        <w:rPr>
          <w:lang w:val="en-US"/>
        </w:rPr>
        <w:t xml:space="preserve">ubbles continue to be observed when the </w:t>
      </w:r>
      <w:r w:rsidR="000F3F68" w:rsidRPr="00BD733F">
        <w:rPr>
          <w:lang w:val="en-US"/>
        </w:rPr>
        <w:t xml:space="preserve">ability </w:t>
      </w:r>
      <w:r w:rsidR="00B11274" w:rsidRPr="00BD733F">
        <w:rPr>
          <w:lang w:val="en-US"/>
        </w:rPr>
        <w:t>to speculate is removed.</w:t>
      </w:r>
      <w:r w:rsidR="002C00D1" w:rsidRPr="00BD733F">
        <w:rPr>
          <w:lang w:val="en-US"/>
        </w:rPr>
        <w:t xml:space="preserve"> </w:t>
      </w:r>
    </w:p>
    <w:p w14:paraId="036ED09E" w14:textId="10AAFD7C" w:rsidR="00851639" w:rsidRPr="00117412" w:rsidRDefault="00E1605D" w:rsidP="00A64CC8">
      <w:pPr>
        <w:jc w:val="both"/>
      </w:pPr>
      <w:r w:rsidRPr="00BD733F">
        <w:rPr>
          <w:lang w:val="en-US"/>
        </w:rPr>
        <w:tab/>
      </w:r>
      <w:r w:rsidR="00703AC6" w:rsidRPr="00BD733F">
        <w:rPr>
          <w:lang w:val="en-US"/>
        </w:rPr>
        <w:t>In the wake of these results, a literature emerged that suggest</w:t>
      </w:r>
      <w:r w:rsidR="00AA3E5B" w:rsidRPr="00BD733F">
        <w:rPr>
          <w:lang w:val="en-US"/>
        </w:rPr>
        <w:t>s</w:t>
      </w:r>
      <w:r w:rsidR="00703AC6" w:rsidRPr="00BD733F">
        <w:rPr>
          <w:lang w:val="en-US"/>
        </w:rPr>
        <w:t xml:space="preserve"> decision errors </w:t>
      </w:r>
      <w:r w:rsidR="00BC289E" w:rsidRPr="00BD733F">
        <w:rPr>
          <w:lang w:val="en-US"/>
        </w:rPr>
        <w:t xml:space="preserve">and confusion </w:t>
      </w:r>
      <w:r w:rsidR="00703AC6" w:rsidRPr="00BD733F">
        <w:rPr>
          <w:lang w:val="en-US"/>
        </w:rPr>
        <w:t>are the main driver</w:t>
      </w:r>
      <w:r w:rsidR="00BF1C42" w:rsidRPr="00BD733F">
        <w:rPr>
          <w:lang w:val="en-US"/>
        </w:rPr>
        <w:t>s</w:t>
      </w:r>
      <w:r w:rsidR="00703AC6" w:rsidRPr="00BD733F">
        <w:rPr>
          <w:lang w:val="en-US"/>
        </w:rPr>
        <w:t xml:space="preserve"> of bubbles</w:t>
      </w:r>
      <w:r w:rsidR="00A3342D" w:rsidRPr="00BD733F">
        <w:rPr>
          <w:lang w:val="en-US"/>
        </w:rPr>
        <w:t xml:space="preserve"> in </w:t>
      </w:r>
      <w:r w:rsidR="00836197" w:rsidRPr="00BD733F">
        <w:rPr>
          <w:lang w:val="en-US"/>
        </w:rPr>
        <w:t>experimental asset markets</w:t>
      </w:r>
      <w:r w:rsidR="00703AC6" w:rsidRPr="00BD733F">
        <w:rPr>
          <w:lang w:val="en-US"/>
        </w:rPr>
        <w:t xml:space="preserve"> </w:t>
      </w:r>
      <w:r w:rsidR="001552D2" w:rsidRPr="00BD733F">
        <w:rPr>
          <w:lang w:val="en-US"/>
        </w:rPr>
        <w:t>(</w:t>
      </w:r>
      <w:proofErr w:type="spellStart"/>
      <w:r w:rsidR="008201DA" w:rsidRPr="00BD733F">
        <w:rPr>
          <w:lang w:val="en-US"/>
        </w:rPr>
        <w:t>Oechssler</w:t>
      </w:r>
      <w:proofErr w:type="spellEnd"/>
      <w:r w:rsidR="008201DA" w:rsidRPr="00BD733F">
        <w:rPr>
          <w:lang w:val="en-US"/>
        </w:rPr>
        <w:t xml:space="preserve"> 2010; </w:t>
      </w:r>
      <w:proofErr w:type="spellStart"/>
      <w:r w:rsidR="008201DA" w:rsidRPr="00BD733F">
        <w:rPr>
          <w:lang w:val="en-US"/>
        </w:rPr>
        <w:t>Kirchler</w:t>
      </w:r>
      <w:proofErr w:type="spellEnd"/>
      <w:r w:rsidR="008201DA" w:rsidRPr="00BD733F">
        <w:rPr>
          <w:lang w:val="en-US"/>
        </w:rPr>
        <w:t xml:space="preserve"> et al. 2012</w:t>
      </w:r>
      <w:r w:rsidR="00BC289E" w:rsidRPr="00BD733F">
        <w:rPr>
          <w:lang w:val="en-US"/>
        </w:rPr>
        <w:t xml:space="preserve">; </w:t>
      </w:r>
      <w:r w:rsidR="0036142D" w:rsidRPr="00BD733F">
        <w:rPr>
          <w:lang w:val="en-US"/>
        </w:rPr>
        <w:t xml:space="preserve">and </w:t>
      </w:r>
      <w:r w:rsidR="00BC289E" w:rsidRPr="00BD733F">
        <w:rPr>
          <w:lang w:val="en-US"/>
        </w:rPr>
        <w:t>Bosch-Rosa et al., 2018</w:t>
      </w:r>
      <w:r w:rsidR="001552D2" w:rsidRPr="00BD733F">
        <w:rPr>
          <w:lang w:val="en-US"/>
        </w:rPr>
        <w:t xml:space="preserve">). Lei and Vesely (2009) and Huber and </w:t>
      </w:r>
      <w:proofErr w:type="spellStart"/>
      <w:r w:rsidR="001552D2" w:rsidRPr="00BD733F">
        <w:rPr>
          <w:lang w:val="en-US"/>
        </w:rPr>
        <w:t>Kirchler</w:t>
      </w:r>
      <w:proofErr w:type="spellEnd"/>
      <w:r w:rsidR="001552D2" w:rsidRPr="00BD733F">
        <w:rPr>
          <w:lang w:val="en-US"/>
        </w:rPr>
        <w:t xml:space="preserve"> (2012) support this argument by showing that instructions, </w:t>
      </w:r>
      <w:proofErr w:type="gramStart"/>
      <w:r w:rsidR="001552D2" w:rsidRPr="00BD733F">
        <w:rPr>
          <w:lang w:val="en-US"/>
        </w:rPr>
        <w:t>training</w:t>
      </w:r>
      <w:proofErr w:type="gramEnd"/>
      <w:r w:rsidR="001552D2" w:rsidRPr="00BD733F">
        <w:rPr>
          <w:lang w:val="en-US"/>
        </w:rPr>
        <w:t xml:space="preserve"> and </w:t>
      </w:r>
      <w:r w:rsidR="001552D2" w:rsidRPr="00BD733F">
        <w:rPr>
          <w:lang w:val="en-US"/>
        </w:rPr>
        <w:lastRenderedPageBreak/>
        <w:t>procedures intended to reduce confusion</w:t>
      </w:r>
      <w:r w:rsidR="00703AC6" w:rsidRPr="00BD733F">
        <w:rPr>
          <w:lang w:val="en-US"/>
        </w:rPr>
        <w:t>,</w:t>
      </w:r>
      <w:r w:rsidR="001552D2" w:rsidRPr="00BD733F">
        <w:rPr>
          <w:lang w:val="en-US"/>
        </w:rPr>
        <w:t xml:space="preserve"> </w:t>
      </w:r>
      <w:r w:rsidR="00703AC6" w:rsidRPr="00BD733F">
        <w:rPr>
          <w:lang w:val="en-US"/>
        </w:rPr>
        <w:t>reduce</w:t>
      </w:r>
      <w:r w:rsidR="001552D2" w:rsidRPr="00BD733F">
        <w:rPr>
          <w:lang w:val="en-US"/>
        </w:rPr>
        <w:t xml:space="preserve"> bubbles.</w:t>
      </w:r>
      <w:r w:rsidR="00FF5AC0" w:rsidRPr="00BD733F">
        <w:rPr>
          <w:lang w:val="en-US"/>
        </w:rPr>
        <w:t xml:space="preserve"> However, Cheung et al. (2014) show that these methods </w:t>
      </w:r>
      <w:r w:rsidR="00F100C1" w:rsidRPr="00BD733F">
        <w:rPr>
          <w:lang w:val="en-US"/>
        </w:rPr>
        <w:t>also</w:t>
      </w:r>
      <w:r w:rsidR="00FF5AC0" w:rsidRPr="00BD733F">
        <w:rPr>
          <w:lang w:val="en-US"/>
        </w:rPr>
        <w:t xml:space="preserve"> lead to common expectations among traders.</w:t>
      </w:r>
      <w:r w:rsidR="008201DA" w:rsidRPr="00BD733F">
        <w:rPr>
          <w:lang w:val="en-US"/>
        </w:rPr>
        <w:t xml:space="preserve"> </w:t>
      </w:r>
      <w:r w:rsidR="00F100C1" w:rsidRPr="00BD733F">
        <w:rPr>
          <w:lang w:val="en-US"/>
        </w:rPr>
        <w:t>In other words,</w:t>
      </w:r>
      <w:r w:rsidR="006E30D3" w:rsidRPr="00BD733F">
        <w:rPr>
          <w:lang w:val="en-US"/>
        </w:rPr>
        <w:t xml:space="preserve"> bubbles are attenuated if all traders </w:t>
      </w:r>
      <w:r w:rsidR="00BF1C42" w:rsidRPr="00BD733F">
        <w:rPr>
          <w:lang w:val="en-US"/>
        </w:rPr>
        <w:t xml:space="preserve">recognize that </w:t>
      </w:r>
      <w:r w:rsidR="00162E44" w:rsidRPr="00BD733F">
        <w:rPr>
          <w:lang w:val="en-US"/>
        </w:rPr>
        <w:t>the dividend process</w:t>
      </w:r>
      <w:r w:rsidR="006E30D3" w:rsidRPr="00BD733F">
        <w:rPr>
          <w:lang w:val="en-US"/>
        </w:rPr>
        <w:t xml:space="preserve"> </w:t>
      </w:r>
      <w:r w:rsidR="00162E44" w:rsidRPr="00BD733F">
        <w:rPr>
          <w:lang w:val="en-US"/>
        </w:rPr>
        <w:t xml:space="preserve">is </w:t>
      </w:r>
      <w:r w:rsidR="00703AC6" w:rsidRPr="00BD733F">
        <w:rPr>
          <w:lang w:val="en-US"/>
        </w:rPr>
        <w:t xml:space="preserve">understood by </w:t>
      </w:r>
      <w:r w:rsidR="00162E44" w:rsidRPr="00BD733F">
        <w:rPr>
          <w:lang w:val="en-US"/>
        </w:rPr>
        <w:t>all traders</w:t>
      </w:r>
      <w:r w:rsidR="00EF6B44" w:rsidRPr="00BD733F">
        <w:rPr>
          <w:lang w:val="en-US"/>
        </w:rPr>
        <w:t xml:space="preserve">. </w:t>
      </w:r>
      <w:r w:rsidR="00703AC6" w:rsidRPr="00BD733F">
        <w:rPr>
          <w:lang w:val="en-US"/>
        </w:rPr>
        <w:t xml:space="preserve">However, </w:t>
      </w:r>
      <w:r w:rsidR="00E24E9C" w:rsidRPr="00BD733F">
        <w:rPr>
          <w:lang w:val="en-US"/>
        </w:rPr>
        <w:t xml:space="preserve">if interventions reducing decision errors </w:t>
      </w:r>
      <w:r w:rsidR="004843AB" w:rsidRPr="00BD733F">
        <w:rPr>
          <w:lang w:val="en-US"/>
        </w:rPr>
        <w:t xml:space="preserve">in fact reduce bubbles by </w:t>
      </w:r>
      <w:r w:rsidR="00E24E9C" w:rsidRPr="00BD733F">
        <w:rPr>
          <w:lang w:val="en-US"/>
        </w:rPr>
        <w:t xml:space="preserve">establishing common </w:t>
      </w:r>
      <w:r w:rsidR="00B96C8E" w:rsidRPr="00BD733F">
        <w:rPr>
          <w:lang w:val="en-US"/>
        </w:rPr>
        <w:t>expectations</w:t>
      </w:r>
      <w:r w:rsidR="006D6417" w:rsidRPr="00BD733F">
        <w:rPr>
          <w:lang w:val="en-US"/>
        </w:rPr>
        <w:t>,</w:t>
      </w:r>
      <w:r w:rsidR="00E24E9C" w:rsidRPr="00BD733F">
        <w:rPr>
          <w:lang w:val="en-US"/>
        </w:rPr>
        <w:t xml:space="preserve"> </w:t>
      </w:r>
      <w:r w:rsidR="006D6417" w:rsidRPr="00BD733F">
        <w:rPr>
          <w:lang w:val="en-US"/>
        </w:rPr>
        <w:t xml:space="preserve">then </w:t>
      </w:r>
      <w:r w:rsidR="004843AB" w:rsidRPr="00BD733F">
        <w:rPr>
          <w:lang w:val="en-US"/>
        </w:rPr>
        <w:t>the question remains</w:t>
      </w:r>
      <w:r w:rsidR="00BF1C42" w:rsidRPr="00BD733F">
        <w:rPr>
          <w:lang w:val="en-US"/>
        </w:rPr>
        <w:t>,</w:t>
      </w:r>
      <w:r w:rsidR="004843AB" w:rsidRPr="00BD733F">
        <w:rPr>
          <w:lang w:val="en-US"/>
        </w:rPr>
        <w:t xml:space="preserve"> </w:t>
      </w:r>
      <w:r w:rsidR="00E24E9C" w:rsidRPr="00BD733F">
        <w:rPr>
          <w:lang w:val="en-US"/>
        </w:rPr>
        <w:t>what is</w:t>
      </w:r>
      <w:r w:rsidR="006D6417" w:rsidRPr="00BD733F">
        <w:rPr>
          <w:lang w:val="en-US"/>
        </w:rPr>
        <w:t xml:space="preserve"> </w:t>
      </w:r>
      <w:r w:rsidR="00E24E9C" w:rsidRPr="00BD733F">
        <w:rPr>
          <w:lang w:val="en-US"/>
        </w:rPr>
        <w:t xml:space="preserve">driving bubbles in the absence of common </w:t>
      </w:r>
      <w:r w:rsidR="00F00BEA" w:rsidRPr="00BD733F">
        <w:rPr>
          <w:lang w:val="en-US"/>
        </w:rPr>
        <w:t>expectations</w:t>
      </w:r>
      <w:r w:rsidR="0012248D" w:rsidRPr="00BD733F">
        <w:rPr>
          <w:lang w:val="en-US"/>
        </w:rPr>
        <w:t xml:space="preserve">? Speculation would be the most obvious answer, but it is at odds with </w:t>
      </w:r>
      <w:r w:rsidR="00E24E9C" w:rsidRPr="00BD733F">
        <w:rPr>
          <w:lang w:val="en-US"/>
        </w:rPr>
        <w:t xml:space="preserve">LNP’s </w:t>
      </w:r>
      <w:r w:rsidR="0012248D" w:rsidRPr="00BD733F">
        <w:rPr>
          <w:lang w:val="en-US"/>
        </w:rPr>
        <w:t>results.</w:t>
      </w:r>
      <w:r w:rsidR="00A64CC8">
        <w:rPr>
          <w:lang w:val="en-US"/>
        </w:rPr>
        <w:t xml:space="preserve"> Tucker and Xu (202</w:t>
      </w:r>
      <w:r w:rsidR="00016BD7">
        <w:rPr>
          <w:lang w:val="en-US"/>
        </w:rPr>
        <w:t>4</w:t>
      </w:r>
      <w:r w:rsidR="00A64CC8">
        <w:rPr>
          <w:lang w:val="en-US"/>
        </w:rPr>
        <w:t xml:space="preserve">) address </w:t>
      </w:r>
      <w:r w:rsidR="0012248D" w:rsidRPr="00BD733F">
        <w:rPr>
          <w:lang w:val="en-US"/>
        </w:rPr>
        <w:t>these contradicting claims</w:t>
      </w:r>
      <w:r w:rsidR="00A64CC8">
        <w:rPr>
          <w:lang w:val="en-US"/>
        </w:rPr>
        <w:t xml:space="preserve"> via systematic review and replication of LNP’s design</w:t>
      </w:r>
      <w:r w:rsidR="00793CAA" w:rsidRPr="00BD733F">
        <w:rPr>
          <w:lang w:val="en-US"/>
        </w:rPr>
        <w:t xml:space="preserve"> </w:t>
      </w:r>
      <w:r w:rsidR="0056545C" w:rsidRPr="00BD733F">
        <w:rPr>
          <w:lang w:val="en-US"/>
        </w:rPr>
        <w:t xml:space="preserve">to </w:t>
      </w:r>
      <w:r w:rsidR="00793CAA" w:rsidRPr="00BD733F">
        <w:rPr>
          <w:lang w:val="en-US"/>
        </w:rPr>
        <w:t xml:space="preserve">better </w:t>
      </w:r>
      <w:r w:rsidR="0056545C" w:rsidRPr="00BD733F">
        <w:rPr>
          <w:lang w:val="en-US"/>
        </w:rPr>
        <w:t xml:space="preserve">understand the psychological motives behind bubble formation. </w:t>
      </w:r>
      <w:r w:rsidR="007113AC">
        <w:t>The</w:t>
      </w:r>
      <w:r w:rsidR="0012701B">
        <w:t xml:space="preserve">y </w:t>
      </w:r>
      <w:r w:rsidR="009F355D" w:rsidRPr="00BD733F">
        <w:rPr>
          <w:lang w:val="en-US"/>
        </w:rPr>
        <w:t>confirm</w:t>
      </w:r>
      <w:r w:rsidR="0012701B">
        <w:rPr>
          <w:lang w:val="en-US"/>
        </w:rPr>
        <w:t xml:space="preserve"> LNP’s result</w:t>
      </w:r>
      <w:r w:rsidR="009F355D" w:rsidRPr="00BD733F">
        <w:rPr>
          <w:lang w:val="en-US"/>
        </w:rPr>
        <w:t xml:space="preserve"> that </w:t>
      </w:r>
      <w:r w:rsidR="0012701B">
        <w:rPr>
          <w:lang w:val="en-US"/>
        </w:rPr>
        <w:t xml:space="preserve">large </w:t>
      </w:r>
      <w:r w:rsidR="009F355D" w:rsidRPr="00BD733F">
        <w:rPr>
          <w:lang w:val="en-US"/>
        </w:rPr>
        <w:t xml:space="preserve">bubbles still regularly occur </w:t>
      </w:r>
      <w:r w:rsidR="0012701B">
        <w:rPr>
          <w:lang w:val="en-US"/>
        </w:rPr>
        <w:t>even when speculative behavior is prohibited</w:t>
      </w:r>
      <w:r w:rsidR="000C4356">
        <w:rPr>
          <w:lang w:val="en-US"/>
        </w:rPr>
        <w:t>.  They</w:t>
      </w:r>
      <w:r w:rsidR="0012701B">
        <w:rPr>
          <w:lang w:val="en-US"/>
        </w:rPr>
        <w:t xml:space="preserve"> conjecture that the observed behavior may be</w:t>
      </w:r>
      <w:r w:rsidR="009F355D" w:rsidRPr="00BD733F">
        <w:rPr>
          <w:lang w:val="en-US"/>
        </w:rPr>
        <w:t xml:space="preserve"> due to </w:t>
      </w:r>
      <w:r w:rsidR="0012701B">
        <w:t xml:space="preserve">the </w:t>
      </w:r>
      <w:r w:rsidR="00851639">
        <w:t>intrusive</w:t>
      </w:r>
      <w:r w:rsidR="009A021E">
        <w:t xml:space="preserve"> </w:t>
      </w:r>
      <w:r w:rsidR="00851639">
        <w:t>experimental intervention</w:t>
      </w:r>
      <w:r w:rsidR="000C4356">
        <w:t xml:space="preserve"> possibly</w:t>
      </w:r>
      <w:r w:rsidR="00851639">
        <w:t xml:space="preserve"> </w:t>
      </w:r>
      <w:r w:rsidR="00F20CC7" w:rsidRPr="00BD733F">
        <w:rPr>
          <w:lang w:val="en-US"/>
        </w:rPr>
        <w:t>introduc</w:t>
      </w:r>
      <w:r w:rsidR="0012701B">
        <w:rPr>
          <w:lang w:val="en-US"/>
        </w:rPr>
        <w:t>ing</w:t>
      </w:r>
      <w:r w:rsidR="007A1A7C" w:rsidRPr="00BD733F">
        <w:rPr>
          <w:lang w:val="en-US"/>
        </w:rPr>
        <w:t xml:space="preserve"> </w:t>
      </w:r>
      <w:r w:rsidR="00694B76" w:rsidRPr="00BD733F">
        <w:rPr>
          <w:lang w:val="en-US"/>
        </w:rPr>
        <w:t xml:space="preserve">unintended </w:t>
      </w:r>
      <w:r w:rsidR="007A1A7C" w:rsidRPr="00BD733F">
        <w:rPr>
          <w:lang w:val="en-US"/>
        </w:rPr>
        <w:t>design artifacts</w:t>
      </w:r>
      <w:r w:rsidR="00240A4E">
        <w:rPr>
          <w:lang w:val="en-US"/>
        </w:rPr>
        <w:t xml:space="preserve"> with behavioral implications</w:t>
      </w:r>
      <w:r w:rsidR="007A1A7C" w:rsidRPr="00BD733F">
        <w:rPr>
          <w:lang w:val="en-US"/>
        </w:rPr>
        <w:t xml:space="preserve"> that</w:t>
      </w:r>
      <w:r w:rsidR="00F2688E" w:rsidRPr="00BD733F">
        <w:rPr>
          <w:lang w:val="en-US"/>
        </w:rPr>
        <w:t xml:space="preserve"> </w:t>
      </w:r>
      <w:r w:rsidR="00F20CC7" w:rsidRPr="00BD733F">
        <w:rPr>
          <w:lang w:val="en-US"/>
        </w:rPr>
        <w:t>le</w:t>
      </w:r>
      <w:r w:rsidR="00240A4E">
        <w:rPr>
          <w:lang w:val="en-US"/>
        </w:rPr>
        <w:t>a</w:t>
      </w:r>
      <w:r w:rsidR="00F20CC7" w:rsidRPr="00BD733F">
        <w:rPr>
          <w:lang w:val="en-US"/>
        </w:rPr>
        <w:t>d to</w:t>
      </w:r>
      <w:r w:rsidRPr="00BD733F">
        <w:rPr>
          <w:lang w:val="en-US"/>
        </w:rPr>
        <w:t xml:space="preserve"> bubbles despite </w:t>
      </w:r>
      <w:r w:rsidR="00FC23D3" w:rsidRPr="00BD733F">
        <w:rPr>
          <w:lang w:val="en-US"/>
        </w:rPr>
        <w:t xml:space="preserve">prohibiting </w:t>
      </w:r>
      <w:r w:rsidR="00240A4E">
        <w:rPr>
          <w:lang w:val="en-US"/>
        </w:rPr>
        <w:t>the ability to</w:t>
      </w:r>
      <w:r w:rsidR="00240A4E" w:rsidRPr="00BD733F">
        <w:rPr>
          <w:lang w:val="en-US"/>
        </w:rPr>
        <w:t xml:space="preserve"> </w:t>
      </w:r>
      <w:r w:rsidRPr="00BD733F">
        <w:rPr>
          <w:lang w:val="en-US"/>
        </w:rPr>
        <w:t>speculat</w:t>
      </w:r>
      <w:r w:rsidR="00240A4E">
        <w:rPr>
          <w:lang w:val="en-US"/>
        </w:rPr>
        <w:t>e</w:t>
      </w:r>
      <w:r w:rsidRPr="00BD733F">
        <w:rPr>
          <w:lang w:val="en-US"/>
        </w:rPr>
        <w:t>.</w:t>
      </w:r>
    </w:p>
    <w:p w14:paraId="2C395178" w14:textId="0ACB3F50" w:rsidR="00240A4E" w:rsidRDefault="00851639" w:rsidP="00BF0EDD">
      <w:pPr>
        <w:jc w:val="both"/>
        <w:rPr>
          <w:lang w:val="en-US"/>
        </w:rPr>
      </w:pPr>
      <w:r>
        <w:rPr>
          <w:lang w:val="en-US"/>
        </w:rPr>
        <w:tab/>
      </w:r>
      <w:r w:rsidR="0041553B">
        <w:rPr>
          <w:lang w:val="en-US"/>
        </w:rPr>
        <w:t xml:space="preserve">In this paper, we offer </w:t>
      </w:r>
      <w:r w:rsidR="007113AC">
        <w:t>an alternative,</w:t>
      </w:r>
      <w:r w:rsidR="00E31DE1" w:rsidRPr="00BD733F">
        <w:rPr>
          <w:lang w:val="en-US"/>
        </w:rPr>
        <w:t xml:space="preserve"> </w:t>
      </w:r>
      <w:r w:rsidR="008F07B1">
        <w:t xml:space="preserve">non-intrusive experimental </w:t>
      </w:r>
      <w:r w:rsidR="00E31DE1" w:rsidRPr="00BD733F">
        <w:rPr>
          <w:lang w:val="en-US"/>
        </w:rPr>
        <w:t>condition that</w:t>
      </w:r>
      <w:r w:rsidR="007113AC">
        <w:t xml:space="preserve"> fulfils the goal of removing </w:t>
      </w:r>
      <w:r w:rsidR="00E31DE1" w:rsidRPr="00BD733F">
        <w:rPr>
          <w:lang w:val="en-US"/>
        </w:rPr>
        <w:t>speculative incentives</w:t>
      </w:r>
      <w:r w:rsidR="007113AC">
        <w:t xml:space="preserve"> </w:t>
      </w:r>
      <w:r w:rsidR="00E31DE1" w:rsidRPr="00BD733F">
        <w:rPr>
          <w:lang w:val="en-US"/>
        </w:rPr>
        <w:t>(as LNP’s no-speculation</w:t>
      </w:r>
      <w:r w:rsidR="001509D3" w:rsidRPr="00BD733F">
        <w:rPr>
          <w:lang w:val="en-US"/>
        </w:rPr>
        <w:t xml:space="preserve"> condition</w:t>
      </w:r>
      <w:r w:rsidR="00E31DE1" w:rsidRPr="00BD733F">
        <w:rPr>
          <w:lang w:val="en-US"/>
        </w:rPr>
        <w:t xml:space="preserve">), while </w:t>
      </w:r>
      <w:r w:rsidR="007113AC">
        <w:t>leaving the basic SSW design</w:t>
      </w:r>
      <w:r w:rsidR="00240A4E">
        <w:rPr>
          <w:lang w:val="en-NZ"/>
        </w:rPr>
        <w:t xml:space="preserve"> and market features</w:t>
      </w:r>
      <w:r w:rsidR="007113AC">
        <w:t xml:space="preserve"> completely unchanged. This allows us to </w:t>
      </w:r>
      <w:r w:rsidR="00016BD7">
        <w:t xml:space="preserve">remove the </w:t>
      </w:r>
      <w:r w:rsidR="00E31DE1" w:rsidRPr="00BD733F">
        <w:rPr>
          <w:lang w:val="en-US"/>
        </w:rPr>
        <w:t>potential</w:t>
      </w:r>
      <w:r w:rsidR="00C348D2" w:rsidRPr="00BD733F">
        <w:rPr>
          <w:lang w:val="en-US"/>
        </w:rPr>
        <w:t xml:space="preserve"> design artifacts </w:t>
      </w:r>
      <w:r w:rsidR="007113AC">
        <w:t xml:space="preserve">in the LNP design </w:t>
      </w:r>
      <w:r w:rsidR="00C348D2" w:rsidRPr="00BD733F">
        <w:rPr>
          <w:lang w:val="en-US"/>
        </w:rPr>
        <w:t>t</w:t>
      </w:r>
      <w:r w:rsidR="00E31DE1" w:rsidRPr="00BD733F">
        <w:rPr>
          <w:lang w:val="en-US"/>
        </w:rPr>
        <w:t xml:space="preserve">hat might </w:t>
      </w:r>
      <w:r w:rsidR="0012248D" w:rsidRPr="00BD733F">
        <w:rPr>
          <w:lang w:val="en-US"/>
        </w:rPr>
        <w:t xml:space="preserve">unintentionally </w:t>
      </w:r>
      <w:r w:rsidR="00E31DE1" w:rsidRPr="00BD733F">
        <w:rPr>
          <w:lang w:val="en-US"/>
        </w:rPr>
        <w:t xml:space="preserve">influence behavior. </w:t>
      </w:r>
      <w:r w:rsidR="007113AC">
        <w:t xml:space="preserve">The speculative motive is eliminated </w:t>
      </w:r>
      <w:r w:rsidR="009E188D" w:rsidRPr="00BD733F">
        <w:rPr>
          <w:lang w:val="en-US"/>
        </w:rPr>
        <w:t>by introducing an 100% capital gains tax to the market, which implies that traders’ capital gains</w:t>
      </w:r>
      <w:r w:rsidR="001509D3" w:rsidRPr="00BD733F">
        <w:rPr>
          <w:lang w:val="en-US"/>
        </w:rPr>
        <w:t xml:space="preserve"> (and thus</w:t>
      </w:r>
      <w:r w:rsidR="00B76949">
        <w:t xml:space="preserve"> the</w:t>
      </w:r>
      <w:r w:rsidR="001509D3" w:rsidRPr="00BD733F">
        <w:rPr>
          <w:lang w:val="en-US"/>
        </w:rPr>
        <w:t xml:space="preserve"> incentives to speculate)</w:t>
      </w:r>
      <w:r w:rsidR="009E188D" w:rsidRPr="00BD733F">
        <w:rPr>
          <w:lang w:val="en-US"/>
        </w:rPr>
        <w:t>, within or across periods, will be taxed away.</w:t>
      </w:r>
      <w:r w:rsidR="00D03B6A" w:rsidRPr="00BD733F">
        <w:rPr>
          <w:lang w:val="en-US"/>
        </w:rPr>
        <w:t xml:space="preserve"> </w:t>
      </w:r>
    </w:p>
    <w:p w14:paraId="4A63D4E1" w14:textId="63BE2399" w:rsidR="00C0167E" w:rsidRDefault="00012F55" w:rsidP="00C0167E">
      <w:pPr>
        <w:jc w:val="both"/>
        <w:rPr>
          <w:lang w:val="en-US"/>
        </w:rPr>
      </w:pPr>
      <w:r>
        <w:tab/>
      </w:r>
      <w:r w:rsidR="008824A5">
        <w:t>Our results show that the TAX treatment does</w:t>
      </w:r>
      <w:r w:rsidR="000D5B78">
        <w:t xml:space="preserve"> significantly reduce </w:t>
      </w:r>
      <w:r w:rsidR="00E54517">
        <w:t>mispricing</w:t>
      </w:r>
      <w:r w:rsidR="000D5B78">
        <w:t xml:space="preserve"> </w:t>
      </w:r>
      <w:r w:rsidR="00E54517">
        <w:t>such that bubbles are effectively</w:t>
      </w:r>
      <w:r w:rsidR="00C65F08" w:rsidRPr="00BD733F">
        <w:rPr>
          <w:lang w:val="en-US"/>
        </w:rPr>
        <w:t xml:space="preserve"> eliminate</w:t>
      </w:r>
      <w:r w:rsidR="00E54517">
        <w:rPr>
          <w:lang w:val="en-US"/>
        </w:rPr>
        <w:t>d</w:t>
      </w:r>
      <w:r w:rsidR="00C65F08" w:rsidRPr="00BD733F">
        <w:rPr>
          <w:lang w:val="en-US"/>
        </w:rPr>
        <w:t xml:space="preserve"> in the</w:t>
      </w:r>
      <w:r w:rsidR="006776B2">
        <w:rPr>
          <w:lang w:val="en-US"/>
        </w:rPr>
        <w:t xml:space="preserve"> bubble-prone </w:t>
      </w:r>
      <w:r w:rsidR="00C65F08" w:rsidRPr="00BD733F">
        <w:rPr>
          <w:lang w:val="en-US"/>
        </w:rPr>
        <w:t xml:space="preserve">SSW paradigm, </w:t>
      </w:r>
      <w:r w:rsidR="008824A5">
        <w:rPr>
          <w:lang w:val="en-US"/>
        </w:rPr>
        <w:t>and thus</w:t>
      </w:r>
      <w:r w:rsidR="00C65F08" w:rsidRPr="00BD733F">
        <w:rPr>
          <w:lang w:val="en-US"/>
        </w:rPr>
        <w:t xml:space="preserve"> speculation </w:t>
      </w:r>
      <w:r w:rsidR="008824A5">
        <w:rPr>
          <w:iCs/>
          <w:lang w:val="en-US"/>
        </w:rPr>
        <w:t xml:space="preserve">is </w:t>
      </w:r>
      <w:r w:rsidR="006776B2">
        <w:rPr>
          <w:iCs/>
          <w:lang w:val="en-US"/>
        </w:rPr>
        <w:t>after all</w:t>
      </w:r>
      <w:r w:rsidR="008824A5">
        <w:rPr>
          <w:iCs/>
          <w:lang w:val="en-US"/>
        </w:rPr>
        <w:t xml:space="preserve"> a necessary condition</w:t>
      </w:r>
      <w:r w:rsidR="00C65F08" w:rsidRPr="00BD733F">
        <w:rPr>
          <w:lang w:val="en-US"/>
        </w:rPr>
        <w:t xml:space="preserve"> in bubble formation.</w:t>
      </w:r>
      <w:r w:rsidR="00FB6D79">
        <w:rPr>
          <w:lang w:val="en-US"/>
        </w:rPr>
        <w:t xml:space="preserve"> </w:t>
      </w:r>
      <w:r w:rsidR="00031DF5" w:rsidRPr="00BD733F">
        <w:rPr>
          <w:lang w:val="en-US"/>
        </w:rPr>
        <w:t>Note that this result cannot be explained by a</w:t>
      </w:r>
      <w:r w:rsidR="00031DF5">
        <w:t xml:space="preserve"> mere</w:t>
      </w:r>
      <w:r w:rsidR="00031DF5" w:rsidRPr="00BD733F">
        <w:rPr>
          <w:lang w:val="en-US"/>
        </w:rPr>
        <w:t xml:space="preserve"> aversion to tax schemes per se given that bubbles are still frequently observed in</w:t>
      </w:r>
      <w:r w:rsidR="00031DF5">
        <w:t xml:space="preserve"> other studies that involve taxes (King et al., 1993; Lei et al., 2002)</w:t>
      </w:r>
      <w:r w:rsidR="00031DF5" w:rsidRPr="00BD733F">
        <w:rPr>
          <w:lang w:val="en-US"/>
        </w:rPr>
        <w:t xml:space="preserve">.  </w:t>
      </w:r>
      <w:r w:rsidR="005E0D93">
        <w:t>W</w:t>
      </w:r>
      <w:r w:rsidR="00E42905" w:rsidRPr="00BD733F">
        <w:rPr>
          <w:lang w:val="en-US"/>
        </w:rPr>
        <w:t>e make use of information on the traders’ cognitive ability to</w:t>
      </w:r>
      <w:r w:rsidR="00D01FFF">
        <w:t xml:space="preserve"> further</w:t>
      </w:r>
      <w:r w:rsidR="00E42905" w:rsidRPr="00BD733F">
        <w:rPr>
          <w:lang w:val="en-US"/>
        </w:rPr>
        <w:t xml:space="preserve"> shed light on the underlying mechanism. We find that high ability traders bid more conservatively than low ability traders, but only in the 100% capital gains tax treatment. </w:t>
      </w:r>
      <w:r w:rsidR="00C0167E">
        <w:t>The results</w:t>
      </w:r>
      <w:r w:rsidR="005E0D93">
        <w:t xml:space="preserve"> suggest</w:t>
      </w:r>
      <w:r w:rsidR="00C0167E">
        <w:t xml:space="preserve"> </w:t>
      </w:r>
      <w:r w:rsidR="005E0D93">
        <w:t xml:space="preserve">that in the absence of monetary incentives, </w:t>
      </w:r>
      <w:r w:rsidR="005E0D93" w:rsidRPr="00480CCB">
        <w:rPr>
          <w:lang w:val="en-US"/>
        </w:rPr>
        <w:t>relatively sophisticated traders</w:t>
      </w:r>
      <w:r w:rsidR="005E0D93">
        <w:t xml:space="preserve"> who understand the tax are discouraged </w:t>
      </w:r>
      <w:r w:rsidR="005D31C2">
        <w:t>from engaging</w:t>
      </w:r>
      <w:r w:rsidR="005E0D93" w:rsidRPr="00480CCB">
        <w:rPr>
          <w:lang w:val="en-US"/>
        </w:rPr>
        <w:t xml:space="preserve"> in speculative trades. T</w:t>
      </w:r>
      <w:r w:rsidR="00391D0D">
        <w:rPr>
          <w:lang w:val="en-US"/>
        </w:rPr>
        <w:t xml:space="preserve">he behavior of </w:t>
      </w:r>
      <w:r w:rsidR="00391D0D">
        <w:rPr>
          <w:lang w:val="en-US"/>
        </w:rPr>
        <w:lastRenderedPageBreak/>
        <w:t>t</w:t>
      </w:r>
      <w:r w:rsidR="005E0D93" w:rsidRPr="00480CCB">
        <w:rPr>
          <w:lang w:val="en-US"/>
        </w:rPr>
        <w:t>raders who are prepared to buy at any price, e.g. the confused traders</w:t>
      </w:r>
      <w:r w:rsidR="005E0D93">
        <w:t xml:space="preserve">, </w:t>
      </w:r>
      <w:r w:rsidR="00391D0D">
        <w:rPr>
          <w:lang w:val="en-NZ"/>
        </w:rPr>
        <w:t>is</w:t>
      </w:r>
      <w:r w:rsidR="005E0D93" w:rsidRPr="00480CCB">
        <w:rPr>
          <w:lang w:val="en-US"/>
        </w:rPr>
        <w:t xml:space="preserve"> not affected by the tax.</w:t>
      </w:r>
      <w:r w:rsidR="005E0D93">
        <w:t xml:space="preserve"> </w:t>
      </w:r>
      <w:r w:rsidR="00E42905" w:rsidRPr="00BD733F">
        <w:rPr>
          <w:lang w:val="en-US"/>
        </w:rPr>
        <w:t>We conclude that speculation must be a key ingredient in the emergence of bubbles.</w:t>
      </w:r>
      <w:r w:rsidR="00BC0750" w:rsidRPr="00BC0750">
        <w:rPr>
          <w:rStyle w:val="FootnoteReference"/>
        </w:rPr>
        <w:t xml:space="preserve"> </w:t>
      </w:r>
      <w:r w:rsidR="00BC0750">
        <w:rPr>
          <w:rStyle w:val="FootnoteReference"/>
        </w:rPr>
        <w:footnoteReference w:id="1"/>
      </w:r>
    </w:p>
    <w:p w14:paraId="6D6F5E73" w14:textId="70CA5098" w:rsidR="00743C48" w:rsidRDefault="006D020C" w:rsidP="004D6CED">
      <w:pPr>
        <w:tabs>
          <w:tab w:val="clear" w:pos="425"/>
          <w:tab w:val="left" w:pos="567"/>
        </w:tabs>
        <w:jc w:val="both"/>
      </w:pPr>
      <w:r>
        <w:rPr>
          <w:lang w:val="en-US"/>
        </w:rPr>
        <w:tab/>
      </w:r>
      <w:r w:rsidR="00C65F08">
        <w:t>Our results</w:t>
      </w:r>
      <w:r w:rsidR="009A021E">
        <w:t xml:space="preserve"> </w:t>
      </w:r>
      <w:r w:rsidR="006F6513">
        <w:t xml:space="preserve">reconcile </w:t>
      </w:r>
      <w:r w:rsidR="00CC545C">
        <w:t>the</w:t>
      </w:r>
      <w:r w:rsidR="00CC545C" w:rsidRPr="00480CCB">
        <w:t xml:space="preserve"> long-standing puzzle that the prevailing results in the experimental literature are at odds to the finance literature that the former</w:t>
      </w:r>
      <w:r w:rsidR="00591E78">
        <w:t xml:space="preserve"> </w:t>
      </w:r>
      <w:r w:rsidR="00CC545C" w:rsidRPr="00480CCB">
        <w:t>suggests that speculation is not a necessary ingredient for bubbles. Rather, mistakes and confusions are the main reasons behind bubbles</w:t>
      </w:r>
      <w:r w:rsidR="00D03A47">
        <w:t xml:space="preserve"> (Lei et al., 2001; </w:t>
      </w:r>
      <w:proofErr w:type="spellStart"/>
      <w:r w:rsidR="00D03A47" w:rsidRPr="00BD733F">
        <w:rPr>
          <w:lang w:val="en-US"/>
        </w:rPr>
        <w:t>Oechssler</w:t>
      </w:r>
      <w:proofErr w:type="spellEnd"/>
      <w:r w:rsidR="00D03A47" w:rsidRPr="00BD733F">
        <w:rPr>
          <w:lang w:val="en-US"/>
        </w:rPr>
        <w:t xml:space="preserve"> 2010; </w:t>
      </w:r>
      <w:proofErr w:type="spellStart"/>
      <w:r w:rsidR="00D03A47" w:rsidRPr="00BD733F">
        <w:rPr>
          <w:lang w:val="en-US"/>
        </w:rPr>
        <w:t>Kirchler</w:t>
      </w:r>
      <w:proofErr w:type="spellEnd"/>
      <w:r w:rsidR="00D03A47" w:rsidRPr="00BD733F">
        <w:rPr>
          <w:lang w:val="en-US"/>
        </w:rPr>
        <w:t xml:space="preserve"> et al. 2012; and Bosch-Rosa et al., 2018</w:t>
      </w:r>
      <w:r w:rsidR="00D03A47">
        <w:t>)</w:t>
      </w:r>
      <w:r w:rsidR="00CC545C" w:rsidRPr="00480CCB">
        <w:t xml:space="preserve">. </w:t>
      </w:r>
      <w:r w:rsidR="00591E78">
        <w:t>Our results show</w:t>
      </w:r>
      <w:r w:rsidR="00CC545C" w:rsidRPr="00480CCB">
        <w:t xml:space="preserve"> that even if we do not extensively train inexperienced traders, and thus confusion</w:t>
      </w:r>
      <w:r w:rsidR="0077386D">
        <w:t>,</w:t>
      </w:r>
      <w:r w:rsidR="00CC545C" w:rsidRPr="00480CCB">
        <w:t xml:space="preserve"> mistakes</w:t>
      </w:r>
      <w:r w:rsidR="00F056FA">
        <w:t>,</w:t>
      </w:r>
      <w:r w:rsidR="0077386D">
        <w:t xml:space="preserve"> and most importantly the lack of common knowledge of rationality</w:t>
      </w:r>
      <w:r w:rsidR="00CC545C" w:rsidRPr="00480CCB">
        <w:t xml:space="preserve"> may well be present, bubbles are attenuated when there is no motivation to speculate. Indeed, when there is no motivation to speculate, there is no incentive to take advantage of other people’s mistakes. Thus, the most fundamental reason of bubble formation is speculation</w:t>
      </w:r>
      <w:r w:rsidR="00CC545C" w:rsidRPr="00D03A47">
        <w:t>.</w:t>
      </w:r>
      <w:r w:rsidR="00D03A47">
        <w:t xml:space="preserve"> </w:t>
      </w:r>
      <w:r w:rsidR="008011A7" w:rsidRPr="00D03A47">
        <w:t xml:space="preserve">This conclusion mirrors Akiyama et al. (2017) </w:t>
      </w:r>
      <w:r w:rsidR="003E4AAC" w:rsidRPr="00D03A47">
        <w:t xml:space="preserve">who show that </w:t>
      </w:r>
      <w:r w:rsidR="008011A7" w:rsidRPr="00D03A47">
        <w:t>bubbles</w:t>
      </w:r>
      <w:r w:rsidR="003E4AAC" w:rsidRPr="00D03A47">
        <w:t xml:space="preserve"> are likely due</w:t>
      </w:r>
      <w:r w:rsidR="008011A7" w:rsidRPr="00D03A47">
        <w:t xml:space="preserve"> to strategic responses by more sophisticated traders in the presence of </w:t>
      </w:r>
      <w:r w:rsidR="000F54C1">
        <w:t>potentially bounded rational traders</w:t>
      </w:r>
      <w:r w:rsidR="008011A7" w:rsidRPr="00D03A47">
        <w:t>.</w:t>
      </w:r>
      <w:r w:rsidR="008011A7">
        <w:t xml:space="preserve"> </w:t>
      </w:r>
      <w:r w:rsidR="009F11A3">
        <w:t xml:space="preserve">Additionally, our </w:t>
      </w:r>
      <w:r w:rsidR="00492200">
        <w:t>results</w:t>
      </w:r>
      <w:r w:rsidR="00117412" w:rsidRPr="00BD733F">
        <w:rPr>
          <w:lang w:val="en-US"/>
        </w:rPr>
        <w:t xml:space="preserve"> suggest a focus on institutional designs that manage bubble-promoting behaviors, complementing the recent literature of market mechanisms to induce common expectations</w:t>
      </w:r>
      <w:r w:rsidR="00492200">
        <w:t xml:space="preserve"> </w:t>
      </w:r>
      <w:r w:rsidR="00492200" w:rsidRPr="00BD733F">
        <w:rPr>
          <w:lang w:val="en-US"/>
        </w:rPr>
        <w:t>(</w:t>
      </w:r>
      <w:proofErr w:type="spellStart"/>
      <w:r w:rsidR="00492200" w:rsidRPr="00BD733F">
        <w:rPr>
          <w:lang w:val="en-US"/>
        </w:rPr>
        <w:t>Noussair</w:t>
      </w:r>
      <w:proofErr w:type="spellEnd"/>
      <w:r w:rsidR="00492200" w:rsidRPr="00BD733F">
        <w:rPr>
          <w:lang w:val="en-US"/>
        </w:rPr>
        <w:t xml:space="preserve"> and Tucker, 2006; </w:t>
      </w:r>
      <w:proofErr w:type="spellStart"/>
      <w:r w:rsidR="00492200" w:rsidRPr="00BD733F">
        <w:rPr>
          <w:lang w:val="en-US"/>
        </w:rPr>
        <w:t>Noussair</w:t>
      </w:r>
      <w:proofErr w:type="spellEnd"/>
      <w:r w:rsidR="00492200" w:rsidRPr="00BD733F">
        <w:rPr>
          <w:lang w:val="en-US"/>
        </w:rPr>
        <w:t xml:space="preserve"> et al., 2016; Deck et al., 2020</w:t>
      </w:r>
      <w:r w:rsidR="000A336F">
        <w:rPr>
          <w:lang w:val="en-US"/>
        </w:rPr>
        <w:t>; Guler</w:t>
      </w:r>
      <w:r w:rsidR="000A336F" w:rsidRPr="00BD733F">
        <w:rPr>
          <w:lang w:val="en-US"/>
        </w:rPr>
        <w:t>, et al., 20</w:t>
      </w:r>
      <w:r w:rsidR="000A336F">
        <w:rPr>
          <w:lang w:val="en-US"/>
        </w:rPr>
        <w:t>21</w:t>
      </w:r>
      <w:r w:rsidR="00492200" w:rsidRPr="00BD733F">
        <w:rPr>
          <w:lang w:val="en-US"/>
        </w:rPr>
        <w:t>)</w:t>
      </w:r>
      <w:r w:rsidR="00117412" w:rsidRPr="00BD733F">
        <w:rPr>
          <w:lang w:val="en-US"/>
        </w:rPr>
        <w:t>.</w:t>
      </w:r>
      <w:r w:rsidR="00F4635E">
        <w:t xml:space="preserve"> </w:t>
      </w:r>
    </w:p>
    <w:p w14:paraId="43F0DA29" w14:textId="605035D8" w:rsidR="00743C48" w:rsidRPr="00BD733F" w:rsidRDefault="00743C48" w:rsidP="00743C48">
      <w:pPr>
        <w:tabs>
          <w:tab w:val="clear" w:pos="425"/>
        </w:tabs>
        <w:jc w:val="both"/>
        <w:rPr>
          <w:lang w:val="en-US"/>
        </w:rPr>
      </w:pPr>
      <w:r>
        <w:tab/>
        <w:t xml:space="preserve">Importantly, this is </w:t>
      </w:r>
      <w:r w:rsidR="006A5317">
        <w:t>an</w:t>
      </w:r>
      <w:r>
        <w:t xml:space="preserve"> experimental </w:t>
      </w:r>
      <w:r w:rsidR="007D2FC8">
        <w:t>study</w:t>
      </w:r>
      <w:r>
        <w:t xml:space="preserve"> that</w:t>
      </w:r>
      <w:r w:rsidR="00FD5BC3">
        <w:t xml:space="preserve"> directly</w:t>
      </w:r>
      <w:r>
        <w:t xml:space="preserve"> lends support to</w:t>
      </w:r>
      <w:r w:rsidRPr="00BD733F">
        <w:rPr>
          <w:lang w:val="en-US"/>
        </w:rPr>
        <w:t xml:space="preserve"> theoretical work arguing that the speculative intention of smart investors is critically important for the formation of bubbles. De Long et al. (1990a) argue that sophisticated traders attempt to </w:t>
      </w:r>
      <w:r w:rsidRPr="00BD733F">
        <w:rPr>
          <w:iCs/>
          <w:lang w:val="en-US"/>
        </w:rPr>
        <w:t>exploit</w:t>
      </w:r>
      <w:r w:rsidRPr="00BD733F">
        <w:rPr>
          <w:lang w:val="en-US"/>
        </w:rPr>
        <w:t xml:space="preserve"> the less sophisticated traders’ actions for greater profits.</w:t>
      </w:r>
      <w:r w:rsidRPr="00BD733F">
        <w:rPr>
          <w:rStyle w:val="FootnoteReference"/>
          <w:lang w:val="en-US"/>
        </w:rPr>
        <w:footnoteReference w:id="2"/>
      </w:r>
      <w:r w:rsidRPr="00BD733F">
        <w:rPr>
          <w:lang w:val="en-US"/>
        </w:rPr>
        <w:t xml:space="preserve">  For instance, the uncertainty about the behavior of irrational noise traders makes it worthwhile for rational traders to ride the bubble. It may even pay for rational traders to push up prices initially </w:t>
      </w:r>
      <w:r w:rsidR="00271E03" w:rsidRPr="00BD733F">
        <w:rPr>
          <w:lang w:val="en-US"/>
        </w:rPr>
        <w:t>to</w:t>
      </w:r>
      <w:r w:rsidRPr="00BD733F">
        <w:rPr>
          <w:lang w:val="en-US"/>
        </w:rPr>
        <w:t xml:space="preserve"> stimulate interest for trend-following noise traders to buy in the next period (De Long </w:t>
      </w:r>
      <w:r w:rsidRPr="00BD733F">
        <w:rPr>
          <w:lang w:val="en-US"/>
        </w:rPr>
        <w:lastRenderedPageBreak/>
        <w:t xml:space="preserve">et al., 1990b). Abreu and </w:t>
      </w:r>
      <w:proofErr w:type="spellStart"/>
      <w:r w:rsidRPr="00BD733F">
        <w:rPr>
          <w:lang w:val="en-US"/>
        </w:rPr>
        <w:t>Brunnermeier</w:t>
      </w:r>
      <w:proofErr w:type="spellEnd"/>
      <w:r w:rsidRPr="00BD733F">
        <w:rPr>
          <w:lang w:val="en-US"/>
        </w:rPr>
        <w:t xml:space="preserve"> (2003) offer an alternative argument for why rational traders ride a bubble instead of attacking it in the presence of boundedly rational traders. In their model, rational traders sequentially are made aware of the fact that “prices are too high”, but it is never common knowledge that a bubble exists, making the market correction more difficult. Less sophisticated traders do not realize that the fundamental value does not keep up with the growth in stock price. It is, therefore, reasonable for smart traders to ride the bubble for some time before it bursts, even when they are </w:t>
      </w:r>
      <w:proofErr w:type="gramStart"/>
      <w:r w:rsidRPr="00BD733F">
        <w:rPr>
          <w:lang w:val="en-US"/>
        </w:rPr>
        <w:t>well aware</w:t>
      </w:r>
      <w:proofErr w:type="gramEnd"/>
      <w:r w:rsidRPr="00BD733F">
        <w:rPr>
          <w:lang w:val="en-US"/>
        </w:rPr>
        <w:t xml:space="preserve"> of the bubble. The model has been experimentally tested and supported by </w:t>
      </w:r>
      <w:proofErr w:type="spellStart"/>
      <w:r w:rsidRPr="00BD733F">
        <w:rPr>
          <w:lang w:val="en-US"/>
        </w:rPr>
        <w:t>Brunnermeier</w:t>
      </w:r>
      <w:proofErr w:type="spellEnd"/>
      <w:r w:rsidRPr="00BD733F">
        <w:rPr>
          <w:lang w:val="en-US"/>
        </w:rPr>
        <w:t xml:space="preserve"> and Morgan (2010).  </w:t>
      </w:r>
    </w:p>
    <w:p w14:paraId="735DF069" w14:textId="73532F52" w:rsidR="00E42905" w:rsidRPr="00E42905" w:rsidRDefault="00743C48" w:rsidP="00477C9D">
      <w:pPr>
        <w:jc w:val="both"/>
      </w:pPr>
      <w:r w:rsidRPr="00BD733F">
        <w:rPr>
          <w:lang w:val="en-US"/>
        </w:rPr>
        <w:tab/>
      </w:r>
      <w:r w:rsidR="00E42905">
        <w:t>The paper is organized as follows.</w:t>
      </w:r>
      <w:r w:rsidR="006E7976">
        <w:t xml:space="preserve"> </w:t>
      </w:r>
      <w:r w:rsidR="005E0D93">
        <w:t>Section 2</w:t>
      </w:r>
      <w:r w:rsidR="006E7976">
        <w:t xml:space="preserve"> </w:t>
      </w:r>
      <w:r w:rsidR="007E5E51">
        <w:t xml:space="preserve">presents the experimental design and </w:t>
      </w:r>
      <w:r w:rsidR="006E7976">
        <w:t xml:space="preserve">procedures. The results are reported in section 3. Section 4 probes the underlying mechanism. We then conclude in section </w:t>
      </w:r>
      <w:r w:rsidR="007E5E51">
        <w:t>5</w:t>
      </w:r>
      <w:r w:rsidR="006E7976">
        <w:t>.</w:t>
      </w:r>
    </w:p>
    <w:p w14:paraId="0B49AF5F" w14:textId="68176C4A" w:rsidR="00BA7778" w:rsidRPr="00BD733F" w:rsidRDefault="008D6FBF" w:rsidP="009F71A2">
      <w:pPr>
        <w:jc w:val="both"/>
        <w:rPr>
          <w:b/>
          <w:lang w:val="en-US"/>
        </w:rPr>
      </w:pPr>
      <w:r w:rsidRPr="00BD733F">
        <w:rPr>
          <w:b/>
          <w:lang w:val="en-US"/>
        </w:rPr>
        <w:t>2. Experimental Design and Procedure</w:t>
      </w:r>
      <w:r w:rsidR="00F505DE" w:rsidRPr="00BD733F">
        <w:rPr>
          <w:b/>
          <w:lang w:val="en-US"/>
        </w:rPr>
        <w:t>s</w:t>
      </w:r>
    </w:p>
    <w:p w14:paraId="0159D596" w14:textId="35DC62B5" w:rsidR="008D6FBF" w:rsidRPr="00BD733F" w:rsidRDefault="001C5361" w:rsidP="008D6FBF">
      <w:pPr>
        <w:jc w:val="both"/>
        <w:rPr>
          <w:lang w:val="en-US"/>
        </w:rPr>
      </w:pPr>
      <w:r>
        <w:rPr>
          <w:lang w:val="en-US"/>
        </w:rPr>
        <w:t>In our experiment, s</w:t>
      </w:r>
      <w:r w:rsidR="00BA7778" w:rsidRPr="00BD733F">
        <w:rPr>
          <w:lang w:val="en-US"/>
        </w:rPr>
        <w:t xml:space="preserve">ubjects </w:t>
      </w:r>
      <w:r w:rsidR="008D6FBF" w:rsidRPr="00BD733F">
        <w:rPr>
          <w:lang w:val="en-US"/>
        </w:rPr>
        <w:t>participate in an asset market</w:t>
      </w:r>
      <w:r w:rsidR="004F7E84">
        <w:rPr>
          <w:lang w:val="en-US"/>
        </w:rPr>
        <w:t xml:space="preserve"> with the opportunity to </w:t>
      </w:r>
      <w:r w:rsidR="008D6FBF" w:rsidRPr="00BD733F">
        <w:rPr>
          <w:lang w:val="en-US"/>
        </w:rPr>
        <w:t>trad</w:t>
      </w:r>
      <w:r w:rsidR="004F7E84">
        <w:rPr>
          <w:lang w:val="en-US"/>
        </w:rPr>
        <w:t>e</w:t>
      </w:r>
      <w:r w:rsidR="008D6FBF" w:rsidRPr="00BD733F">
        <w:rPr>
          <w:lang w:val="en-US"/>
        </w:rPr>
        <w:t xml:space="preserve"> an asset called X. </w:t>
      </w:r>
      <w:r w:rsidR="009A0B94" w:rsidRPr="00BD733F">
        <w:rPr>
          <w:lang w:val="en-US"/>
        </w:rPr>
        <w:t xml:space="preserve"> Each market </w:t>
      </w:r>
      <w:r w:rsidR="009506C2" w:rsidRPr="00BD733F">
        <w:rPr>
          <w:lang w:val="en-US"/>
        </w:rPr>
        <w:t>consist</w:t>
      </w:r>
      <w:r w:rsidR="009506C2">
        <w:rPr>
          <w:lang w:val="en-US"/>
        </w:rPr>
        <w:t xml:space="preserve">s </w:t>
      </w:r>
      <w:r w:rsidR="009A0B94" w:rsidRPr="00BD733F">
        <w:rPr>
          <w:lang w:val="en-US"/>
        </w:rPr>
        <w:t xml:space="preserve">of </w:t>
      </w:r>
      <w:r w:rsidR="0061328C" w:rsidRPr="00BD733F">
        <w:t xml:space="preserve">eight </w:t>
      </w:r>
      <w:r w:rsidR="009A0B94" w:rsidRPr="00BD733F">
        <w:rPr>
          <w:lang w:val="en-US"/>
        </w:rPr>
        <w:t>subjects.</w:t>
      </w:r>
      <w:r w:rsidR="00927C86">
        <w:rPr>
          <w:rStyle w:val="FootnoteReference"/>
          <w:lang w:val="en-US"/>
        </w:rPr>
        <w:footnoteReference w:id="3"/>
      </w:r>
      <w:r w:rsidR="009A0B94" w:rsidRPr="00BD733F">
        <w:rPr>
          <w:lang w:val="en-US"/>
        </w:rPr>
        <w:t xml:space="preserve"> </w:t>
      </w:r>
      <w:r w:rsidR="008D6FBF" w:rsidRPr="00BD733F">
        <w:rPr>
          <w:lang w:val="en-US"/>
        </w:rPr>
        <w:t>The market is organized as in Smith et al. (1988)</w:t>
      </w:r>
      <w:r w:rsidR="00F505DE" w:rsidRPr="00BD733F">
        <w:rPr>
          <w:lang w:val="en-US"/>
        </w:rPr>
        <w:t>,</w:t>
      </w:r>
      <w:r w:rsidR="008D6FBF" w:rsidRPr="00BD733F">
        <w:rPr>
          <w:lang w:val="en-US"/>
        </w:rPr>
        <w:t xml:space="preserve"> using the double auction rules such that all traders are free to place bids and asks at desired prices and can accept other traders’ existing offers.  The trading platform is computerized using the z-Tree software (</w:t>
      </w:r>
      <w:proofErr w:type="spellStart"/>
      <w:r w:rsidR="008D6FBF" w:rsidRPr="00BD733F">
        <w:rPr>
          <w:lang w:val="en-US"/>
        </w:rPr>
        <w:t>Fischbacher</w:t>
      </w:r>
      <w:proofErr w:type="spellEnd"/>
      <w:r w:rsidR="008D6FBF" w:rsidRPr="00BD733F">
        <w:rPr>
          <w:lang w:val="en-US"/>
        </w:rPr>
        <w:t xml:space="preserve">, 2007). </w:t>
      </w:r>
      <w:r w:rsidR="00F7073E">
        <w:rPr>
          <w:lang w:val="en-US"/>
        </w:rPr>
        <w:t xml:space="preserve">Each trader receives an endowment of </w:t>
      </w:r>
      <w:r w:rsidR="008D6FBF" w:rsidRPr="00BD733F">
        <w:rPr>
          <w:lang w:val="en-US"/>
        </w:rPr>
        <w:t xml:space="preserve">experimental currency, called francs, together with </w:t>
      </w:r>
      <w:r w:rsidR="006A5317">
        <w:t xml:space="preserve">certain </w:t>
      </w:r>
      <w:r w:rsidR="008D6FBF" w:rsidRPr="00BD733F">
        <w:rPr>
          <w:lang w:val="en-US"/>
        </w:rPr>
        <w:t xml:space="preserve">units of the asset. </w:t>
      </w:r>
      <w:r w:rsidR="00DB5C18">
        <w:rPr>
          <w:lang w:val="en-US"/>
        </w:rPr>
        <w:t>The asset has</w:t>
      </w:r>
      <w:r w:rsidR="008D6FBF" w:rsidRPr="00BD733F">
        <w:rPr>
          <w:lang w:val="en-US"/>
        </w:rPr>
        <w:t xml:space="preserve"> a finite life of 15 periods. Cash balances and inventories of the asset can be carried over from one trading period to the next.</w:t>
      </w:r>
    </w:p>
    <w:p w14:paraId="1FE42B0C" w14:textId="4F2729B9" w:rsidR="00F43F13" w:rsidRDefault="00F21789" w:rsidP="00F43F13">
      <w:pPr>
        <w:jc w:val="both"/>
        <w:rPr>
          <w:lang w:val="en-US"/>
        </w:rPr>
      </w:pPr>
      <w:r w:rsidRPr="00BD733F">
        <w:rPr>
          <w:lang w:val="en-US"/>
        </w:rPr>
        <w:tab/>
        <w:t xml:space="preserve">At the end of each period, </w:t>
      </w:r>
      <w:r w:rsidR="00F43F13">
        <w:rPr>
          <w:lang w:val="en-US"/>
        </w:rPr>
        <w:t>e</w:t>
      </w:r>
      <w:r w:rsidR="00F43F13" w:rsidRPr="00BD733F">
        <w:rPr>
          <w:lang w:val="en-US"/>
        </w:rPr>
        <w:t xml:space="preserve">ach unit of the asset </w:t>
      </w:r>
      <w:r w:rsidR="00F43F13" w:rsidRPr="00BD733F">
        <w:rPr>
          <w:i/>
          <w:lang w:val="en-US"/>
        </w:rPr>
        <w:t>X</w:t>
      </w:r>
      <w:r w:rsidR="00F43F13" w:rsidRPr="00BD733F">
        <w:rPr>
          <w:lang w:val="en-US"/>
        </w:rPr>
        <w:t xml:space="preserve"> pays a</w:t>
      </w:r>
      <w:r w:rsidR="00F43F13">
        <w:rPr>
          <w:lang w:val="en-US"/>
        </w:rPr>
        <w:t xml:space="preserve"> random and independently drawn</w:t>
      </w:r>
      <w:r w:rsidR="00F43F13" w:rsidRPr="00BD733F">
        <w:rPr>
          <w:lang w:val="en-US"/>
        </w:rPr>
        <w:t xml:space="preserve"> dividend of either </w:t>
      </w:r>
      <w:r w:rsidR="00F43F13">
        <w:rPr>
          <w:lang w:val="en-US"/>
        </w:rPr>
        <w:t>0, 8, 24 or 60</w:t>
      </w:r>
      <w:r w:rsidR="00F43F13" w:rsidRPr="00BD733F">
        <w:rPr>
          <w:lang w:val="en-US"/>
        </w:rPr>
        <w:t xml:space="preserve"> francs with </w:t>
      </w:r>
      <w:r w:rsidR="00503387">
        <w:rPr>
          <w:lang w:val="en-US"/>
        </w:rPr>
        <w:t xml:space="preserve">an </w:t>
      </w:r>
      <w:r w:rsidR="00F43F13" w:rsidRPr="00BD733F">
        <w:rPr>
          <w:lang w:val="en-US"/>
        </w:rPr>
        <w:t xml:space="preserve">equal chance. </w:t>
      </w:r>
      <w:r w:rsidR="00390D4C">
        <w:rPr>
          <w:lang w:val="en-US"/>
        </w:rPr>
        <w:t>The resulting dividend is the same for all participants.</w:t>
      </w:r>
      <w:r w:rsidR="00373CEA" w:rsidRPr="00BD733F">
        <w:rPr>
          <w:lang w:val="en-US"/>
        </w:rPr>
        <w:t xml:space="preserve">  </w:t>
      </w:r>
      <w:r w:rsidR="00F43F13" w:rsidRPr="00BD733F">
        <w:rPr>
          <w:lang w:val="en-US"/>
        </w:rPr>
        <w:t xml:space="preserve"> Thus, the expected dividend paid on each unit of </w:t>
      </w:r>
      <w:r w:rsidR="00F43F13" w:rsidRPr="00BD733F">
        <w:rPr>
          <w:i/>
          <w:iCs/>
          <w:lang w:val="en-US"/>
        </w:rPr>
        <w:t>X</w:t>
      </w:r>
      <w:r w:rsidR="00F43F13" w:rsidRPr="00BD733F">
        <w:rPr>
          <w:lang w:val="en-US"/>
        </w:rPr>
        <w:t xml:space="preserve"> </w:t>
      </w:r>
      <w:r w:rsidR="00CC3380">
        <w:rPr>
          <w:lang w:val="en-US"/>
        </w:rPr>
        <w:t xml:space="preserve">is </w:t>
      </w:r>
      <w:r w:rsidR="00F43F13">
        <w:rPr>
          <w:lang w:val="en-US"/>
        </w:rPr>
        <w:t>24</w:t>
      </w:r>
      <w:r w:rsidR="00F43F13" w:rsidRPr="00BD733F">
        <w:rPr>
          <w:lang w:val="en-US"/>
        </w:rPr>
        <w:t xml:space="preserve"> francs per period and 360 francs over the course of a session. As dividends are the only source of value of </w:t>
      </w:r>
      <w:r w:rsidR="00F43F13" w:rsidRPr="00BD733F">
        <w:rPr>
          <w:i/>
          <w:lang w:val="en-US"/>
        </w:rPr>
        <w:t>X</w:t>
      </w:r>
      <w:r w:rsidR="00F43F13" w:rsidRPr="00BD733F">
        <w:rPr>
          <w:i/>
          <w:iCs/>
          <w:lang w:val="en-US"/>
        </w:rPr>
        <w:t>,</w:t>
      </w:r>
      <w:r w:rsidR="00F43F13" w:rsidRPr="00BD733F">
        <w:rPr>
          <w:lang w:val="en-US"/>
        </w:rPr>
        <w:t xml:space="preserve"> the fundamental value is derived from holding a unit of </w:t>
      </w:r>
      <w:r w:rsidR="00F43F13" w:rsidRPr="00BD733F">
        <w:rPr>
          <w:i/>
          <w:lang w:val="en-US"/>
        </w:rPr>
        <w:t>X</w:t>
      </w:r>
      <w:r w:rsidR="00F43F13" w:rsidRPr="00BD733F">
        <w:rPr>
          <w:lang w:val="en-US"/>
        </w:rPr>
        <w:t xml:space="preserve"> from the current period until the end of the experiment and collecting the stream of </w:t>
      </w:r>
      <w:r w:rsidR="00F43F13" w:rsidRPr="00BD733F">
        <w:rPr>
          <w:lang w:val="en-US"/>
        </w:rPr>
        <w:lastRenderedPageBreak/>
        <w:t>expected dividend payments.</w:t>
      </w:r>
      <w:r w:rsidR="00373CEA">
        <w:rPr>
          <w:lang w:val="en-US"/>
        </w:rPr>
        <w:t xml:space="preserve">  </w:t>
      </w:r>
      <w:r w:rsidR="00373CEA" w:rsidRPr="00BD733F">
        <w:rPr>
          <w:lang w:val="en-US"/>
        </w:rPr>
        <w:t>It is also useful to define the maximum justifiable price of the asset as the maximum possible dividend value multiplied by remaining number of periods in the market.</w:t>
      </w:r>
      <w:r w:rsidR="00373CEA">
        <w:rPr>
          <w:lang w:val="en-US"/>
        </w:rPr>
        <w:t xml:space="preserve">  </w:t>
      </w:r>
      <w:r w:rsidR="00373CEA" w:rsidRPr="00BD733F">
        <w:rPr>
          <w:lang w:val="en-US"/>
        </w:rPr>
        <w:t xml:space="preserve">Dividend earnings are saved in a separate account, and thus do not impact the cash to asset ratio in the market. At the end of the experiment, the accumulated cash balance in francs (including those in the dividends account) were converted to NZD at a predetermined exchange rate that was </w:t>
      </w:r>
      <w:r w:rsidR="00390D4C">
        <w:rPr>
          <w:lang w:val="en-US"/>
        </w:rPr>
        <w:t>communicated</w:t>
      </w:r>
      <w:r w:rsidR="00390D4C" w:rsidRPr="00BD733F">
        <w:rPr>
          <w:lang w:val="en-US"/>
        </w:rPr>
        <w:t xml:space="preserve"> </w:t>
      </w:r>
      <w:r w:rsidR="00373CEA" w:rsidRPr="00BD733F">
        <w:rPr>
          <w:lang w:val="en-US"/>
        </w:rPr>
        <w:t xml:space="preserve">in advance </w:t>
      </w:r>
      <w:r w:rsidR="00390D4C">
        <w:rPr>
          <w:lang w:val="en-US"/>
        </w:rPr>
        <w:t>to our</w:t>
      </w:r>
      <w:r w:rsidR="00373CEA" w:rsidRPr="00BD733F">
        <w:rPr>
          <w:lang w:val="en-US"/>
        </w:rPr>
        <w:t xml:space="preserve"> subject</w:t>
      </w:r>
      <w:r w:rsidR="00390D4C">
        <w:rPr>
          <w:lang w:val="en-US"/>
        </w:rPr>
        <w:t>s</w:t>
      </w:r>
      <w:r w:rsidR="00373CEA" w:rsidRPr="00BD733F">
        <w:rPr>
          <w:lang w:val="en-US"/>
        </w:rPr>
        <w:t>.</w:t>
      </w:r>
    </w:p>
    <w:p w14:paraId="33C7A2D1" w14:textId="6062673D" w:rsidR="00FC6F0A" w:rsidRDefault="0039651F" w:rsidP="00CC0578">
      <w:pPr>
        <w:jc w:val="both"/>
        <w:rPr>
          <w:lang w:val="en-US"/>
        </w:rPr>
      </w:pPr>
      <w:r>
        <w:rPr>
          <w:lang w:val="en-US"/>
        </w:rPr>
        <w:tab/>
      </w:r>
      <w:r w:rsidR="00FC6F0A">
        <w:rPr>
          <w:lang w:val="en-US"/>
        </w:rPr>
        <w:t>The</w:t>
      </w:r>
      <w:r>
        <w:rPr>
          <w:lang w:val="en-US"/>
        </w:rPr>
        <w:t xml:space="preserve"> Baseline treatment </w:t>
      </w:r>
      <w:r w:rsidR="00CC0578">
        <w:rPr>
          <w:lang w:val="en-US"/>
        </w:rPr>
        <w:t>consists of a single market that</w:t>
      </w:r>
      <w:r>
        <w:rPr>
          <w:lang w:val="en-US"/>
        </w:rPr>
        <w:t xml:space="preserve"> follows the standard</w:t>
      </w:r>
      <w:r w:rsidR="00CC0578">
        <w:rPr>
          <w:lang w:val="en-US"/>
        </w:rPr>
        <w:t xml:space="preserve"> SSW design</w:t>
      </w:r>
      <w:r w:rsidR="00BA58BF">
        <w:rPr>
          <w:lang w:val="en-US"/>
        </w:rPr>
        <w:t xml:space="preserve"> as described above</w:t>
      </w:r>
      <w:r w:rsidR="00CC0578">
        <w:rPr>
          <w:lang w:val="en-US"/>
        </w:rPr>
        <w:t>.  Each trader is endowed with 10,000 francs and 10 units of the asset.</w:t>
      </w:r>
      <w:r w:rsidR="00167812">
        <w:rPr>
          <w:lang w:val="en-US"/>
        </w:rPr>
        <w:t xml:space="preserve"> </w:t>
      </w:r>
      <w:r w:rsidR="00BA58BF">
        <w:rPr>
          <w:lang w:val="en-US"/>
        </w:rPr>
        <w:t xml:space="preserve">The data for the baseline treatment wase taken from Tucker and Xu (2024).  </w:t>
      </w:r>
    </w:p>
    <w:p w14:paraId="1CD5BC05" w14:textId="77777777" w:rsidR="007E0701" w:rsidRPr="009F71A2" w:rsidRDefault="007E0701" w:rsidP="007E0701">
      <w:pPr>
        <w:spacing w:line="240" w:lineRule="auto"/>
        <w:jc w:val="center"/>
        <w:rPr>
          <w:b/>
          <w:sz w:val="22"/>
          <w:szCs w:val="22"/>
          <w:lang w:val="en-US"/>
        </w:rPr>
      </w:pPr>
      <w:r w:rsidRPr="009F71A2">
        <w:rPr>
          <w:b/>
          <w:bCs/>
          <w:sz w:val="22"/>
          <w:szCs w:val="22"/>
          <w:lang w:val="en-US"/>
        </w:rPr>
        <w:t>Table 1.</w:t>
      </w:r>
      <w:r w:rsidRPr="009F71A2">
        <w:rPr>
          <w:b/>
          <w:sz w:val="22"/>
          <w:szCs w:val="22"/>
          <w:lang w:val="en-US"/>
        </w:rPr>
        <w:t xml:space="preserve"> </w:t>
      </w:r>
      <w:r w:rsidRPr="009F71A2">
        <w:rPr>
          <w:sz w:val="22"/>
          <w:szCs w:val="22"/>
          <w:lang w:val="en-US"/>
        </w:rPr>
        <w:t>Treatment Summary</w:t>
      </w:r>
    </w:p>
    <w:tbl>
      <w:tblPr>
        <w:tblW w:w="4053" w:type="pct"/>
        <w:jc w:val="center"/>
        <w:tblLayout w:type="fixed"/>
        <w:tblCellMar>
          <w:left w:w="70" w:type="dxa"/>
          <w:right w:w="70" w:type="dxa"/>
        </w:tblCellMar>
        <w:tblLook w:val="04A0" w:firstRow="1" w:lastRow="0" w:firstColumn="1" w:lastColumn="0" w:noHBand="0" w:noVBand="1"/>
      </w:tblPr>
      <w:tblGrid>
        <w:gridCol w:w="1300"/>
        <w:gridCol w:w="1357"/>
        <w:gridCol w:w="922"/>
        <w:gridCol w:w="1093"/>
        <w:gridCol w:w="861"/>
        <w:gridCol w:w="719"/>
        <w:gridCol w:w="865"/>
      </w:tblGrid>
      <w:tr w:rsidR="007E0701" w:rsidRPr="00752F5A" w14:paraId="6306291B" w14:textId="77777777" w:rsidTr="0056367A">
        <w:trPr>
          <w:trHeight w:val="410"/>
          <w:jc w:val="center"/>
        </w:trPr>
        <w:tc>
          <w:tcPr>
            <w:tcW w:w="913" w:type="pct"/>
            <w:tcBorders>
              <w:top w:val="single" w:sz="12" w:space="0" w:color="auto"/>
              <w:left w:val="nil"/>
              <w:bottom w:val="single" w:sz="8" w:space="0" w:color="auto"/>
              <w:right w:val="nil"/>
            </w:tcBorders>
            <w:shd w:val="clear" w:color="auto" w:fill="auto"/>
            <w:vAlign w:val="center"/>
            <w:hideMark/>
          </w:tcPr>
          <w:p w14:paraId="4E9ADA0A" w14:textId="77777777" w:rsidR="007E0701" w:rsidRPr="00752F5A" w:rsidRDefault="007E0701" w:rsidP="0056367A">
            <w:pPr>
              <w:tabs>
                <w:tab w:val="clear" w:pos="425"/>
              </w:tabs>
              <w:spacing w:after="0" w:line="240" w:lineRule="auto"/>
              <w:rPr>
                <w:rFonts w:eastAsia="Times New Roman"/>
                <w:color w:val="000000"/>
                <w:lang w:val="en-US" w:eastAsia="zh-CN"/>
              </w:rPr>
            </w:pPr>
            <w:r w:rsidRPr="00752F5A">
              <w:rPr>
                <w:rFonts w:eastAsia="Times New Roman"/>
                <w:color w:val="000000"/>
                <w:sz w:val="22"/>
                <w:szCs w:val="22"/>
                <w:lang w:val="en-US" w:eastAsia="zh-CN"/>
              </w:rPr>
              <w:t>Treatment</w:t>
            </w:r>
          </w:p>
        </w:tc>
        <w:tc>
          <w:tcPr>
            <w:tcW w:w="953" w:type="pct"/>
            <w:tcBorders>
              <w:top w:val="single" w:sz="12" w:space="0" w:color="auto"/>
              <w:left w:val="nil"/>
              <w:bottom w:val="single" w:sz="8" w:space="0" w:color="auto"/>
              <w:right w:val="nil"/>
            </w:tcBorders>
            <w:shd w:val="clear" w:color="auto" w:fill="auto"/>
            <w:vAlign w:val="center"/>
            <w:hideMark/>
          </w:tcPr>
          <w:p w14:paraId="25ABA3C0"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Cash</w:t>
            </w:r>
          </w:p>
        </w:tc>
        <w:tc>
          <w:tcPr>
            <w:tcW w:w="648" w:type="pct"/>
            <w:tcBorders>
              <w:top w:val="single" w:sz="12" w:space="0" w:color="auto"/>
              <w:left w:val="nil"/>
              <w:bottom w:val="single" w:sz="8" w:space="0" w:color="auto"/>
              <w:right w:val="nil"/>
            </w:tcBorders>
            <w:shd w:val="clear" w:color="auto" w:fill="auto"/>
            <w:vAlign w:val="center"/>
            <w:hideMark/>
          </w:tcPr>
          <w:p w14:paraId="44B5C8BA"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Assets</w:t>
            </w:r>
          </w:p>
        </w:tc>
        <w:tc>
          <w:tcPr>
            <w:tcW w:w="768" w:type="pct"/>
            <w:tcBorders>
              <w:top w:val="single" w:sz="12" w:space="0" w:color="auto"/>
              <w:left w:val="nil"/>
              <w:bottom w:val="single" w:sz="8" w:space="0" w:color="auto"/>
              <w:right w:val="nil"/>
            </w:tcBorders>
            <w:shd w:val="clear" w:color="auto" w:fill="auto"/>
            <w:vAlign w:val="center"/>
            <w:hideMark/>
          </w:tcPr>
          <w:p w14:paraId="0CE26875"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Dividend</w:t>
            </w:r>
          </w:p>
        </w:tc>
        <w:tc>
          <w:tcPr>
            <w:tcW w:w="605" w:type="pct"/>
            <w:tcBorders>
              <w:top w:val="single" w:sz="12" w:space="0" w:color="auto"/>
              <w:left w:val="nil"/>
              <w:bottom w:val="single" w:sz="8" w:space="0" w:color="auto"/>
              <w:right w:val="nil"/>
            </w:tcBorders>
            <w:shd w:val="clear" w:color="auto" w:fill="auto"/>
            <w:vAlign w:val="center"/>
            <w:hideMark/>
          </w:tcPr>
          <w:p w14:paraId="64CDFEA8"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Periods</w:t>
            </w:r>
          </w:p>
        </w:tc>
        <w:tc>
          <w:tcPr>
            <w:tcW w:w="505" w:type="pct"/>
            <w:tcBorders>
              <w:top w:val="single" w:sz="12" w:space="0" w:color="auto"/>
              <w:left w:val="nil"/>
              <w:bottom w:val="single" w:sz="8" w:space="0" w:color="auto"/>
              <w:right w:val="nil"/>
            </w:tcBorders>
            <w:shd w:val="clear" w:color="auto" w:fill="auto"/>
            <w:vAlign w:val="center"/>
            <w:hideMark/>
          </w:tcPr>
          <w:p w14:paraId="4DAF6F09"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 xml:space="preserve">C/A ratio </w:t>
            </w:r>
          </w:p>
        </w:tc>
        <w:tc>
          <w:tcPr>
            <w:tcW w:w="608" w:type="pct"/>
            <w:tcBorders>
              <w:top w:val="single" w:sz="12" w:space="0" w:color="auto"/>
              <w:left w:val="nil"/>
              <w:bottom w:val="single" w:sz="8" w:space="0" w:color="auto"/>
              <w:right w:val="nil"/>
            </w:tcBorders>
            <w:shd w:val="clear" w:color="auto" w:fill="auto"/>
            <w:vAlign w:val="center"/>
            <w:hideMark/>
          </w:tcPr>
          <w:p w14:paraId="5E439DB6"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 xml:space="preserve"># of </w:t>
            </w:r>
            <w:proofErr w:type="spellStart"/>
            <w:r w:rsidRPr="00752F5A">
              <w:rPr>
                <w:rFonts w:eastAsia="Times New Roman"/>
                <w:color w:val="000000"/>
                <w:sz w:val="22"/>
                <w:szCs w:val="22"/>
                <w:lang w:val="en-US" w:eastAsia="zh-CN"/>
              </w:rPr>
              <w:t>Obs</w:t>
            </w:r>
            <w:proofErr w:type="spellEnd"/>
          </w:p>
        </w:tc>
      </w:tr>
      <w:tr w:rsidR="007E0701" w:rsidRPr="00752F5A" w14:paraId="48C64D02" w14:textId="77777777" w:rsidTr="0056367A">
        <w:trPr>
          <w:trHeight w:val="368"/>
          <w:jc w:val="center"/>
        </w:trPr>
        <w:tc>
          <w:tcPr>
            <w:tcW w:w="913" w:type="pct"/>
            <w:tcBorders>
              <w:top w:val="nil"/>
              <w:left w:val="nil"/>
              <w:bottom w:val="nil"/>
              <w:right w:val="nil"/>
            </w:tcBorders>
            <w:shd w:val="clear" w:color="auto" w:fill="auto"/>
            <w:vAlign w:val="center"/>
          </w:tcPr>
          <w:p w14:paraId="7E63D06A" w14:textId="77777777" w:rsidR="007E0701" w:rsidRPr="00752F5A" w:rsidRDefault="007E0701" w:rsidP="0056367A">
            <w:pPr>
              <w:tabs>
                <w:tab w:val="clear" w:pos="425"/>
              </w:tabs>
              <w:spacing w:after="0" w:line="240" w:lineRule="auto"/>
              <w:rPr>
                <w:rFonts w:eastAsia="Times New Roman"/>
                <w:color w:val="000000"/>
                <w:lang w:val="en-US" w:eastAsia="zh-CN"/>
              </w:rPr>
            </w:pPr>
            <w:r>
              <w:rPr>
                <w:rFonts w:eastAsia="Times New Roman"/>
                <w:color w:val="000000"/>
                <w:sz w:val="22"/>
                <w:szCs w:val="22"/>
                <w:lang w:val="en-US" w:eastAsia="zh-CN"/>
              </w:rPr>
              <w:t>Baseline</w:t>
            </w:r>
          </w:p>
        </w:tc>
        <w:tc>
          <w:tcPr>
            <w:tcW w:w="953" w:type="pct"/>
            <w:tcBorders>
              <w:top w:val="nil"/>
              <w:left w:val="nil"/>
              <w:bottom w:val="nil"/>
              <w:right w:val="nil"/>
            </w:tcBorders>
            <w:shd w:val="clear" w:color="auto" w:fill="auto"/>
            <w:vAlign w:val="center"/>
          </w:tcPr>
          <w:p w14:paraId="563F6A04"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10,000</w:t>
            </w:r>
          </w:p>
        </w:tc>
        <w:tc>
          <w:tcPr>
            <w:tcW w:w="648" w:type="pct"/>
            <w:tcBorders>
              <w:top w:val="nil"/>
              <w:left w:val="nil"/>
              <w:bottom w:val="nil"/>
              <w:right w:val="nil"/>
            </w:tcBorders>
            <w:shd w:val="clear" w:color="auto" w:fill="auto"/>
            <w:vAlign w:val="center"/>
          </w:tcPr>
          <w:p w14:paraId="59D310DD"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10</w:t>
            </w:r>
          </w:p>
        </w:tc>
        <w:tc>
          <w:tcPr>
            <w:tcW w:w="768" w:type="pct"/>
            <w:tcBorders>
              <w:top w:val="nil"/>
              <w:left w:val="nil"/>
              <w:bottom w:val="nil"/>
              <w:right w:val="nil"/>
            </w:tcBorders>
            <w:shd w:val="clear" w:color="auto" w:fill="auto"/>
            <w:vAlign w:val="center"/>
          </w:tcPr>
          <w:p w14:paraId="113AE054"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0,8,28,60</w:t>
            </w:r>
          </w:p>
        </w:tc>
        <w:tc>
          <w:tcPr>
            <w:tcW w:w="605" w:type="pct"/>
            <w:tcBorders>
              <w:top w:val="nil"/>
              <w:left w:val="nil"/>
              <w:bottom w:val="nil"/>
              <w:right w:val="nil"/>
            </w:tcBorders>
            <w:shd w:val="clear" w:color="auto" w:fill="auto"/>
            <w:vAlign w:val="center"/>
          </w:tcPr>
          <w:p w14:paraId="1ABCBB87"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15</w:t>
            </w:r>
          </w:p>
        </w:tc>
        <w:tc>
          <w:tcPr>
            <w:tcW w:w="505" w:type="pct"/>
            <w:tcBorders>
              <w:top w:val="nil"/>
              <w:left w:val="nil"/>
              <w:bottom w:val="nil"/>
              <w:right w:val="nil"/>
            </w:tcBorders>
            <w:shd w:val="clear" w:color="auto" w:fill="auto"/>
            <w:vAlign w:val="center"/>
          </w:tcPr>
          <w:p w14:paraId="5572E8AF"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2.78</w:t>
            </w:r>
          </w:p>
        </w:tc>
        <w:tc>
          <w:tcPr>
            <w:tcW w:w="608" w:type="pct"/>
            <w:tcBorders>
              <w:top w:val="nil"/>
              <w:left w:val="nil"/>
              <w:bottom w:val="nil"/>
              <w:right w:val="nil"/>
            </w:tcBorders>
            <w:shd w:val="clear" w:color="auto" w:fill="auto"/>
            <w:vAlign w:val="center"/>
          </w:tcPr>
          <w:p w14:paraId="345555B8"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5</w:t>
            </w:r>
          </w:p>
        </w:tc>
      </w:tr>
      <w:tr w:rsidR="007E0701" w:rsidRPr="00752F5A" w14:paraId="5BE0334D" w14:textId="77777777" w:rsidTr="0056367A">
        <w:trPr>
          <w:trHeight w:val="368"/>
          <w:jc w:val="center"/>
        </w:trPr>
        <w:tc>
          <w:tcPr>
            <w:tcW w:w="913" w:type="pct"/>
            <w:tcBorders>
              <w:top w:val="nil"/>
              <w:left w:val="nil"/>
              <w:bottom w:val="nil"/>
              <w:right w:val="nil"/>
            </w:tcBorders>
            <w:shd w:val="clear" w:color="auto" w:fill="auto"/>
            <w:vAlign w:val="center"/>
          </w:tcPr>
          <w:p w14:paraId="7A852568" w14:textId="77777777" w:rsidR="007E0701" w:rsidRPr="00752F5A" w:rsidRDefault="007E0701" w:rsidP="0056367A">
            <w:pPr>
              <w:tabs>
                <w:tab w:val="clear" w:pos="425"/>
              </w:tabs>
              <w:spacing w:after="0" w:line="240" w:lineRule="auto"/>
              <w:rPr>
                <w:rFonts w:eastAsia="Times New Roman"/>
                <w:color w:val="000000"/>
                <w:lang w:val="en-US" w:eastAsia="zh-CN"/>
              </w:rPr>
            </w:pPr>
            <w:proofErr w:type="spellStart"/>
            <w:r w:rsidRPr="00752F5A">
              <w:rPr>
                <w:rFonts w:eastAsia="Times New Roman"/>
                <w:color w:val="000000"/>
                <w:sz w:val="22"/>
                <w:szCs w:val="22"/>
                <w:lang w:val="en-US" w:eastAsia="zh-CN"/>
              </w:rPr>
              <w:t>NoSpec</w:t>
            </w:r>
            <w:proofErr w:type="spellEnd"/>
          </w:p>
        </w:tc>
        <w:tc>
          <w:tcPr>
            <w:tcW w:w="953" w:type="pct"/>
            <w:tcBorders>
              <w:top w:val="nil"/>
              <w:left w:val="nil"/>
              <w:bottom w:val="nil"/>
              <w:right w:val="nil"/>
            </w:tcBorders>
            <w:shd w:val="clear" w:color="auto" w:fill="auto"/>
            <w:vAlign w:val="center"/>
          </w:tcPr>
          <w:p w14:paraId="60F90542"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10,000/buyer</w:t>
            </w:r>
          </w:p>
        </w:tc>
        <w:tc>
          <w:tcPr>
            <w:tcW w:w="648" w:type="pct"/>
            <w:tcBorders>
              <w:top w:val="nil"/>
              <w:left w:val="nil"/>
              <w:bottom w:val="nil"/>
              <w:right w:val="nil"/>
            </w:tcBorders>
            <w:shd w:val="clear" w:color="auto" w:fill="auto"/>
            <w:vAlign w:val="center"/>
          </w:tcPr>
          <w:p w14:paraId="4C4BA631"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10/seller</w:t>
            </w:r>
          </w:p>
        </w:tc>
        <w:tc>
          <w:tcPr>
            <w:tcW w:w="768" w:type="pct"/>
            <w:tcBorders>
              <w:top w:val="nil"/>
              <w:left w:val="nil"/>
              <w:bottom w:val="nil"/>
              <w:right w:val="nil"/>
            </w:tcBorders>
            <w:shd w:val="clear" w:color="auto" w:fill="auto"/>
            <w:vAlign w:val="center"/>
          </w:tcPr>
          <w:p w14:paraId="0D339140"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0,8,28,60</w:t>
            </w:r>
          </w:p>
        </w:tc>
        <w:tc>
          <w:tcPr>
            <w:tcW w:w="605" w:type="pct"/>
            <w:tcBorders>
              <w:top w:val="nil"/>
              <w:left w:val="nil"/>
              <w:bottom w:val="nil"/>
              <w:right w:val="nil"/>
            </w:tcBorders>
            <w:shd w:val="clear" w:color="auto" w:fill="auto"/>
            <w:vAlign w:val="center"/>
          </w:tcPr>
          <w:p w14:paraId="0E5809DD"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15</w:t>
            </w:r>
          </w:p>
        </w:tc>
        <w:tc>
          <w:tcPr>
            <w:tcW w:w="505" w:type="pct"/>
            <w:tcBorders>
              <w:top w:val="nil"/>
              <w:left w:val="nil"/>
              <w:bottom w:val="nil"/>
              <w:right w:val="nil"/>
            </w:tcBorders>
            <w:shd w:val="clear" w:color="auto" w:fill="auto"/>
            <w:vAlign w:val="center"/>
          </w:tcPr>
          <w:p w14:paraId="627F0CF2"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2.78</w:t>
            </w:r>
          </w:p>
        </w:tc>
        <w:tc>
          <w:tcPr>
            <w:tcW w:w="608" w:type="pct"/>
            <w:tcBorders>
              <w:top w:val="nil"/>
              <w:left w:val="nil"/>
              <w:bottom w:val="nil"/>
              <w:right w:val="nil"/>
            </w:tcBorders>
            <w:shd w:val="clear" w:color="auto" w:fill="auto"/>
            <w:vAlign w:val="center"/>
          </w:tcPr>
          <w:p w14:paraId="3F207974"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9</w:t>
            </w:r>
          </w:p>
        </w:tc>
      </w:tr>
      <w:tr w:rsidR="007E0701" w:rsidRPr="00752F5A" w14:paraId="3EE02E03" w14:textId="77777777" w:rsidTr="0056367A">
        <w:trPr>
          <w:trHeight w:val="368"/>
          <w:jc w:val="center"/>
        </w:trPr>
        <w:tc>
          <w:tcPr>
            <w:tcW w:w="913" w:type="pct"/>
            <w:tcBorders>
              <w:top w:val="nil"/>
              <w:left w:val="nil"/>
              <w:bottom w:val="nil"/>
              <w:right w:val="nil"/>
            </w:tcBorders>
            <w:shd w:val="clear" w:color="auto" w:fill="auto"/>
            <w:vAlign w:val="center"/>
          </w:tcPr>
          <w:p w14:paraId="431CFAD9" w14:textId="77777777" w:rsidR="007E0701" w:rsidRPr="00752F5A" w:rsidRDefault="007E0701" w:rsidP="0056367A">
            <w:pPr>
              <w:tabs>
                <w:tab w:val="clear" w:pos="425"/>
              </w:tabs>
              <w:spacing w:after="0" w:line="240" w:lineRule="auto"/>
              <w:rPr>
                <w:rFonts w:eastAsia="Times New Roman"/>
                <w:color w:val="000000"/>
                <w:lang w:val="en-US" w:eastAsia="zh-CN"/>
              </w:rPr>
            </w:pPr>
            <w:proofErr w:type="spellStart"/>
            <w:r w:rsidRPr="00752F5A">
              <w:rPr>
                <w:rFonts w:eastAsia="Times New Roman"/>
                <w:color w:val="000000"/>
                <w:sz w:val="22"/>
                <w:szCs w:val="22"/>
                <w:lang w:val="en-US" w:eastAsia="zh-CN"/>
              </w:rPr>
              <w:t>TMkt</w:t>
            </w:r>
            <w:proofErr w:type="spellEnd"/>
            <w:r w:rsidRPr="00752F5A">
              <w:rPr>
                <w:rFonts w:eastAsia="Times New Roman"/>
                <w:color w:val="000000"/>
                <w:sz w:val="22"/>
                <w:szCs w:val="22"/>
                <w:lang w:val="en-US" w:eastAsia="zh-CN"/>
              </w:rPr>
              <w:t>/NS</w:t>
            </w:r>
          </w:p>
        </w:tc>
        <w:tc>
          <w:tcPr>
            <w:tcW w:w="953" w:type="pct"/>
            <w:tcBorders>
              <w:top w:val="nil"/>
              <w:left w:val="nil"/>
              <w:bottom w:val="nil"/>
              <w:right w:val="nil"/>
            </w:tcBorders>
            <w:shd w:val="clear" w:color="auto" w:fill="auto"/>
            <w:vAlign w:val="center"/>
          </w:tcPr>
          <w:p w14:paraId="49D0238F"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10,000/buyer</w:t>
            </w:r>
          </w:p>
        </w:tc>
        <w:tc>
          <w:tcPr>
            <w:tcW w:w="648" w:type="pct"/>
            <w:tcBorders>
              <w:top w:val="nil"/>
              <w:left w:val="nil"/>
              <w:bottom w:val="nil"/>
              <w:right w:val="nil"/>
            </w:tcBorders>
            <w:shd w:val="clear" w:color="auto" w:fill="auto"/>
            <w:vAlign w:val="center"/>
          </w:tcPr>
          <w:p w14:paraId="50F0FECA"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10/seller</w:t>
            </w:r>
          </w:p>
        </w:tc>
        <w:tc>
          <w:tcPr>
            <w:tcW w:w="768" w:type="pct"/>
            <w:tcBorders>
              <w:top w:val="nil"/>
              <w:left w:val="nil"/>
              <w:bottom w:val="nil"/>
              <w:right w:val="nil"/>
            </w:tcBorders>
            <w:shd w:val="clear" w:color="auto" w:fill="auto"/>
            <w:vAlign w:val="center"/>
          </w:tcPr>
          <w:p w14:paraId="486B5D0E"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0,8,28,60</w:t>
            </w:r>
          </w:p>
        </w:tc>
        <w:tc>
          <w:tcPr>
            <w:tcW w:w="605" w:type="pct"/>
            <w:tcBorders>
              <w:top w:val="nil"/>
              <w:left w:val="nil"/>
              <w:bottom w:val="nil"/>
              <w:right w:val="nil"/>
            </w:tcBorders>
            <w:shd w:val="clear" w:color="auto" w:fill="auto"/>
            <w:vAlign w:val="center"/>
          </w:tcPr>
          <w:p w14:paraId="59DDBB79"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15 (18)</w:t>
            </w:r>
          </w:p>
        </w:tc>
        <w:tc>
          <w:tcPr>
            <w:tcW w:w="505" w:type="pct"/>
            <w:tcBorders>
              <w:top w:val="nil"/>
              <w:left w:val="nil"/>
              <w:bottom w:val="nil"/>
              <w:right w:val="nil"/>
            </w:tcBorders>
            <w:shd w:val="clear" w:color="auto" w:fill="auto"/>
            <w:vAlign w:val="center"/>
          </w:tcPr>
          <w:p w14:paraId="2A6E058C"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sidRPr="00752F5A">
              <w:rPr>
                <w:rFonts w:eastAsia="Times New Roman"/>
                <w:color w:val="000000"/>
                <w:sz w:val="22"/>
                <w:szCs w:val="22"/>
                <w:lang w:val="en-US" w:eastAsia="zh-CN"/>
              </w:rPr>
              <w:t>2.78</w:t>
            </w:r>
          </w:p>
        </w:tc>
        <w:tc>
          <w:tcPr>
            <w:tcW w:w="608" w:type="pct"/>
            <w:tcBorders>
              <w:top w:val="nil"/>
              <w:left w:val="nil"/>
              <w:bottom w:val="nil"/>
              <w:right w:val="nil"/>
            </w:tcBorders>
            <w:shd w:val="clear" w:color="auto" w:fill="auto"/>
            <w:vAlign w:val="center"/>
          </w:tcPr>
          <w:p w14:paraId="59D7979C"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9</w:t>
            </w:r>
          </w:p>
        </w:tc>
      </w:tr>
      <w:tr w:rsidR="007E0701" w:rsidRPr="00752F5A" w14:paraId="01535BB5" w14:textId="77777777" w:rsidTr="0056367A">
        <w:trPr>
          <w:trHeight w:val="368"/>
          <w:jc w:val="center"/>
        </w:trPr>
        <w:tc>
          <w:tcPr>
            <w:tcW w:w="913" w:type="pct"/>
            <w:tcBorders>
              <w:top w:val="nil"/>
              <w:left w:val="nil"/>
              <w:bottom w:val="single" w:sz="12" w:space="0" w:color="auto"/>
              <w:right w:val="nil"/>
            </w:tcBorders>
            <w:shd w:val="clear" w:color="auto" w:fill="auto"/>
            <w:vAlign w:val="center"/>
          </w:tcPr>
          <w:p w14:paraId="395209F9" w14:textId="77777777" w:rsidR="007E0701" w:rsidRPr="00752F5A" w:rsidRDefault="007E0701" w:rsidP="0056367A">
            <w:pPr>
              <w:tabs>
                <w:tab w:val="clear" w:pos="425"/>
              </w:tabs>
              <w:spacing w:after="0" w:line="240" w:lineRule="auto"/>
              <w:rPr>
                <w:rFonts w:eastAsia="Times New Roman"/>
                <w:color w:val="000000"/>
                <w:lang w:val="en-US" w:eastAsia="zh-CN"/>
              </w:rPr>
            </w:pPr>
            <w:r>
              <w:rPr>
                <w:rFonts w:eastAsia="Times New Roman"/>
                <w:color w:val="000000"/>
                <w:sz w:val="22"/>
                <w:szCs w:val="22"/>
                <w:lang w:val="en-US" w:eastAsia="zh-CN"/>
              </w:rPr>
              <w:t>TAX</w:t>
            </w:r>
          </w:p>
        </w:tc>
        <w:tc>
          <w:tcPr>
            <w:tcW w:w="953" w:type="pct"/>
            <w:tcBorders>
              <w:top w:val="nil"/>
              <w:left w:val="nil"/>
              <w:bottom w:val="single" w:sz="12" w:space="0" w:color="auto"/>
              <w:right w:val="nil"/>
            </w:tcBorders>
            <w:shd w:val="clear" w:color="auto" w:fill="auto"/>
            <w:vAlign w:val="center"/>
          </w:tcPr>
          <w:p w14:paraId="1B5569FB"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10,000</w:t>
            </w:r>
          </w:p>
        </w:tc>
        <w:tc>
          <w:tcPr>
            <w:tcW w:w="648" w:type="pct"/>
            <w:tcBorders>
              <w:top w:val="nil"/>
              <w:left w:val="nil"/>
              <w:bottom w:val="single" w:sz="12" w:space="0" w:color="auto"/>
              <w:right w:val="nil"/>
            </w:tcBorders>
            <w:shd w:val="clear" w:color="auto" w:fill="auto"/>
            <w:vAlign w:val="center"/>
          </w:tcPr>
          <w:p w14:paraId="36CF7177"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10</w:t>
            </w:r>
          </w:p>
        </w:tc>
        <w:tc>
          <w:tcPr>
            <w:tcW w:w="768" w:type="pct"/>
            <w:tcBorders>
              <w:top w:val="nil"/>
              <w:left w:val="nil"/>
              <w:bottom w:val="single" w:sz="12" w:space="0" w:color="auto"/>
              <w:right w:val="nil"/>
            </w:tcBorders>
            <w:shd w:val="clear" w:color="auto" w:fill="auto"/>
            <w:vAlign w:val="center"/>
          </w:tcPr>
          <w:p w14:paraId="4F40AD4F"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0,8,28,60</w:t>
            </w:r>
          </w:p>
        </w:tc>
        <w:tc>
          <w:tcPr>
            <w:tcW w:w="605" w:type="pct"/>
            <w:tcBorders>
              <w:top w:val="nil"/>
              <w:left w:val="nil"/>
              <w:bottom w:val="single" w:sz="12" w:space="0" w:color="auto"/>
              <w:right w:val="nil"/>
            </w:tcBorders>
            <w:shd w:val="clear" w:color="auto" w:fill="auto"/>
            <w:vAlign w:val="center"/>
          </w:tcPr>
          <w:p w14:paraId="7F4589AF"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15</w:t>
            </w:r>
          </w:p>
        </w:tc>
        <w:tc>
          <w:tcPr>
            <w:tcW w:w="505" w:type="pct"/>
            <w:tcBorders>
              <w:top w:val="nil"/>
              <w:left w:val="nil"/>
              <w:bottom w:val="single" w:sz="12" w:space="0" w:color="auto"/>
              <w:right w:val="nil"/>
            </w:tcBorders>
            <w:shd w:val="clear" w:color="auto" w:fill="auto"/>
            <w:vAlign w:val="center"/>
          </w:tcPr>
          <w:p w14:paraId="29C0048C"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2.78</w:t>
            </w:r>
          </w:p>
        </w:tc>
        <w:tc>
          <w:tcPr>
            <w:tcW w:w="608" w:type="pct"/>
            <w:tcBorders>
              <w:top w:val="nil"/>
              <w:left w:val="nil"/>
              <w:bottom w:val="single" w:sz="12" w:space="0" w:color="auto"/>
              <w:right w:val="nil"/>
            </w:tcBorders>
            <w:shd w:val="clear" w:color="auto" w:fill="auto"/>
            <w:vAlign w:val="center"/>
          </w:tcPr>
          <w:p w14:paraId="467B4002" w14:textId="77777777" w:rsidR="007E0701" w:rsidRPr="00752F5A" w:rsidRDefault="007E0701" w:rsidP="0056367A">
            <w:pPr>
              <w:tabs>
                <w:tab w:val="clear" w:pos="425"/>
              </w:tabs>
              <w:spacing w:after="0" w:line="240" w:lineRule="auto"/>
              <w:jc w:val="center"/>
              <w:rPr>
                <w:rFonts w:eastAsia="Times New Roman"/>
                <w:color w:val="000000"/>
                <w:lang w:val="en-US" w:eastAsia="zh-CN"/>
              </w:rPr>
            </w:pPr>
            <w:r>
              <w:rPr>
                <w:rFonts w:eastAsia="Times New Roman"/>
                <w:color w:val="000000"/>
                <w:sz w:val="22"/>
                <w:szCs w:val="22"/>
                <w:lang w:val="en-US" w:eastAsia="zh-CN"/>
              </w:rPr>
              <w:t>9</w:t>
            </w:r>
          </w:p>
        </w:tc>
      </w:tr>
    </w:tbl>
    <w:p w14:paraId="35BB57E8" w14:textId="77777777" w:rsidR="007E0701" w:rsidRDefault="007E0701" w:rsidP="00CC0578">
      <w:pPr>
        <w:jc w:val="both"/>
        <w:rPr>
          <w:lang w:val="en-US"/>
        </w:rPr>
      </w:pPr>
    </w:p>
    <w:p w14:paraId="026E995F" w14:textId="7349C2BC" w:rsidR="002D56CD" w:rsidRPr="00480CCB" w:rsidRDefault="00FC6F0A" w:rsidP="00CC0578">
      <w:pPr>
        <w:jc w:val="both"/>
        <w:rPr>
          <w:lang w:val="en-US"/>
        </w:rPr>
      </w:pPr>
      <w:r>
        <w:rPr>
          <w:lang w:val="en-US"/>
        </w:rPr>
        <w:tab/>
      </w:r>
      <w:r w:rsidR="00167812">
        <w:rPr>
          <w:lang w:val="en-US"/>
        </w:rPr>
        <w:t xml:space="preserve">The </w:t>
      </w:r>
      <w:r w:rsidR="00CC0578">
        <w:rPr>
          <w:lang w:val="en-US"/>
        </w:rPr>
        <w:t xml:space="preserve">TAX treatment maintains all market and design features of the Baseline except for the introduction of </w:t>
      </w:r>
      <w:r w:rsidR="00B0353D">
        <w:rPr>
          <w:lang w:val="en-US"/>
        </w:rPr>
        <w:t>a</w:t>
      </w:r>
      <w:r w:rsidR="002D56CD" w:rsidRPr="00480CCB">
        <w:rPr>
          <w:lang w:val="en-US"/>
        </w:rPr>
        <w:t xml:space="preserve"> 100% capital gains tax </w:t>
      </w:r>
      <w:r w:rsidR="00B0353D">
        <w:rPr>
          <w:lang w:val="en-US"/>
        </w:rPr>
        <w:t xml:space="preserve">that </w:t>
      </w:r>
      <w:r w:rsidR="002D56CD" w:rsidRPr="00480CCB">
        <w:rPr>
          <w:lang w:val="en-US"/>
        </w:rPr>
        <w:t>is levied on resale profits to eliminate speculative incentives</w:t>
      </w:r>
      <w:r w:rsidR="007E0701">
        <w:rPr>
          <w:lang w:val="en-US"/>
        </w:rPr>
        <w:t>, see Table 1</w:t>
      </w:r>
      <w:r w:rsidR="002D56CD" w:rsidRPr="00480CCB">
        <w:rPr>
          <w:lang w:val="en-US"/>
        </w:rPr>
        <w:t xml:space="preserve">.  The tax applies to resale gains both within and across </w:t>
      </w:r>
      <w:r w:rsidR="00CF030E" w:rsidRPr="00480CCB">
        <w:rPr>
          <w:lang w:val="en-US"/>
        </w:rPr>
        <w:t>periods</w:t>
      </w:r>
      <w:r w:rsidR="00CF030E">
        <w:rPr>
          <w:lang w:val="en-US"/>
        </w:rPr>
        <w:t>,</w:t>
      </w:r>
      <w:r w:rsidR="002D56CD">
        <w:rPr>
          <w:lang w:val="en-US"/>
        </w:rPr>
        <w:t xml:space="preserve"> and thus</w:t>
      </w:r>
      <w:r w:rsidR="002D56CD" w:rsidRPr="00480CCB">
        <w:rPr>
          <w:lang w:val="en-US"/>
        </w:rPr>
        <w:t xml:space="preserve"> the speculative strategy to buy assets at “low” prices and then sell them at “high” prices is no longer profitable. Therefore, the only incentive to buy an asset is to receive the dividend payments. If traders rationally respond to the tax intervention, overpricing should be reduced, and prices should also not surpass the maximum justifiable value of the asset.  If traders are risk neutral or risk averse, then there is no financial incentive to purchase at prices above fundamental value. In contrast to LNP’s design</w:t>
      </w:r>
      <w:r w:rsidR="00113C8F">
        <w:rPr>
          <w:lang w:val="en-US"/>
        </w:rPr>
        <w:t xml:space="preserve"> (see below)</w:t>
      </w:r>
      <w:r w:rsidR="002D56CD" w:rsidRPr="00480CCB">
        <w:rPr>
          <w:lang w:val="en-US"/>
        </w:rPr>
        <w:t xml:space="preserve">, we </w:t>
      </w:r>
      <w:r w:rsidR="00CF030E">
        <w:rPr>
          <w:lang w:val="en-US"/>
        </w:rPr>
        <w:t xml:space="preserve">address the </w:t>
      </w:r>
      <w:r w:rsidR="0078744E">
        <w:rPr>
          <w:lang w:val="en-US"/>
        </w:rPr>
        <w:t xml:space="preserve">incentives </w:t>
      </w:r>
      <w:r w:rsidR="00CF030E">
        <w:rPr>
          <w:lang w:val="en-US"/>
        </w:rPr>
        <w:t xml:space="preserve">for speculative behavior </w:t>
      </w:r>
      <w:r w:rsidR="002D56CD" w:rsidRPr="00480CCB">
        <w:rPr>
          <w:lang w:val="en-US"/>
        </w:rPr>
        <w:t xml:space="preserve">as opposed to using </w:t>
      </w:r>
      <w:r w:rsidR="00CC0578">
        <w:rPr>
          <w:lang w:val="en-US"/>
        </w:rPr>
        <w:t xml:space="preserve">an intrusive </w:t>
      </w:r>
      <w:r w:rsidR="002D56CD" w:rsidRPr="00480CCB">
        <w:rPr>
          <w:lang w:val="en-US"/>
        </w:rPr>
        <w:t xml:space="preserve">market mechanism that prohibit </w:t>
      </w:r>
      <w:r w:rsidR="00167812" w:rsidRPr="00480CCB">
        <w:rPr>
          <w:lang w:val="en-US"/>
        </w:rPr>
        <w:t xml:space="preserve">speculative </w:t>
      </w:r>
      <w:r w:rsidR="002D56CD" w:rsidRPr="00480CCB">
        <w:rPr>
          <w:lang w:val="en-US"/>
        </w:rPr>
        <w:t xml:space="preserve">behavior, which may introduce unexpected behavioral anomalies as </w:t>
      </w:r>
      <w:r w:rsidR="00167812">
        <w:rPr>
          <w:lang w:val="en-US"/>
        </w:rPr>
        <w:t>discussed</w:t>
      </w:r>
      <w:r w:rsidR="00167812" w:rsidRPr="00480CCB">
        <w:rPr>
          <w:lang w:val="en-US"/>
        </w:rPr>
        <w:t xml:space="preserve"> </w:t>
      </w:r>
      <w:r w:rsidR="002D56CD">
        <w:rPr>
          <w:lang w:val="en-US"/>
        </w:rPr>
        <w:t>in Xu and Tucker (202</w:t>
      </w:r>
      <w:r w:rsidR="00520625">
        <w:rPr>
          <w:lang w:val="en-US"/>
        </w:rPr>
        <w:t>4</w:t>
      </w:r>
      <w:r w:rsidR="002D56CD">
        <w:rPr>
          <w:lang w:val="en-US"/>
        </w:rPr>
        <w:t>)</w:t>
      </w:r>
      <w:r w:rsidR="002D56CD" w:rsidRPr="00480CCB">
        <w:rPr>
          <w:lang w:val="en-US"/>
        </w:rPr>
        <w:t xml:space="preserve">.  </w:t>
      </w:r>
    </w:p>
    <w:p w14:paraId="67FE7374" w14:textId="21CB1D1D" w:rsidR="002D56CD" w:rsidRPr="00480CCB" w:rsidRDefault="002D56CD" w:rsidP="002D56CD">
      <w:pPr>
        <w:ind w:firstLine="432"/>
        <w:jc w:val="both"/>
        <w:rPr>
          <w:lang w:val="en-US"/>
        </w:rPr>
      </w:pPr>
      <w:r w:rsidRPr="00480CCB">
        <w:rPr>
          <w:lang w:val="en-US"/>
        </w:rPr>
        <w:lastRenderedPageBreak/>
        <w:t xml:space="preserve">Taxes incurred due to resale profits are recorded in a separate tax account that is only settled at the end of the last trading period. Therefore, the cash to asset ratio remains intact </w:t>
      </w:r>
      <w:r w:rsidR="007B38D9">
        <w:rPr>
          <w:lang w:val="en-US"/>
        </w:rPr>
        <w:t>throughout</w:t>
      </w:r>
      <w:r w:rsidRPr="00480CCB">
        <w:rPr>
          <w:lang w:val="en-US"/>
        </w:rPr>
        <w:t xml:space="preserve"> all trading periods. Thus, the cash available for purchases will not be artificially reduced by the tax during the experiment. Since the capital gains tax targets only resale earnings, the computer records all purchases made by a trader and sorts purchasing prices from low to high (e.g.,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&lt;</m:t>
        </m:r>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3</m:t>
            </m:r>
          </m:sub>
        </m:sSub>
        <m:r>
          <w:rPr>
            <w:rFonts w:ascii="Cambria Math" w:hAnsi="Cambria Math"/>
            <w:lang w:val="en-US"/>
          </w:rPr>
          <m:t>&lt;</m:t>
        </m:r>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4</m:t>
            </m:r>
          </m:sub>
        </m:sSub>
        <m:r>
          <w:rPr>
            <w:rFonts w:ascii="Cambria Math" w:hAnsi="Cambria Math"/>
            <w:lang w:val="en-US"/>
          </w:rPr>
          <m:t>&lt;,…</m:t>
        </m:r>
      </m:oMath>
      <w:r w:rsidRPr="00480CCB">
        <w:rPr>
          <w:lang w:val="en-US"/>
        </w:rPr>
        <w:t>). If a sale occurs, regardless of the period in which it takes place, the selling price is compared against the lowest purchase price in the record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1</m:t>
            </m:r>
          </m:sub>
        </m:sSub>
      </m:oMath>
      <w:r w:rsidRPr="00480CCB">
        <w:rPr>
          <w:iCs/>
          <w:lang w:val="en-US"/>
        </w:rPr>
        <w:t xml:space="preserve"> in our example</w:t>
      </w:r>
      <w:r w:rsidRPr="00480CCB">
        <w:rPr>
          <w:lang w:val="en-US"/>
        </w:rPr>
        <w:t>).  This price is provided to the subjects on their bidding screen.</w:t>
      </w:r>
      <w:r w:rsidRPr="00480CCB">
        <w:rPr>
          <w:vertAlign w:val="superscript"/>
          <w:lang w:val="en-US"/>
        </w:rPr>
        <w:footnoteReference w:id="4"/>
      </w:r>
      <w:r w:rsidRPr="00480CCB">
        <w:rPr>
          <w:lang w:val="en-US"/>
        </w:rPr>
        <w:t xml:space="preserve"> If the selling price is less than or equal to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1</m:t>
            </m:r>
          </m:sub>
        </m:sSub>
      </m:oMath>
      <w:r w:rsidRPr="00480CCB">
        <w:rPr>
          <w:iCs/>
          <w:lang w:val="en-US"/>
        </w:rPr>
        <w:t>,</w:t>
      </w:r>
      <w:r w:rsidRPr="00480CCB">
        <w:rPr>
          <w:lang w:val="en-US"/>
        </w:rPr>
        <w:t xml:space="preserve"> no tax is imposed on the seller. If the selling price is greater than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1</m:t>
            </m:r>
          </m:sub>
        </m:sSub>
      </m:oMath>
      <w:r w:rsidRPr="00480CCB">
        <w:rPr>
          <w:iCs/>
          <w:lang w:val="en-US"/>
        </w:rPr>
        <w:t>,</w:t>
      </w:r>
      <w:r w:rsidRPr="00480CCB">
        <w:rPr>
          <w:lang w:val="en-US"/>
        </w:rPr>
        <w:t xml:space="preserve"> then the entire difference (= selling price </w:t>
      </w:r>
      <m:oMath>
        <m:r>
          <m:rPr>
            <m:sty m:val="p"/>
          </m:rPr>
          <w:rPr>
            <w:rFonts w:ascii="Cambria Math" w:hAnsi="Cambria Math"/>
            <w:lang w:val="en-US"/>
          </w:rPr>
          <m:t>-</m:t>
        </m:r>
        <m:sSub>
          <m:sSubPr>
            <m:ctrlPr>
              <w:rPr>
                <w:rFonts w:ascii="Cambria Math" w:hAnsi="Cambria Math"/>
                <w:i/>
                <w:iCs/>
                <w:lang w:val="en-US"/>
              </w:rPr>
            </m:ctrlPr>
          </m:sSubPr>
          <m:e>
            <m:r>
              <w:rPr>
                <w:rFonts w:ascii="Cambria Math" w:hAnsi="Cambria Math"/>
                <w:lang w:val="en-US"/>
              </w:rPr>
              <m:t xml:space="preserve"> p</m:t>
            </m:r>
          </m:e>
          <m:sub>
            <m:r>
              <w:rPr>
                <w:rFonts w:ascii="Cambria Math" w:hAnsi="Cambria Math"/>
                <w:lang w:val="en-US"/>
              </w:rPr>
              <m:t>1</m:t>
            </m:r>
          </m:sub>
        </m:sSub>
      </m:oMath>
      <w:r w:rsidRPr="00480CCB">
        <w:rPr>
          <w:lang w:val="en-US"/>
        </w:rPr>
        <w:t xml:space="preserve">) is taxed away, and the seller is notified of the tax. The lowest purchasing price then becomes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2</m:t>
            </m:r>
          </m:sub>
        </m:sSub>
      </m:oMath>
      <w:r w:rsidRPr="00480CCB">
        <w:rPr>
          <w:lang w:val="en-US"/>
        </w:rPr>
        <w:t xml:space="preserve"> and the next sale price is now compared to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2</m:t>
            </m:r>
          </m:sub>
        </m:sSub>
      </m:oMath>
      <w:r w:rsidRPr="00480CCB">
        <w:rPr>
          <w:lang w:val="en-US"/>
        </w:rPr>
        <w:t>.</w:t>
      </w:r>
    </w:p>
    <w:p w14:paraId="3B28802D" w14:textId="2507E89A" w:rsidR="008C46F5" w:rsidRDefault="005B2B03" w:rsidP="002D56CD">
      <w:pPr>
        <w:ind w:firstLine="432"/>
        <w:jc w:val="both"/>
        <w:rPr>
          <w:lang w:val="en-US"/>
        </w:rPr>
      </w:pPr>
      <w:r>
        <w:rPr>
          <w:lang w:val="en-US"/>
        </w:rPr>
        <w:t xml:space="preserve">The </w:t>
      </w:r>
      <w:r w:rsidR="007B38D9">
        <w:rPr>
          <w:lang w:val="en-US"/>
        </w:rPr>
        <w:t>sole</w:t>
      </w:r>
      <w:r>
        <w:rPr>
          <w:lang w:val="en-US"/>
        </w:rPr>
        <w:t xml:space="preserve"> purpose of this design is to </w:t>
      </w:r>
      <w:r w:rsidR="007B38D9">
        <w:rPr>
          <w:lang w:val="en-US"/>
        </w:rPr>
        <w:t>create</w:t>
      </w:r>
      <w:r>
        <w:rPr>
          <w:lang w:val="en-US"/>
        </w:rPr>
        <w:t xml:space="preserve"> </w:t>
      </w:r>
      <w:r w:rsidR="002D56CD" w:rsidRPr="00480CCB">
        <w:rPr>
          <w:lang w:val="en-US"/>
        </w:rPr>
        <w:t xml:space="preserve">an artificial </w:t>
      </w:r>
      <w:r w:rsidR="007B38D9">
        <w:rPr>
          <w:lang w:val="en-US"/>
        </w:rPr>
        <w:t>market structure</w:t>
      </w:r>
      <w:r w:rsidR="002D56CD" w:rsidRPr="00480CCB">
        <w:rPr>
          <w:lang w:val="en-US"/>
        </w:rPr>
        <w:t xml:space="preserve"> that </w:t>
      </w:r>
      <w:r>
        <w:rPr>
          <w:lang w:val="en-US"/>
        </w:rPr>
        <w:t>eliminates speculative incentives</w:t>
      </w:r>
      <w:r w:rsidR="007B38D9">
        <w:rPr>
          <w:lang w:val="en-US"/>
        </w:rPr>
        <w:t xml:space="preserve"> </w:t>
      </w:r>
      <w:proofErr w:type="gramStart"/>
      <w:r w:rsidR="007B38D9">
        <w:rPr>
          <w:lang w:val="en-US"/>
        </w:rPr>
        <w:t>in order to</w:t>
      </w:r>
      <w:proofErr w:type="gramEnd"/>
      <w:r w:rsidR="007B38D9">
        <w:rPr>
          <w:lang w:val="en-US"/>
        </w:rPr>
        <w:t xml:space="preserve"> cleanly test the impact of speculative behavior on bubble formation.  The design has no intent of </w:t>
      </w:r>
      <w:r>
        <w:rPr>
          <w:lang w:val="en-US"/>
        </w:rPr>
        <w:t>testing effective tax rates</w:t>
      </w:r>
      <w:r w:rsidR="002D56CD" w:rsidRPr="00480CCB">
        <w:rPr>
          <w:lang w:val="en-US"/>
        </w:rPr>
        <w:t xml:space="preserve">. </w:t>
      </w:r>
      <w:r w:rsidR="00113C8F">
        <w:rPr>
          <w:lang w:val="en-US"/>
        </w:rPr>
        <w:t>It</w:t>
      </w:r>
      <w:r w:rsidR="007B38D9">
        <w:rPr>
          <w:lang w:val="en-US"/>
        </w:rPr>
        <w:t xml:space="preserve"> should also be noted that our tax scheme is </w:t>
      </w:r>
      <w:r w:rsidR="00113C8F">
        <w:rPr>
          <w:lang w:val="en-US"/>
        </w:rPr>
        <w:t>not the most aggressive</w:t>
      </w:r>
      <w:r w:rsidR="00F056FA">
        <w:rPr>
          <w:lang w:val="en-US"/>
        </w:rPr>
        <w:t xml:space="preserve"> one</w:t>
      </w:r>
      <w:r w:rsidR="00113C8F">
        <w:rPr>
          <w:lang w:val="en-US"/>
        </w:rPr>
        <w:t xml:space="preserve">: </w:t>
      </w:r>
    </w:p>
    <w:p w14:paraId="5B75E3CA" w14:textId="27FC4927" w:rsidR="008C46F5" w:rsidRDefault="002D56CD" w:rsidP="008C46F5">
      <w:pPr>
        <w:pStyle w:val="ListParagraph"/>
        <w:numPr>
          <w:ilvl w:val="0"/>
          <w:numId w:val="35"/>
        </w:numPr>
        <w:spacing w:line="360" w:lineRule="auto"/>
        <w:ind w:left="284"/>
        <w:jc w:val="both"/>
        <w:rPr>
          <w:lang w:val="en-US"/>
        </w:rPr>
      </w:pPr>
      <w:r w:rsidRPr="008C46F5">
        <w:rPr>
          <w:lang w:val="en-US"/>
        </w:rPr>
        <w:t xml:space="preserve">We do not tax dividend income. Therefore, a trader with the motivation to solely purchase assets </w:t>
      </w:r>
      <w:r w:rsidR="00CF030E" w:rsidRPr="008C46F5">
        <w:rPr>
          <w:lang w:val="en-US"/>
        </w:rPr>
        <w:t>to</w:t>
      </w:r>
      <w:r w:rsidRPr="008C46F5">
        <w:rPr>
          <w:lang w:val="en-US"/>
        </w:rPr>
        <w:t xml:space="preserve"> collect dividend payments is not affected by the tax mechanism. </w:t>
      </w:r>
    </w:p>
    <w:p w14:paraId="77112321" w14:textId="685C1E9E" w:rsidR="008C46F5" w:rsidRDefault="002D56CD" w:rsidP="008C46F5">
      <w:pPr>
        <w:pStyle w:val="ListParagraph"/>
        <w:numPr>
          <w:ilvl w:val="0"/>
          <w:numId w:val="35"/>
        </w:numPr>
        <w:spacing w:line="360" w:lineRule="auto"/>
        <w:ind w:left="284"/>
        <w:jc w:val="both"/>
        <w:rPr>
          <w:lang w:val="en-US"/>
        </w:rPr>
      </w:pPr>
      <w:r w:rsidRPr="008C46F5">
        <w:rPr>
          <w:lang w:val="en-US"/>
        </w:rPr>
        <w:t xml:space="preserve">The capital gains tax is only levied on resale profit, not against the fundamental value. This means that even if prices are greatly above fundamental value, </w:t>
      </w:r>
      <w:proofErr w:type="gramStart"/>
      <w:r w:rsidRPr="008C46F5">
        <w:rPr>
          <w:lang w:val="en-US"/>
        </w:rPr>
        <w:t>as long as</w:t>
      </w:r>
      <w:proofErr w:type="gramEnd"/>
      <w:r w:rsidRPr="008C46F5">
        <w:rPr>
          <w:lang w:val="en-US"/>
        </w:rPr>
        <w:t xml:space="preserve"> the resale price is not higher than the purchase price, no tax is imposed on the seller.  </w:t>
      </w:r>
    </w:p>
    <w:p w14:paraId="27A00DD9" w14:textId="310F758E" w:rsidR="002D56CD" w:rsidRPr="008C46F5" w:rsidRDefault="002D56CD" w:rsidP="008C46F5">
      <w:pPr>
        <w:pStyle w:val="ListParagraph"/>
        <w:numPr>
          <w:ilvl w:val="0"/>
          <w:numId w:val="35"/>
        </w:numPr>
        <w:spacing w:line="360" w:lineRule="auto"/>
        <w:ind w:left="284"/>
        <w:jc w:val="both"/>
        <w:rPr>
          <w:lang w:val="en-US"/>
        </w:rPr>
      </w:pPr>
      <w:r w:rsidRPr="008C46F5">
        <w:rPr>
          <w:lang w:val="en-US"/>
        </w:rPr>
        <w:t>The tax is not imposed on initially endowed assets. If a trader only acts as a seller in the market, no tax would ever be imposed on her regardless of the selling price. That is, the tax does not prohibit people from trading at prices higher than the fundamental value. Hence, if the tax intervention helps to attenuate bubbles, this is not because it prohibits people from trading at “high” prices or that it eliminates all reasons to buy the asset.</w:t>
      </w:r>
    </w:p>
    <w:p w14:paraId="42400D1B" w14:textId="75378701" w:rsidR="002D56CD" w:rsidRDefault="002D56CD" w:rsidP="002D56CD">
      <w:pPr>
        <w:ind w:firstLine="432"/>
        <w:jc w:val="both"/>
        <w:rPr>
          <w:lang w:val="en-US"/>
        </w:rPr>
      </w:pPr>
      <w:r w:rsidRPr="00480CCB">
        <w:rPr>
          <w:lang w:val="en-US"/>
        </w:rPr>
        <w:lastRenderedPageBreak/>
        <w:t xml:space="preserve">It is also worth emphasizing that the capital gains tax merely discourages relatively sophisticated traders </w:t>
      </w:r>
      <w:r w:rsidR="00FC6F0A" w:rsidRPr="00480CCB">
        <w:rPr>
          <w:lang w:val="en-US"/>
        </w:rPr>
        <w:t>from engaging</w:t>
      </w:r>
      <w:r w:rsidRPr="00480CCB">
        <w:rPr>
          <w:lang w:val="en-US"/>
        </w:rPr>
        <w:t xml:space="preserve"> in speculative trades. Traders who are prepared to buy at any price, e.g. the confused traders that do not understand the dividends process</w:t>
      </w:r>
      <w:r w:rsidR="00113C8F">
        <w:rPr>
          <w:lang w:val="en-US"/>
        </w:rPr>
        <w:t xml:space="preserve"> </w:t>
      </w:r>
      <w:r w:rsidRPr="00480CCB">
        <w:rPr>
          <w:lang w:val="en-US"/>
        </w:rPr>
        <w:t xml:space="preserve">would not be affected by the tax.  In other words, the capital gains tax is not able to prohibit confused traders from trading in the asset </w:t>
      </w:r>
      <w:r w:rsidR="00D27B2E" w:rsidRPr="00480CCB">
        <w:rPr>
          <w:lang w:val="en-US"/>
        </w:rPr>
        <w:t>market if</w:t>
      </w:r>
      <w:r w:rsidRPr="00480CCB">
        <w:rPr>
          <w:lang w:val="en-US"/>
        </w:rPr>
        <w:t xml:space="preserve"> they exist.</w:t>
      </w:r>
      <w:r w:rsidRPr="00480CCB">
        <w:rPr>
          <w:rStyle w:val="FootnoteReference"/>
          <w:lang w:val="en-US"/>
        </w:rPr>
        <w:footnoteReference w:id="5"/>
      </w:r>
      <w:r w:rsidRPr="00480CCB">
        <w:rPr>
          <w:lang w:val="en-US"/>
        </w:rPr>
        <w:t xml:space="preserve"> </w:t>
      </w:r>
    </w:p>
    <w:p w14:paraId="22923744" w14:textId="2BD139BF" w:rsidR="0005347C" w:rsidRDefault="00BA58BF" w:rsidP="00FC6F0A">
      <w:pPr>
        <w:ind w:firstLine="432"/>
        <w:jc w:val="both"/>
        <w:rPr>
          <w:b/>
          <w:bCs/>
          <w:lang w:val="en-US"/>
        </w:rPr>
      </w:pPr>
      <w:r w:rsidRPr="00BA58BF">
        <w:rPr>
          <w:lang w:val="en-US"/>
        </w:rPr>
        <w:t>We compare our new 100% capital gains tax treatment (TAX) to the two main treatments in LNP that feature the “no-speculation” intervention, i.e. No Speculation (</w:t>
      </w:r>
      <w:proofErr w:type="spellStart"/>
      <w:r w:rsidRPr="00BA58BF">
        <w:rPr>
          <w:lang w:val="en-US"/>
        </w:rPr>
        <w:t>NoSpec</w:t>
      </w:r>
      <w:proofErr w:type="spellEnd"/>
      <w:r w:rsidRPr="00BA58BF">
        <w:rPr>
          <w:lang w:val="en-US"/>
        </w:rPr>
        <w:t>) and Two Market No Speculation (</w:t>
      </w:r>
      <w:proofErr w:type="spellStart"/>
      <w:r w:rsidRPr="00BA58BF">
        <w:rPr>
          <w:lang w:val="en-US"/>
        </w:rPr>
        <w:t>TMkt</w:t>
      </w:r>
      <w:proofErr w:type="spellEnd"/>
      <w:r w:rsidRPr="00BA58BF">
        <w:rPr>
          <w:lang w:val="en-US"/>
        </w:rPr>
        <w:t>/NS).  The no-speculation treatment</w:t>
      </w:r>
      <w:r>
        <w:rPr>
          <w:lang w:val="en-US"/>
        </w:rPr>
        <w:t>s’</w:t>
      </w:r>
      <w:r w:rsidRPr="00BA58BF">
        <w:rPr>
          <w:lang w:val="en-US"/>
        </w:rPr>
        <w:t xml:space="preserve"> data is taken from Tucker and Xu (2024).  </w:t>
      </w:r>
      <w:r w:rsidR="008516B0">
        <w:rPr>
          <w:lang w:val="en-US"/>
        </w:rPr>
        <w:t xml:space="preserve">The design of those markets is as follows.  </w:t>
      </w:r>
      <w:r w:rsidR="00DD23A7" w:rsidRPr="00BD733F">
        <w:rPr>
          <w:lang w:val="en-US"/>
        </w:rPr>
        <w:t xml:space="preserve">The </w:t>
      </w:r>
      <w:proofErr w:type="spellStart"/>
      <w:r w:rsidR="00DD23A7" w:rsidRPr="00BD733F">
        <w:rPr>
          <w:lang w:val="en-US"/>
        </w:rPr>
        <w:t>NoSpec</w:t>
      </w:r>
      <w:proofErr w:type="spellEnd"/>
      <w:r w:rsidR="00DD23A7" w:rsidRPr="00BD733F">
        <w:rPr>
          <w:lang w:val="en-US"/>
        </w:rPr>
        <w:t xml:space="preserve"> condition consists of a single asset market with restrictions on trader roles.  More specifically, the ability of traders to speculate in the asset market is removed: subjects are randomly assigned to either the role of buyers or sellers, and resale or repurchase of the asset is prohibited. Thus, there is no possibility of realizing capital gains. Th</w:t>
      </w:r>
      <w:r w:rsidR="00D27B2E">
        <w:rPr>
          <w:lang w:val="en-US"/>
        </w:rPr>
        <w:t>erefore</w:t>
      </w:r>
      <w:r w:rsidR="00DD23A7" w:rsidRPr="00BD733F">
        <w:rPr>
          <w:lang w:val="en-US"/>
        </w:rPr>
        <w:t xml:space="preserve">, the only source of value from holding the asset is its expected cumulative dividends. Sellers are of course allowed to sell assets at prices above the fundamental values if buyers are willing to pay those prices.  The </w:t>
      </w:r>
      <w:proofErr w:type="spellStart"/>
      <w:r w:rsidR="00B27BC9" w:rsidRPr="00BD733F">
        <w:rPr>
          <w:lang w:val="en-US"/>
        </w:rPr>
        <w:t>TMkt</w:t>
      </w:r>
      <w:proofErr w:type="spellEnd"/>
      <w:r w:rsidR="00B27BC9" w:rsidRPr="00BD733F">
        <w:rPr>
          <w:lang w:val="en-US"/>
        </w:rPr>
        <w:t>/NS</w:t>
      </w:r>
      <w:r w:rsidR="00A8237D" w:rsidRPr="00BD733F">
        <w:rPr>
          <w:lang w:val="en-US"/>
        </w:rPr>
        <w:t xml:space="preserve"> condition</w:t>
      </w:r>
      <w:r w:rsidR="00DD23A7" w:rsidRPr="00BD733F">
        <w:rPr>
          <w:lang w:val="en-US"/>
        </w:rPr>
        <w:t xml:space="preserve"> has</w:t>
      </w:r>
      <w:r w:rsidR="000B3E0C" w:rsidRPr="00BD733F">
        <w:rPr>
          <w:lang w:val="en-US"/>
        </w:rPr>
        <w:t xml:space="preserve"> a</w:t>
      </w:r>
      <w:r w:rsidR="00A8237D" w:rsidRPr="00BD733F">
        <w:rPr>
          <w:lang w:val="en-US"/>
        </w:rPr>
        <w:t xml:space="preserve"> goods market</w:t>
      </w:r>
      <w:r w:rsidR="00B546D8" w:rsidRPr="00BD733F">
        <w:rPr>
          <w:lang w:val="en-US"/>
        </w:rPr>
        <w:t xml:space="preserve"> operating</w:t>
      </w:r>
      <w:r w:rsidR="00A8237D" w:rsidRPr="00BD733F">
        <w:rPr>
          <w:lang w:val="en-US"/>
        </w:rPr>
        <w:t xml:space="preserve"> concurrently with </w:t>
      </w:r>
      <w:r w:rsidR="00DD23A7" w:rsidRPr="00BD733F">
        <w:rPr>
          <w:lang w:val="en-US"/>
        </w:rPr>
        <w:t xml:space="preserve">an </w:t>
      </w:r>
      <w:r w:rsidR="00A8237D" w:rsidRPr="00BD733F">
        <w:rPr>
          <w:lang w:val="en-US"/>
        </w:rPr>
        <w:t>asset market</w:t>
      </w:r>
      <w:r w:rsidR="00DD23A7" w:rsidRPr="00BD733F">
        <w:rPr>
          <w:lang w:val="en-US"/>
        </w:rPr>
        <w:t xml:space="preserve"> that is identical to </w:t>
      </w:r>
      <w:proofErr w:type="spellStart"/>
      <w:r w:rsidR="00DD23A7" w:rsidRPr="00BD733F">
        <w:rPr>
          <w:lang w:val="en-US"/>
        </w:rPr>
        <w:t>NoSpec</w:t>
      </w:r>
      <w:proofErr w:type="spellEnd"/>
      <w:r w:rsidR="006A333B" w:rsidRPr="00BD733F">
        <w:rPr>
          <w:lang w:val="en-US"/>
        </w:rPr>
        <w:t xml:space="preserve"> (the goods are referred to as </w:t>
      </w:r>
      <w:r w:rsidR="006A333B" w:rsidRPr="00BD733F">
        <w:rPr>
          <w:i/>
          <w:iCs/>
          <w:lang w:val="en-US"/>
        </w:rPr>
        <w:t>Y</w:t>
      </w:r>
      <w:r w:rsidR="006A333B" w:rsidRPr="00BD733F">
        <w:rPr>
          <w:lang w:val="en-US"/>
        </w:rPr>
        <w:t xml:space="preserve">, in distinction to the dividend paying asset </w:t>
      </w:r>
      <w:r w:rsidR="006A333B" w:rsidRPr="00BD733F">
        <w:rPr>
          <w:i/>
          <w:iCs/>
          <w:lang w:val="en-US"/>
        </w:rPr>
        <w:t>X</w:t>
      </w:r>
      <w:r w:rsidR="006A333B" w:rsidRPr="00BD733F">
        <w:rPr>
          <w:lang w:val="en-US"/>
        </w:rPr>
        <w:t>)</w:t>
      </w:r>
      <w:r w:rsidR="00EF798E" w:rsidRPr="00BD733F">
        <w:rPr>
          <w:lang w:val="en-US"/>
        </w:rPr>
        <w:t>.</w:t>
      </w:r>
      <w:r w:rsidR="00A234E3" w:rsidRPr="00BD733F">
        <w:rPr>
          <w:rStyle w:val="FootnoteReference"/>
          <w:lang w:val="en-US"/>
        </w:rPr>
        <w:footnoteReference w:id="6"/>
      </w:r>
      <w:r w:rsidR="00A8237D" w:rsidRPr="00BD733F">
        <w:rPr>
          <w:lang w:val="en-US"/>
        </w:rPr>
        <w:t xml:space="preserve"> </w:t>
      </w:r>
      <w:r w:rsidR="0021134F">
        <w:rPr>
          <w:lang w:val="en-US"/>
        </w:rPr>
        <w:t xml:space="preserve">The goods market </w:t>
      </w:r>
      <w:r w:rsidR="0021134F">
        <w:rPr>
          <w:i/>
          <w:iCs/>
          <w:lang w:val="en-US"/>
        </w:rPr>
        <w:t>Y</w:t>
      </w:r>
      <w:r w:rsidR="0021134F">
        <w:rPr>
          <w:lang w:val="en-US"/>
        </w:rPr>
        <w:t xml:space="preserve"> is open for three periods before the opening of the asset market.  More specifically, the market for asset </w:t>
      </w:r>
      <w:r w:rsidR="0021134F">
        <w:rPr>
          <w:i/>
          <w:iCs/>
          <w:lang w:val="en-US"/>
        </w:rPr>
        <w:t>X</w:t>
      </w:r>
      <w:r w:rsidR="0021134F">
        <w:rPr>
          <w:lang w:val="en-US"/>
        </w:rPr>
        <w:t xml:space="preserve"> opens in period 4 and runs concurrently with the goods market </w:t>
      </w:r>
      <w:r w:rsidR="0021134F">
        <w:rPr>
          <w:i/>
          <w:iCs/>
          <w:lang w:val="en-US"/>
        </w:rPr>
        <w:t>Y</w:t>
      </w:r>
      <w:r w:rsidR="0021134F">
        <w:rPr>
          <w:lang w:val="en-US"/>
        </w:rPr>
        <w:t xml:space="preserve"> for periods 4 – 18. </w:t>
      </w:r>
    </w:p>
    <w:p w14:paraId="2D838ED2" w14:textId="73A5671A" w:rsidR="00900709" w:rsidRDefault="00434FB0" w:rsidP="00B0353D">
      <w:pPr>
        <w:jc w:val="both"/>
        <w:rPr>
          <w:lang w:val="en-US"/>
        </w:rPr>
      </w:pPr>
      <w:r w:rsidRPr="00BD733F">
        <w:rPr>
          <w:lang w:val="en-US"/>
        </w:rPr>
        <w:tab/>
      </w:r>
      <w:r w:rsidR="003F23C8" w:rsidRPr="00BD733F">
        <w:rPr>
          <w:lang w:val="en-US"/>
        </w:rPr>
        <w:t xml:space="preserve">In </w:t>
      </w:r>
      <w:proofErr w:type="spellStart"/>
      <w:r w:rsidR="00FF5388">
        <w:rPr>
          <w:lang w:val="en-US"/>
        </w:rPr>
        <w:t>TMk</w:t>
      </w:r>
      <w:r w:rsidR="005F774C">
        <w:rPr>
          <w:lang w:val="en-US"/>
        </w:rPr>
        <w:t>t</w:t>
      </w:r>
      <w:proofErr w:type="spellEnd"/>
      <w:r w:rsidR="00FF5388">
        <w:rPr>
          <w:lang w:val="en-US"/>
        </w:rPr>
        <w:t>/NS</w:t>
      </w:r>
      <w:r w:rsidR="003F23C8" w:rsidRPr="00BD733F">
        <w:rPr>
          <w:lang w:val="en-US"/>
        </w:rPr>
        <w:t xml:space="preserve">, the commodity </w:t>
      </w:r>
      <w:r w:rsidR="0049063E" w:rsidRPr="00BD733F">
        <w:rPr>
          <w:i/>
          <w:lang w:val="en-US"/>
        </w:rPr>
        <w:t>Y</w:t>
      </w:r>
      <w:r w:rsidR="0049063E" w:rsidRPr="00BD733F">
        <w:rPr>
          <w:lang w:val="en-US"/>
        </w:rPr>
        <w:t xml:space="preserve"> has a life of one period, and it is treated as a good or service as in Smith (1962). </w:t>
      </w:r>
      <w:r w:rsidR="0049063E" w:rsidRPr="00BD733F">
        <w:rPr>
          <w:i/>
          <w:lang w:val="en-US"/>
        </w:rPr>
        <w:t>Y</w:t>
      </w:r>
      <w:r w:rsidR="0049063E" w:rsidRPr="00BD733F">
        <w:rPr>
          <w:lang w:val="en-US"/>
        </w:rPr>
        <w:t xml:space="preserve"> does not pay dividends in any period, but it has redemption values for agents who consume it at the end of each period. Buyers are endowed with </w:t>
      </w:r>
      <w:r w:rsidR="0049063E" w:rsidRPr="00BD733F">
        <w:rPr>
          <w:lang w:val="en-US"/>
        </w:rPr>
        <w:lastRenderedPageBreak/>
        <w:t xml:space="preserve">diminishing personal values for consuming each unit of </w:t>
      </w:r>
      <w:r w:rsidR="0049063E" w:rsidRPr="00BD733F">
        <w:rPr>
          <w:i/>
          <w:lang w:val="en-US"/>
        </w:rPr>
        <w:t>Y</w:t>
      </w:r>
      <w:r w:rsidR="0049063E" w:rsidRPr="00BD733F">
        <w:rPr>
          <w:lang w:val="en-US"/>
        </w:rPr>
        <w:t xml:space="preserve"> (</w:t>
      </w:r>
      <w:r w:rsidR="003F23C8" w:rsidRPr="00BD733F">
        <w:rPr>
          <w:lang w:val="en-US"/>
        </w:rPr>
        <w:t xml:space="preserve">creating </w:t>
      </w:r>
      <w:r w:rsidR="0049063E" w:rsidRPr="00BD733F">
        <w:rPr>
          <w:lang w:val="en-US"/>
        </w:rPr>
        <w:t xml:space="preserve">a demand schedule). Sellers are assigned increasing private costs for each unit of </w:t>
      </w:r>
      <w:r w:rsidR="0049063E" w:rsidRPr="00BD733F">
        <w:rPr>
          <w:i/>
          <w:lang w:val="en-US"/>
        </w:rPr>
        <w:t>Y</w:t>
      </w:r>
      <w:r w:rsidR="0049063E" w:rsidRPr="00BD733F">
        <w:rPr>
          <w:lang w:val="en-US"/>
        </w:rPr>
        <w:t xml:space="preserve"> they sell (</w:t>
      </w:r>
      <w:r w:rsidR="003F23C8" w:rsidRPr="00BD733F">
        <w:rPr>
          <w:lang w:val="en-US"/>
        </w:rPr>
        <w:t xml:space="preserve">creating </w:t>
      </w:r>
      <w:r w:rsidR="0049063E" w:rsidRPr="00BD733F">
        <w:rPr>
          <w:lang w:val="en-US"/>
        </w:rPr>
        <w:t xml:space="preserve">a supply schedule).  The market for </w:t>
      </w:r>
      <w:r w:rsidR="0049063E" w:rsidRPr="00BD733F">
        <w:rPr>
          <w:i/>
          <w:lang w:val="en-US"/>
        </w:rPr>
        <w:t>Y</w:t>
      </w:r>
      <w:r w:rsidR="0049063E" w:rsidRPr="00BD733F">
        <w:rPr>
          <w:lang w:val="en-US"/>
        </w:rPr>
        <w:t xml:space="preserve"> repeats itself every period</w:t>
      </w:r>
      <w:r w:rsidR="003063B8" w:rsidRPr="00BD733F">
        <w:rPr>
          <w:lang w:val="en-US"/>
        </w:rPr>
        <w:t>, with</w:t>
      </w:r>
      <w:r w:rsidR="0049063E" w:rsidRPr="00BD733F">
        <w:rPr>
          <w:lang w:val="en-US"/>
        </w:rPr>
        <w:t xml:space="preserve"> a market clearing price and quantity found </w:t>
      </w:r>
      <w:r w:rsidR="003063B8" w:rsidRPr="00BD733F">
        <w:rPr>
          <w:lang w:val="en-US"/>
        </w:rPr>
        <w:t>from intersection of traders’ submitted bid and ask schedules</w:t>
      </w:r>
      <w:r w:rsidR="0049063E" w:rsidRPr="00BD733F">
        <w:rPr>
          <w:lang w:val="en-US"/>
        </w:rPr>
        <w:t xml:space="preserve">. Inventories of </w:t>
      </w:r>
      <w:r w:rsidR="0049063E" w:rsidRPr="00BD733F">
        <w:rPr>
          <w:i/>
          <w:lang w:val="en-US"/>
        </w:rPr>
        <w:t>Y</w:t>
      </w:r>
      <w:r w:rsidR="0049063E" w:rsidRPr="00BD733F">
        <w:rPr>
          <w:lang w:val="en-US"/>
        </w:rPr>
        <w:t xml:space="preserve"> are reinitialized after each period and goods cannot be carr</w:t>
      </w:r>
      <w:r w:rsidR="003F23C8" w:rsidRPr="00BD733F">
        <w:rPr>
          <w:lang w:val="en-US"/>
        </w:rPr>
        <w:t>ied</w:t>
      </w:r>
      <w:r w:rsidR="0049063E" w:rsidRPr="00BD733F">
        <w:rPr>
          <w:lang w:val="en-US"/>
        </w:rPr>
        <w:t xml:space="preserve"> over from one period to the next. The goods market </w:t>
      </w:r>
      <w:r w:rsidR="0049063E" w:rsidRPr="00BD733F">
        <w:rPr>
          <w:i/>
          <w:lang w:val="en-US"/>
        </w:rPr>
        <w:t>Y</w:t>
      </w:r>
      <w:r w:rsidR="0049063E" w:rsidRPr="00BD733F">
        <w:rPr>
          <w:lang w:val="en-US"/>
        </w:rPr>
        <w:t xml:space="preserve"> opens three periods prior to the asset market for the traders to be familiar with it</w:t>
      </w:r>
      <w:r w:rsidR="000A720F" w:rsidRPr="00BD733F">
        <w:rPr>
          <w:lang w:val="en-US"/>
        </w:rPr>
        <w:t xml:space="preserve">, which is why the </w:t>
      </w:r>
      <w:proofErr w:type="spellStart"/>
      <w:r w:rsidR="00FF5388">
        <w:rPr>
          <w:rFonts w:eastAsia="Times New Roman"/>
          <w:color w:val="000000"/>
          <w:lang w:val="en-US" w:eastAsia="zh-CN"/>
        </w:rPr>
        <w:t>TMkt</w:t>
      </w:r>
      <w:proofErr w:type="spellEnd"/>
      <w:r w:rsidR="00FF5388">
        <w:rPr>
          <w:rFonts w:eastAsia="Times New Roman"/>
          <w:color w:val="000000"/>
          <w:lang w:val="en-US" w:eastAsia="zh-CN"/>
        </w:rPr>
        <w:t>/NS</w:t>
      </w:r>
      <w:r w:rsidR="000A720F" w:rsidRPr="00BD733F">
        <w:rPr>
          <w:lang w:val="en-US"/>
        </w:rPr>
        <w:t xml:space="preserve"> treatment has </w:t>
      </w:r>
      <w:r w:rsidR="00A261EE">
        <w:rPr>
          <w:lang w:val="en-US"/>
        </w:rPr>
        <w:t>three</w:t>
      </w:r>
      <w:r w:rsidR="00A261EE" w:rsidRPr="00BD733F">
        <w:rPr>
          <w:lang w:val="en-US"/>
        </w:rPr>
        <w:t xml:space="preserve"> </w:t>
      </w:r>
      <w:r w:rsidR="000A720F" w:rsidRPr="00BD733F">
        <w:rPr>
          <w:lang w:val="en-US"/>
        </w:rPr>
        <w:t xml:space="preserve">periods more than the </w:t>
      </w:r>
      <w:r w:rsidR="008E0ECB">
        <w:rPr>
          <w:lang w:val="en-US"/>
        </w:rPr>
        <w:t>other treatments</w:t>
      </w:r>
      <w:r w:rsidR="0049063E" w:rsidRPr="00BD733F">
        <w:rPr>
          <w:lang w:val="en-US"/>
        </w:rPr>
        <w:t xml:space="preserve">. Traders can freely access both markets trading </w:t>
      </w:r>
      <w:r w:rsidR="0049063E" w:rsidRPr="00BD733F">
        <w:rPr>
          <w:i/>
          <w:lang w:val="en-US"/>
        </w:rPr>
        <w:t>X</w:t>
      </w:r>
      <w:r w:rsidR="0049063E" w:rsidRPr="00BD733F">
        <w:rPr>
          <w:lang w:val="en-US"/>
        </w:rPr>
        <w:t xml:space="preserve"> and </w:t>
      </w:r>
      <w:r w:rsidR="0049063E" w:rsidRPr="00BD733F">
        <w:rPr>
          <w:i/>
          <w:lang w:val="en-US"/>
        </w:rPr>
        <w:t>Y</w:t>
      </w:r>
      <w:r w:rsidR="0049063E" w:rsidRPr="00BD733F">
        <w:rPr>
          <w:lang w:val="en-US"/>
        </w:rPr>
        <w:t xml:space="preserve"> when the market for </w:t>
      </w:r>
      <w:r w:rsidR="0049063E" w:rsidRPr="00BD733F">
        <w:rPr>
          <w:i/>
          <w:lang w:val="en-US"/>
        </w:rPr>
        <w:t>X</w:t>
      </w:r>
      <w:r w:rsidR="0049063E" w:rsidRPr="00BD733F">
        <w:rPr>
          <w:lang w:val="en-US"/>
        </w:rPr>
        <w:t xml:space="preserve"> opens after the third period.</w:t>
      </w:r>
      <w:r w:rsidR="000A720F" w:rsidRPr="00BD733F">
        <w:rPr>
          <w:lang w:val="en-US"/>
        </w:rPr>
        <w:t xml:space="preserve"> </w:t>
      </w:r>
    </w:p>
    <w:p w14:paraId="4624421F" w14:textId="59B693D8" w:rsidR="00B0353D" w:rsidRPr="00BD733F" w:rsidRDefault="00341569" w:rsidP="00A57789">
      <w:pPr>
        <w:jc w:val="both"/>
        <w:rPr>
          <w:rFonts w:eastAsia="Times New Roman"/>
          <w:color w:val="000000"/>
          <w:lang w:val="en-US" w:eastAsia="zh-CN"/>
        </w:rPr>
      </w:pPr>
      <w:r>
        <w:rPr>
          <w:lang w:val="en-US"/>
        </w:rPr>
        <w:tab/>
      </w:r>
      <w:r w:rsidR="002575C4">
        <w:rPr>
          <w:lang w:val="en-US"/>
        </w:rPr>
        <w:t>As can be seen in Table 1, the</w:t>
      </w:r>
      <w:r w:rsidR="00A57789">
        <w:rPr>
          <w:lang w:val="en-US"/>
        </w:rPr>
        <w:t xml:space="preserve"> LNP no-speculation conditions implemented extreme asymmetric </w:t>
      </w:r>
      <w:r w:rsidR="003D33FD">
        <w:rPr>
          <w:lang w:val="en-US"/>
        </w:rPr>
        <w:t xml:space="preserve">initial </w:t>
      </w:r>
      <w:r w:rsidR="00A57789">
        <w:rPr>
          <w:lang w:val="en-US"/>
        </w:rPr>
        <w:t xml:space="preserve">endowments.  </w:t>
      </w:r>
      <w:r w:rsidR="00B0353D" w:rsidRPr="00BD733F">
        <w:rPr>
          <w:lang w:val="en-US"/>
        </w:rPr>
        <w:t xml:space="preserve">In the </w:t>
      </w:r>
      <w:proofErr w:type="spellStart"/>
      <w:r w:rsidR="00B0353D" w:rsidRPr="00BD733F">
        <w:rPr>
          <w:lang w:val="en-US"/>
        </w:rPr>
        <w:t>NoSpec</w:t>
      </w:r>
      <w:proofErr w:type="spellEnd"/>
      <w:r w:rsidR="00B0353D" w:rsidRPr="00BD733F">
        <w:rPr>
          <w:lang w:val="en-US"/>
        </w:rPr>
        <w:t xml:space="preserve"> treatment, buyers were endowed with an initial cash balance of </w:t>
      </w:r>
      <w:r w:rsidR="00B0353D">
        <w:rPr>
          <w:lang w:val="en-US"/>
        </w:rPr>
        <w:t>10,000</w:t>
      </w:r>
      <w:r w:rsidR="00B0353D" w:rsidRPr="00BD733F">
        <w:rPr>
          <w:lang w:val="en-US"/>
        </w:rPr>
        <w:t xml:space="preserve"> francs and no assets, and sellers were endowed with </w:t>
      </w:r>
      <w:r w:rsidR="00B0353D">
        <w:rPr>
          <w:lang w:val="en-US"/>
        </w:rPr>
        <w:t>1</w:t>
      </w:r>
      <w:r w:rsidR="00B0353D" w:rsidRPr="00BD733F">
        <w:rPr>
          <w:lang w:val="en-US"/>
        </w:rPr>
        <w:t xml:space="preserve">0 units of </w:t>
      </w:r>
      <w:r w:rsidR="00B0353D" w:rsidRPr="00BD733F">
        <w:rPr>
          <w:i/>
          <w:iCs/>
          <w:lang w:val="en-US"/>
        </w:rPr>
        <w:t>X</w:t>
      </w:r>
      <w:r w:rsidR="00B0353D" w:rsidRPr="00BD733F">
        <w:rPr>
          <w:lang w:val="en-US"/>
        </w:rPr>
        <w:t xml:space="preserve"> but no cash.  In the </w:t>
      </w:r>
      <w:proofErr w:type="spellStart"/>
      <w:r w:rsidR="00B0353D" w:rsidRPr="00BD733F">
        <w:rPr>
          <w:rFonts w:eastAsia="Times New Roman"/>
          <w:color w:val="000000"/>
          <w:lang w:val="en-US" w:eastAsia="zh-CN"/>
        </w:rPr>
        <w:t>TMkt</w:t>
      </w:r>
      <w:proofErr w:type="spellEnd"/>
      <w:r w:rsidR="00B0353D" w:rsidRPr="00BD733F">
        <w:rPr>
          <w:rFonts w:eastAsia="Times New Roman"/>
          <w:color w:val="000000"/>
          <w:lang w:val="en-US" w:eastAsia="zh-CN"/>
        </w:rPr>
        <w:t xml:space="preserve">/NS treatment, buyers were </w:t>
      </w:r>
      <w:r w:rsidR="00B0353D">
        <w:rPr>
          <w:rFonts w:eastAsia="Times New Roman"/>
          <w:color w:val="000000"/>
          <w:lang w:val="en-US" w:eastAsia="zh-CN"/>
        </w:rPr>
        <w:t>endowed</w:t>
      </w:r>
      <w:r w:rsidR="00B0353D" w:rsidRPr="00BD733F">
        <w:rPr>
          <w:rFonts w:eastAsia="Times New Roman"/>
          <w:color w:val="000000"/>
          <w:lang w:val="en-US" w:eastAsia="zh-CN"/>
        </w:rPr>
        <w:t xml:space="preserve"> with 10,000 francs, </w:t>
      </w:r>
      <w:r w:rsidR="00B0353D">
        <w:rPr>
          <w:rFonts w:eastAsia="Times New Roman"/>
          <w:color w:val="000000"/>
          <w:lang w:val="en-US" w:eastAsia="zh-CN"/>
        </w:rPr>
        <w:t>but</w:t>
      </w:r>
      <w:r w:rsidR="00B0353D" w:rsidRPr="00BD733F">
        <w:rPr>
          <w:rFonts w:eastAsia="Times New Roman"/>
          <w:color w:val="000000"/>
          <w:lang w:val="en-US" w:eastAsia="zh-CN"/>
        </w:rPr>
        <w:t xml:space="preserve"> had no endowment of either </w:t>
      </w:r>
      <w:r w:rsidR="00B0353D" w:rsidRPr="00BD733F">
        <w:rPr>
          <w:rFonts w:eastAsia="Times New Roman"/>
          <w:i/>
          <w:color w:val="000000"/>
          <w:lang w:val="en-US" w:eastAsia="zh-CN"/>
        </w:rPr>
        <w:t>X</w:t>
      </w:r>
      <w:r w:rsidR="00B0353D" w:rsidRPr="00BD733F">
        <w:rPr>
          <w:rFonts w:eastAsia="Times New Roman"/>
          <w:color w:val="000000"/>
          <w:lang w:val="en-US" w:eastAsia="zh-CN"/>
        </w:rPr>
        <w:t xml:space="preserve"> or </w:t>
      </w:r>
      <w:r w:rsidR="00B0353D" w:rsidRPr="00BD733F">
        <w:rPr>
          <w:rFonts w:eastAsia="Times New Roman"/>
          <w:i/>
          <w:color w:val="000000"/>
          <w:lang w:val="en-US" w:eastAsia="zh-CN"/>
        </w:rPr>
        <w:t>Y</w:t>
      </w:r>
      <w:r w:rsidR="00B0353D" w:rsidRPr="00BD733F">
        <w:rPr>
          <w:rFonts w:eastAsia="Times New Roman"/>
          <w:color w:val="000000"/>
          <w:lang w:val="en-US" w:eastAsia="zh-CN"/>
        </w:rPr>
        <w:t>. Sellers</w:t>
      </w:r>
      <w:r w:rsidR="00B0353D">
        <w:rPr>
          <w:rFonts w:eastAsia="Times New Roman"/>
          <w:color w:val="000000"/>
          <w:lang w:val="en-US" w:eastAsia="zh-CN"/>
        </w:rPr>
        <w:t xml:space="preserve"> in </w:t>
      </w:r>
      <w:proofErr w:type="spellStart"/>
      <w:r w:rsidR="00B0353D">
        <w:rPr>
          <w:rFonts w:eastAsia="Times New Roman"/>
          <w:color w:val="000000"/>
          <w:lang w:val="en-US" w:eastAsia="zh-CN"/>
        </w:rPr>
        <w:t>TMkt</w:t>
      </w:r>
      <w:proofErr w:type="spellEnd"/>
      <w:r w:rsidR="00B0353D">
        <w:rPr>
          <w:rFonts w:eastAsia="Times New Roman"/>
          <w:color w:val="000000"/>
          <w:lang w:val="en-US" w:eastAsia="zh-CN"/>
        </w:rPr>
        <w:t>/NS</w:t>
      </w:r>
      <w:r w:rsidR="00B0353D" w:rsidRPr="00BD733F">
        <w:rPr>
          <w:rFonts w:eastAsia="Times New Roman"/>
          <w:color w:val="000000"/>
          <w:lang w:val="en-US" w:eastAsia="zh-CN"/>
        </w:rPr>
        <w:t xml:space="preserve"> were endowed with </w:t>
      </w:r>
      <w:r w:rsidR="000872C3">
        <w:rPr>
          <w:rFonts w:eastAsia="Times New Roman"/>
          <w:color w:val="000000"/>
          <w:lang w:val="en-US" w:eastAsia="zh-CN"/>
        </w:rPr>
        <w:t>1</w:t>
      </w:r>
      <w:r w:rsidR="000872C3" w:rsidRPr="00BD733F">
        <w:rPr>
          <w:rFonts w:eastAsia="Times New Roman"/>
          <w:color w:val="000000"/>
          <w:lang w:val="en-US" w:eastAsia="zh-CN"/>
        </w:rPr>
        <w:t xml:space="preserve">0 </w:t>
      </w:r>
      <w:r w:rsidR="00B0353D" w:rsidRPr="00BD733F">
        <w:rPr>
          <w:rFonts w:eastAsia="Times New Roman"/>
          <w:color w:val="000000"/>
          <w:lang w:val="en-US" w:eastAsia="zh-CN"/>
        </w:rPr>
        <w:t xml:space="preserve">units of </w:t>
      </w:r>
      <w:r w:rsidR="00B0353D" w:rsidRPr="00BD733F">
        <w:rPr>
          <w:rFonts w:eastAsia="Times New Roman"/>
          <w:i/>
          <w:color w:val="000000"/>
          <w:lang w:val="en-US" w:eastAsia="zh-CN"/>
        </w:rPr>
        <w:t>X</w:t>
      </w:r>
      <w:r w:rsidR="00B0353D" w:rsidRPr="00BD733F">
        <w:rPr>
          <w:rFonts w:eastAsia="Times New Roman"/>
          <w:color w:val="000000"/>
          <w:lang w:val="en-US" w:eastAsia="zh-CN"/>
        </w:rPr>
        <w:t xml:space="preserve"> and 10 units of </w:t>
      </w:r>
      <w:r w:rsidR="00B0353D" w:rsidRPr="00BD733F">
        <w:rPr>
          <w:rFonts w:eastAsia="Times New Roman"/>
          <w:i/>
          <w:color w:val="000000"/>
          <w:lang w:val="en-US" w:eastAsia="zh-CN"/>
        </w:rPr>
        <w:t>Y</w:t>
      </w:r>
      <w:r w:rsidR="00B0353D" w:rsidRPr="00BD733F">
        <w:rPr>
          <w:rFonts w:eastAsia="Times New Roman"/>
          <w:color w:val="000000"/>
          <w:lang w:val="en-US" w:eastAsia="zh-CN"/>
        </w:rPr>
        <w:t>, and zero cash.</w:t>
      </w:r>
      <w:r w:rsidR="002575C4">
        <w:rPr>
          <w:rFonts w:eastAsia="Times New Roman"/>
          <w:color w:val="000000"/>
          <w:lang w:val="en-US" w:eastAsia="zh-CN"/>
        </w:rPr>
        <w:t xml:space="preserve"> In the TAX treatment, we keep endowments the same as in the Baseline condition. </w:t>
      </w:r>
    </w:p>
    <w:p w14:paraId="1A386E81" w14:textId="3C39751D" w:rsidR="00FA3D58" w:rsidRDefault="009F71A2" w:rsidP="00FA3D58">
      <w:pPr>
        <w:jc w:val="both"/>
        <w:rPr>
          <w:lang w:val="en-US"/>
        </w:rPr>
      </w:pPr>
      <w:r>
        <w:rPr>
          <w:lang w:val="en-US"/>
        </w:rPr>
        <w:tab/>
      </w:r>
      <w:r w:rsidR="001B58CF" w:rsidRPr="00BD733F">
        <w:rPr>
          <w:lang w:val="en-US"/>
        </w:rPr>
        <w:t xml:space="preserve">A total of </w:t>
      </w:r>
      <w:r w:rsidR="00B414EE">
        <w:t>253</w:t>
      </w:r>
      <w:r w:rsidR="0032746D" w:rsidRPr="00BD733F">
        <w:rPr>
          <w:lang w:val="en-US"/>
        </w:rPr>
        <w:t xml:space="preserve"> </w:t>
      </w:r>
      <w:r w:rsidR="001B58CF" w:rsidRPr="00BD733F">
        <w:rPr>
          <w:lang w:val="en-US"/>
        </w:rPr>
        <w:t>subjects participated in our</w:t>
      </w:r>
      <w:r w:rsidR="00F55534">
        <w:t xml:space="preserve"> </w:t>
      </w:r>
      <w:r w:rsidR="001B58CF" w:rsidRPr="00BD733F">
        <w:rPr>
          <w:lang w:val="en-US"/>
        </w:rPr>
        <w:t>experiment.</w:t>
      </w:r>
      <w:r w:rsidR="00341569">
        <w:rPr>
          <w:lang w:val="en-US"/>
        </w:rPr>
        <w:t xml:space="preserve">  Each treatment comprised of </w:t>
      </w:r>
      <w:r w:rsidR="00A261EE">
        <w:rPr>
          <w:lang w:val="en-US"/>
        </w:rPr>
        <w:t xml:space="preserve">nine </w:t>
      </w:r>
      <w:r w:rsidR="00341569">
        <w:rPr>
          <w:lang w:val="en-US"/>
        </w:rPr>
        <w:t>markets</w:t>
      </w:r>
      <w:r w:rsidR="00391A47">
        <w:rPr>
          <w:lang w:val="en-US"/>
        </w:rPr>
        <w:t xml:space="preserve"> (except for the standard SSW baseline, which has </w:t>
      </w:r>
      <w:r w:rsidR="00A261EE">
        <w:rPr>
          <w:lang w:val="en-US"/>
        </w:rPr>
        <w:t xml:space="preserve">five </w:t>
      </w:r>
      <w:r w:rsidR="00391A47">
        <w:rPr>
          <w:lang w:val="en-US"/>
        </w:rPr>
        <w:t>markets)</w:t>
      </w:r>
      <w:r w:rsidR="00341569">
        <w:rPr>
          <w:lang w:val="en-US"/>
        </w:rPr>
        <w:t xml:space="preserve"> for a total of </w:t>
      </w:r>
      <w:r w:rsidR="00A261EE">
        <w:rPr>
          <w:lang w:val="en-US"/>
        </w:rPr>
        <w:t xml:space="preserve">32 </w:t>
      </w:r>
      <w:r w:rsidR="00341569">
        <w:rPr>
          <w:lang w:val="en-US"/>
        </w:rPr>
        <w:t>markets</w:t>
      </w:r>
      <w:r w:rsidR="00E92786">
        <w:rPr>
          <w:lang w:val="en-US"/>
        </w:rPr>
        <w:t xml:space="preserve"> conducted</w:t>
      </w:r>
      <w:r w:rsidR="0033711B" w:rsidRPr="00BD733F">
        <w:rPr>
          <w:lang w:val="en-US"/>
        </w:rPr>
        <w:t xml:space="preserve"> </w:t>
      </w:r>
      <w:r w:rsidR="00AD5355" w:rsidRPr="00BD733F">
        <w:rPr>
          <w:lang w:val="en-US"/>
        </w:rPr>
        <w:t>(see Table1)</w:t>
      </w:r>
      <w:r w:rsidR="001B58CF" w:rsidRPr="00BD733F">
        <w:rPr>
          <w:lang w:val="en-US"/>
        </w:rPr>
        <w:t xml:space="preserve">, </w:t>
      </w:r>
      <w:r w:rsidR="00E67527" w:rsidRPr="00BD733F">
        <w:rPr>
          <w:lang w:val="en-US"/>
        </w:rPr>
        <w:t xml:space="preserve">which </w:t>
      </w:r>
      <w:r w:rsidR="00E92786">
        <w:rPr>
          <w:lang w:val="en-US"/>
        </w:rPr>
        <w:t>were</w:t>
      </w:r>
      <w:r w:rsidR="00E92786" w:rsidRPr="00BD733F">
        <w:rPr>
          <w:lang w:val="en-US"/>
        </w:rPr>
        <w:t xml:space="preserve"> </w:t>
      </w:r>
      <w:r w:rsidR="00E67527" w:rsidRPr="00BD733F">
        <w:rPr>
          <w:lang w:val="en-US"/>
        </w:rPr>
        <w:t xml:space="preserve">all conducted </w:t>
      </w:r>
      <w:r w:rsidR="006D4522" w:rsidRPr="00BD733F">
        <w:rPr>
          <w:lang w:val="en-US"/>
        </w:rPr>
        <w:t>in the Waikato Experimental Economics Laboratory in Hamilton, New Zealand</w:t>
      </w:r>
      <w:r w:rsidR="005B2B03">
        <w:rPr>
          <w:lang w:val="en-US"/>
        </w:rPr>
        <w:t>.</w:t>
      </w:r>
      <w:r w:rsidR="00876D5B" w:rsidRPr="00BD733F">
        <w:rPr>
          <w:lang w:val="en-US"/>
        </w:rPr>
        <w:t xml:space="preserve">  </w:t>
      </w:r>
      <w:r w:rsidR="004A13E5" w:rsidRPr="00BD733F">
        <w:rPr>
          <w:lang w:val="en-US"/>
        </w:rPr>
        <w:t>T</w:t>
      </w:r>
      <w:r w:rsidR="00AC3B10" w:rsidRPr="00BD733F">
        <w:rPr>
          <w:lang w:val="en-US"/>
        </w:rPr>
        <w:t xml:space="preserve">rade took place across a series of </w:t>
      </w:r>
      <w:r w:rsidR="004A13E5" w:rsidRPr="00BD733F">
        <w:rPr>
          <w:lang w:val="en-US"/>
        </w:rPr>
        <w:t>three-minute</w:t>
      </w:r>
      <w:r w:rsidR="00AC3B10" w:rsidRPr="00BD733F">
        <w:rPr>
          <w:lang w:val="en-US"/>
        </w:rPr>
        <w:t xml:space="preserve"> periods</w:t>
      </w:r>
      <w:r w:rsidR="004A13E5" w:rsidRPr="00BD733F">
        <w:rPr>
          <w:lang w:val="en-US"/>
        </w:rPr>
        <w:t>.</w:t>
      </w:r>
      <w:r w:rsidR="00AC3B10" w:rsidRPr="00BD733F">
        <w:rPr>
          <w:lang w:val="en-US"/>
        </w:rPr>
        <w:t xml:space="preserve"> </w:t>
      </w:r>
      <w:r w:rsidR="00E67527" w:rsidRPr="00BD733F">
        <w:rPr>
          <w:lang w:val="en-US"/>
        </w:rPr>
        <w:t xml:space="preserve"> </w:t>
      </w:r>
      <w:r w:rsidR="005416C7" w:rsidRPr="00BD733F">
        <w:rPr>
          <w:lang w:val="en-US"/>
        </w:rPr>
        <w:t xml:space="preserve">The trader composition of the market, period length and number of periods were all made common knowledge to subjects.  </w:t>
      </w:r>
      <w:r w:rsidR="00E67527" w:rsidRPr="00BD733F">
        <w:rPr>
          <w:lang w:val="en-US"/>
        </w:rPr>
        <w:t xml:space="preserve">Each session lasted </w:t>
      </w:r>
      <w:r w:rsidR="005416C7" w:rsidRPr="00BD733F">
        <w:rPr>
          <w:lang w:val="en-US"/>
        </w:rPr>
        <w:t xml:space="preserve">approximately </w:t>
      </w:r>
      <w:r w:rsidR="00E67527" w:rsidRPr="00BD733F">
        <w:rPr>
          <w:lang w:val="en-US"/>
        </w:rPr>
        <w:t xml:space="preserve">100 minutes and subjects earned </w:t>
      </w:r>
      <w:r w:rsidR="005416C7" w:rsidRPr="00BD733F">
        <w:rPr>
          <w:lang w:val="en-US"/>
        </w:rPr>
        <w:t xml:space="preserve">on average </w:t>
      </w:r>
      <w:r w:rsidR="00336123">
        <w:rPr>
          <w:lang w:val="en-US"/>
        </w:rPr>
        <w:t>36</w:t>
      </w:r>
      <w:r w:rsidR="00AE385C">
        <w:rPr>
          <w:lang w:val="en-US"/>
        </w:rPr>
        <w:t xml:space="preserve"> NZD</w:t>
      </w:r>
      <w:r w:rsidR="00F056FA">
        <w:rPr>
          <w:lang w:val="en-US"/>
        </w:rPr>
        <w:t xml:space="preserve"> approximately</w:t>
      </w:r>
      <w:r w:rsidR="00E67527" w:rsidRPr="00BD733F">
        <w:rPr>
          <w:lang w:val="en-US"/>
        </w:rPr>
        <w:t xml:space="preserve">. </w:t>
      </w:r>
      <w:r w:rsidR="00FA3D58" w:rsidRPr="00BD733F">
        <w:rPr>
          <w:lang w:val="en-US"/>
        </w:rPr>
        <w:t>The experimenter read aloud the instructions for the market experiment, followed by a</w:t>
      </w:r>
      <w:r w:rsidR="00FC298D" w:rsidRPr="00BD733F">
        <w:rPr>
          <w:lang w:val="en-US"/>
        </w:rPr>
        <w:t xml:space="preserve"> quiz and</w:t>
      </w:r>
      <w:r w:rsidR="00FA3D58" w:rsidRPr="00BD733F">
        <w:rPr>
          <w:lang w:val="en-US"/>
        </w:rPr>
        <w:t xml:space="preserve"> private Q&amp;A. Once everyone successfully answered the comprehension questions in the quiz, a practice period was conducted. </w:t>
      </w:r>
      <w:r w:rsidR="000216F7" w:rsidRPr="00BD733F">
        <w:rPr>
          <w:lang w:val="en-US"/>
        </w:rPr>
        <w:t>P</w:t>
      </w:r>
      <w:r w:rsidR="00FA3D58" w:rsidRPr="00BD733F">
        <w:rPr>
          <w:lang w:val="en-US"/>
        </w:rPr>
        <w:t xml:space="preserve">rofits or losses made in this period did not count toward the final earnings, and both the cash balance and asset inventories were reinitialized before the start of the first trading period. </w:t>
      </w:r>
    </w:p>
    <w:p w14:paraId="5BEC9C67" w14:textId="77777777" w:rsidR="00952F72" w:rsidRPr="00BD733F" w:rsidRDefault="00952F72" w:rsidP="00FA3D58">
      <w:pPr>
        <w:jc w:val="both"/>
        <w:rPr>
          <w:lang w:val="en-US"/>
        </w:rPr>
      </w:pPr>
    </w:p>
    <w:p w14:paraId="203FD900" w14:textId="211D025D" w:rsidR="000A395D" w:rsidRPr="00BD733F" w:rsidRDefault="000A395D" w:rsidP="00E67527">
      <w:pPr>
        <w:spacing w:after="160"/>
        <w:rPr>
          <w:b/>
          <w:bCs/>
          <w:lang w:val="en-US"/>
        </w:rPr>
      </w:pPr>
      <w:r w:rsidRPr="00BD733F">
        <w:rPr>
          <w:b/>
          <w:bCs/>
          <w:lang w:val="en-US"/>
        </w:rPr>
        <w:lastRenderedPageBreak/>
        <w:t>3. Results</w:t>
      </w:r>
      <w:r w:rsidR="006E4724" w:rsidRPr="00BD733F">
        <w:rPr>
          <w:b/>
          <w:bCs/>
          <w:lang w:val="en-US"/>
        </w:rPr>
        <w:t xml:space="preserve"> </w:t>
      </w:r>
    </w:p>
    <w:p w14:paraId="6EC0AD4B" w14:textId="36FA007E" w:rsidR="00572272" w:rsidRPr="00BD733F" w:rsidRDefault="00572272" w:rsidP="00766B8C">
      <w:pPr>
        <w:jc w:val="both"/>
        <w:rPr>
          <w:bCs/>
          <w:iCs/>
          <w:lang w:val="en-US"/>
        </w:rPr>
      </w:pPr>
      <w:r w:rsidRPr="00BD733F">
        <w:rPr>
          <w:bCs/>
          <w:lang w:val="en-US"/>
        </w:rPr>
        <w:t xml:space="preserve">To quantify the magnitude of mispricing and facilitate comparisons, we employ </w:t>
      </w:r>
      <w:r w:rsidR="00932706" w:rsidRPr="00BD733F">
        <w:rPr>
          <w:bCs/>
          <w:lang w:val="en-US"/>
        </w:rPr>
        <w:t xml:space="preserve">three </w:t>
      </w:r>
      <w:r w:rsidRPr="00BD733F">
        <w:rPr>
          <w:bCs/>
          <w:lang w:val="en-US"/>
        </w:rPr>
        <w:t>commonly used bubble measures in the experimental finance literature, Relative Absolute Deviation (RAD), Relative Deviation (RD) and Turnover (Van Boening et al., 1993; Stöckl et al., 2010). RAD is defined as</w:t>
      </w:r>
      <w:r w:rsidR="00BD733F">
        <w:rPr>
          <w:bCs/>
          <w:lang w:val="en-US"/>
        </w:rPr>
        <w:t xml:space="preserve"> </w:t>
      </w:r>
      <w:r w:rsidR="005A0066" w:rsidRPr="00BD733F">
        <w:rPr>
          <w:bCs/>
          <w:lang w:val="en-US"/>
        </w:rPr>
        <w:t>RAD</w:t>
      </w:r>
      <w:r w:rsidR="00493A9A" w:rsidRPr="00BD733F">
        <w:rPr>
          <w:bCs/>
          <w:lang w:val="en-US"/>
        </w:rPr>
        <w:t xml:space="preserve"> </w:t>
      </w:r>
      <w:r w:rsidR="005A0066" w:rsidRPr="00BD733F">
        <w:rPr>
          <w:bCs/>
          <w:lang w:val="en-US"/>
        </w:rPr>
        <w:t>=</w:t>
      </w:r>
      <w:r w:rsidR="00A24831">
        <w:rPr>
          <w:bCs/>
          <w:lang w:val="en-US"/>
        </w:rPr>
        <w:t xml:space="preserve"> </w:t>
      </w:r>
      <w:r w:rsidR="005A0066" w:rsidRPr="00BD733F">
        <w:rPr>
          <w:bCs/>
          <w:lang w:val="en-US"/>
        </w:rPr>
        <w:t>{</w:t>
      </w:r>
      <m:oMath>
        <m:nary>
          <m:naryPr>
            <m:chr m:val="∑"/>
            <m:supHide m:val="1"/>
            <m:ctrlPr>
              <w:rPr>
                <w:rFonts w:ascii="Cambria Math" w:hAnsi="Cambria Math"/>
                <w:bCs/>
                <w:i/>
                <w:iCs/>
                <w:lang w:val="en-US"/>
              </w:rPr>
            </m:ctrlPr>
          </m:naryPr>
          <m:sub>
            <m:r>
              <w:rPr>
                <w:rFonts w:ascii="Cambria Math" w:hAnsi="Cambria Math"/>
                <w:lang w:val="en-US"/>
              </w:rPr>
              <m:t>t</m:t>
            </m:r>
          </m:sub>
          <m:sup/>
          <m:e>
            <m:r>
              <w:rPr>
                <w:rFonts w:ascii="Cambria Math" w:hAnsi="Cambria Math"/>
                <w:lang w:val="en-US"/>
              </w:rPr>
              <m:t>|</m:t>
            </m:r>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r>
              <w:rPr>
                <w:rFonts w:ascii="Cambria Math" w:hAnsi="Cambria Math"/>
                <w:lang w:val="en-US"/>
              </w:rPr>
              <m:t xml:space="preserve"> |</m:t>
            </m:r>
          </m:e>
        </m:nary>
        <m:r>
          <w:rPr>
            <w:rFonts w:ascii="Cambria Math" w:hAnsi="Cambria Math"/>
            <w:lang w:val="en-US"/>
          </w:rPr>
          <m:t>/(</m:t>
        </m:r>
        <m:nary>
          <m:naryPr>
            <m:chr m:val="∑"/>
            <m:supHide m:val="1"/>
            <m:ctrlPr>
              <w:rPr>
                <w:rFonts w:ascii="Cambria Math" w:hAnsi="Cambria Math"/>
                <w:bCs/>
                <w:i/>
                <w:iCs/>
                <w:lang w:val="en-US"/>
              </w:rPr>
            </m:ctrlPr>
          </m:naryPr>
          <m:sub>
            <m:r>
              <w:rPr>
                <w:rFonts w:ascii="Cambria Math" w:hAnsi="Cambria Math"/>
                <w:lang w:val="en-US"/>
              </w:rPr>
              <m:t>t</m:t>
            </m:r>
          </m:sub>
          <m:sup/>
          <m:e>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r>
              <w:rPr>
                <w:rFonts w:ascii="Cambria Math" w:hAnsi="Cambria Math"/>
                <w:lang w:val="en-US"/>
              </w:rPr>
              <m:t>)</m:t>
            </m:r>
          </m:e>
        </m:nary>
        <m:r>
          <w:rPr>
            <w:rFonts w:ascii="Cambria Math" w:hAnsi="Cambria Math"/>
            <w:lang w:val="en-US"/>
          </w:rPr>
          <m:t>/T) }/T </m:t>
        </m:r>
      </m:oMath>
      <w:r w:rsidRPr="00BD733F">
        <w:rPr>
          <w:bCs/>
          <w:iCs/>
          <w:lang w:val="en-US"/>
        </w:rPr>
        <w:t xml:space="preserve">, where </w:t>
      </w:r>
      <m:oMath>
        <m:r>
          <w:rPr>
            <w:rFonts w:ascii="Cambria Math" w:hAnsi="Cambria Math"/>
            <w:lang w:val="en-US"/>
          </w:rPr>
          <m:t>t</m:t>
        </m:r>
      </m:oMath>
      <w:r w:rsidRPr="00BD733F">
        <w:rPr>
          <w:bCs/>
          <w:iCs/>
          <w:lang w:val="en-US"/>
        </w:rPr>
        <w:t xml:space="preserve"> </w:t>
      </w:r>
      <w:r w:rsidR="00710FE5" w:rsidRPr="00BD733F">
        <w:rPr>
          <w:bCs/>
          <w:iCs/>
          <w:lang w:val="en-US"/>
        </w:rPr>
        <w:t xml:space="preserve">refers to a specific period </w:t>
      </w:r>
      <w:r w:rsidRPr="00BD733F">
        <w:rPr>
          <w:bCs/>
          <w:iCs/>
          <w:lang w:val="en-US"/>
        </w:rPr>
        <w:t xml:space="preserve">and </w:t>
      </w:r>
      <m:oMath>
        <m:r>
          <w:rPr>
            <w:rFonts w:ascii="Cambria Math" w:hAnsi="Cambria Math"/>
            <w:lang w:val="en-US"/>
          </w:rPr>
          <m:t>T</m:t>
        </m:r>
      </m:oMath>
      <w:r w:rsidRPr="00BD733F">
        <w:rPr>
          <w:bCs/>
          <w:iCs/>
          <w:lang w:val="en-US"/>
        </w:rPr>
        <w:t xml:space="preserve"> </w:t>
      </w:r>
      <w:r w:rsidR="00710FE5" w:rsidRPr="00BD733F">
        <w:rPr>
          <w:bCs/>
          <w:iCs/>
          <w:lang w:val="en-US"/>
        </w:rPr>
        <w:t xml:space="preserve">is </w:t>
      </w:r>
      <w:r w:rsidRPr="00BD733F">
        <w:rPr>
          <w:bCs/>
          <w:iCs/>
          <w:lang w:val="en-US"/>
        </w:rPr>
        <w:t xml:space="preserve">the total number of periods in a market session. </w:t>
      </w:r>
      <m:oMath>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e>
          <m:sub>
            <m:r>
              <w:rPr>
                <w:rFonts w:ascii="Cambria Math" w:hAnsi="Cambria Math"/>
                <w:lang w:val="en-US"/>
              </w:rPr>
              <m:t>t</m:t>
            </m:r>
          </m:sub>
        </m:sSub>
      </m:oMath>
      <w:r w:rsidRPr="00BD733F">
        <w:rPr>
          <w:bCs/>
          <w:iCs/>
          <w:lang w:val="en-US"/>
        </w:rPr>
        <w:t xml:space="preserve"> is the fundamental value in period </w:t>
      </w:r>
      <w:r w:rsidRPr="00BD733F">
        <w:rPr>
          <w:i/>
          <w:iCs/>
          <w:lang w:val="en-US"/>
        </w:rPr>
        <w:t>t</w:t>
      </w:r>
      <w:r w:rsidRPr="00BD733F">
        <w:rPr>
          <w:bCs/>
          <w:iCs/>
          <w:lang w:val="en-US"/>
        </w:rPr>
        <w:t xml:space="preserve"> and the term </w:t>
      </w:r>
      <m:oMath>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oMath>
      <w:r w:rsidRPr="00BD733F">
        <w:rPr>
          <w:bCs/>
          <w:iCs/>
          <w:lang w:val="en-US"/>
        </w:rPr>
        <w:t xml:space="preserve"> denotes the average price in period </w:t>
      </w:r>
      <m:oMath>
        <m:r>
          <w:rPr>
            <w:rFonts w:ascii="Cambria Math" w:hAnsi="Cambria Math"/>
            <w:lang w:val="en-US"/>
          </w:rPr>
          <m:t>t</m:t>
        </m:r>
      </m:oMath>
      <w:r w:rsidRPr="00BD733F">
        <w:rPr>
          <w:bCs/>
          <w:iCs/>
          <w:lang w:val="en-US"/>
        </w:rPr>
        <w:t xml:space="preserve">. </w:t>
      </w:r>
      <w:r w:rsidR="00766B8C" w:rsidRPr="00BD733F">
        <w:rPr>
          <w:bCs/>
          <w:iCs/>
          <w:lang w:val="en-US"/>
        </w:rPr>
        <w:t xml:space="preserve"> </w:t>
      </w:r>
      <w:r w:rsidRPr="00BD733F">
        <w:rPr>
          <w:bCs/>
          <w:iCs/>
          <w:lang w:val="en-US"/>
        </w:rPr>
        <w:t>RAD measures how closely prices track fundamental value. The measure RD is defined as</w:t>
      </w:r>
      <w:r w:rsidR="0048433E">
        <w:rPr>
          <w:bCs/>
          <w:iCs/>
          <w:lang w:val="en-US"/>
        </w:rPr>
        <w:t xml:space="preserve"> </w:t>
      </w:r>
      <m:oMath>
        <m:r>
          <w:rPr>
            <w:rFonts w:ascii="Cambria Math" w:hAnsi="Cambria Math"/>
            <w:lang w:val="en-US"/>
          </w:rPr>
          <m:t>RD</m:t>
        </m:r>
        <m:r>
          <m:rPr>
            <m:sty m:val="p"/>
          </m:rPr>
          <w:rPr>
            <w:rFonts w:ascii="Cambria Math" w:hAnsi="Cambria Math"/>
            <w:lang w:val="en-US"/>
          </w:rPr>
          <m:t>={</m:t>
        </m:r>
        <m:nary>
          <m:naryPr>
            <m:chr m:val="∑"/>
            <m:supHide m:val="1"/>
            <m:ctrlPr>
              <w:rPr>
                <w:rFonts w:ascii="Cambria Math" w:hAnsi="Cambria Math"/>
                <w:bCs/>
                <w:i/>
                <w:iCs/>
                <w:lang w:val="en-US"/>
              </w:rPr>
            </m:ctrlPr>
          </m:naryPr>
          <m:sub>
            <m:r>
              <w:rPr>
                <w:rFonts w:ascii="Cambria Math" w:hAnsi="Cambria Math"/>
                <w:lang w:val="en-US"/>
              </w:rPr>
              <m:t>t</m:t>
            </m:r>
          </m:sub>
          <m:sup/>
          <m:e>
            <m:r>
              <w:rPr>
                <w:rFonts w:ascii="Cambria Math" w:hAnsi="Cambria Math"/>
                <w:lang w:val="en-US"/>
              </w:rPr>
              <m:t>(</m:t>
            </m:r>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r>
              <w:rPr>
                <w:rFonts w:ascii="Cambria Math" w:hAnsi="Cambria Math"/>
                <w:lang w:val="en-US"/>
              </w:rPr>
              <m:t>)</m:t>
            </m:r>
          </m:e>
        </m:nary>
        <m:r>
          <w:rPr>
            <w:rFonts w:ascii="Cambria Math" w:hAnsi="Cambria Math"/>
            <w:lang w:val="en-US"/>
          </w:rPr>
          <m:t>/(</m:t>
        </m:r>
        <m:nary>
          <m:naryPr>
            <m:chr m:val="∑"/>
            <m:supHide m:val="1"/>
            <m:ctrlPr>
              <w:rPr>
                <w:rFonts w:ascii="Cambria Math" w:hAnsi="Cambria Math"/>
                <w:bCs/>
                <w:i/>
                <w:iCs/>
                <w:lang w:val="en-US"/>
              </w:rPr>
            </m:ctrlPr>
          </m:naryPr>
          <m:sub>
            <m:r>
              <w:rPr>
                <w:rFonts w:ascii="Cambria Math" w:hAnsi="Cambria Math"/>
                <w:lang w:val="en-US"/>
              </w:rPr>
              <m:t>t</m:t>
            </m:r>
          </m:sub>
          <m:sup/>
          <m:e>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r>
              <w:rPr>
                <w:rFonts w:ascii="Cambria Math" w:hAnsi="Cambria Math"/>
                <w:lang w:val="en-US"/>
              </w:rPr>
              <m:t>)</m:t>
            </m:r>
          </m:e>
        </m:nary>
        <m:r>
          <w:rPr>
            <w:rFonts w:ascii="Cambria Math" w:hAnsi="Cambria Math"/>
            <w:lang w:val="en-US"/>
          </w:rPr>
          <m:t>/T) }/T</m:t>
        </m:r>
      </m:oMath>
      <w:r w:rsidRPr="00BD733F">
        <w:rPr>
          <w:bCs/>
          <w:iCs/>
          <w:lang w:val="en-US"/>
        </w:rPr>
        <w:t xml:space="preserve">, which indicates whether prices are on average above (RD &gt; 0) or below (RD &lt; 0) fundamental value. </w:t>
      </w:r>
      <w:r w:rsidR="00252465">
        <w:rPr>
          <w:bCs/>
          <w:iCs/>
          <w:lang w:val="en-US"/>
        </w:rPr>
        <w:t xml:space="preserve">We also report </w:t>
      </w:r>
      <w:r w:rsidR="00252465">
        <w:rPr>
          <w:lang w:val="en-US"/>
        </w:rPr>
        <w:t>Geometric Absolute Deviation (GAD) and Geometric Deviation (GD) introduced by Powell (2016</w:t>
      </w:r>
      <w:r w:rsidR="0048433E">
        <w:rPr>
          <w:lang w:val="en-US"/>
        </w:rPr>
        <w:t>).</w:t>
      </w:r>
      <w:r w:rsidR="008334EF" w:rsidRPr="00336123">
        <w:rPr>
          <w:lang w:val="en-US"/>
        </w:rPr>
        <w:t xml:space="preserve"> </w:t>
      </w:r>
      <w:r w:rsidR="008334EF">
        <w:rPr>
          <w:lang w:val="en-US"/>
        </w:rPr>
        <w:t xml:space="preserve">The interpretation of GAD and GD is the same as RAD and </w:t>
      </w:r>
      <w:proofErr w:type="gramStart"/>
      <w:r w:rsidR="008334EF">
        <w:rPr>
          <w:lang w:val="en-US"/>
        </w:rPr>
        <w:t>RD</w:t>
      </w:r>
      <w:proofErr w:type="gramEnd"/>
      <w:r w:rsidR="008334EF">
        <w:rPr>
          <w:lang w:val="en-US"/>
        </w:rPr>
        <w:t xml:space="preserve"> </w:t>
      </w:r>
      <w:r w:rsidR="00B10720">
        <w:rPr>
          <w:lang w:val="en-US"/>
        </w:rPr>
        <w:t>but these measures</w:t>
      </w:r>
      <w:r w:rsidR="008334EF">
        <w:rPr>
          <w:lang w:val="en-US"/>
        </w:rPr>
        <w:t xml:space="preserve"> satisfy </w:t>
      </w:r>
      <w:r w:rsidR="008334EF" w:rsidRPr="008334EF">
        <w:rPr>
          <w:lang w:val="en-US"/>
        </w:rPr>
        <w:t>numeraire independence</w:t>
      </w:r>
      <w:r w:rsidR="008334EF">
        <w:rPr>
          <w:lang w:val="en-US"/>
        </w:rPr>
        <w:t>.</w:t>
      </w:r>
      <w:r w:rsidR="00252465">
        <w:rPr>
          <w:bCs/>
          <w:iCs/>
          <w:lang w:val="en-US"/>
        </w:rPr>
        <w:t xml:space="preserve"> GAD is defined as</w:t>
      </w:r>
      <w:r w:rsidR="0048433E">
        <w:rPr>
          <w:bCs/>
          <w:iCs/>
          <w:lang w:val="en-US"/>
        </w:rPr>
        <w:t xml:space="preserve"> </w:t>
      </w:r>
      <m:oMath>
        <m:r>
          <w:rPr>
            <w:rFonts w:ascii="Cambria Math" w:hAnsi="Cambria Math"/>
            <w:lang w:val="en-US"/>
          </w:rPr>
          <m:t>GAD=</m:t>
        </m:r>
        <m:func>
          <m:funcPr>
            <m:ctrlPr>
              <w:rPr>
                <w:rFonts w:ascii="Cambria Math" w:hAnsi="Cambria Math"/>
                <w:bCs/>
                <w:iCs/>
                <w:lang w:val="en-US"/>
              </w:rPr>
            </m:ctrlPr>
          </m:funcPr>
          <m:fName>
            <m:r>
              <m:rPr>
                <m:sty m:val="p"/>
              </m:rPr>
              <w:rPr>
                <w:rFonts w:ascii="Cambria Math" w:hAnsi="Cambria Math"/>
                <w:lang w:val="en-US"/>
              </w:rPr>
              <m:t>exp</m:t>
            </m:r>
          </m:fName>
          <m:e>
            <m:d>
              <m:dPr>
                <m:begChr m:val="{"/>
                <m:endChr m:val="}"/>
                <m:ctrlPr>
                  <w:rPr>
                    <w:rFonts w:ascii="Cambria Math" w:hAnsi="Cambria Math"/>
                    <w:bCs/>
                    <w:i/>
                    <w:iCs/>
                    <w:lang w:val="en-US"/>
                  </w:rPr>
                </m:ctrlPr>
              </m:dPr>
              <m:e>
                <m:f>
                  <m:fPr>
                    <m:ctrlPr>
                      <w:rPr>
                        <w:rFonts w:ascii="Cambria Math" w:hAnsi="Cambria Math"/>
                        <w:bCs/>
                        <w:i/>
                        <w:iCs/>
                        <w:lang w:val="en-US"/>
                      </w:rPr>
                    </m:ctrlPr>
                  </m:fPr>
                  <m:num>
                    <m:r>
                      <w:rPr>
                        <w:rFonts w:ascii="Cambria Math" w:hAnsi="Cambria Math"/>
                        <w:lang w:val="en-US"/>
                      </w:rPr>
                      <m:t>1</m:t>
                    </m:r>
                  </m:num>
                  <m:den>
                    <m:r>
                      <w:rPr>
                        <w:rFonts w:ascii="Cambria Math" w:hAnsi="Cambria Math"/>
                        <w:lang w:val="en-US"/>
                      </w:rPr>
                      <m:t>T</m:t>
                    </m:r>
                  </m:den>
                </m:f>
                <m:nary>
                  <m:naryPr>
                    <m:chr m:val="∑"/>
                    <m:supHide m:val="1"/>
                    <m:ctrlPr>
                      <w:rPr>
                        <w:rFonts w:ascii="Cambria Math" w:hAnsi="Cambria Math"/>
                        <w:bCs/>
                        <w:i/>
                        <w:iCs/>
                        <w:lang w:val="en-US"/>
                      </w:rPr>
                    </m:ctrlPr>
                  </m:naryPr>
                  <m:sub>
                    <m:r>
                      <w:rPr>
                        <w:rFonts w:ascii="Cambria Math" w:hAnsi="Cambria Math"/>
                        <w:lang w:val="en-US"/>
                      </w:rPr>
                      <m:t>t</m:t>
                    </m:r>
                  </m:sub>
                  <m:sup/>
                  <m:e>
                    <m:d>
                      <m:dPr>
                        <m:begChr m:val="|"/>
                        <m:endChr m:val="|"/>
                        <m:ctrlPr>
                          <w:rPr>
                            <w:rFonts w:ascii="Cambria Math" w:hAnsi="Cambria Math"/>
                            <w:bCs/>
                            <w:i/>
                            <w:iCs/>
                            <w:lang w:val="en-US"/>
                          </w:rPr>
                        </m:ctrlPr>
                      </m:dPr>
                      <m:e>
                        <m:func>
                          <m:funcPr>
                            <m:ctrlPr>
                              <w:rPr>
                                <w:rFonts w:ascii="Cambria Math" w:hAnsi="Cambria Math"/>
                                <w:bCs/>
                                <w:iCs/>
                                <w:lang w:val="en-US"/>
                              </w:rPr>
                            </m:ctrlPr>
                          </m:funcPr>
                          <m:fName>
                            <m:r>
                              <m:rPr>
                                <m:sty m:val="p"/>
                              </m:rPr>
                              <w:rPr>
                                <w:rFonts w:ascii="Cambria Math" w:hAnsi="Cambria Math"/>
                                <w:lang w:val="en-US"/>
                              </w:rPr>
                              <m:t>ln</m:t>
                            </m:r>
                            <m:ctrlPr>
                              <w:rPr>
                                <w:rFonts w:ascii="Cambria Math" w:hAnsi="Cambria Math"/>
                                <w:bCs/>
                                <w:i/>
                                <w:iCs/>
                                <w:lang w:val="en-US"/>
                              </w:rPr>
                            </m:ctrlPr>
                          </m:fName>
                          <m:e>
                            <m:d>
                              <m:dPr>
                                <m:ctrlPr>
                                  <w:rPr>
                                    <w:rFonts w:ascii="Cambria Math" w:hAnsi="Cambria Math"/>
                                    <w:bCs/>
                                    <w:i/>
                                    <w:iCs/>
                                    <w:lang w:val="en-US"/>
                                  </w:rPr>
                                </m:ctrlPr>
                              </m:dPr>
                              <m:e>
                                <m:f>
                                  <m:fPr>
                                    <m:ctrlPr>
                                      <w:rPr>
                                        <w:rFonts w:ascii="Cambria Math" w:hAnsi="Cambria Math"/>
                                        <w:bCs/>
                                        <w:i/>
                                        <w:iCs/>
                                        <w:lang w:val="en-US"/>
                                      </w:rPr>
                                    </m:ctrlPr>
                                  </m:fPr>
                                  <m:num>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num>
                                  <m:den>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e>
                                      <m:sub>
                                        <m:r>
                                          <w:rPr>
                                            <w:rFonts w:ascii="Cambria Math" w:hAnsi="Cambria Math"/>
                                            <w:lang w:val="en-US"/>
                                          </w:rPr>
                                          <m:t>t</m:t>
                                        </m:r>
                                      </m:sub>
                                    </m:sSub>
                                  </m:den>
                                </m:f>
                              </m:e>
                            </m:d>
                          </m:e>
                        </m:func>
                      </m:e>
                    </m:d>
                  </m:e>
                </m:nary>
              </m:e>
            </m:d>
          </m:e>
        </m:func>
        <m:r>
          <w:rPr>
            <w:rFonts w:ascii="Cambria Math" w:hAnsi="Cambria Math"/>
            <w:lang w:val="en-US"/>
          </w:rPr>
          <m:t>-1.</m:t>
        </m:r>
      </m:oMath>
      <w:r w:rsidR="0048433E">
        <w:rPr>
          <w:bCs/>
          <w:iCs/>
          <w:lang w:val="en-US"/>
        </w:rPr>
        <w:t xml:space="preserve"> GD is calculated as</w:t>
      </w:r>
      <w:r w:rsidR="00252465">
        <w:rPr>
          <w:bCs/>
          <w:iCs/>
          <w:lang w:val="en-US"/>
        </w:rPr>
        <w:t xml:space="preserve"> </w:t>
      </w:r>
      <m:oMath>
        <m:r>
          <w:rPr>
            <w:rFonts w:ascii="Cambria Math" w:hAnsi="Cambria Math"/>
            <w:lang w:val="en-US"/>
          </w:rPr>
          <m:t>GD=</m:t>
        </m:r>
        <m:sSub>
          <m:sSubPr>
            <m:ctrlPr>
              <w:rPr>
                <w:rFonts w:ascii="Cambria Math" w:hAnsi="Cambria Math"/>
                <w:bCs/>
                <w:i/>
                <w:iCs/>
                <w:lang w:val="en-US"/>
              </w:rPr>
            </m:ctrlPr>
          </m:sSubPr>
          <m:e>
            <m:r>
              <m:rPr>
                <m:sty m:val="p"/>
              </m:rPr>
              <w:rPr>
                <w:rFonts w:ascii="Cambria Math" w:hAnsi="Cambria Math"/>
                <w:lang w:val="en-US"/>
              </w:rPr>
              <m:t>Π</m:t>
            </m:r>
            <m:ctrlPr>
              <w:rPr>
                <w:rFonts w:ascii="Cambria Math" w:hAnsi="Cambria Math"/>
                <w:bCs/>
                <w:iCs/>
                <w:lang w:val="en-US"/>
              </w:rPr>
            </m:ctrlPr>
          </m:e>
          <m:sub>
            <m:r>
              <w:rPr>
                <w:rFonts w:ascii="Cambria Math" w:hAnsi="Cambria Math"/>
                <w:lang w:val="en-US"/>
              </w:rPr>
              <m:t>t</m:t>
            </m:r>
          </m:sub>
        </m:sSub>
        <m:sSup>
          <m:sSupPr>
            <m:ctrlPr>
              <w:rPr>
                <w:rFonts w:ascii="Cambria Math" w:hAnsi="Cambria Math"/>
                <w:bCs/>
                <w:i/>
                <w:iCs/>
                <w:lang w:val="en-US"/>
              </w:rPr>
            </m:ctrlPr>
          </m:sSupPr>
          <m:e>
            <m:d>
              <m:dPr>
                <m:ctrlPr>
                  <w:rPr>
                    <w:rFonts w:ascii="Cambria Math" w:hAnsi="Cambria Math"/>
                    <w:bCs/>
                    <w:i/>
                    <w:iCs/>
                    <w:lang w:val="en-US"/>
                  </w:rPr>
                </m:ctrlPr>
              </m:dPr>
              <m:e>
                <m:f>
                  <m:fPr>
                    <m:ctrlPr>
                      <w:rPr>
                        <w:rFonts w:ascii="Cambria Math" w:hAnsi="Cambria Math"/>
                        <w:bCs/>
                        <w:i/>
                        <w:iCs/>
                        <w:lang w:val="en-US"/>
                      </w:rPr>
                    </m:ctrlPr>
                  </m:fPr>
                  <m:num>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num>
                  <m:den>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e>
                      <m:sub>
                        <m:r>
                          <w:rPr>
                            <w:rFonts w:ascii="Cambria Math" w:hAnsi="Cambria Math"/>
                            <w:lang w:val="en-US"/>
                          </w:rPr>
                          <m:t>t</m:t>
                        </m:r>
                      </m:sub>
                    </m:sSub>
                  </m:den>
                </m:f>
              </m:e>
            </m:d>
          </m:e>
          <m:sup>
            <m:r>
              <w:rPr>
                <w:rFonts w:ascii="Cambria Math" w:hAnsi="Cambria Math"/>
                <w:lang w:val="en-US"/>
              </w:rPr>
              <m:t>1/T</m:t>
            </m:r>
          </m:sup>
        </m:sSup>
        <m:r>
          <w:rPr>
            <w:rFonts w:ascii="Cambria Math" w:hAnsi="Cambria Math"/>
            <w:lang w:val="en-US"/>
          </w:rPr>
          <m:t xml:space="preserve">-1. </m:t>
        </m:r>
      </m:oMath>
      <w:r w:rsidRPr="00BD733F">
        <w:rPr>
          <w:bCs/>
          <w:iCs/>
          <w:lang w:val="en-US"/>
        </w:rPr>
        <w:t xml:space="preserve">Turnover is the total number of transactions in a market session, normalized by the total units of asset available in the market. It is defined as </w:t>
      </w:r>
      <m:oMath>
        <m:r>
          <w:rPr>
            <w:rFonts w:ascii="Cambria Math" w:hAnsi="Cambria Math"/>
            <w:lang w:val="en-US"/>
          </w:rPr>
          <m:t>(</m:t>
        </m:r>
        <m:nary>
          <m:naryPr>
            <m:chr m:val="∑"/>
            <m:supHide m:val="1"/>
            <m:ctrlPr>
              <w:rPr>
                <w:rFonts w:ascii="Cambria Math" w:hAnsi="Cambria Math"/>
                <w:bCs/>
                <w:i/>
                <w:iCs/>
                <w:lang w:val="en-US"/>
              </w:rPr>
            </m:ctrlPr>
          </m:naryPr>
          <m:sub>
            <m:r>
              <w:rPr>
                <w:rFonts w:ascii="Cambria Math" w:hAnsi="Cambria Math"/>
                <w:lang w:val="en-US"/>
              </w:rPr>
              <m:t>t</m:t>
            </m:r>
          </m:sub>
          <m:sup/>
          <m:e>
            <m:sSub>
              <m:sSubPr>
                <m:ctrlPr>
                  <w:rPr>
                    <w:rFonts w:ascii="Cambria Math" w:hAnsi="Cambria Math"/>
                    <w:bCs/>
                    <w:i/>
                    <w:iCs/>
                    <w:lang w:val="en-US"/>
                  </w:rPr>
                </m:ctrlPr>
              </m:sSubPr>
              <m:e>
                <m:r>
                  <w:rPr>
                    <w:rFonts w:ascii="Cambria Math" w:hAnsi="Cambria Math"/>
                    <w:lang w:val="en-US"/>
                  </w:rPr>
                  <m:t>q</m:t>
                </m:r>
              </m:e>
              <m:sub>
                <m:r>
                  <w:rPr>
                    <w:rFonts w:ascii="Cambria Math" w:hAnsi="Cambria Math"/>
                    <w:lang w:val="en-US"/>
                  </w:rPr>
                  <m:t>t</m:t>
                </m:r>
              </m:sub>
            </m:sSub>
          </m:e>
        </m:nary>
        <m:r>
          <w:rPr>
            <w:rFonts w:ascii="Cambria Math" w:hAnsi="Cambria Math"/>
            <w:lang w:val="en-US"/>
          </w:rPr>
          <m:t>)/TSU</m:t>
        </m:r>
      </m:oMath>
      <w:r w:rsidRPr="00BD733F">
        <w:rPr>
          <w:bCs/>
          <w:iCs/>
          <w:lang w:val="en-US"/>
        </w:rPr>
        <w:t xml:space="preserve">, where </w:t>
      </w:r>
      <m:oMath>
        <m:sSub>
          <m:sSubPr>
            <m:ctrlPr>
              <w:rPr>
                <w:rFonts w:ascii="Cambria Math" w:hAnsi="Cambria Math"/>
                <w:bCs/>
                <w:i/>
                <w:iCs/>
                <w:lang w:val="en-US"/>
              </w:rPr>
            </m:ctrlPr>
          </m:sSubPr>
          <m:e>
            <m:r>
              <w:rPr>
                <w:rFonts w:ascii="Cambria Math" w:hAnsi="Cambria Math"/>
                <w:lang w:val="en-US"/>
              </w:rPr>
              <m:t>q</m:t>
            </m:r>
          </m:e>
          <m:sub>
            <m:r>
              <w:rPr>
                <w:rFonts w:ascii="Cambria Math" w:hAnsi="Cambria Math"/>
                <w:lang w:val="en-US"/>
              </w:rPr>
              <m:t>t</m:t>
            </m:r>
          </m:sub>
        </m:sSub>
      </m:oMath>
      <w:r w:rsidRPr="00BD733F">
        <w:rPr>
          <w:bCs/>
          <w:iCs/>
          <w:lang w:val="en-US"/>
        </w:rPr>
        <w:t xml:space="preserve"> is the quantity of units of the asset exchanged in period </w:t>
      </w:r>
      <w:r w:rsidRPr="00BD733F">
        <w:rPr>
          <w:bCs/>
          <w:i/>
          <w:lang w:val="en-US"/>
        </w:rPr>
        <w:t xml:space="preserve">t </w:t>
      </w:r>
      <w:r w:rsidRPr="00BD733F">
        <w:rPr>
          <w:bCs/>
          <w:iCs/>
          <w:lang w:val="en-US"/>
        </w:rPr>
        <w:t xml:space="preserve">and </w:t>
      </w:r>
      <w:r w:rsidRPr="00BD733F">
        <w:rPr>
          <w:bCs/>
          <w:i/>
          <w:lang w:val="en-US"/>
        </w:rPr>
        <w:t>TSU</w:t>
      </w:r>
      <w:r w:rsidRPr="00BD733F">
        <w:rPr>
          <w:bCs/>
          <w:iCs/>
          <w:lang w:val="en-US"/>
        </w:rPr>
        <w:t xml:space="preserve"> </w:t>
      </w:r>
      <w:r w:rsidR="00710FE5" w:rsidRPr="00BD733F">
        <w:rPr>
          <w:bCs/>
          <w:iCs/>
          <w:lang w:val="en-US"/>
        </w:rPr>
        <w:t xml:space="preserve">denotes </w:t>
      </w:r>
      <w:r w:rsidRPr="00BD733F">
        <w:rPr>
          <w:bCs/>
          <w:iCs/>
          <w:lang w:val="en-US"/>
        </w:rPr>
        <w:t xml:space="preserve">the total stock of units. In words, it is the total number of transactions over the life of the asset, normalized by the total stock of units in the market. A high Turnover indicates a high volume of trade, which is typically associated with mispricing in experimental markets of the type studied here.  </w:t>
      </w:r>
    </w:p>
    <w:p w14:paraId="17AE6B29" w14:textId="3AB83682" w:rsidR="00480CCB" w:rsidRDefault="00E0479B" w:rsidP="00480CCB">
      <w:pPr>
        <w:jc w:val="both"/>
        <w:rPr>
          <w:lang w:val="en-US"/>
        </w:rPr>
      </w:pPr>
      <w:r>
        <w:rPr>
          <w:lang w:val="en-US"/>
        </w:rPr>
        <w:tab/>
      </w:r>
      <w:r w:rsidR="00480CCB" w:rsidRPr="00480CCB">
        <w:rPr>
          <w:lang w:val="en-US"/>
        </w:rPr>
        <w:t xml:space="preserve">Figure </w:t>
      </w:r>
      <w:r>
        <w:rPr>
          <w:lang w:val="en-US"/>
        </w:rPr>
        <w:t>1</w:t>
      </w:r>
      <w:r w:rsidR="00480CCB" w:rsidRPr="00480CCB">
        <w:rPr>
          <w:lang w:val="en-US"/>
        </w:rPr>
        <w:t xml:space="preserve"> depicts the time series of average prices for</w:t>
      </w:r>
      <w:r>
        <w:rPr>
          <w:lang w:val="en-US"/>
        </w:rPr>
        <w:t xml:space="preserve"> </w:t>
      </w:r>
      <w:r w:rsidR="0025677E">
        <w:rPr>
          <w:lang w:val="en-US"/>
        </w:rPr>
        <w:t>all</w:t>
      </w:r>
      <w:r w:rsidR="00480CCB" w:rsidRPr="00480CCB">
        <w:rPr>
          <w:lang w:val="en-US"/>
        </w:rPr>
        <w:t xml:space="preserve"> treatments.</w:t>
      </w:r>
      <w:r w:rsidR="00016B7F">
        <w:rPr>
          <w:rStyle w:val="FootnoteReference"/>
          <w:bCs/>
          <w:lang w:val="en-US"/>
        </w:rPr>
        <w:footnoteReference w:id="7"/>
      </w:r>
      <w:r w:rsidR="00480CCB" w:rsidRPr="00480CCB">
        <w:rPr>
          <w:lang w:val="en-US"/>
        </w:rPr>
        <w:t xml:space="preserve"> </w:t>
      </w:r>
      <w:r>
        <w:rPr>
          <w:lang w:val="en-US"/>
        </w:rPr>
        <w:t>W</w:t>
      </w:r>
      <w:r w:rsidR="00480CCB" w:rsidRPr="00480CCB">
        <w:rPr>
          <w:lang w:val="en-US"/>
        </w:rPr>
        <w:t>e add</w:t>
      </w:r>
      <w:r>
        <w:rPr>
          <w:lang w:val="en-US"/>
        </w:rPr>
        <w:t>ed</w:t>
      </w:r>
      <w:r w:rsidR="00480CCB" w:rsidRPr="00480CCB">
        <w:rPr>
          <w:lang w:val="en-US"/>
        </w:rPr>
        <w:t xml:space="preserve"> two reference lines for the </w:t>
      </w:r>
      <w:r w:rsidR="00F55534">
        <w:rPr>
          <w:bCs/>
        </w:rPr>
        <w:t>maximum</w:t>
      </w:r>
      <w:r w:rsidR="00F55534" w:rsidRPr="00480CCB">
        <w:rPr>
          <w:bCs/>
          <w:lang w:val="en-US"/>
        </w:rPr>
        <w:t xml:space="preserve"> </w:t>
      </w:r>
      <w:r w:rsidR="00480CCB" w:rsidRPr="00480CCB">
        <w:rPr>
          <w:bCs/>
          <w:lang w:val="en-US"/>
        </w:rPr>
        <w:t xml:space="preserve">justifiable value of the asset (long dashed line) and the fundamental value (dash-dotted line). Prices in </w:t>
      </w:r>
      <w:r w:rsidR="00FF5388">
        <w:rPr>
          <w:bCs/>
          <w:lang w:val="en-US"/>
        </w:rPr>
        <w:t>Baseline</w:t>
      </w:r>
      <w:r w:rsidR="00480CCB" w:rsidRPr="00480CCB">
        <w:rPr>
          <w:bCs/>
          <w:lang w:val="en-US"/>
        </w:rPr>
        <w:t xml:space="preserve"> are consistently above fundamental values throughout the entire lifespan of the asset, and in the last third of the market above the maximally justifiable prices, which is a typical price path frequently observed in the literature (see Palan, 2013). Importantly, </w:t>
      </w:r>
      <w:r w:rsidR="00480CCB" w:rsidRPr="00480CCB">
        <w:rPr>
          <w:lang w:val="en-US"/>
        </w:rPr>
        <w:t>p</w:t>
      </w:r>
      <w:r w:rsidR="00480CCB" w:rsidRPr="00480CCB">
        <w:rPr>
          <w:bCs/>
          <w:lang w:val="en-US"/>
        </w:rPr>
        <w:t>rices in both</w:t>
      </w:r>
      <w:r w:rsidR="00480CCB" w:rsidRPr="00480CCB">
        <w:rPr>
          <w:lang w:val="en-US"/>
        </w:rPr>
        <w:t xml:space="preserve"> </w:t>
      </w:r>
      <w:proofErr w:type="spellStart"/>
      <w:r w:rsidR="00FF5388">
        <w:rPr>
          <w:lang w:val="en-US"/>
        </w:rPr>
        <w:t>NoSpec</w:t>
      </w:r>
      <w:proofErr w:type="spellEnd"/>
      <w:r w:rsidR="00480CCB" w:rsidRPr="00480CCB">
        <w:rPr>
          <w:lang w:val="en-US"/>
        </w:rPr>
        <w:t xml:space="preserve"> and </w:t>
      </w:r>
      <w:proofErr w:type="spellStart"/>
      <w:r w:rsidR="00FF5388">
        <w:rPr>
          <w:lang w:val="en-US"/>
        </w:rPr>
        <w:lastRenderedPageBreak/>
        <w:t>TMkt</w:t>
      </w:r>
      <w:proofErr w:type="spellEnd"/>
      <w:r w:rsidR="00FF5388">
        <w:rPr>
          <w:lang w:val="en-US"/>
        </w:rPr>
        <w:t>/NS</w:t>
      </w:r>
      <w:r w:rsidR="00480CCB" w:rsidRPr="00480CCB">
        <w:rPr>
          <w:bCs/>
          <w:lang w:val="en-US"/>
        </w:rPr>
        <w:t xml:space="preserve"> lie consistently above prices found in the </w:t>
      </w:r>
      <w:r w:rsidR="0025677E">
        <w:rPr>
          <w:bCs/>
          <w:lang w:val="en-US"/>
        </w:rPr>
        <w:t>B</w:t>
      </w:r>
      <w:r w:rsidR="00480CCB" w:rsidRPr="00480CCB">
        <w:rPr>
          <w:bCs/>
          <w:lang w:val="en-US"/>
        </w:rPr>
        <w:t xml:space="preserve">aseline except in the </w:t>
      </w:r>
      <w:r w:rsidR="00B24B48">
        <w:rPr>
          <w:bCs/>
          <w:lang w:val="en-US"/>
        </w:rPr>
        <w:t>second</w:t>
      </w:r>
      <w:r w:rsidR="00E3569B">
        <w:rPr>
          <w:bCs/>
          <w:lang w:val="en-US"/>
        </w:rPr>
        <w:t xml:space="preserve"> to</w:t>
      </w:r>
      <w:r w:rsidR="00B24B48">
        <w:rPr>
          <w:bCs/>
          <w:lang w:val="en-US"/>
        </w:rPr>
        <w:t xml:space="preserve"> </w:t>
      </w:r>
      <w:r w:rsidR="00480CCB" w:rsidRPr="00480CCB">
        <w:rPr>
          <w:bCs/>
          <w:lang w:val="en-US"/>
        </w:rPr>
        <w:t>last period</w:t>
      </w:r>
      <w:r w:rsidR="005A004F">
        <w:rPr>
          <w:bCs/>
          <w:lang w:val="en-US"/>
        </w:rPr>
        <w:t xml:space="preserve"> and </w:t>
      </w:r>
      <w:r w:rsidR="00310FDE">
        <w:rPr>
          <w:bCs/>
          <w:lang w:val="en-US"/>
        </w:rPr>
        <w:t>these</w:t>
      </w:r>
      <w:r w:rsidR="005A004F">
        <w:rPr>
          <w:bCs/>
          <w:lang w:val="en-US"/>
        </w:rPr>
        <w:t xml:space="preserve"> prices are for the most part greater than the maximum justifiable prices</w:t>
      </w:r>
      <w:r w:rsidR="00480CCB" w:rsidRPr="00480CCB">
        <w:rPr>
          <w:bCs/>
          <w:lang w:val="en-US"/>
        </w:rPr>
        <w:t>.</w:t>
      </w:r>
      <w:r w:rsidR="005A004F">
        <w:rPr>
          <w:bCs/>
          <w:lang w:val="en-US"/>
        </w:rPr>
        <w:t xml:space="preserve"> </w:t>
      </w:r>
      <w:r w:rsidR="00480CCB" w:rsidRPr="00480CCB">
        <w:rPr>
          <w:bCs/>
          <w:lang w:val="en-US"/>
        </w:rPr>
        <w:t xml:space="preserve">This is despite </w:t>
      </w:r>
      <w:r w:rsidR="00FF5388">
        <w:rPr>
          <w:bCs/>
          <w:lang w:val="en-US"/>
        </w:rPr>
        <w:t>Baseline</w:t>
      </w:r>
      <w:r w:rsidR="00016B7F">
        <w:rPr>
          <w:bCs/>
          <w:lang w:val="en-US"/>
        </w:rPr>
        <w:t xml:space="preserve"> design features</w:t>
      </w:r>
      <w:r w:rsidR="00480CCB" w:rsidRPr="00480CCB">
        <w:rPr>
          <w:bCs/>
          <w:lang w:val="en-US"/>
        </w:rPr>
        <w:t xml:space="preserve"> already being highly bubble prone. </w:t>
      </w:r>
      <w:r w:rsidR="0025677E">
        <w:rPr>
          <w:bCs/>
          <w:lang w:val="en-US"/>
        </w:rPr>
        <w:t>Lastly, t</w:t>
      </w:r>
      <w:r w:rsidR="0025677E" w:rsidRPr="00480CCB">
        <w:rPr>
          <w:lang w:val="en-US"/>
        </w:rPr>
        <w:t xml:space="preserve">he time series of the TAX treatment tracks the fundamental value closely throughout the entire life of the asset.  Importantly, there is no incidence where the treatment average prices rise above the </w:t>
      </w:r>
      <w:r w:rsidR="0025677E" w:rsidRPr="00393652">
        <w:rPr>
          <w:i/>
          <w:iCs/>
          <w:lang w:val="en-US"/>
        </w:rPr>
        <w:t>maximum</w:t>
      </w:r>
      <w:r w:rsidR="0025677E" w:rsidRPr="00480CCB">
        <w:rPr>
          <w:lang w:val="en-US"/>
        </w:rPr>
        <w:t xml:space="preserve"> justifiable prices.  </w:t>
      </w:r>
    </w:p>
    <w:p w14:paraId="5D338A3C" w14:textId="77777777" w:rsidR="009F71A2" w:rsidRDefault="009F71A2" w:rsidP="00480CCB">
      <w:pPr>
        <w:jc w:val="both"/>
        <w:rPr>
          <w:lang w:val="en-US"/>
        </w:rPr>
      </w:pPr>
    </w:p>
    <w:p w14:paraId="2551910C" w14:textId="77777777" w:rsidR="009F71A2" w:rsidRPr="009F71A2" w:rsidRDefault="009F71A2" w:rsidP="009F71A2">
      <w:pPr>
        <w:jc w:val="center"/>
        <w:rPr>
          <w:sz w:val="22"/>
          <w:szCs w:val="22"/>
          <w:lang w:val="en-US"/>
        </w:rPr>
      </w:pPr>
      <w:r w:rsidRPr="009F71A2">
        <w:rPr>
          <w:b/>
          <w:sz w:val="22"/>
          <w:szCs w:val="22"/>
          <w:lang w:val="en-US"/>
        </w:rPr>
        <w:t>Figure 1</w:t>
      </w:r>
      <w:r w:rsidRPr="009F71A2">
        <w:rPr>
          <w:sz w:val="22"/>
          <w:szCs w:val="22"/>
          <w:lang w:val="en-US"/>
        </w:rPr>
        <w:t xml:space="preserve">. Time series of treatment average prices </w:t>
      </w:r>
    </w:p>
    <w:p w14:paraId="6AC3B34C" w14:textId="04258F3E" w:rsidR="00B24B48" w:rsidRDefault="00D87DC3" w:rsidP="00F32EC0">
      <w:pPr>
        <w:jc w:val="center"/>
        <w:rPr>
          <w:lang w:val="en-US"/>
        </w:rPr>
      </w:pPr>
      <w:r w:rsidRPr="00D87DC3">
        <w:rPr>
          <w:noProof/>
          <w:lang w:val="en-US"/>
        </w:rPr>
        <w:drawing>
          <wp:inline distT="0" distB="0" distL="0" distR="0" wp14:anchorId="62BBA6E3" wp14:editId="1DB3A507">
            <wp:extent cx="45720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657600"/>
                    </a:xfrm>
                    <a:prstGeom prst="rect">
                      <a:avLst/>
                    </a:prstGeom>
                    <a:noFill/>
                    <a:ln>
                      <a:noFill/>
                    </a:ln>
                  </pic:spPr>
                </pic:pic>
              </a:graphicData>
            </a:graphic>
          </wp:inline>
        </w:drawing>
      </w:r>
    </w:p>
    <w:p w14:paraId="5CE3CF9E" w14:textId="77777777" w:rsidR="009F71A2" w:rsidRDefault="009F71A2">
      <w:pPr>
        <w:tabs>
          <w:tab w:val="clear" w:pos="425"/>
        </w:tabs>
        <w:spacing w:after="0" w:line="240" w:lineRule="auto"/>
        <w:rPr>
          <w:b/>
          <w:bCs/>
          <w:sz w:val="22"/>
          <w:szCs w:val="22"/>
          <w:lang w:val="en-US"/>
        </w:rPr>
      </w:pPr>
      <w:r>
        <w:rPr>
          <w:b/>
          <w:bCs/>
          <w:sz w:val="22"/>
          <w:szCs w:val="22"/>
          <w:lang w:val="en-US"/>
        </w:rPr>
        <w:br w:type="page"/>
      </w:r>
    </w:p>
    <w:p w14:paraId="1A8095C4" w14:textId="21809513" w:rsidR="00E0212E" w:rsidRPr="009F71A2" w:rsidRDefault="00E0212E" w:rsidP="00336123">
      <w:pPr>
        <w:tabs>
          <w:tab w:val="clear" w:pos="425"/>
        </w:tabs>
        <w:spacing w:after="0" w:line="240" w:lineRule="auto"/>
        <w:jc w:val="center"/>
        <w:rPr>
          <w:sz w:val="22"/>
          <w:szCs w:val="22"/>
          <w:lang w:val="en-US"/>
        </w:rPr>
      </w:pPr>
      <w:r w:rsidRPr="009F71A2">
        <w:rPr>
          <w:b/>
          <w:bCs/>
          <w:sz w:val="22"/>
          <w:szCs w:val="22"/>
          <w:lang w:val="en-US"/>
        </w:rPr>
        <w:lastRenderedPageBreak/>
        <w:t xml:space="preserve">Table </w:t>
      </w:r>
      <w:r w:rsidR="00D816D2" w:rsidRPr="009F71A2">
        <w:rPr>
          <w:b/>
          <w:bCs/>
          <w:sz w:val="22"/>
          <w:szCs w:val="22"/>
          <w:lang w:val="en-US"/>
        </w:rPr>
        <w:t>2</w:t>
      </w:r>
      <w:r w:rsidRPr="009F71A2">
        <w:rPr>
          <w:b/>
          <w:bCs/>
          <w:sz w:val="22"/>
          <w:szCs w:val="22"/>
          <w:lang w:val="en-US"/>
        </w:rPr>
        <w:t xml:space="preserve">. </w:t>
      </w:r>
      <w:r w:rsidRPr="009F71A2">
        <w:rPr>
          <w:sz w:val="22"/>
          <w:szCs w:val="22"/>
          <w:lang w:val="en-US"/>
        </w:rPr>
        <w:t xml:space="preserve">Treatment </w:t>
      </w:r>
      <w:r w:rsidR="00406DC3" w:rsidRPr="009F71A2">
        <w:rPr>
          <w:sz w:val="22"/>
          <w:szCs w:val="22"/>
          <w:lang w:val="en-US"/>
        </w:rPr>
        <w:t xml:space="preserve">median </w:t>
      </w:r>
      <w:r w:rsidRPr="009F71A2">
        <w:rPr>
          <w:sz w:val="22"/>
          <w:szCs w:val="22"/>
          <w:lang w:val="en-US"/>
        </w:rPr>
        <w:t>bubble measures</w:t>
      </w:r>
    </w:p>
    <w:p w14:paraId="2DAC3DDE" w14:textId="77777777" w:rsidR="00336123" w:rsidRPr="00480CCB" w:rsidRDefault="00336123" w:rsidP="00336123">
      <w:pPr>
        <w:tabs>
          <w:tab w:val="clear" w:pos="425"/>
        </w:tabs>
        <w:spacing w:after="0" w:line="240" w:lineRule="auto"/>
        <w:jc w:val="center"/>
        <w:rPr>
          <w:lang w:val="en-US"/>
        </w:rPr>
      </w:pPr>
    </w:p>
    <w:tbl>
      <w:tblPr>
        <w:tblStyle w:val="PlainTable2"/>
        <w:tblW w:w="7921" w:type="dxa"/>
        <w:jc w:val="center"/>
        <w:tblLook w:val="04A0" w:firstRow="1" w:lastRow="0" w:firstColumn="1" w:lastColumn="0" w:noHBand="0" w:noVBand="1"/>
      </w:tblPr>
      <w:tblGrid>
        <w:gridCol w:w="1607"/>
        <w:gridCol w:w="1552"/>
        <w:gridCol w:w="1487"/>
        <w:gridCol w:w="1627"/>
        <w:gridCol w:w="1648"/>
      </w:tblGrid>
      <w:tr w:rsidR="00E0212E" w:rsidRPr="000A181B" w14:paraId="1BD84066" w14:textId="77777777" w:rsidTr="006E705B">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607" w:type="dxa"/>
            <w:tcBorders>
              <w:top w:val="single" w:sz="12" w:space="0" w:color="auto"/>
              <w:bottom w:val="single" w:sz="8" w:space="0" w:color="auto"/>
            </w:tcBorders>
          </w:tcPr>
          <w:p w14:paraId="51FE3D0B" w14:textId="77777777" w:rsidR="00E0212E" w:rsidRPr="000A181B" w:rsidRDefault="00E0212E" w:rsidP="006E705B">
            <w:pPr>
              <w:rPr>
                <w:rFonts w:ascii="Times New Roman" w:hAnsi="Times New Roman" w:cs="Times New Roman"/>
                <w:bCs w:val="0"/>
                <w:sz w:val="21"/>
                <w:szCs w:val="21"/>
                <w:lang w:val="en-US"/>
              </w:rPr>
            </w:pPr>
          </w:p>
        </w:tc>
        <w:tc>
          <w:tcPr>
            <w:tcW w:w="1552" w:type="dxa"/>
            <w:tcBorders>
              <w:top w:val="single" w:sz="12" w:space="0" w:color="auto"/>
              <w:bottom w:val="single" w:sz="8" w:space="0" w:color="auto"/>
            </w:tcBorders>
          </w:tcPr>
          <w:p w14:paraId="2178BBB8" w14:textId="77777777" w:rsidR="00E0212E" w:rsidRPr="000A181B" w:rsidRDefault="00E0212E" w:rsidP="006E70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en-US"/>
              </w:rPr>
            </w:pPr>
            <w:r w:rsidRPr="000A181B">
              <w:rPr>
                <w:rFonts w:ascii="Times New Roman" w:hAnsi="Times New Roman" w:cs="Times New Roman"/>
                <w:b w:val="0"/>
                <w:sz w:val="21"/>
                <w:szCs w:val="21"/>
                <w:lang w:val="en-US"/>
              </w:rPr>
              <w:t>TAX</w:t>
            </w:r>
          </w:p>
        </w:tc>
        <w:tc>
          <w:tcPr>
            <w:tcW w:w="1487" w:type="dxa"/>
            <w:tcBorders>
              <w:top w:val="single" w:sz="12" w:space="0" w:color="auto"/>
              <w:bottom w:val="single" w:sz="8" w:space="0" w:color="auto"/>
            </w:tcBorders>
          </w:tcPr>
          <w:p w14:paraId="2FC64AD3" w14:textId="5831354F" w:rsidR="00E0212E" w:rsidRPr="000A181B" w:rsidRDefault="00FF5388" w:rsidP="006E70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en-US"/>
              </w:rPr>
            </w:pPr>
            <w:r w:rsidRPr="000A181B">
              <w:rPr>
                <w:rFonts w:ascii="Times New Roman" w:hAnsi="Times New Roman" w:cs="Times New Roman"/>
                <w:b w:val="0"/>
                <w:bCs w:val="0"/>
                <w:sz w:val="21"/>
                <w:szCs w:val="21"/>
                <w:lang w:val="en-US"/>
              </w:rPr>
              <w:t>Baseline</w:t>
            </w:r>
          </w:p>
        </w:tc>
        <w:tc>
          <w:tcPr>
            <w:tcW w:w="1627" w:type="dxa"/>
            <w:tcBorders>
              <w:top w:val="single" w:sz="12" w:space="0" w:color="auto"/>
              <w:bottom w:val="single" w:sz="8" w:space="0" w:color="auto"/>
            </w:tcBorders>
          </w:tcPr>
          <w:p w14:paraId="65315758" w14:textId="72D70E88" w:rsidR="00E0212E" w:rsidRPr="000A181B" w:rsidRDefault="00FF5388" w:rsidP="006E70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en-US"/>
              </w:rPr>
            </w:pPr>
            <w:proofErr w:type="spellStart"/>
            <w:r w:rsidRPr="000A181B">
              <w:rPr>
                <w:rFonts w:ascii="Times New Roman" w:hAnsi="Times New Roman" w:cs="Times New Roman"/>
                <w:b w:val="0"/>
                <w:bCs w:val="0"/>
                <w:sz w:val="21"/>
                <w:szCs w:val="21"/>
                <w:lang w:val="en-US"/>
              </w:rPr>
              <w:t>NoSpec</w:t>
            </w:r>
            <w:proofErr w:type="spellEnd"/>
          </w:p>
        </w:tc>
        <w:tc>
          <w:tcPr>
            <w:tcW w:w="1648" w:type="dxa"/>
            <w:tcBorders>
              <w:top w:val="single" w:sz="12" w:space="0" w:color="auto"/>
              <w:bottom w:val="single" w:sz="8" w:space="0" w:color="auto"/>
            </w:tcBorders>
          </w:tcPr>
          <w:p w14:paraId="30F0AAE1" w14:textId="3F557AC2" w:rsidR="00E0212E" w:rsidRPr="000A181B" w:rsidRDefault="00FF5388" w:rsidP="006E705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lang w:val="en-US"/>
              </w:rPr>
            </w:pPr>
            <w:proofErr w:type="spellStart"/>
            <w:r w:rsidRPr="000A181B">
              <w:rPr>
                <w:rFonts w:ascii="Times New Roman" w:hAnsi="Times New Roman" w:cs="Times New Roman"/>
                <w:b w:val="0"/>
                <w:bCs w:val="0"/>
                <w:sz w:val="21"/>
                <w:szCs w:val="21"/>
                <w:lang w:val="en-US"/>
              </w:rPr>
              <w:t>TMkt</w:t>
            </w:r>
            <w:proofErr w:type="spellEnd"/>
            <w:r w:rsidRPr="000A181B">
              <w:rPr>
                <w:rFonts w:ascii="Times New Roman" w:hAnsi="Times New Roman" w:cs="Times New Roman"/>
                <w:b w:val="0"/>
                <w:bCs w:val="0"/>
                <w:sz w:val="21"/>
                <w:szCs w:val="21"/>
                <w:lang w:val="en-US"/>
              </w:rPr>
              <w:t>/NS</w:t>
            </w:r>
          </w:p>
        </w:tc>
      </w:tr>
      <w:tr w:rsidR="00E0212E" w:rsidRPr="000A181B" w14:paraId="6EFF4A28" w14:textId="77777777" w:rsidTr="006E705B">
        <w:trPr>
          <w:cnfStyle w:val="000000100000" w:firstRow="0" w:lastRow="0" w:firstColumn="0" w:lastColumn="0" w:oddVBand="0" w:evenVBand="0" w:oddHBand="1"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1607" w:type="dxa"/>
            <w:tcBorders>
              <w:top w:val="single" w:sz="8" w:space="0" w:color="auto"/>
            </w:tcBorders>
          </w:tcPr>
          <w:p w14:paraId="522B478B" w14:textId="77777777" w:rsidR="00E0212E" w:rsidRPr="000A181B" w:rsidRDefault="00E0212E" w:rsidP="006E705B">
            <w:pPr>
              <w:rPr>
                <w:rFonts w:ascii="Times New Roman" w:hAnsi="Times New Roman" w:cs="Times New Roman"/>
                <w:bCs w:val="0"/>
                <w:sz w:val="21"/>
                <w:szCs w:val="21"/>
                <w:lang w:val="en-US"/>
              </w:rPr>
            </w:pPr>
            <w:r w:rsidRPr="000A181B">
              <w:rPr>
                <w:rFonts w:ascii="Times New Roman" w:hAnsi="Times New Roman" w:cs="Times New Roman"/>
                <w:b w:val="0"/>
                <w:bCs w:val="0"/>
                <w:sz w:val="21"/>
                <w:szCs w:val="21"/>
                <w:lang w:val="en-US"/>
              </w:rPr>
              <w:t>RAD</w:t>
            </w:r>
          </w:p>
        </w:tc>
        <w:tc>
          <w:tcPr>
            <w:tcW w:w="1552" w:type="dxa"/>
            <w:tcBorders>
              <w:top w:val="single" w:sz="8" w:space="0" w:color="auto"/>
            </w:tcBorders>
          </w:tcPr>
          <w:p w14:paraId="61648C11" w14:textId="5932345F" w:rsidR="00E0212E" w:rsidRPr="000A181B" w:rsidRDefault="00E0212E" w:rsidP="006E7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A181B">
              <w:rPr>
                <w:rFonts w:ascii="Times New Roman" w:hAnsi="Times New Roman" w:cs="Times New Roman"/>
                <w:sz w:val="21"/>
                <w:szCs w:val="21"/>
                <w:lang w:val="en-US"/>
              </w:rPr>
              <w:t>0.</w:t>
            </w:r>
            <w:r w:rsidR="00406DC3">
              <w:rPr>
                <w:rFonts w:ascii="Times New Roman" w:hAnsi="Times New Roman" w:cs="Times New Roman"/>
                <w:sz w:val="21"/>
                <w:szCs w:val="21"/>
                <w:lang w:val="en-US"/>
              </w:rPr>
              <w:t>24</w:t>
            </w:r>
          </w:p>
        </w:tc>
        <w:tc>
          <w:tcPr>
            <w:tcW w:w="1487" w:type="dxa"/>
            <w:tcBorders>
              <w:top w:val="single" w:sz="8" w:space="0" w:color="auto"/>
            </w:tcBorders>
          </w:tcPr>
          <w:p w14:paraId="695E4995" w14:textId="76100C8E" w:rsidR="00E0212E" w:rsidRPr="000A181B" w:rsidRDefault="00E0212E" w:rsidP="006E7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A181B">
              <w:rPr>
                <w:rFonts w:ascii="Times New Roman" w:hAnsi="Times New Roman" w:cs="Times New Roman"/>
                <w:sz w:val="21"/>
                <w:szCs w:val="21"/>
                <w:lang w:val="en-US"/>
              </w:rPr>
              <w:t>0.</w:t>
            </w:r>
            <w:r w:rsidR="00406DC3">
              <w:rPr>
                <w:rFonts w:ascii="Times New Roman" w:hAnsi="Times New Roman" w:cs="Times New Roman"/>
                <w:sz w:val="21"/>
                <w:szCs w:val="21"/>
                <w:lang w:val="en-US"/>
              </w:rPr>
              <w:t>80</w:t>
            </w:r>
            <w:r w:rsidRPr="000A181B">
              <w:rPr>
                <w:rFonts w:ascii="Times New Roman" w:hAnsi="Times New Roman" w:cs="Times New Roman"/>
                <w:sz w:val="21"/>
                <w:szCs w:val="21"/>
                <w:lang w:val="en-US"/>
              </w:rPr>
              <w:t xml:space="preserve">**    </w:t>
            </w:r>
          </w:p>
        </w:tc>
        <w:tc>
          <w:tcPr>
            <w:tcW w:w="1627" w:type="dxa"/>
            <w:tcBorders>
              <w:top w:val="single" w:sz="8" w:space="0" w:color="auto"/>
            </w:tcBorders>
          </w:tcPr>
          <w:p w14:paraId="6139B810" w14:textId="0C31130C" w:rsidR="00E0212E" w:rsidRPr="000A181B" w:rsidRDefault="005257B6" w:rsidP="006E7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Pr>
                <w:rFonts w:ascii="Times New Roman" w:hAnsi="Times New Roman" w:cs="Times New Roman"/>
                <w:sz w:val="21"/>
                <w:szCs w:val="21"/>
                <w:lang w:val="en-US"/>
              </w:rPr>
              <w:t>0.96</w:t>
            </w:r>
            <w:r w:rsidR="00E0212E" w:rsidRPr="000A181B">
              <w:rPr>
                <w:rFonts w:ascii="Times New Roman" w:hAnsi="Times New Roman" w:cs="Times New Roman"/>
                <w:sz w:val="21"/>
                <w:szCs w:val="21"/>
                <w:lang w:val="en-US"/>
              </w:rPr>
              <w:t>*</w:t>
            </w:r>
            <w:r w:rsidR="007E25FC">
              <w:rPr>
                <w:rFonts w:ascii="Times New Roman" w:hAnsi="Times New Roman" w:cs="Times New Roman"/>
                <w:sz w:val="21"/>
                <w:szCs w:val="21"/>
                <w:lang w:val="en-US"/>
              </w:rPr>
              <w:t>*</w:t>
            </w:r>
            <w:r w:rsidR="00E0212E" w:rsidRPr="000A181B">
              <w:rPr>
                <w:rFonts w:ascii="Times New Roman" w:hAnsi="Times New Roman" w:cs="Times New Roman"/>
                <w:sz w:val="21"/>
                <w:szCs w:val="21"/>
                <w:lang w:val="en-US"/>
              </w:rPr>
              <w:t xml:space="preserve">*             </w:t>
            </w:r>
          </w:p>
        </w:tc>
        <w:tc>
          <w:tcPr>
            <w:tcW w:w="1648" w:type="dxa"/>
            <w:tcBorders>
              <w:top w:val="single" w:sz="8" w:space="0" w:color="auto"/>
            </w:tcBorders>
          </w:tcPr>
          <w:p w14:paraId="7E571CF8" w14:textId="51B47080" w:rsidR="00E0212E" w:rsidRPr="000A181B" w:rsidRDefault="005A004F" w:rsidP="006E7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1"/>
                <w:szCs w:val="21"/>
                <w:lang w:val="en-US"/>
              </w:rPr>
            </w:pPr>
            <w:r w:rsidRPr="000A181B">
              <w:rPr>
                <w:rFonts w:ascii="Times New Roman" w:hAnsi="Times New Roman" w:cs="Times New Roman"/>
                <w:sz w:val="21"/>
                <w:szCs w:val="21"/>
                <w:lang w:val="en-US"/>
              </w:rPr>
              <w:t>2.</w:t>
            </w:r>
            <w:r w:rsidR="00852BF4">
              <w:rPr>
                <w:rFonts w:ascii="Times New Roman" w:hAnsi="Times New Roman" w:cs="Times New Roman"/>
                <w:sz w:val="21"/>
                <w:szCs w:val="21"/>
                <w:lang w:val="en-US"/>
              </w:rPr>
              <w:t>10</w:t>
            </w:r>
            <w:r w:rsidR="00E0212E" w:rsidRPr="000A181B">
              <w:rPr>
                <w:rFonts w:ascii="Times New Roman" w:hAnsi="Times New Roman" w:cs="Times New Roman"/>
                <w:sz w:val="21"/>
                <w:szCs w:val="21"/>
                <w:lang w:val="en-US"/>
              </w:rPr>
              <w:t xml:space="preserve">***              </w:t>
            </w:r>
          </w:p>
        </w:tc>
      </w:tr>
      <w:tr w:rsidR="00E0212E" w:rsidRPr="000A181B" w14:paraId="4A41B6EC" w14:textId="77777777" w:rsidTr="006E705B">
        <w:trPr>
          <w:trHeight w:val="447"/>
          <w:jc w:val="center"/>
        </w:trPr>
        <w:tc>
          <w:tcPr>
            <w:cnfStyle w:val="001000000000" w:firstRow="0" w:lastRow="0" w:firstColumn="1" w:lastColumn="0" w:oddVBand="0" w:evenVBand="0" w:oddHBand="0" w:evenHBand="0" w:firstRowFirstColumn="0" w:firstRowLastColumn="0" w:lastRowFirstColumn="0" w:lastRowLastColumn="0"/>
            <w:tcW w:w="1607" w:type="dxa"/>
          </w:tcPr>
          <w:p w14:paraId="52CCC84E" w14:textId="77777777" w:rsidR="00E0212E" w:rsidRPr="000A181B" w:rsidRDefault="00E0212E" w:rsidP="006E705B">
            <w:pPr>
              <w:rPr>
                <w:rFonts w:ascii="Times New Roman" w:hAnsi="Times New Roman" w:cs="Times New Roman"/>
                <w:bCs w:val="0"/>
                <w:sz w:val="21"/>
                <w:szCs w:val="21"/>
                <w:lang w:val="en-US"/>
              </w:rPr>
            </w:pPr>
            <w:r w:rsidRPr="000A181B">
              <w:rPr>
                <w:rFonts w:ascii="Times New Roman" w:hAnsi="Times New Roman" w:cs="Times New Roman"/>
                <w:b w:val="0"/>
                <w:bCs w:val="0"/>
                <w:sz w:val="21"/>
                <w:szCs w:val="21"/>
                <w:lang w:val="en-US"/>
              </w:rPr>
              <w:t>RD</w:t>
            </w:r>
          </w:p>
        </w:tc>
        <w:tc>
          <w:tcPr>
            <w:tcW w:w="1552" w:type="dxa"/>
          </w:tcPr>
          <w:p w14:paraId="152D4835" w14:textId="124CC0BC" w:rsidR="00406DC3" w:rsidRPr="000A181B" w:rsidRDefault="00E0212E" w:rsidP="006E7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A181B">
              <w:rPr>
                <w:rFonts w:ascii="Times New Roman" w:hAnsi="Times New Roman" w:cs="Times New Roman"/>
                <w:sz w:val="21"/>
                <w:szCs w:val="21"/>
                <w:lang w:val="en-US"/>
              </w:rPr>
              <w:t>0.2</w:t>
            </w:r>
            <w:r w:rsidR="00406DC3">
              <w:rPr>
                <w:rFonts w:ascii="Times New Roman" w:hAnsi="Times New Roman" w:cs="Times New Roman"/>
                <w:sz w:val="21"/>
                <w:szCs w:val="21"/>
                <w:lang w:val="en-US"/>
              </w:rPr>
              <w:t>3</w:t>
            </w:r>
          </w:p>
        </w:tc>
        <w:tc>
          <w:tcPr>
            <w:tcW w:w="1487" w:type="dxa"/>
          </w:tcPr>
          <w:p w14:paraId="0537D400" w14:textId="258AA4CB" w:rsidR="00E0212E" w:rsidRPr="000A181B" w:rsidRDefault="00E0212E" w:rsidP="006E7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A181B">
              <w:rPr>
                <w:rFonts w:ascii="Times New Roman" w:hAnsi="Times New Roman" w:cs="Times New Roman"/>
                <w:sz w:val="21"/>
                <w:szCs w:val="21"/>
                <w:lang w:val="en-US"/>
              </w:rPr>
              <w:t>0.</w:t>
            </w:r>
            <w:r w:rsidR="00406DC3">
              <w:rPr>
                <w:rFonts w:ascii="Times New Roman" w:hAnsi="Times New Roman" w:cs="Times New Roman"/>
                <w:sz w:val="21"/>
                <w:szCs w:val="21"/>
                <w:lang w:val="en-US"/>
              </w:rPr>
              <w:t>70</w:t>
            </w:r>
            <w:r w:rsidRPr="000A181B">
              <w:rPr>
                <w:rFonts w:ascii="Times New Roman" w:hAnsi="Times New Roman" w:cs="Times New Roman"/>
                <w:sz w:val="21"/>
                <w:szCs w:val="21"/>
                <w:lang w:val="en-US"/>
              </w:rPr>
              <w:t xml:space="preserve">**    </w:t>
            </w:r>
          </w:p>
        </w:tc>
        <w:tc>
          <w:tcPr>
            <w:tcW w:w="1627" w:type="dxa"/>
          </w:tcPr>
          <w:p w14:paraId="49CCC710" w14:textId="672E747A" w:rsidR="00E0212E" w:rsidRPr="000A181B" w:rsidRDefault="005257B6" w:rsidP="006E7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Pr>
                <w:rFonts w:ascii="Times New Roman" w:hAnsi="Times New Roman" w:cs="Times New Roman"/>
                <w:sz w:val="21"/>
                <w:szCs w:val="21"/>
                <w:lang w:val="en-US"/>
              </w:rPr>
              <w:t>0.96</w:t>
            </w:r>
            <w:r w:rsidR="007E25FC">
              <w:rPr>
                <w:rFonts w:ascii="Times New Roman" w:hAnsi="Times New Roman" w:cs="Times New Roman"/>
                <w:sz w:val="21"/>
                <w:szCs w:val="21"/>
                <w:lang w:val="en-US"/>
              </w:rPr>
              <w:t>*</w:t>
            </w:r>
            <w:r w:rsidR="00E0212E" w:rsidRPr="000A181B">
              <w:rPr>
                <w:rFonts w:ascii="Times New Roman" w:hAnsi="Times New Roman" w:cs="Times New Roman"/>
                <w:sz w:val="21"/>
                <w:szCs w:val="21"/>
                <w:lang w:val="en-US"/>
              </w:rPr>
              <w:t xml:space="preserve">**            </w:t>
            </w:r>
          </w:p>
        </w:tc>
        <w:tc>
          <w:tcPr>
            <w:tcW w:w="1648" w:type="dxa"/>
          </w:tcPr>
          <w:p w14:paraId="4FFD7A17" w14:textId="7C374C26" w:rsidR="00E0212E" w:rsidRPr="000A181B" w:rsidRDefault="005A004F" w:rsidP="006E7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1"/>
                <w:szCs w:val="21"/>
                <w:lang w:val="en-US"/>
              </w:rPr>
            </w:pPr>
            <w:r w:rsidRPr="000A181B">
              <w:rPr>
                <w:rFonts w:ascii="Times New Roman" w:hAnsi="Times New Roman" w:cs="Times New Roman"/>
                <w:sz w:val="21"/>
                <w:szCs w:val="21"/>
                <w:lang w:val="en-US"/>
              </w:rPr>
              <w:t>2.</w:t>
            </w:r>
            <w:r w:rsidR="00852BF4">
              <w:rPr>
                <w:rFonts w:ascii="Times New Roman" w:hAnsi="Times New Roman" w:cs="Times New Roman"/>
                <w:sz w:val="21"/>
                <w:szCs w:val="21"/>
                <w:lang w:val="en-US"/>
              </w:rPr>
              <w:t>10</w:t>
            </w:r>
            <w:r w:rsidR="00E0212E" w:rsidRPr="000A181B">
              <w:rPr>
                <w:rFonts w:ascii="Times New Roman" w:hAnsi="Times New Roman" w:cs="Times New Roman"/>
                <w:sz w:val="21"/>
                <w:szCs w:val="21"/>
                <w:lang w:val="en-US"/>
              </w:rPr>
              <w:t xml:space="preserve">***           </w:t>
            </w:r>
          </w:p>
        </w:tc>
      </w:tr>
      <w:tr w:rsidR="00406DC3" w:rsidRPr="000A181B" w14:paraId="6712E08F" w14:textId="77777777" w:rsidTr="006E705B">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607" w:type="dxa"/>
          </w:tcPr>
          <w:p w14:paraId="76BCED2E" w14:textId="197FF206" w:rsidR="00406DC3" w:rsidRPr="00406DC3" w:rsidRDefault="00406DC3" w:rsidP="006E705B">
            <w:pPr>
              <w:rPr>
                <w:b w:val="0"/>
                <w:bCs w:val="0"/>
                <w:sz w:val="21"/>
                <w:szCs w:val="21"/>
                <w:lang w:val="en-US"/>
              </w:rPr>
            </w:pPr>
            <w:r w:rsidRPr="00406DC3">
              <w:rPr>
                <w:b w:val="0"/>
                <w:bCs w:val="0"/>
                <w:sz w:val="21"/>
                <w:szCs w:val="21"/>
                <w:lang w:val="en-US"/>
              </w:rPr>
              <w:t>GAD</w:t>
            </w:r>
          </w:p>
        </w:tc>
        <w:tc>
          <w:tcPr>
            <w:tcW w:w="1552" w:type="dxa"/>
          </w:tcPr>
          <w:p w14:paraId="48E3E899" w14:textId="6B18991C" w:rsidR="00406DC3" w:rsidRPr="000A181B" w:rsidRDefault="00406DC3" w:rsidP="006E705B">
            <w:pPr>
              <w:cnfStyle w:val="000000100000" w:firstRow="0" w:lastRow="0" w:firstColumn="0" w:lastColumn="0" w:oddVBand="0" w:evenVBand="0" w:oddHBand="1" w:evenHBand="0" w:firstRowFirstColumn="0" w:firstRowLastColumn="0" w:lastRowFirstColumn="0" w:lastRowLastColumn="0"/>
              <w:rPr>
                <w:sz w:val="21"/>
                <w:szCs w:val="21"/>
                <w:lang w:val="en-US"/>
              </w:rPr>
            </w:pPr>
            <w:r>
              <w:rPr>
                <w:sz w:val="21"/>
                <w:szCs w:val="21"/>
                <w:lang w:val="en-US"/>
              </w:rPr>
              <w:t>0.32</w:t>
            </w:r>
          </w:p>
        </w:tc>
        <w:tc>
          <w:tcPr>
            <w:tcW w:w="1487" w:type="dxa"/>
          </w:tcPr>
          <w:p w14:paraId="6A5F0095" w14:textId="0C495546" w:rsidR="00406DC3" w:rsidRPr="000A181B" w:rsidRDefault="00406DC3" w:rsidP="006E705B">
            <w:pPr>
              <w:cnfStyle w:val="000000100000" w:firstRow="0" w:lastRow="0" w:firstColumn="0" w:lastColumn="0" w:oddVBand="0" w:evenVBand="0" w:oddHBand="1" w:evenHBand="0" w:firstRowFirstColumn="0" w:firstRowLastColumn="0" w:lastRowFirstColumn="0" w:lastRowLastColumn="0"/>
              <w:rPr>
                <w:sz w:val="21"/>
                <w:szCs w:val="21"/>
                <w:lang w:val="en-US"/>
              </w:rPr>
            </w:pPr>
            <w:r>
              <w:rPr>
                <w:sz w:val="21"/>
                <w:szCs w:val="21"/>
                <w:lang w:val="en-US"/>
              </w:rPr>
              <w:t>1.09***</w:t>
            </w:r>
          </w:p>
        </w:tc>
        <w:tc>
          <w:tcPr>
            <w:tcW w:w="1627" w:type="dxa"/>
          </w:tcPr>
          <w:p w14:paraId="59A64D83" w14:textId="194C0888" w:rsidR="00406DC3" w:rsidRPr="000A181B" w:rsidRDefault="005257B6" w:rsidP="006E705B">
            <w:pPr>
              <w:cnfStyle w:val="000000100000" w:firstRow="0" w:lastRow="0" w:firstColumn="0" w:lastColumn="0" w:oddVBand="0" w:evenVBand="0" w:oddHBand="1" w:evenHBand="0" w:firstRowFirstColumn="0" w:firstRowLastColumn="0" w:lastRowFirstColumn="0" w:lastRowLastColumn="0"/>
              <w:rPr>
                <w:sz w:val="21"/>
                <w:szCs w:val="21"/>
                <w:lang w:val="en-US"/>
              </w:rPr>
            </w:pPr>
            <w:r>
              <w:rPr>
                <w:sz w:val="21"/>
                <w:szCs w:val="21"/>
                <w:lang w:val="en-US"/>
              </w:rPr>
              <w:t>1.47***</w:t>
            </w:r>
          </w:p>
        </w:tc>
        <w:tc>
          <w:tcPr>
            <w:tcW w:w="1648" w:type="dxa"/>
          </w:tcPr>
          <w:p w14:paraId="5BF87E51" w14:textId="0EF67932" w:rsidR="00406DC3" w:rsidRPr="000A181B" w:rsidRDefault="00852BF4" w:rsidP="006E705B">
            <w:pPr>
              <w:cnfStyle w:val="000000100000" w:firstRow="0" w:lastRow="0" w:firstColumn="0" w:lastColumn="0" w:oddVBand="0" w:evenVBand="0" w:oddHBand="1" w:evenHBand="0" w:firstRowFirstColumn="0" w:firstRowLastColumn="0" w:lastRowFirstColumn="0" w:lastRowLastColumn="0"/>
              <w:rPr>
                <w:sz w:val="21"/>
                <w:szCs w:val="21"/>
                <w:lang w:val="en-US"/>
              </w:rPr>
            </w:pPr>
            <w:r>
              <w:rPr>
                <w:sz w:val="21"/>
                <w:szCs w:val="21"/>
                <w:lang w:val="en-US"/>
              </w:rPr>
              <w:t>1.78</w:t>
            </w:r>
            <w:r w:rsidR="00CF4499">
              <w:rPr>
                <w:sz w:val="21"/>
                <w:szCs w:val="21"/>
                <w:lang w:val="en-US"/>
              </w:rPr>
              <w:t>***</w:t>
            </w:r>
          </w:p>
        </w:tc>
      </w:tr>
      <w:tr w:rsidR="00406DC3" w:rsidRPr="000A181B" w14:paraId="3175A850" w14:textId="77777777" w:rsidTr="006E705B">
        <w:trPr>
          <w:trHeight w:val="447"/>
          <w:jc w:val="center"/>
        </w:trPr>
        <w:tc>
          <w:tcPr>
            <w:cnfStyle w:val="001000000000" w:firstRow="0" w:lastRow="0" w:firstColumn="1" w:lastColumn="0" w:oddVBand="0" w:evenVBand="0" w:oddHBand="0" w:evenHBand="0" w:firstRowFirstColumn="0" w:firstRowLastColumn="0" w:lastRowFirstColumn="0" w:lastRowLastColumn="0"/>
            <w:tcW w:w="1607" w:type="dxa"/>
          </w:tcPr>
          <w:p w14:paraId="3D9C383F" w14:textId="460F63F9" w:rsidR="00406DC3" w:rsidRPr="00406DC3" w:rsidRDefault="00406DC3" w:rsidP="006E705B">
            <w:pPr>
              <w:rPr>
                <w:b w:val="0"/>
                <w:bCs w:val="0"/>
                <w:sz w:val="21"/>
                <w:szCs w:val="21"/>
                <w:lang w:val="en-US"/>
              </w:rPr>
            </w:pPr>
            <w:r w:rsidRPr="00406DC3">
              <w:rPr>
                <w:b w:val="0"/>
                <w:bCs w:val="0"/>
                <w:sz w:val="21"/>
                <w:szCs w:val="21"/>
                <w:lang w:val="en-US"/>
              </w:rPr>
              <w:t>GD</w:t>
            </w:r>
          </w:p>
        </w:tc>
        <w:tc>
          <w:tcPr>
            <w:tcW w:w="1552" w:type="dxa"/>
          </w:tcPr>
          <w:p w14:paraId="2D26916B" w14:textId="2C030963" w:rsidR="00406DC3" w:rsidRPr="000A181B" w:rsidRDefault="00406DC3" w:rsidP="006E705B">
            <w:pPr>
              <w:cnfStyle w:val="000000000000" w:firstRow="0" w:lastRow="0" w:firstColumn="0" w:lastColumn="0" w:oddVBand="0" w:evenVBand="0" w:oddHBand="0" w:evenHBand="0" w:firstRowFirstColumn="0" w:firstRowLastColumn="0" w:lastRowFirstColumn="0" w:lastRowLastColumn="0"/>
              <w:rPr>
                <w:sz w:val="21"/>
                <w:szCs w:val="21"/>
                <w:lang w:val="en-US"/>
              </w:rPr>
            </w:pPr>
            <w:r>
              <w:rPr>
                <w:sz w:val="21"/>
                <w:szCs w:val="21"/>
                <w:lang w:val="en-US"/>
              </w:rPr>
              <w:t>0.17</w:t>
            </w:r>
          </w:p>
        </w:tc>
        <w:tc>
          <w:tcPr>
            <w:tcW w:w="1487" w:type="dxa"/>
          </w:tcPr>
          <w:p w14:paraId="3BA5891E" w14:textId="2253724C" w:rsidR="00406DC3" w:rsidRPr="000A181B" w:rsidRDefault="00406DC3" w:rsidP="006E705B">
            <w:pPr>
              <w:cnfStyle w:val="000000000000" w:firstRow="0" w:lastRow="0" w:firstColumn="0" w:lastColumn="0" w:oddVBand="0" w:evenVBand="0" w:oddHBand="0" w:evenHBand="0" w:firstRowFirstColumn="0" w:firstRowLastColumn="0" w:lastRowFirstColumn="0" w:lastRowLastColumn="0"/>
              <w:rPr>
                <w:sz w:val="21"/>
                <w:szCs w:val="21"/>
                <w:lang w:val="en-US"/>
              </w:rPr>
            </w:pPr>
            <w:r>
              <w:rPr>
                <w:sz w:val="21"/>
                <w:szCs w:val="21"/>
                <w:lang w:val="en-US"/>
              </w:rPr>
              <w:t>0.95***</w:t>
            </w:r>
          </w:p>
        </w:tc>
        <w:tc>
          <w:tcPr>
            <w:tcW w:w="1627" w:type="dxa"/>
          </w:tcPr>
          <w:p w14:paraId="588A162B" w14:textId="56A20F61" w:rsidR="00406DC3" w:rsidRPr="000A181B" w:rsidRDefault="005257B6" w:rsidP="006E705B">
            <w:pPr>
              <w:cnfStyle w:val="000000000000" w:firstRow="0" w:lastRow="0" w:firstColumn="0" w:lastColumn="0" w:oddVBand="0" w:evenVBand="0" w:oddHBand="0" w:evenHBand="0" w:firstRowFirstColumn="0" w:firstRowLastColumn="0" w:lastRowFirstColumn="0" w:lastRowLastColumn="0"/>
              <w:rPr>
                <w:sz w:val="21"/>
                <w:szCs w:val="21"/>
                <w:lang w:val="en-US"/>
              </w:rPr>
            </w:pPr>
            <w:r>
              <w:rPr>
                <w:sz w:val="21"/>
                <w:szCs w:val="21"/>
                <w:lang w:val="en-US"/>
              </w:rPr>
              <w:t>1.32***</w:t>
            </w:r>
          </w:p>
        </w:tc>
        <w:tc>
          <w:tcPr>
            <w:tcW w:w="1648" w:type="dxa"/>
          </w:tcPr>
          <w:p w14:paraId="44815A65" w14:textId="1422976D" w:rsidR="00406DC3" w:rsidRPr="000A181B" w:rsidRDefault="00852BF4" w:rsidP="006E705B">
            <w:pPr>
              <w:cnfStyle w:val="000000000000" w:firstRow="0" w:lastRow="0" w:firstColumn="0" w:lastColumn="0" w:oddVBand="0" w:evenVBand="0" w:oddHBand="0" w:evenHBand="0" w:firstRowFirstColumn="0" w:firstRowLastColumn="0" w:lastRowFirstColumn="0" w:lastRowLastColumn="0"/>
              <w:rPr>
                <w:sz w:val="21"/>
                <w:szCs w:val="21"/>
                <w:lang w:val="en-US"/>
              </w:rPr>
            </w:pPr>
            <w:r>
              <w:rPr>
                <w:sz w:val="21"/>
                <w:szCs w:val="21"/>
                <w:lang w:val="en-US"/>
              </w:rPr>
              <w:t>1.72</w:t>
            </w:r>
            <w:r w:rsidR="00CF4499">
              <w:rPr>
                <w:sz w:val="21"/>
                <w:szCs w:val="21"/>
                <w:lang w:val="en-US"/>
              </w:rPr>
              <w:t>***</w:t>
            </w:r>
          </w:p>
        </w:tc>
      </w:tr>
      <w:tr w:rsidR="00E0212E" w:rsidRPr="000A181B" w14:paraId="6D7DCE19" w14:textId="77777777" w:rsidTr="006E705B">
        <w:trPr>
          <w:cnfStyle w:val="000000100000" w:firstRow="0" w:lastRow="0" w:firstColumn="0" w:lastColumn="0" w:oddVBand="0" w:evenVBand="0" w:oddHBand="1"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1607" w:type="dxa"/>
            <w:tcBorders>
              <w:bottom w:val="single" w:sz="12" w:space="0" w:color="auto"/>
            </w:tcBorders>
          </w:tcPr>
          <w:p w14:paraId="56134B28" w14:textId="4910AC8D" w:rsidR="00E0212E" w:rsidRPr="000A181B" w:rsidRDefault="00E0212E" w:rsidP="006E705B">
            <w:pPr>
              <w:rPr>
                <w:rFonts w:ascii="Times New Roman" w:hAnsi="Times New Roman" w:cs="Times New Roman"/>
                <w:bCs w:val="0"/>
                <w:sz w:val="21"/>
                <w:szCs w:val="21"/>
                <w:lang w:val="en-US"/>
              </w:rPr>
            </w:pPr>
            <w:r w:rsidRPr="000A181B">
              <w:rPr>
                <w:rFonts w:ascii="Times New Roman" w:hAnsi="Times New Roman" w:cs="Times New Roman"/>
                <w:b w:val="0"/>
                <w:bCs w:val="0"/>
                <w:sz w:val="21"/>
                <w:szCs w:val="21"/>
                <w:lang w:val="en-US"/>
              </w:rPr>
              <w:t>Turnover</w:t>
            </w:r>
            <w:r w:rsidR="00EA1285" w:rsidRPr="000A181B">
              <w:rPr>
                <w:rStyle w:val="FootnoteReference"/>
                <w:rFonts w:ascii="Times New Roman" w:hAnsi="Times New Roman" w:cs="Times New Roman"/>
                <w:b w:val="0"/>
                <w:bCs w:val="0"/>
                <w:sz w:val="21"/>
                <w:szCs w:val="21"/>
                <w:lang w:val="en-US"/>
              </w:rPr>
              <w:footnoteReference w:id="8"/>
            </w:r>
          </w:p>
        </w:tc>
        <w:tc>
          <w:tcPr>
            <w:tcW w:w="1552" w:type="dxa"/>
            <w:tcBorders>
              <w:bottom w:val="single" w:sz="12" w:space="0" w:color="auto"/>
            </w:tcBorders>
          </w:tcPr>
          <w:p w14:paraId="3D372C0D" w14:textId="70715A38" w:rsidR="00E0212E" w:rsidRPr="000A181B" w:rsidRDefault="00E0212E" w:rsidP="006E7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A181B">
              <w:rPr>
                <w:rFonts w:ascii="Times New Roman" w:hAnsi="Times New Roman" w:cs="Times New Roman"/>
                <w:sz w:val="21"/>
                <w:szCs w:val="21"/>
                <w:lang w:val="en-US"/>
              </w:rPr>
              <w:t>2.</w:t>
            </w:r>
            <w:r w:rsidR="00406DC3" w:rsidRPr="000A181B">
              <w:rPr>
                <w:rFonts w:ascii="Times New Roman" w:hAnsi="Times New Roman" w:cs="Times New Roman"/>
                <w:sz w:val="21"/>
                <w:szCs w:val="21"/>
                <w:lang w:val="en-US"/>
              </w:rPr>
              <w:t>2</w:t>
            </w:r>
            <w:r w:rsidR="00406DC3">
              <w:rPr>
                <w:rFonts w:ascii="Times New Roman" w:hAnsi="Times New Roman" w:cs="Times New Roman"/>
                <w:sz w:val="21"/>
                <w:szCs w:val="21"/>
                <w:lang w:val="en-US"/>
              </w:rPr>
              <w:t>3</w:t>
            </w:r>
          </w:p>
        </w:tc>
        <w:tc>
          <w:tcPr>
            <w:tcW w:w="1487" w:type="dxa"/>
            <w:tcBorders>
              <w:bottom w:val="single" w:sz="12" w:space="0" w:color="auto"/>
            </w:tcBorders>
          </w:tcPr>
          <w:p w14:paraId="08A1C57E" w14:textId="12CC3E59" w:rsidR="00E0212E" w:rsidRPr="000A181B" w:rsidRDefault="00E0212E" w:rsidP="006E7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A181B">
              <w:rPr>
                <w:rFonts w:ascii="Times New Roman" w:hAnsi="Times New Roman" w:cs="Times New Roman"/>
                <w:sz w:val="21"/>
                <w:szCs w:val="21"/>
                <w:lang w:val="en-US"/>
              </w:rPr>
              <w:t xml:space="preserve">4.12**    </w:t>
            </w:r>
          </w:p>
        </w:tc>
        <w:tc>
          <w:tcPr>
            <w:tcW w:w="1627" w:type="dxa"/>
            <w:tcBorders>
              <w:bottom w:val="single" w:sz="12" w:space="0" w:color="auto"/>
            </w:tcBorders>
          </w:tcPr>
          <w:p w14:paraId="41223349" w14:textId="66D90F40" w:rsidR="00E0212E" w:rsidRPr="000A181B" w:rsidRDefault="00E0212E" w:rsidP="006E7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A181B">
              <w:rPr>
                <w:rFonts w:ascii="Times New Roman" w:hAnsi="Times New Roman" w:cs="Times New Roman"/>
                <w:sz w:val="21"/>
                <w:szCs w:val="21"/>
                <w:lang w:val="en-US"/>
              </w:rPr>
              <w:t>0.</w:t>
            </w:r>
            <w:r w:rsidR="002E3E83" w:rsidRPr="000A181B">
              <w:rPr>
                <w:rFonts w:ascii="Times New Roman" w:hAnsi="Times New Roman" w:cs="Times New Roman"/>
                <w:sz w:val="21"/>
                <w:szCs w:val="21"/>
                <w:lang w:val="en-US"/>
              </w:rPr>
              <w:t>9</w:t>
            </w:r>
            <w:r w:rsidR="005257B6">
              <w:rPr>
                <w:rFonts w:ascii="Times New Roman" w:hAnsi="Times New Roman" w:cs="Times New Roman"/>
                <w:sz w:val="21"/>
                <w:szCs w:val="21"/>
                <w:lang w:val="en-US"/>
              </w:rPr>
              <w:t>8</w:t>
            </w:r>
            <w:r w:rsidR="002E3E83" w:rsidRPr="000A181B">
              <w:rPr>
                <w:rFonts w:ascii="Times New Roman" w:hAnsi="Times New Roman" w:cs="Times New Roman"/>
                <w:sz w:val="21"/>
                <w:szCs w:val="21"/>
                <w:lang w:val="en-US"/>
              </w:rPr>
              <w:t xml:space="preserve"> </w:t>
            </w:r>
            <w:proofErr w:type="spellStart"/>
            <w:r w:rsidR="000577CD" w:rsidRPr="002572A5">
              <w:rPr>
                <w:rFonts w:ascii="Times New Roman" w:hAnsi="Times New Roman" w:cs="Times New Roman"/>
                <w:sz w:val="21"/>
                <w:szCs w:val="21"/>
                <w:vertAlign w:val="superscript"/>
                <w:lang w:val="en-US"/>
              </w:rPr>
              <w:t>na</w:t>
            </w:r>
            <w:proofErr w:type="spellEnd"/>
            <w:r w:rsidR="002E3E83" w:rsidRPr="000A181B">
              <w:rPr>
                <w:rFonts w:ascii="Times New Roman" w:hAnsi="Times New Roman" w:cs="Times New Roman"/>
                <w:sz w:val="21"/>
                <w:szCs w:val="21"/>
                <w:lang w:val="en-US"/>
              </w:rPr>
              <w:t xml:space="preserve">           </w:t>
            </w:r>
          </w:p>
        </w:tc>
        <w:tc>
          <w:tcPr>
            <w:tcW w:w="1648" w:type="dxa"/>
            <w:tcBorders>
              <w:bottom w:val="single" w:sz="12" w:space="0" w:color="auto"/>
            </w:tcBorders>
          </w:tcPr>
          <w:p w14:paraId="5816606B" w14:textId="02ED0DD1" w:rsidR="00E0212E" w:rsidRPr="000A181B" w:rsidRDefault="00E0212E" w:rsidP="006E7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1"/>
                <w:szCs w:val="21"/>
                <w:lang w:val="en-US"/>
              </w:rPr>
            </w:pPr>
            <w:r w:rsidRPr="000A181B">
              <w:rPr>
                <w:rFonts w:ascii="Times New Roman" w:hAnsi="Times New Roman" w:cs="Times New Roman"/>
                <w:sz w:val="21"/>
                <w:szCs w:val="21"/>
                <w:lang w:val="en-US"/>
              </w:rPr>
              <w:t>0.</w:t>
            </w:r>
            <w:r w:rsidR="00B61A6E">
              <w:rPr>
                <w:rFonts w:ascii="Times New Roman" w:hAnsi="Times New Roman" w:cs="Times New Roman"/>
                <w:sz w:val="21"/>
                <w:szCs w:val="21"/>
                <w:lang w:val="en-US"/>
              </w:rPr>
              <w:t>73</w:t>
            </w:r>
            <w:r w:rsidR="00B61A6E" w:rsidRPr="000A181B">
              <w:rPr>
                <w:rFonts w:ascii="Times New Roman" w:hAnsi="Times New Roman" w:cs="Times New Roman"/>
                <w:sz w:val="21"/>
                <w:szCs w:val="21"/>
                <w:lang w:val="en-US"/>
              </w:rPr>
              <w:t xml:space="preserve"> </w:t>
            </w:r>
            <w:proofErr w:type="spellStart"/>
            <w:r w:rsidR="000577CD" w:rsidRPr="002572A5">
              <w:rPr>
                <w:rFonts w:ascii="Times New Roman" w:hAnsi="Times New Roman" w:cs="Times New Roman"/>
                <w:sz w:val="21"/>
                <w:szCs w:val="21"/>
                <w:vertAlign w:val="superscript"/>
                <w:lang w:val="en-US"/>
              </w:rPr>
              <w:t>na</w:t>
            </w:r>
            <w:proofErr w:type="spellEnd"/>
            <w:r w:rsidR="005A004F" w:rsidRPr="000A181B">
              <w:rPr>
                <w:rFonts w:ascii="Times New Roman" w:hAnsi="Times New Roman" w:cs="Times New Roman"/>
                <w:sz w:val="21"/>
                <w:szCs w:val="21"/>
                <w:lang w:val="en-US"/>
              </w:rPr>
              <w:t xml:space="preserve">            </w:t>
            </w:r>
          </w:p>
        </w:tc>
      </w:tr>
    </w:tbl>
    <w:p w14:paraId="0E587E23" w14:textId="1AC0D6C7" w:rsidR="00E0212E" w:rsidRPr="00752F5A" w:rsidRDefault="00E0212E" w:rsidP="00001C07">
      <w:pPr>
        <w:spacing w:after="0" w:line="240" w:lineRule="auto"/>
        <w:ind w:left="426" w:right="418"/>
        <w:jc w:val="both"/>
        <w:rPr>
          <w:sz w:val="20"/>
          <w:szCs w:val="20"/>
          <w:lang w:val="en-US"/>
        </w:rPr>
      </w:pPr>
      <w:r w:rsidRPr="00752F5A">
        <w:rPr>
          <w:sz w:val="20"/>
          <w:szCs w:val="20"/>
          <w:lang w:val="en-US"/>
        </w:rPr>
        <w:t>Notes: ***,</w:t>
      </w:r>
      <w:r w:rsidR="00001C07">
        <w:rPr>
          <w:sz w:val="20"/>
          <w:szCs w:val="20"/>
          <w:lang w:val="en-US"/>
        </w:rPr>
        <w:t xml:space="preserve"> </w:t>
      </w:r>
      <w:r w:rsidRPr="00752F5A">
        <w:rPr>
          <w:sz w:val="20"/>
          <w:szCs w:val="20"/>
          <w:lang w:val="en-US"/>
        </w:rPr>
        <w:t>**,</w:t>
      </w:r>
      <w:r w:rsidR="00001C07">
        <w:rPr>
          <w:sz w:val="20"/>
          <w:szCs w:val="20"/>
          <w:lang w:val="en-US"/>
        </w:rPr>
        <w:t xml:space="preserve"> </w:t>
      </w:r>
      <w:r w:rsidRPr="00752F5A">
        <w:rPr>
          <w:sz w:val="20"/>
          <w:szCs w:val="20"/>
          <w:lang w:val="en-US"/>
        </w:rPr>
        <w:t>* indicate significant difference</w:t>
      </w:r>
      <w:r w:rsidR="00484CD2">
        <w:rPr>
          <w:sz w:val="20"/>
          <w:szCs w:val="20"/>
          <w:lang w:val="en-US"/>
        </w:rPr>
        <w:t xml:space="preserve"> in bubble measures</w:t>
      </w:r>
      <w:r w:rsidRPr="00752F5A">
        <w:rPr>
          <w:sz w:val="20"/>
          <w:szCs w:val="20"/>
          <w:lang w:val="en-US"/>
        </w:rPr>
        <w:t xml:space="preserve"> between the</w:t>
      </w:r>
      <w:r w:rsidR="00D816D2">
        <w:rPr>
          <w:sz w:val="20"/>
          <w:szCs w:val="20"/>
          <w:lang w:val="en-US"/>
        </w:rPr>
        <w:t xml:space="preserve"> LNP replication treatment</w:t>
      </w:r>
      <w:r w:rsidR="00484CD2">
        <w:rPr>
          <w:sz w:val="20"/>
          <w:szCs w:val="20"/>
          <w:lang w:val="en-US"/>
        </w:rPr>
        <w:t>s</w:t>
      </w:r>
      <w:r w:rsidRPr="00752F5A">
        <w:rPr>
          <w:sz w:val="20"/>
          <w:szCs w:val="20"/>
          <w:lang w:val="en-US"/>
        </w:rPr>
        <w:t xml:space="preserve"> and the TAX</w:t>
      </w:r>
      <w:r w:rsidR="00484CD2">
        <w:rPr>
          <w:sz w:val="20"/>
          <w:szCs w:val="20"/>
          <w:lang w:val="en-US"/>
        </w:rPr>
        <w:t xml:space="preserve"> treatment</w:t>
      </w:r>
      <w:r w:rsidRPr="00752F5A">
        <w:rPr>
          <w:sz w:val="20"/>
          <w:szCs w:val="20"/>
          <w:lang w:val="en-US"/>
        </w:rPr>
        <w:t xml:space="preserve"> at the 1%, 5%, and 10% levels respectively, Mann-Whitney U </w:t>
      </w:r>
      <w:r w:rsidR="007E25FC">
        <w:rPr>
          <w:sz w:val="20"/>
          <w:szCs w:val="20"/>
          <w:lang w:val="en-US"/>
        </w:rPr>
        <w:t xml:space="preserve">exact </w:t>
      </w:r>
      <w:r w:rsidRPr="00752F5A">
        <w:rPr>
          <w:sz w:val="20"/>
          <w:szCs w:val="20"/>
          <w:lang w:val="en-US"/>
        </w:rPr>
        <w:t>test</w:t>
      </w:r>
    </w:p>
    <w:p w14:paraId="3857955E" w14:textId="77777777" w:rsidR="00564FF3" w:rsidRDefault="00B24B48" w:rsidP="00B24B48">
      <w:pPr>
        <w:jc w:val="both"/>
        <w:rPr>
          <w:lang w:val="en-US"/>
        </w:rPr>
      </w:pPr>
      <w:r>
        <w:rPr>
          <w:lang w:val="en-US"/>
        </w:rPr>
        <w:tab/>
      </w:r>
    </w:p>
    <w:p w14:paraId="6E2A5687" w14:textId="38A325FB" w:rsidR="00B24B48" w:rsidRPr="00480CCB" w:rsidRDefault="00564FF3" w:rsidP="00B24B48">
      <w:pPr>
        <w:jc w:val="both"/>
        <w:rPr>
          <w:bCs/>
          <w:lang w:val="en-US"/>
        </w:rPr>
      </w:pPr>
      <w:r>
        <w:rPr>
          <w:lang w:val="en-US"/>
        </w:rPr>
        <w:tab/>
      </w:r>
      <w:r w:rsidR="00B24B48" w:rsidRPr="00480CCB">
        <w:rPr>
          <w:lang w:val="en-US"/>
        </w:rPr>
        <w:t xml:space="preserve">Table </w:t>
      </w:r>
      <w:r w:rsidR="00B24B48">
        <w:rPr>
          <w:lang w:val="en-US"/>
        </w:rPr>
        <w:t>2</w:t>
      </w:r>
      <w:r w:rsidR="00B24B48" w:rsidRPr="00480CCB">
        <w:rPr>
          <w:lang w:val="en-US"/>
        </w:rPr>
        <w:t xml:space="preserve"> presents the bubble measures for all four treatments</w:t>
      </w:r>
      <w:r w:rsidR="005A004F">
        <w:rPr>
          <w:lang w:val="en-US"/>
        </w:rPr>
        <w:t>. First, it should be noted that</w:t>
      </w:r>
      <w:r>
        <w:rPr>
          <w:lang w:val="en-US"/>
        </w:rPr>
        <w:t xml:space="preserve"> inclusion of a no-speculation condition induces </w:t>
      </w:r>
      <w:r w:rsidR="00660991">
        <w:rPr>
          <w:lang w:val="en-US"/>
        </w:rPr>
        <w:t xml:space="preserve">larger </w:t>
      </w:r>
      <w:r>
        <w:rPr>
          <w:lang w:val="en-US"/>
        </w:rPr>
        <w:t xml:space="preserve">bubbles as </w:t>
      </w:r>
      <w:r w:rsidR="00617ADB">
        <w:rPr>
          <w:lang w:val="en-US"/>
        </w:rPr>
        <w:t>illustrated</w:t>
      </w:r>
      <w:r>
        <w:rPr>
          <w:lang w:val="en-US"/>
        </w:rPr>
        <w:t xml:space="preserve"> by the </w:t>
      </w:r>
      <w:r w:rsidR="00874302">
        <w:rPr>
          <w:lang w:val="en-US"/>
        </w:rPr>
        <w:t xml:space="preserve">greater </w:t>
      </w:r>
      <w:proofErr w:type="gramStart"/>
      <w:r>
        <w:rPr>
          <w:lang w:val="en-US"/>
        </w:rPr>
        <w:t>bubbles</w:t>
      </w:r>
      <w:proofErr w:type="gramEnd"/>
      <w:r>
        <w:rPr>
          <w:lang w:val="en-US"/>
        </w:rPr>
        <w:t xml:space="preserve"> measures of </w:t>
      </w:r>
      <w:proofErr w:type="spellStart"/>
      <w:r w:rsidR="005A004F">
        <w:rPr>
          <w:lang w:val="en-US"/>
        </w:rPr>
        <w:t>NoSpec</w:t>
      </w:r>
      <w:proofErr w:type="spellEnd"/>
      <w:r w:rsidR="005A004F">
        <w:rPr>
          <w:lang w:val="en-US"/>
        </w:rPr>
        <w:t xml:space="preserve"> and </w:t>
      </w:r>
      <w:proofErr w:type="spellStart"/>
      <w:r w:rsidR="005A004F">
        <w:rPr>
          <w:lang w:val="en-US"/>
        </w:rPr>
        <w:t>TMkt</w:t>
      </w:r>
      <w:proofErr w:type="spellEnd"/>
      <w:r w:rsidR="005A004F">
        <w:rPr>
          <w:lang w:val="en-US"/>
        </w:rPr>
        <w:t>/NS</w:t>
      </w:r>
      <w:r w:rsidR="00660991">
        <w:rPr>
          <w:lang w:val="en-US"/>
        </w:rPr>
        <w:t xml:space="preserve"> as</w:t>
      </w:r>
      <w:r w:rsidR="00874302">
        <w:rPr>
          <w:lang w:val="en-US"/>
        </w:rPr>
        <w:t xml:space="preserve"> compared </w:t>
      </w:r>
      <w:r w:rsidR="00660991">
        <w:rPr>
          <w:lang w:val="en-US"/>
        </w:rPr>
        <w:t xml:space="preserve">to </w:t>
      </w:r>
      <w:r w:rsidR="00272C82">
        <w:rPr>
          <w:lang w:val="en-US"/>
        </w:rPr>
        <w:t>the Baseline</w:t>
      </w:r>
      <w:r>
        <w:rPr>
          <w:lang w:val="en-US"/>
        </w:rPr>
        <w:t xml:space="preserve"> condition</w:t>
      </w:r>
      <w:r w:rsidR="005A004F">
        <w:rPr>
          <w:lang w:val="en-US"/>
        </w:rPr>
        <w:t>.</w:t>
      </w:r>
      <w:r w:rsidR="00874302">
        <w:rPr>
          <w:lang w:val="en-US"/>
        </w:rPr>
        <w:t xml:space="preserve"> Both RAD and RD in the </w:t>
      </w:r>
      <w:proofErr w:type="spellStart"/>
      <w:r w:rsidR="00874302">
        <w:rPr>
          <w:lang w:val="en-US"/>
        </w:rPr>
        <w:t>NoSpec</w:t>
      </w:r>
      <w:proofErr w:type="spellEnd"/>
      <w:r w:rsidR="00874302">
        <w:rPr>
          <w:lang w:val="en-US"/>
        </w:rPr>
        <w:t xml:space="preserve"> treatments are significantly greater than the respective measures in the Baseline treatment at 5% significance level.</w:t>
      </w:r>
      <w:r w:rsidR="005A004F">
        <w:rPr>
          <w:lang w:val="en-US"/>
        </w:rPr>
        <w:t xml:space="preserve"> Second, price</w:t>
      </w:r>
      <w:r w:rsidR="009D7643">
        <w:rPr>
          <w:lang w:val="en-US"/>
        </w:rPr>
        <w:t xml:space="preserve"> deviations</w:t>
      </w:r>
      <w:r w:rsidR="00B24B48" w:rsidRPr="00480CCB">
        <w:rPr>
          <w:lang w:val="en-US"/>
        </w:rPr>
        <w:t xml:space="preserve"> are substantially and significantly smaller in the TAX condition than in </w:t>
      </w:r>
      <w:r w:rsidR="009D7643">
        <w:rPr>
          <w:lang w:val="en-US"/>
        </w:rPr>
        <w:t xml:space="preserve">the </w:t>
      </w:r>
      <w:r w:rsidR="00B24B48">
        <w:rPr>
          <w:lang w:val="en-US"/>
        </w:rPr>
        <w:t>Baseline</w:t>
      </w:r>
      <w:r w:rsidR="009D7643">
        <w:rPr>
          <w:lang w:val="en-US"/>
        </w:rPr>
        <w:t xml:space="preserve"> condition and</w:t>
      </w:r>
      <w:r w:rsidR="00617ADB">
        <w:rPr>
          <w:lang w:val="en-US"/>
        </w:rPr>
        <w:t xml:space="preserve"> </w:t>
      </w:r>
      <w:r w:rsidR="009D7643">
        <w:rPr>
          <w:lang w:val="en-US"/>
        </w:rPr>
        <w:t>the no</w:t>
      </w:r>
      <w:r w:rsidR="00617ADB">
        <w:rPr>
          <w:lang w:val="en-US"/>
        </w:rPr>
        <w:t>-</w:t>
      </w:r>
      <w:r w:rsidR="009D7643">
        <w:rPr>
          <w:lang w:val="en-US"/>
        </w:rPr>
        <w:t>speculation treatments</w:t>
      </w:r>
      <w:r w:rsidR="000A181B">
        <w:rPr>
          <w:lang w:val="en-US"/>
        </w:rPr>
        <w:t xml:space="preserve"> (p&lt;0.05)</w:t>
      </w:r>
      <w:r w:rsidR="009D7643">
        <w:rPr>
          <w:lang w:val="en-US"/>
        </w:rPr>
        <w:t>.</w:t>
      </w:r>
    </w:p>
    <w:p w14:paraId="18B49788" w14:textId="125FA017" w:rsidR="00617ADB" w:rsidRDefault="00E0212E" w:rsidP="00C21706">
      <w:pPr>
        <w:jc w:val="both"/>
      </w:pPr>
      <w:r>
        <w:rPr>
          <w:sz w:val="22"/>
          <w:szCs w:val="22"/>
          <w:lang w:val="en-US"/>
        </w:rPr>
        <w:tab/>
      </w:r>
      <w:r w:rsidR="00986AA4">
        <w:t>One may argue that although there is no pattern of bubble and crash</w:t>
      </w:r>
      <w:r w:rsidR="00DD1458">
        <w:t xml:space="preserve"> in the TAX treatment</w:t>
      </w:r>
      <w:r w:rsidR="00617ADB">
        <w:t xml:space="preserve"> as represented in Figure 1</w:t>
      </w:r>
      <w:r w:rsidR="00986AA4">
        <w:t>, prices</w:t>
      </w:r>
      <w:r w:rsidR="00617ADB">
        <w:t xml:space="preserve"> appear to </w:t>
      </w:r>
      <w:r w:rsidR="00986AA4">
        <w:t xml:space="preserve">still </w:t>
      </w:r>
      <w:r w:rsidR="00617ADB">
        <w:t xml:space="preserve">be </w:t>
      </w:r>
      <w:r w:rsidR="00986AA4">
        <w:t xml:space="preserve">above the fundamental value on average. </w:t>
      </w:r>
      <w:r w:rsidR="00617ADB">
        <w:t>However, the RD bubble measure</w:t>
      </w:r>
      <w:r w:rsidR="00397194">
        <w:t xml:space="preserve"> for TAX is quite small (0.25) and not significantly different than 0</w:t>
      </w:r>
      <w:r w:rsidR="0017003A">
        <w:t xml:space="preserve"> at any conventional significance level</w:t>
      </w:r>
      <w:r w:rsidR="00CD364E">
        <w:t xml:space="preserve"> </w:t>
      </w:r>
      <w:r w:rsidR="00397194">
        <w:t>(Wilcoxon Signed-rank exact test). Therefore,</w:t>
      </w:r>
      <w:r w:rsidR="00617ADB">
        <w:t xml:space="preserve"> </w:t>
      </w:r>
      <w:r w:rsidR="00397194">
        <w:t xml:space="preserve">there is no significant deviation in price from fundamental value.  </w:t>
      </w:r>
    </w:p>
    <w:p w14:paraId="70BAAF56" w14:textId="1C540A23" w:rsidR="000F01F4" w:rsidRPr="00631D60" w:rsidRDefault="00986AA4" w:rsidP="00FC6F0A">
      <w:pPr>
        <w:jc w:val="both"/>
      </w:pPr>
      <w:r>
        <w:lastRenderedPageBreak/>
        <w:tab/>
      </w:r>
      <w:r w:rsidR="003D18EE">
        <w:t xml:space="preserve">We conclude that </w:t>
      </w:r>
      <w:r w:rsidR="00DD1458">
        <w:t>when</w:t>
      </w:r>
      <w:r w:rsidR="00DD1458" w:rsidRPr="00480CCB">
        <w:rPr>
          <w:lang w:val="en-US"/>
        </w:rPr>
        <w:t xml:space="preserve"> </w:t>
      </w:r>
      <w:r w:rsidR="000F01F4" w:rsidRPr="00480CCB">
        <w:rPr>
          <w:lang w:val="en-US"/>
        </w:rPr>
        <w:t>the incentives for speculation are eliminated, bubbles do not occur</w:t>
      </w:r>
      <w:r w:rsidR="001D1C7C" w:rsidRPr="00480CCB">
        <w:rPr>
          <w:lang w:val="en-US"/>
        </w:rPr>
        <w:t xml:space="preserve"> even in the presence of confusion and/or lack of common expectations</w:t>
      </w:r>
      <w:r w:rsidR="000F01F4" w:rsidRPr="00480CCB">
        <w:rPr>
          <w:lang w:val="en-US"/>
        </w:rPr>
        <w:t xml:space="preserve">. This provides direct evidence that bubbles are predominantly speculative in nature.  </w:t>
      </w:r>
    </w:p>
    <w:p w14:paraId="76EE1F4C" w14:textId="77703AB6" w:rsidR="00CE2D97" w:rsidRDefault="00CE2D97">
      <w:pPr>
        <w:tabs>
          <w:tab w:val="clear" w:pos="425"/>
        </w:tabs>
        <w:spacing w:after="0" w:line="240" w:lineRule="auto"/>
        <w:rPr>
          <w:b/>
          <w:bCs/>
          <w:lang w:val="en-US"/>
        </w:rPr>
      </w:pPr>
    </w:p>
    <w:p w14:paraId="665D366F" w14:textId="6BF6D249" w:rsidR="00116FDE" w:rsidRPr="00480CCB" w:rsidRDefault="007E5E51" w:rsidP="00726628">
      <w:pPr>
        <w:jc w:val="both"/>
        <w:rPr>
          <w:b/>
          <w:bCs/>
          <w:lang w:val="en-US"/>
        </w:rPr>
      </w:pPr>
      <w:r>
        <w:rPr>
          <w:b/>
          <w:bCs/>
          <w:lang w:val="en-US"/>
        </w:rPr>
        <w:t>4</w:t>
      </w:r>
      <w:r w:rsidR="00436BB4" w:rsidRPr="00480CCB">
        <w:rPr>
          <w:b/>
          <w:bCs/>
          <w:lang w:val="en-US"/>
        </w:rPr>
        <w:t xml:space="preserve">. </w:t>
      </w:r>
      <w:r w:rsidR="0014050B" w:rsidRPr="00480CCB">
        <w:rPr>
          <w:b/>
          <w:bCs/>
          <w:lang w:val="en-US"/>
        </w:rPr>
        <w:t>Probing the underlying mechanism</w:t>
      </w:r>
    </w:p>
    <w:p w14:paraId="6F0BAEA2" w14:textId="54443DB9" w:rsidR="00436BB4" w:rsidRPr="00480CCB" w:rsidRDefault="007E5E51" w:rsidP="00436BB4">
      <w:pPr>
        <w:rPr>
          <w:b/>
          <w:bCs/>
          <w:lang w:val="en-US"/>
        </w:rPr>
      </w:pPr>
      <w:r>
        <w:rPr>
          <w:b/>
          <w:bCs/>
          <w:lang w:val="en-US"/>
        </w:rPr>
        <w:t>4</w:t>
      </w:r>
      <w:r w:rsidR="00436BB4" w:rsidRPr="00480CCB">
        <w:rPr>
          <w:b/>
          <w:bCs/>
          <w:lang w:val="en-US"/>
        </w:rPr>
        <w:t xml:space="preserve">.1 Measuring cognitive </w:t>
      </w:r>
      <w:proofErr w:type="gramStart"/>
      <w:r w:rsidR="00436BB4" w:rsidRPr="00480CCB">
        <w:rPr>
          <w:b/>
          <w:bCs/>
          <w:lang w:val="en-US"/>
        </w:rPr>
        <w:t>ability</w:t>
      </w:r>
      <w:proofErr w:type="gramEnd"/>
    </w:p>
    <w:p w14:paraId="2E376D9F" w14:textId="3E9F6DB6" w:rsidR="00436BB4" w:rsidRDefault="00436BB4" w:rsidP="00436BB4">
      <w:pPr>
        <w:jc w:val="both"/>
        <w:rPr>
          <w:lang w:val="en-US"/>
        </w:rPr>
      </w:pPr>
      <w:r w:rsidRPr="00480CCB">
        <w:rPr>
          <w:lang w:val="en-US"/>
        </w:rPr>
        <w:t>At the start of each session, we measure</w:t>
      </w:r>
      <w:r w:rsidR="00DC318C" w:rsidRPr="00480CCB">
        <w:rPr>
          <w:lang w:val="en-US"/>
        </w:rPr>
        <w:t>d</w:t>
      </w:r>
      <w:r w:rsidRPr="00480CCB">
        <w:rPr>
          <w:lang w:val="en-US"/>
        </w:rPr>
        <w:t xml:space="preserve"> subjects’ cognitive ability using the Raven’s Advanced Progressive Matrices (APM, Raven et al., 1998). The APM test can be considered as a test on fluid intelligence that predicts the ability to solve problems in a novel environment (Mackintosh, 2011), such as a fast-changing asset market. We hypothesize that those who score high on the APM test would also perform well in the market. We employ a short form of the APM test, containing 12 selected items from the original set (</w:t>
      </w:r>
      <w:proofErr w:type="spellStart"/>
      <w:r w:rsidRPr="00480CCB">
        <w:rPr>
          <w:lang w:val="en-US"/>
        </w:rPr>
        <w:t>Bors</w:t>
      </w:r>
      <w:proofErr w:type="spellEnd"/>
      <w:r w:rsidRPr="00480CCB">
        <w:rPr>
          <w:lang w:val="en-US"/>
        </w:rPr>
        <w:t xml:space="preserve"> and Stokes, 1998). </w:t>
      </w:r>
      <w:r w:rsidR="00CE2D97">
        <w:rPr>
          <w:lang w:val="en-US"/>
        </w:rPr>
        <w:t xml:space="preserve">The </w:t>
      </w:r>
      <w:r w:rsidRPr="00480CCB">
        <w:rPr>
          <w:lang w:val="en-US"/>
        </w:rPr>
        <w:t>subjects</w:t>
      </w:r>
      <w:r w:rsidR="00CE2D97">
        <w:rPr>
          <w:lang w:val="en-US"/>
        </w:rPr>
        <w:t xml:space="preserve"> had</w:t>
      </w:r>
      <w:r w:rsidRPr="00480CCB">
        <w:rPr>
          <w:lang w:val="en-US"/>
        </w:rPr>
        <w:t xml:space="preserve"> 10 minutes </w:t>
      </w:r>
      <w:r w:rsidR="00CE2D97">
        <w:rPr>
          <w:lang w:val="en-US"/>
        </w:rPr>
        <w:t>to complete</w:t>
      </w:r>
      <w:r w:rsidR="00CE2D97" w:rsidRPr="00480CCB">
        <w:rPr>
          <w:lang w:val="en-US"/>
        </w:rPr>
        <w:t xml:space="preserve"> </w:t>
      </w:r>
      <w:r w:rsidRPr="00480CCB">
        <w:rPr>
          <w:lang w:val="en-US"/>
        </w:rPr>
        <w:t>the task</w:t>
      </w:r>
      <w:r w:rsidR="00CE2D97">
        <w:rPr>
          <w:lang w:val="en-US"/>
        </w:rPr>
        <w:t>.  We</w:t>
      </w:r>
      <w:r w:rsidRPr="00480CCB">
        <w:rPr>
          <w:lang w:val="en-US"/>
        </w:rPr>
        <w:t xml:space="preserve"> measure the number of questions they answer correctly </w:t>
      </w:r>
      <w:r w:rsidR="00CE2D97">
        <w:rPr>
          <w:lang w:val="en-US"/>
        </w:rPr>
        <w:t>and</w:t>
      </w:r>
      <w:r w:rsidRPr="00480CCB">
        <w:rPr>
          <w:lang w:val="en-US"/>
        </w:rPr>
        <w:t xml:space="preserve"> loosely refer </w:t>
      </w:r>
      <w:r w:rsidR="00A14431" w:rsidRPr="00480CCB">
        <w:rPr>
          <w:lang w:val="en-US"/>
        </w:rPr>
        <w:t>to</w:t>
      </w:r>
      <w:r w:rsidR="00CE2D97">
        <w:rPr>
          <w:lang w:val="en-US"/>
        </w:rPr>
        <w:t xml:space="preserve"> this as</w:t>
      </w:r>
      <w:r w:rsidRPr="00480CCB">
        <w:rPr>
          <w:lang w:val="en-US"/>
        </w:rPr>
        <w:t xml:space="preserve"> the IQ score hereafter. The APM test is incentivized such that (1) a higher score yields a higher chance to win a prize of $10, and (2) subjects could never identify their number of correct answers exactly (</w:t>
      </w:r>
      <w:r w:rsidR="00A14431" w:rsidRPr="00480CCB">
        <w:rPr>
          <w:lang w:val="en-US"/>
        </w:rPr>
        <w:t xml:space="preserve">see </w:t>
      </w:r>
      <w:r w:rsidR="00CD5304" w:rsidRPr="00480CCB">
        <w:rPr>
          <w:lang w:val="en-US"/>
        </w:rPr>
        <w:t>Kocher et al, 2019</w:t>
      </w:r>
      <w:r w:rsidRPr="00480CCB">
        <w:rPr>
          <w:lang w:val="en-US"/>
        </w:rPr>
        <w:t xml:space="preserve">). </w:t>
      </w:r>
      <w:r w:rsidR="00454B72">
        <w:rPr>
          <w:lang w:val="en-US"/>
        </w:rPr>
        <w:t>Also, t</w:t>
      </w:r>
      <w:r w:rsidRPr="00480CCB">
        <w:rPr>
          <w:lang w:val="en-US"/>
        </w:rPr>
        <w:t xml:space="preserve">hey </w:t>
      </w:r>
      <w:r w:rsidR="00454B72">
        <w:rPr>
          <w:lang w:val="en-US"/>
        </w:rPr>
        <w:t>are not informed of</w:t>
      </w:r>
      <w:r w:rsidRPr="00480CCB">
        <w:rPr>
          <w:lang w:val="en-US"/>
        </w:rPr>
        <w:t xml:space="preserve"> their earnings </w:t>
      </w:r>
      <w:r w:rsidR="00454B72">
        <w:rPr>
          <w:lang w:val="en-US"/>
        </w:rPr>
        <w:t>for this task</w:t>
      </w:r>
      <w:r w:rsidRPr="00480CCB">
        <w:rPr>
          <w:lang w:val="en-US"/>
        </w:rPr>
        <w:t xml:space="preserve"> until the end of the market experiment.</w:t>
      </w:r>
    </w:p>
    <w:p w14:paraId="38FD78AF" w14:textId="7A732C8E" w:rsidR="00436BB4" w:rsidRPr="00480CCB" w:rsidRDefault="00582505" w:rsidP="00DC318C">
      <w:pPr>
        <w:tabs>
          <w:tab w:val="clear" w:pos="425"/>
        </w:tabs>
        <w:spacing w:after="0" w:line="240" w:lineRule="auto"/>
        <w:rPr>
          <w:b/>
          <w:bCs/>
          <w:lang w:val="en-US"/>
        </w:rPr>
      </w:pPr>
      <w:r>
        <w:rPr>
          <w:b/>
          <w:bCs/>
          <w:lang w:val="en-US"/>
        </w:rPr>
        <w:t>4</w:t>
      </w:r>
      <w:r w:rsidR="00436BB4" w:rsidRPr="00480CCB">
        <w:rPr>
          <w:b/>
          <w:bCs/>
          <w:lang w:val="en-US"/>
        </w:rPr>
        <w:t xml:space="preserve">.2 </w:t>
      </w:r>
      <w:r w:rsidR="00235436">
        <w:rPr>
          <w:b/>
          <w:bCs/>
          <w:lang w:val="en-US"/>
        </w:rPr>
        <w:t xml:space="preserve">Bidding strategy and cognitive ability </w:t>
      </w:r>
    </w:p>
    <w:p w14:paraId="6B25519F" w14:textId="77777777" w:rsidR="002D4395" w:rsidRPr="00480CCB" w:rsidRDefault="002D4395" w:rsidP="00DC318C">
      <w:pPr>
        <w:tabs>
          <w:tab w:val="clear" w:pos="425"/>
        </w:tabs>
        <w:spacing w:after="0" w:line="240" w:lineRule="auto"/>
        <w:rPr>
          <w:b/>
          <w:bCs/>
          <w:lang w:val="en-US"/>
        </w:rPr>
      </w:pPr>
    </w:p>
    <w:p w14:paraId="78F17FC0" w14:textId="48ECBB2E" w:rsidR="00632B5D" w:rsidRPr="00480CCB" w:rsidRDefault="00F95C7F" w:rsidP="00632B5D">
      <w:pPr>
        <w:jc w:val="both"/>
        <w:rPr>
          <w:lang w:val="en-US" w:eastAsia="zh-CN"/>
        </w:rPr>
      </w:pPr>
      <w:r>
        <w:rPr>
          <w:lang w:val="en-US"/>
        </w:rPr>
        <w:t>Since there are no gains from speculating in the presence of the tax, w</w:t>
      </w:r>
      <w:r w:rsidR="00436BB4" w:rsidRPr="00480CCB">
        <w:rPr>
          <w:lang w:val="en-US"/>
        </w:rPr>
        <w:t xml:space="preserve">e argue that </w:t>
      </w:r>
      <w:r w:rsidR="0073128C" w:rsidRPr="00480CCB">
        <w:rPr>
          <w:lang w:val="en-US"/>
        </w:rPr>
        <w:t>sophisticated traders</w:t>
      </w:r>
      <w:r w:rsidR="00235968" w:rsidRPr="00480CCB">
        <w:rPr>
          <w:lang w:val="en-US"/>
        </w:rPr>
        <w:t xml:space="preserve"> </w:t>
      </w:r>
      <w:r w:rsidR="008D2575">
        <w:rPr>
          <w:lang w:val="en-US"/>
        </w:rPr>
        <w:t>will</w:t>
      </w:r>
      <w:r w:rsidR="008D2575" w:rsidRPr="00480CCB">
        <w:rPr>
          <w:lang w:val="en-US"/>
        </w:rPr>
        <w:t xml:space="preserve"> </w:t>
      </w:r>
      <w:r w:rsidR="0073128C" w:rsidRPr="00480CCB">
        <w:rPr>
          <w:lang w:val="en-US"/>
        </w:rPr>
        <w:t xml:space="preserve">bid more conservatively than less sophisticated traders in the </w:t>
      </w:r>
      <w:r w:rsidR="00AA069F" w:rsidRPr="00480CCB">
        <w:rPr>
          <w:lang w:val="en-US"/>
        </w:rPr>
        <w:t>TAX</w:t>
      </w:r>
      <w:r w:rsidR="0073128C" w:rsidRPr="00480CCB">
        <w:rPr>
          <w:lang w:val="en-US"/>
        </w:rPr>
        <w:t xml:space="preserve"> treatment</w:t>
      </w:r>
      <w:r w:rsidR="00DE6C74">
        <w:rPr>
          <w:lang w:val="en-US"/>
        </w:rPr>
        <w:t>.  However, this relationship may not be present</w:t>
      </w:r>
      <w:r w:rsidR="0073128C" w:rsidRPr="00480CCB">
        <w:rPr>
          <w:lang w:val="en-US"/>
        </w:rPr>
        <w:t xml:space="preserve"> in </w:t>
      </w:r>
      <w:r w:rsidR="00851ECB" w:rsidRPr="00480CCB">
        <w:rPr>
          <w:lang w:val="en-US"/>
        </w:rPr>
        <w:t xml:space="preserve">the no-speculation </w:t>
      </w:r>
      <w:r w:rsidR="0073128C" w:rsidRPr="00480CCB">
        <w:rPr>
          <w:lang w:val="en-US"/>
        </w:rPr>
        <w:t>treatments</w:t>
      </w:r>
      <w:r w:rsidR="00472373" w:rsidRPr="00480CCB">
        <w:rPr>
          <w:lang w:val="en-US"/>
        </w:rPr>
        <w:t xml:space="preserve"> </w:t>
      </w:r>
      <w:r w:rsidR="00DE6C74">
        <w:rPr>
          <w:lang w:val="en-US"/>
        </w:rPr>
        <w:t>due to</w:t>
      </w:r>
      <w:r w:rsidR="00DE6C74" w:rsidRPr="00480CCB">
        <w:rPr>
          <w:lang w:val="en-US"/>
        </w:rPr>
        <w:t xml:space="preserve"> </w:t>
      </w:r>
      <w:r w:rsidR="00472373" w:rsidRPr="00480CCB">
        <w:rPr>
          <w:lang w:val="en-US"/>
        </w:rPr>
        <w:t xml:space="preserve">behavioral </w:t>
      </w:r>
      <w:r w:rsidR="00436BB4" w:rsidRPr="00480CCB">
        <w:rPr>
          <w:lang w:val="en-US"/>
        </w:rPr>
        <w:t xml:space="preserve">issues </w:t>
      </w:r>
      <w:r w:rsidR="00EC7256" w:rsidRPr="00480CCB">
        <w:rPr>
          <w:lang w:val="en-US"/>
        </w:rPr>
        <w:t xml:space="preserve">induced by the </w:t>
      </w:r>
      <w:r w:rsidR="00DE6C74">
        <w:rPr>
          <w:lang w:val="en-US"/>
        </w:rPr>
        <w:t xml:space="preserve">LNP </w:t>
      </w:r>
      <w:r w:rsidR="00EC7256" w:rsidRPr="00480CCB">
        <w:rPr>
          <w:lang w:val="en-US"/>
        </w:rPr>
        <w:t xml:space="preserve">design </w:t>
      </w:r>
      <w:r w:rsidR="00DE6C74">
        <w:rPr>
          <w:lang w:val="en-US"/>
        </w:rPr>
        <w:t xml:space="preserve">that </w:t>
      </w:r>
      <w:r w:rsidR="00436BB4" w:rsidRPr="00480CCB">
        <w:rPr>
          <w:lang w:val="en-US"/>
        </w:rPr>
        <w:t xml:space="preserve">may </w:t>
      </w:r>
      <w:r w:rsidR="00DE6C74">
        <w:rPr>
          <w:lang w:val="en-US"/>
        </w:rPr>
        <w:t xml:space="preserve">even </w:t>
      </w:r>
      <w:r w:rsidR="00436BB4" w:rsidRPr="00480CCB">
        <w:rPr>
          <w:lang w:val="en-US"/>
        </w:rPr>
        <w:t xml:space="preserve">affect </w:t>
      </w:r>
      <w:r w:rsidR="00DE6C74">
        <w:rPr>
          <w:lang w:val="en-US"/>
        </w:rPr>
        <w:t>the bidding behavior of</w:t>
      </w:r>
      <w:r w:rsidR="00436BB4" w:rsidRPr="00480CCB">
        <w:rPr>
          <w:lang w:val="en-US"/>
        </w:rPr>
        <w:t xml:space="preserve"> those who </w:t>
      </w:r>
      <w:r w:rsidR="00DE6C74">
        <w:rPr>
          <w:lang w:val="en-US"/>
        </w:rPr>
        <w:t xml:space="preserve">clearly </w:t>
      </w:r>
      <w:r w:rsidR="00436BB4" w:rsidRPr="00480CCB">
        <w:rPr>
          <w:lang w:val="en-US"/>
        </w:rPr>
        <w:t xml:space="preserve">understand the </w:t>
      </w:r>
      <w:r w:rsidR="005A026E" w:rsidRPr="00480CCB">
        <w:rPr>
          <w:lang w:val="en-US"/>
        </w:rPr>
        <w:t>market features</w:t>
      </w:r>
      <w:r w:rsidR="00DE6C74">
        <w:rPr>
          <w:lang w:val="en-US"/>
        </w:rPr>
        <w:t>, as argued by Tucker and Xu (202</w:t>
      </w:r>
      <w:r w:rsidR="00D34FA9">
        <w:rPr>
          <w:lang w:val="en-US"/>
        </w:rPr>
        <w:t>4</w:t>
      </w:r>
      <w:r w:rsidR="00DE6C74">
        <w:rPr>
          <w:lang w:val="en-US"/>
        </w:rPr>
        <w:t>)</w:t>
      </w:r>
      <w:r w:rsidR="0073128C" w:rsidRPr="00480CCB">
        <w:rPr>
          <w:lang w:val="en-US"/>
        </w:rPr>
        <w:t>.</w:t>
      </w:r>
      <w:r w:rsidR="00235968" w:rsidRPr="00480CCB">
        <w:rPr>
          <w:lang w:val="en-US"/>
        </w:rPr>
        <w:t xml:space="preserve"> </w:t>
      </w:r>
      <w:r w:rsidR="00851ECB" w:rsidRPr="00480CCB">
        <w:rPr>
          <w:lang w:val="en-US"/>
        </w:rPr>
        <w:t>W</w:t>
      </w:r>
      <w:r w:rsidR="00632B5D" w:rsidRPr="00480CCB">
        <w:rPr>
          <w:lang w:val="en-US"/>
        </w:rPr>
        <w:t>e construct two variables measuring bid</w:t>
      </w:r>
      <w:r w:rsidR="00851ECB" w:rsidRPr="00480CCB">
        <w:rPr>
          <w:lang w:val="en-US"/>
        </w:rPr>
        <w:t>ding behavior</w:t>
      </w:r>
      <w:r w:rsidR="00632B5D" w:rsidRPr="00480CCB">
        <w:rPr>
          <w:lang w:val="en-US"/>
        </w:rPr>
        <w:t xml:space="preserve"> using buyer proposed bids</w:t>
      </w:r>
      <w:r w:rsidR="00851ECB" w:rsidRPr="00480CCB">
        <w:rPr>
          <w:lang w:val="en-US"/>
        </w:rPr>
        <w:t xml:space="preserve"> in the market</w:t>
      </w:r>
      <w:r w:rsidR="00632B5D" w:rsidRPr="00480CCB">
        <w:rPr>
          <w:lang w:val="en-US"/>
        </w:rPr>
        <w:t>. These proposed bids are not necessarily accepted by other traders if they are not high enough. We are interested in both the difference between the proposed bids and the fundamental values of the asset and the proposed bids relative to maximum possible value of the asset, namely (</w:t>
      </w:r>
      <m:oMath>
        <m:r>
          <w:rPr>
            <w:rFonts w:ascii="Cambria Math" w:hAnsi="Cambria Math"/>
            <w:lang w:val="en-US"/>
          </w:rPr>
          <m:t>Bids-FVs</m:t>
        </m:r>
      </m:oMath>
      <w:r w:rsidR="00632B5D" w:rsidRPr="00480CCB">
        <w:rPr>
          <w:lang w:val="en-US"/>
        </w:rPr>
        <w:t>) and (</w:t>
      </w:r>
      <m:oMath>
        <m:r>
          <w:rPr>
            <w:rFonts w:ascii="Cambria Math" w:hAnsi="Cambria Math"/>
            <w:lang w:val="en-US"/>
          </w:rPr>
          <m:t>Bids-MaxValues</m:t>
        </m:r>
      </m:oMath>
      <w:r w:rsidR="00632B5D" w:rsidRPr="00480CCB">
        <w:rPr>
          <w:lang w:val="en-US"/>
        </w:rPr>
        <w:t xml:space="preserve">) </w:t>
      </w:r>
      <w:r w:rsidR="00632B5D" w:rsidRPr="00480CCB">
        <w:rPr>
          <w:lang w:val="en-US"/>
        </w:rPr>
        <w:lastRenderedPageBreak/>
        <w:t xml:space="preserve">respectively. If traders </w:t>
      </w:r>
      <w:r w:rsidR="00382639" w:rsidRPr="00480CCB">
        <w:rPr>
          <w:lang w:val="en-US"/>
        </w:rPr>
        <w:t xml:space="preserve">are </w:t>
      </w:r>
      <w:r w:rsidR="00632B5D" w:rsidRPr="00480CCB">
        <w:rPr>
          <w:lang w:val="en-US"/>
        </w:rPr>
        <w:t>risk-seeking, they might be willing to pay more than the fundamental values</w:t>
      </w:r>
      <w:r w:rsidR="00FC1C31" w:rsidRPr="00480CCB">
        <w:rPr>
          <w:lang w:val="en-US"/>
        </w:rPr>
        <w:t xml:space="preserve"> (</w:t>
      </w:r>
      <m:oMath>
        <m:r>
          <w:rPr>
            <w:rFonts w:ascii="Cambria Math" w:hAnsi="Cambria Math"/>
            <w:lang w:val="en-US"/>
          </w:rPr>
          <m:t>Bids-FVs</m:t>
        </m:r>
      </m:oMath>
      <w:r w:rsidR="00FC1C31" w:rsidRPr="00480CCB">
        <w:rPr>
          <w:lang w:val="en-US"/>
        </w:rPr>
        <w:t>)</w:t>
      </w:r>
      <w:r w:rsidR="00632B5D" w:rsidRPr="00480CCB">
        <w:rPr>
          <w:lang w:val="en-US"/>
        </w:rPr>
        <w:t xml:space="preserve">. </w:t>
      </w:r>
      <w:r w:rsidR="00664388" w:rsidRPr="00480CCB">
        <w:rPr>
          <w:lang w:val="en-US"/>
        </w:rPr>
        <w:t>This measure may thus be influenced by differences in risk attitude for people of different IQ (</w:t>
      </w:r>
      <w:r w:rsidR="00F903DA" w:rsidRPr="00480CCB">
        <w:rPr>
          <w:lang w:val="en-US"/>
        </w:rPr>
        <w:t>Kocher et al., 2019</w:t>
      </w:r>
      <w:r w:rsidR="00664388" w:rsidRPr="00480CCB">
        <w:rPr>
          <w:lang w:val="en-US"/>
        </w:rPr>
        <w:t xml:space="preserve">). </w:t>
      </w:r>
      <w:r w:rsidR="00DB61F6" w:rsidRPr="00480CCB">
        <w:rPr>
          <w:lang w:val="en-US"/>
        </w:rPr>
        <w:t xml:space="preserve">However, </w:t>
      </w:r>
      <w:r w:rsidR="00632B5D" w:rsidRPr="00480CCB">
        <w:rPr>
          <w:lang w:val="en-US"/>
        </w:rPr>
        <w:t>since capital gains are made impossible, there is no valid financial reason to pay more than the sum of the maximum possible dividend</w:t>
      </w:r>
      <w:r w:rsidR="00851ECB" w:rsidRPr="00480CCB">
        <w:rPr>
          <w:lang w:val="en-US"/>
        </w:rPr>
        <w:t>s</w:t>
      </w:r>
      <w:r w:rsidR="00632B5D" w:rsidRPr="00480CCB">
        <w:rPr>
          <w:lang w:val="en-US"/>
        </w:rPr>
        <w:t xml:space="preserve"> (</w:t>
      </w:r>
      <m:oMath>
        <m:r>
          <w:rPr>
            <w:rFonts w:ascii="Cambria Math" w:hAnsi="Cambria Math"/>
            <w:lang w:val="en-US"/>
          </w:rPr>
          <m:t>Bids-MaxValues</m:t>
        </m:r>
      </m:oMath>
      <w:r w:rsidR="00632B5D" w:rsidRPr="00480CCB">
        <w:rPr>
          <w:lang w:val="en-US"/>
        </w:rPr>
        <w:t xml:space="preserve">). </w:t>
      </w:r>
      <w:r w:rsidR="00FC1C31" w:rsidRPr="00480CCB">
        <w:rPr>
          <w:lang w:val="en-US"/>
        </w:rPr>
        <w:t xml:space="preserve">Thus, it is more unlikely for more sophisticated traders to bid above maximum value, though they may still bid above the fundamental value in the hope of lucky dividends draw. </w:t>
      </w:r>
      <w:r w:rsidR="00632B5D" w:rsidRPr="00480CCB">
        <w:rPr>
          <w:lang w:val="en-US"/>
        </w:rPr>
        <w:t xml:space="preserve">We </w:t>
      </w:r>
      <w:r w:rsidR="00851ECB" w:rsidRPr="00480CCB">
        <w:rPr>
          <w:lang w:val="en-US"/>
        </w:rPr>
        <w:t xml:space="preserve">test </w:t>
      </w:r>
      <w:r w:rsidR="00632B5D" w:rsidRPr="00480CCB">
        <w:rPr>
          <w:lang w:val="en-US"/>
        </w:rPr>
        <w:t xml:space="preserve">if sophisticated traders </w:t>
      </w:r>
      <w:r>
        <w:rPr>
          <w:lang w:val="en-US"/>
        </w:rPr>
        <w:t>post lower</w:t>
      </w:r>
      <w:r w:rsidR="00851ECB" w:rsidRPr="00480CCB">
        <w:rPr>
          <w:lang w:val="en-US"/>
        </w:rPr>
        <w:t xml:space="preserve"> bids</w:t>
      </w:r>
      <w:r w:rsidR="00632B5D" w:rsidRPr="00480CCB">
        <w:rPr>
          <w:lang w:val="en-US"/>
        </w:rPr>
        <w:t xml:space="preserve"> because there are no incentives </w:t>
      </w:r>
      <w:r w:rsidR="00851ECB" w:rsidRPr="00480CCB">
        <w:rPr>
          <w:lang w:val="en-US"/>
        </w:rPr>
        <w:t xml:space="preserve">or </w:t>
      </w:r>
      <w:r w:rsidR="00632B5D" w:rsidRPr="00480CCB">
        <w:rPr>
          <w:lang w:val="en-US"/>
        </w:rPr>
        <w:t xml:space="preserve">behavioral motives to do so in the </w:t>
      </w:r>
      <w:r w:rsidR="00F903DA" w:rsidRPr="00480CCB">
        <w:rPr>
          <w:lang w:val="en-US"/>
        </w:rPr>
        <w:t>TAX</w:t>
      </w:r>
      <w:r w:rsidR="00632B5D" w:rsidRPr="00480CCB">
        <w:rPr>
          <w:lang w:val="en-US"/>
        </w:rPr>
        <w:t xml:space="preserve"> treatment. Traders </w:t>
      </w:r>
      <w:proofErr w:type="gramStart"/>
      <w:r w:rsidR="00632B5D" w:rsidRPr="00480CCB">
        <w:rPr>
          <w:lang w:val="en-US"/>
        </w:rPr>
        <w:t>are considered to be</w:t>
      </w:r>
      <w:proofErr w:type="gramEnd"/>
      <w:r w:rsidR="006D0668" w:rsidRPr="00480CCB">
        <w:rPr>
          <w:lang w:val="en-US"/>
        </w:rPr>
        <w:t xml:space="preserve"> relatively</w:t>
      </w:r>
      <w:r w:rsidR="00632B5D" w:rsidRPr="00480CCB">
        <w:rPr>
          <w:lang w:val="en-US"/>
        </w:rPr>
        <w:t xml:space="preserve"> </w:t>
      </w:r>
      <w:r w:rsidR="00190916">
        <w:rPr>
          <w:lang w:val="en-US"/>
        </w:rPr>
        <w:t>(un)</w:t>
      </w:r>
      <w:r w:rsidR="00632B5D" w:rsidRPr="00480CCB">
        <w:rPr>
          <w:lang w:val="en-US"/>
        </w:rPr>
        <w:t xml:space="preserve">sophisticated if they scored higher than </w:t>
      </w:r>
      <w:r w:rsidR="00190916">
        <w:rPr>
          <w:lang w:val="en-US"/>
        </w:rPr>
        <w:t>(25%)</w:t>
      </w:r>
      <w:r w:rsidR="00C3316C">
        <w:rPr>
          <w:lang w:val="en-US"/>
        </w:rPr>
        <w:t xml:space="preserve"> </w:t>
      </w:r>
      <w:r w:rsidR="003B4B14">
        <w:rPr>
          <w:lang w:val="en-US"/>
        </w:rPr>
        <w:t>75</w:t>
      </w:r>
      <w:r w:rsidR="00632B5D" w:rsidRPr="00480CCB">
        <w:rPr>
          <w:lang w:val="en-US"/>
        </w:rPr>
        <w:t xml:space="preserve">% of the traders in their session </w:t>
      </w:r>
      <w:r w:rsidR="00851ECB" w:rsidRPr="00480CCB">
        <w:rPr>
          <w:lang w:val="en-US"/>
        </w:rPr>
        <w:t>on the IQ test</w:t>
      </w:r>
      <w:r w:rsidR="00190916">
        <w:rPr>
          <w:lang w:val="en-US"/>
        </w:rPr>
        <w:t>.</w:t>
      </w:r>
    </w:p>
    <w:p w14:paraId="59BEDEC4" w14:textId="60A971C0" w:rsidR="006E37F3" w:rsidRPr="00480CCB" w:rsidRDefault="006E37F3" w:rsidP="006E37F3">
      <w:pPr>
        <w:jc w:val="both"/>
        <w:rPr>
          <w:lang w:val="en-US"/>
        </w:rPr>
      </w:pPr>
      <w:r w:rsidRPr="00480CCB">
        <w:rPr>
          <w:lang w:val="en-US"/>
        </w:rPr>
        <w:tab/>
        <w:t xml:space="preserve">Table </w:t>
      </w:r>
      <w:r w:rsidR="003F2A1B">
        <w:rPr>
          <w:lang w:val="en-US"/>
        </w:rPr>
        <w:t>3</w:t>
      </w:r>
      <w:r w:rsidRPr="00480CCB">
        <w:rPr>
          <w:lang w:val="en-US"/>
        </w:rPr>
        <w:t xml:space="preserve"> reports regression results</w:t>
      </w:r>
      <w:r w:rsidR="002343E5">
        <w:rPr>
          <w:lang w:val="en-US"/>
        </w:rPr>
        <w:t xml:space="preserve"> where</w:t>
      </w:r>
      <w:r w:rsidRPr="00480CCB">
        <w:rPr>
          <w:lang w:val="en-US"/>
        </w:rPr>
        <w:t xml:space="preserve"> </w:t>
      </w:r>
      <w:r w:rsidR="002343E5">
        <w:rPr>
          <w:lang w:val="en-US"/>
        </w:rPr>
        <w:t xml:space="preserve">the </w:t>
      </w:r>
      <w:r w:rsidRPr="00480CCB">
        <w:rPr>
          <w:lang w:val="en-US"/>
        </w:rPr>
        <w:t xml:space="preserve">differences between buyer-proposed bids and fundamentals (maximally justifiable values, respectively) are regressed on the treatment dummy, the bidder’s sophistication dummy, </w:t>
      </w:r>
      <w:r w:rsidR="00C3316C">
        <w:rPr>
          <w:lang w:val="en-US"/>
        </w:rPr>
        <w:t xml:space="preserve">period in which the bids took place, </w:t>
      </w:r>
      <w:r w:rsidRPr="00480CCB">
        <w:rPr>
          <w:lang w:val="en-US"/>
        </w:rPr>
        <w:t xml:space="preserve">and </w:t>
      </w:r>
      <w:r w:rsidR="00C3316C">
        <w:rPr>
          <w:lang w:val="en-US"/>
        </w:rPr>
        <w:t>the</w:t>
      </w:r>
      <w:r w:rsidR="00C3316C" w:rsidRPr="00480CCB">
        <w:rPr>
          <w:lang w:val="en-US"/>
        </w:rPr>
        <w:t xml:space="preserve"> </w:t>
      </w:r>
      <w:r w:rsidRPr="00480CCB">
        <w:rPr>
          <w:lang w:val="en-US"/>
        </w:rPr>
        <w:t>interaction</w:t>
      </w:r>
      <w:r w:rsidR="00C3316C">
        <w:rPr>
          <w:lang w:val="en-US"/>
        </w:rPr>
        <w:t xml:space="preserve"> between treatment dummy and the indicator for sophisticated trader</w:t>
      </w:r>
      <w:r w:rsidRPr="00480CCB">
        <w:rPr>
          <w:lang w:val="en-US"/>
        </w:rPr>
        <w:t xml:space="preserve">. The treatment dummy D_TAX=1 if a bid occurs in the TAX condition, and it is 0 otherwise. We use data from </w:t>
      </w:r>
      <w:r w:rsidR="00582505">
        <w:rPr>
          <w:lang w:val="en-US"/>
        </w:rPr>
        <w:t>the two</w:t>
      </w:r>
      <w:r w:rsidRPr="00480CCB">
        <w:rPr>
          <w:lang w:val="en-US"/>
        </w:rPr>
        <w:t xml:space="preserve"> </w:t>
      </w:r>
      <w:r w:rsidR="00144684" w:rsidRPr="00480CCB">
        <w:rPr>
          <w:lang w:val="en-US"/>
        </w:rPr>
        <w:t>no-speculation</w:t>
      </w:r>
      <w:r w:rsidR="00CA0052" w:rsidRPr="00480CCB">
        <w:rPr>
          <w:lang w:val="en-US"/>
        </w:rPr>
        <w:t xml:space="preserve"> </w:t>
      </w:r>
      <w:r w:rsidR="00DE6C74">
        <w:rPr>
          <w:lang w:val="en-US"/>
        </w:rPr>
        <w:t>treatments</w:t>
      </w:r>
      <w:r w:rsidR="00DE6C74" w:rsidRPr="00480CCB">
        <w:rPr>
          <w:lang w:val="en-US"/>
        </w:rPr>
        <w:t xml:space="preserve"> </w:t>
      </w:r>
      <w:r w:rsidRPr="00480CCB">
        <w:rPr>
          <w:lang w:val="en-US"/>
        </w:rPr>
        <w:t xml:space="preserve">and the TAX </w:t>
      </w:r>
      <w:r w:rsidR="00DE6C74">
        <w:rPr>
          <w:lang w:val="en-US"/>
        </w:rPr>
        <w:t>treatment</w:t>
      </w:r>
      <w:r w:rsidRPr="00480CCB">
        <w:rPr>
          <w:lang w:val="en-US"/>
        </w:rPr>
        <w:t>.</w:t>
      </w:r>
      <w:r w:rsidR="00897D13" w:rsidRPr="00480CCB">
        <w:rPr>
          <w:rStyle w:val="FootnoteReference"/>
          <w:lang w:val="en-US"/>
        </w:rPr>
        <w:footnoteReference w:id="9"/>
      </w:r>
    </w:p>
    <w:p w14:paraId="43B9B6D8" w14:textId="7A2646EA" w:rsidR="009246C9" w:rsidRDefault="006E37F3" w:rsidP="006E37F3">
      <w:pPr>
        <w:jc w:val="both"/>
        <w:rPr>
          <w:lang w:val="en-US"/>
        </w:rPr>
      </w:pPr>
      <w:r w:rsidRPr="00480CCB">
        <w:rPr>
          <w:lang w:val="en-US"/>
        </w:rPr>
        <w:tab/>
        <w:t xml:space="preserve">The first regression examines buyer proposed bids relative to the </w:t>
      </w:r>
      <w:r w:rsidRPr="00480CCB">
        <w:rPr>
          <w:i/>
          <w:iCs/>
          <w:lang w:val="en-US"/>
        </w:rPr>
        <w:t>fundamentals</w:t>
      </w:r>
      <w:r w:rsidRPr="00480CCB">
        <w:rPr>
          <w:lang w:val="en-US"/>
        </w:rPr>
        <w:t xml:space="preserve">. It shows that in LNP replication conditions, more sophisticated traders do not bid differently from the less sophisticated. Bids in the TAX treatment are </w:t>
      </w:r>
      <w:r w:rsidR="000F564E">
        <w:rPr>
          <w:lang w:val="en-US"/>
        </w:rPr>
        <w:t>lower</w:t>
      </w:r>
      <w:r w:rsidR="000F564E" w:rsidRPr="00480CCB">
        <w:rPr>
          <w:lang w:val="en-US"/>
        </w:rPr>
        <w:t xml:space="preserve"> </w:t>
      </w:r>
      <w:r w:rsidRPr="00480CCB">
        <w:rPr>
          <w:lang w:val="en-US"/>
        </w:rPr>
        <w:t>on average</w:t>
      </w:r>
      <w:r w:rsidR="00D651F5">
        <w:rPr>
          <w:lang w:val="en-US"/>
        </w:rPr>
        <w:t xml:space="preserve"> but insignificant. T</w:t>
      </w:r>
      <w:r w:rsidRPr="00480CCB">
        <w:rPr>
          <w:lang w:val="en-US"/>
        </w:rPr>
        <w:t>he interaction term is negative</w:t>
      </w:r>
      <w:r w:rsidR="000F564E">
        <w:rPr>
          <w:lang w:val="en-US"/>
        </w:rPr>
        <w:t xml:space="preserve"> and significant</w:t>
      </w:r>
      <w:r w:rsidRPr="00480CCB">
        <w:rPr>
          <w:lang w:val="en-US"/>
        </w:rPr>
        <w:t xml:space="preserve">, indicating that sophisticated traders in the TAX treatment bid lower than the less sophisticated traders. </w:t>
      </w:r>
      <w:r w:rsidR="00D651F5">
        <w:rPr>
          <w:lang w:val="en-US"/>
        </w:rPr>
        <w:t xml:space="preserve">Such </w:t>
      </w:r>
      <w:r w:rsidR="00A47D13">
        <w:rPr>
          <w:lang w:val="en-US"/>
        </w:rPr>
        <w:t>an effect</w:t>
      </w:r>
      <w:r w:rsidR="00D651F5">
        <w:rPr>
          <w:lang w:val="en-US"/>
        </w:rPr>
        <w:t xml:space="preserve"> does not appear in LNP’s no speculation treatments.</w:t>
      </w:r>
    </w:p>
    <w:p w14:paraId="737F76FF" w14:textId="1ED02421" w:rsidR="000F564E" w:rsidRDefault="000F564E" w:rsidP="000F564E">
      <w:pPr>
        <w:jc w:val="both"/>
        <w:rPr>
          <w:lang w:val="en-US"/>
        </w:rPr>
      </w:pPr>
      <w:r>
        <w:rPr>
          <w:lang w:val="en-US"/>
        </w:rPr>
        <w:tab/>
      </w:r>
      <w:r w:rsidRPr="00480CCB">
        <w:rPr>
          <w:lang w:val="en-US"/>
        </w:rPr>
        <w:t xml:space="preserve">The second regression considers buyer-proposed bids relative to the </w:t>
      </w:r>
      <w:r w:rsidRPr="00480CCB">
        <w:rPr>
          <w:i/>
          <w:iCs/>
          <w:lang w:val="en-US"/>
        </w:rPr>
        <w:t>maximally</w:t>
      </w:r>
      <w:r w:rsidRPr="00480CCB">
        <w:rPr>
          <w:lang w:val="en-US"/>
        </w:rPr>
        <w:t xml:space="preserve"> justifiable values of the asset. </w:t>
      </w:r>
      <w:r w:rsidR="00235436">
        <w:rPr>
          <w:lang w:val="en-US"/>
        </w:rPr>
        <w:t xml:space="preserve">The estimated coefficients are largely the same as the previous regression. </w:t>
      </w:r>
      <w:r w:rsidRPr="00480CCB">
        <w:rPr>
          <w:lang w:val="en-US"/>
        </w:rPr>
        <w:t>Bids relative to the maximally justifiable value in the TAX treatment are lower on average</w:t>
      </w:r>
      <w:r w:rsidR="00235436">
        <w:rPr>
          <w:lang w:val="en-US"/>
        </w:rPr>
        <w:t xml:space="preserve"> though the effect is insignificant. T</w:t>
      </w:r>
      <w:r w:rsidRPr="00480CCB">
        <w:rPr>
          <w:lang w:val="en-US"/>
        </w:rPr>
        <w:t xml:space="preserve">he interaction term is negative and substantially larger than the main effect of sophistication, indicating that </w:t>
      </w:r>
      <w:r w:rsidRPr="00480CCB">
        <w:rPr>
          <w:lang w:val="en-US"/>
        </w:rPr>
        <w:lastRenderedPageBreak/>
        <w:t>sophisticated traders in TAX bid substantially lower than the less sophisticated traders. That is, sophisticated bidders show strongly different behavior in TAX versus the no-speculation treatments.  These results show that the TAX treatment effectively discourages those who are most likely to understand the</w:t>
      </w:r>
      <w:r w:rsidR="009A5D8E">
        <w:rPr>
          <w:lang w:val="en-US"/>
        </w:rPr>
        <w:t xml:space="preserve"> speculative</w:t>
      </w:r>
      <w:r w:rsidRPr="00480CCB">
        <w:rPr>
          <w:lang w:val="en-US"/>
        </w:rPr>
        <w:t xml:space="preserve"> </w:t>
      </w:r>
      <w:r w:rsidR="00DE6C74">
        <w:rPr>
          <w:lang w:val="en-US"/>
        </w:rPr>
        <w:t>strategy</w:t>
      </w:r>
      <w:r w:rsidRPr="00480CCB">
        <w:rPr>
          <w:lang w:val="en-US"/>
        </w:rPr>
        <w:t xml:space="preserve">, which is the key channel to attenuate bubbles. In contrast, even the smarter traders substantially overbid in </w:t>
      </w:r>
      <w:r w:rsidR="009A5D8E">
        <w:rPr>
          <w:lang w:val="en-US"/>
        </w:rPr>
        <w:t>the no-speculation condition</w:t>
      </w:r>
      <w:r w:rsidRPr="00480CCB">
        <w:rPr>
          <w:lang w:val="en-US"/>
        </w:rPr>
        <w:t xml:space="preserve">. </w:t>
      </w:r>
    </w:p>
    <w:p w14:paraId="4CC73C60" w14:textId="4D9DCDA1" w:rsidR="004C58A5" w:rsidRDefault="004C58A5">
      <w:pPr>
        <w:tabs>
          <w:tab w:val="clear" w:pos="425"/>
        </w:tabs>
        <w:spacing w:after="0" w:line="240" w:lineRule="auto"/>
        <w:rPr>
          <w:b/>
          <w:bCs/>
          <w:lang w:val="en-US"/>
        </w:rPr>
      </w:pPr>
    </w:p>
    <w:p w14:paraId="1A49DB18" w14:textId="717FBECA" w:rsidR="00144684" w:rsidRPr="009F71A2" w:rsidRDefault="00144684" w:rsidP="00144684">
      <w:pPr>
        <w:jc w:val="center"/>
        <w:rPr>
          <w:sz w:val="22"/>
          <w:szCs w:val="22"/>
          <w:lang w:val="en-US"/>
        </w:rPr>
      </w:pPr>
      <w:r w:rsidRPr="009F71A2">
        <w:rPr>
          <w:b/>
          <w:bCs/>
          <w:sz w:val="22"/>
          <w:szCs w:val="22"/>
          <w:lang w:val="en-US"/>
        </w:rPr>
        <w:t xml:space="preserve">Table </w:t>
      </w:r>
      <w:r w:rsidR="00FD449B" w:rsidRPr="009F71A2">
        <w:rPr>
          <w:b/>
          <w:bCs/>
          <w:sz w:val="22"/>
          <w:szCs w:val="22"/>
        </w:rPr>
        <w:t>3</w:t>
      </w:r>
      <w:r w:rsidRPr="009F71A2">
        <w:rPr>
          <w:b/>
          <w:bCs/>
          <w:sz w:val="22"/>
          <w:szCs w:val="22"/>
          <w:lang w:val="en-US"/>
        </w:rPr>
        <w:t>.</w:t>
      </w:r>
      <w:r w:rsidRPr="009F71A2">
        <w:rPr>
          <w:sz w:val="22"/>
          <w:szCs w:val="22"/>
          <w:lang w:val="en-US"/>
        </w:rPr>
        <w:t xml:space="preserve"> Regression analysis of traders’ sophistication and bidding intensity</w:t>
      </w:r>
    </w:p>
    <w:tbl>
      <w:tblPr>
        <w:tblW w:w="8209" w:type="dxa"/>
        <w:jc w:val="center"/>
        <w:tblLayout w:type="fixed"/>
        <w:tblCellMar>
          <w:left w:w="75" w:type="dxa"/>
          <w:right w:w="75" w:type="dxa"/>
        </w:tblCellMar>
        <w:tblLook w:val="0000" w:firstRow="0" w:lastRow="0" w:firstColumn="0" w:lastColumn="0" w:noHBand="0" w:noVBand="0"/>
      </w:tblPr>
      <w:tblGrid>
        <w:gridCol w:w="2835"/>
        <w:gridCol w:w="2553"/>
        <w:gridCol w:w="2821"/>
      </w:tblGrid>
      <w:tr w:rsidR="00144684" w:rsidRPr="00752F5A" w14:paraId="74EDC511" w14:textId="77777777" w:rsidTr="006E705B">
        <w:trPr>
          <w:trHeight w:val="327"/>
          <w:jc w:val="center"/>
        </w:trPr>
        <w:tc>
          <w:tcPr>
            <w:tcW w:w="2835" w:type="dxa"/>
            <w:tcBorders>
              <w:top w:val="single" w:sz="4" w:space="0" w:color="auto"/>
              <w:left w:val="nil"/>
              <w:bottom w:val="single" w:sz="6" w:space="0" w:color="auto"/>
              <w:right w:val="nil"/>
            </w:tcBorders>
          </w:tcPr>
          <w:p w14:paraId="1E66F366" w14:textId="77777777" w:rsidR="00144684" w:rsidRPr="00752F5A" w:rsidRDefault="00144684" w:rsidP="006E705B">
            <w:pPr>
              <w:autoSpaceDE w:val="0"/>
              <w:autoSpaceDN w:val="0"/>
              <w:adjustRightInd w:val="0"/>
              <w:rPr>
                <w:rFonts w:eastAsia="Times New Roman"/>
                <w:lang w:val="en-US"/>
              </w:rPr>
            </w:pPr>
          </w:p>
        </w:tc>
        <w:tc>
          <w:tcPr>
            <w:tcW w:w="2553" w:type="dxa"/>
            <w:tcBorders>
              <w:top w:val="single" w:sz="4" w:space="0" w:color="auto"/>
              <w:left w:val="nil"/>
              <w:bottom w:val="single" w:sz="6" w:space="0" w:color="auto"/>
              <w:right w:val="nil"/>
            </w:tcBorders>
          </w:tcPr>
          <w:p w14:paraId="6E945510" w14:textId="77777777" w:rsidR="00144684" w:rsidRPr="00752F5A" w:rsidRDefault="00144684" w:rsidP="006E705B">
            <w:pPr>
              <w:autoSpaceDE w:val="0"/>
              <w:autoSpaceDN w:val="0"/>
              <w:adjustRightInd w:val="0"/>
              <w:jc w:val="center"/>
              <w:rPr>
                <w:rFonts w:eastAsia="Times New Roman"/>
                <w:lang w:val="en-US"/>
              </w:rPr>
            </w:pPr>
            <w:r w:rsidRPr="00752F5A">
              <w:rPr>
                <w:rFonts w:eastAsia="Times New Roman"/>
                <w:sz w:val="22"/>
                <w:szCs w:val="22"/>
                <w:lang w:val="en-US"/>
              </w:rPr>
              <w:t>Bids relative to FVs</w:t>
            </w:r>
          </w:p>
        </w:tc>
        <w:tc>
          <w:tcPr>
            <w:tcW w:w="2821" w:type="dxa"/>
            <w:tcBorders>
              <w:top w:val="single" w:sz="4" w:space="0" w:color="auto"/>
              <w:left w:val="nil"/>
              <w:bottom w:val="single" w:sz="6" w:space="0" w:color="auto"/>
              <w:right w:val="nil"/>
            </w:tcBorders>
          </w:tcPr>
          <w:p w14:paraId="4B902BD1" w14:textId="77777777" w:rsidR="00144684" w:rsidRPr="00752F5A" w:rsidRDefault="00144684" w:rsidP="006E705B">
            <w:pPr>
              <w:autoSpaceDE w:val="0"/>
              <w:autoSpaceDN w:val="0"/>
              <w:adjustRightInd w:val="0"/>
              <w:jc w:val="center"/>
              <w:rPr>
                <w:rFonts w:eastAsia="Times New Roman"/>
                <w:lang w:val="en-US"/>
              </w:rPr>
            </w:pPr>
            <w:r w:rsidRPr="00752F5A">
              <w:rPr>
                <w:rFonts w:eastAsia="Times New Roman"/>
                <w:sz w:val="22"/>
                <w:szCs w:val="22"/>
                <w:lang w:val="en-US"/>
              </w:rPr>
              <w:t>Bids relative to max. values</w:t>
            </w:r>
          </w:p>
        </w:tc>
      </w:tr>
      <w:tr w:rsidR="00144684" w:rsidRPr="00752F5A" w14:paraId="56B7B862" w14:textId="77777777" w:rsidTr="006E705B">
        <w:trPr>
          <w:trHeight w:val="728"/>
          <w:jc w:val="center"/>
        </w:trPr>
        <w:tc>
          <w:tcPr>
            <w:tcW w:w="2835" w:type="dxa"/>
            <w:tcBorders>
              <w:top w:val="single" w:sz="6" w:space="0" w:color="auto"/>
              <w:left w:val="nil"/>
              <w:bottom w:val="nil"/>
              <w:right w:val="nil"/>
            </w:tcBorders>
          </w:tcPr>
          <w:p w14:paraId="60AE1CB4" w14:textId="77777777" w:rsidR="00144684" w:rsidRPr="00752F5A" w:rsidRDefault="00144684" w:rsidP="006E705B">
            <w:pPr>
              <w:autoSpaceDE w:val="0"/>
              <w:autoSpaceDN w:val="0"/>
              <w:adjustRightInd w:val="0"/>
              <w:spacing w:after="0" w:line="240" w:lineRule="auto"/>
              <w:rPr>
                <w:rFonts w:eastAsia="Times New Roman"/>
                <w:lang w:val="en-US"/>
              </w:rPr>
            </w:pPr>
            <w:r w:rsidRPr="00752F5A">
              <w:rPr>
                <w:rFonts w:eastAsia="Times New Roman"/>
                <w:sz w:val="22"/>
                <w:szCs w:val="22"/>
                <w:lang w:val="en-US"/>
              </w:rPr>
              <w:t>Sophisticated = 1</w:t>
            </w:r>
          </w:p>
        </w:tc>
        <w:tc>
          <w:tcPr>
            <w:tcW w:w="2553" w:type="dxa"/>
            <w:tcBorders>
              <w:top w:val="single" w:sz="6" w:space="0" w:color="auto"/>
              <w:left w:val="nil"/>
              <w:bottom w:val="nil"/>
              <w:right w:val="nil"/>
            </w:tcBorders>
          </w:tcPr>
          <w:p w14:paraId="1290053A" w14:textId="395A6BCE" w:rsidR="00144684" w:rsidRPr="00752F5A" w:rsidRDefault="000E5349" w:rsidP="006E705B">
            <w:pPr>
              <w:tabs>
                <w:tab w:val="decimal" w:pos="950"/>
              </w:tabs>
              <w:autoSpaceDE w:val="0"/>
              <w:autoSpaceDN w:val="0"/>
              <w:adjustRightInd w:val="0"/>
              <w:spacing w:after="0" w:line="240" w:lineRule="auto"/>
              <w:jc w:val="center"/>
              <w:rPr>
                <w:rFonts w:eastAsia="Times New Roman"/>
                <w:lang w:val="en-US"/>
              </w:rPr>
            </w:pPr>
            <w:r>
              <w:rPr>
                <w:rFonts w:eastAsia="Times New Roman"/>
                <w:sz w:val="22"/>
                <w:szCs w:val="22"/>
                <w:lang w:val="en-US"/>
              </w:rPr>
              <w:t>9.00</w:t>
            </w:r>
          </w:p>
          <w:p w14:paraId="3A2541C3" w14:textId="5CE67D9A" w:rsidR="00144684" w:rsidRPr="00752F5A" w:rsidRDefault="00144684" w:rsidP="006E705B">
            <w:pPr>
              <w:tabs>
                <w:tab w:val="decimal" w:pos="950"/>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r w:rsidR="000E5349">
              <w:rPr>
                <w:rFonts w:eastAsia="Times New Roman"/>
                <w:sz w:val="22"/>
                <w:szCs w:val="22"/>
                <w:lang w:val="en-US"/>
              </w:rPr>
              <w:t>42.60</w:t>
            </w:r>
            <w:r w:rsidRPr="00752F5A">
              <w:rPr>
                <w:rFonts w:eastAsia="Times New Roman"/>
                <w:sz w:val="22"/>
                <w:szCs w:val="22"/>
                <w:lang w:val="en-US"/>
              </w:rPr>
              <w:t>)</w:t>
            </w:r>
          </w:p>
        </w:tc>
        <w:tc>
          <w:tcPr>
            <w:tcW w:w="2821" w:type="dxa"/>
            <w:tcBorders>
              <w:top w:val="single" w:sz="6" w:space="0" w:color="auto"/>
              <w:left w:val="nil"/>
              <w:bottom w:val="nil"/>
              <w:right w:val="nil"/>
            </w:tcBorders>
          </w:tcPr>
          <w:p w14:paraId="658C9523" w14:textId="77777777" w:rsidR="00227BAB" w:rsidRPr="00752F5A" w:rsidRDefault="00227BAB" w:rsidP="00227BAB">
            <w:pPr>
              <w:tabs>
                <w:tab w:val="decimal" w:pos="950"/>
              </w:tabs>
              <w:autoSpaceDE w:val="0"/>
              <w:autoSpaceDN w:val="0"/>
              <w:adjustRightInd w:val="0"/>
              <w:spacing w:after="0" w:line="240" w:lineRule="auto"/>
              <w:jc w:val="center"/>
              <w:rPr>
                <w:rFonts w:eastAsia="Times New Roman"/>
                <w:lang w:val="en-US"/>
              </w:rPr>
            </w:pPr>
            <w:r>
              <w:rPr>
                <w:rFonts w:eastAsia="Times New Roman"/>
                <w:sz w:val="22"/>
                <w:szCs w:val="22"/>
                <w:lang w:val="en-US"/>
              </w:rPr>
              <w:t>9.00</w:t>
            </w:r>
          </w:p>
          <w:p w14:paraId="5BDD5FF9" w14:textId="42AEBF01" w:rsidR="00144684" w:rsidRPr="00752F5A" w:rsidRDefault="00227BAB" w:rsidP="006E705B">
            <w:pPr>
              <w:tabs>
                <w:tab w:val="decimal" w:pos="1165"/>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r>
              <w:rPr>
                <w:rFonts w:eastAsia="Times New Roman"/>
                <w:sz w:val="22"/>
                <w:szCs w:val="22"/>
                <w:lang w:val="en-US"/>
              </w:rPr>
              <w:t>42.60</w:t>
            </w:r>
            <w:r w:rsidRPr="00752F5A">
              <w:rPr>
                <w:rFonts w:eastAsia="Times New Roman"/>
                <w:sz w:val="22"/>
                <w:szCs w:val="22"/>
                <w:lang w:val="en-US"/>
              </w:rPr>
              <w:t>)</w:t>
            </w:r>
          </w:p>
        </w:tc>
      </w:tr>
      <w:tr w:rsidR="00144684" w:rsidRPr="00752F5A" w14:paraId="210BCB88" w14:textId="77777777" w:rsidTr="006E705B">
        <w:trPr>
          <w:trHeight w:val="635"/>
          <w:jc w:val="center"/>
        </w:trPr>
        <w:tc>
          <w:tcPr>
            <w:tcW w:w="2835" w:type="dxa"/>
            <w:tcBorders>
              <w:top w:val="nil"/>
              <w:left w:val="nil"/>
              <w:bottom w:val="nil"/>
              <w:right w:val="nil"/>
            </w:tcBorders>
          </w:tcPr>
          <w:p w14:paraId="61297B24" w14:textId="77777777" w:rsidR="00144684" w:rsidRPr="00752F5A" w:rsidRDefault="00144684" w:rsidP="006E705B">
            <w:pPr>
              <w:autoSpaceDE w:val="0"/>
              <w:autoSpaceDN w:val="0"/>
              <w:adjustRightInd w:val="0"/>
              <w:spacing w:after="0" w:line="240" w:lineRule="auto"/>
              <w:rPr>
                <w:rFonts w:eastAsia="Times New Roman"/>
                <w:lang w:val="en-US"/>
              </w:rPr>
            </w:pPr>
            <w:bookmarkStart w:id="1" w:name="_Hlk36397740"/>
            <w:r w:rsidRPr="00752F5A">
              <w:rPr>
                <w:sz w:val="22"/>
                <w:szCs w:val="22"/>
                <w:lang w:val="en-US"/>
              </w:rPr>
              <w:t>D_TAX = 1</w:t>
            </w:r>
          </w:p>
        </w:tc>
        <w:tc>
          <w:tcPr>
            <w:tcW w:w="2553" w:type="dxa"/>
            <w:tcBorders>
              <w:top w:val="nil"/>
              <w:left w:val="nil"/>
              <w:bottom w:val="nil"/>
              <w:right w:val="nil"/>
            </w:tcBorders>
          </w:tcPr>
          <w:p w14:paraId="0F65F15E" w14:textId="44E26EAB" w:rsidR="00144684" w:rsidRPr="00752F5A" w:rsidRDefault="00144684" w:rsidP="006E705B">
            <w:pPr>
              <w:tabs>
                <w:tab w:val="decimal" w:pos="950"/>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r w:rsidR="000E5349">
              <w:rPr>
                <w:rFonts w:eastAsia="Times New Roman"/>
                <w:sz w:val="22"/>
                <w:szCs w:val="22"/>
                <w:lang w:val="en-US"/>
              </w:rPr>
              <w:t>167.39</w:t>
            </w:r>
          </w:p>
          <w:p w14:paraId="54E95C18" w14:textId="7EB31DF8" w:rsidR="00144684" w:rsidRPr="00752F5A" w:rsidRDefault="00144684" w:rsidP="006E705B">
            <w:pPr>
              <w:tabs>
                <w:tab w:val="decimal" w:pos="950"/>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r w:rsidR="000E5349">
              <w:rPr>
                <w:rFonts w:eastAsia="Times New Roman"/>
                <w:sz w:val="22"/>
                <w:szCs w:val="22"/>
                <w:lang w:val="en-US"/>
              </w:rPr>
              <w:t>178.20</w:t>
            </w:r>
            <w:r w:rsidRPr="00752F5A">
              <w:rPr>
                <w:rFonts w:eastAsia="Times New Roman"/>
                <w:sz w:val="22"/>
                <w:szCs w:val="22"/>
                <w:lang w:val="en-US"/>
              </w:rPr>
              <w:t>)</w:t>
            </w:r>
          </w:p>
        </w:tc>
        <w:tc>
          <w:tcPr>
            <w:tcW w:w="2821" w:type="dxa"/>
            <w:tcBorders>
              <w:top w:val="nil"/>
              <w:left w:val="nil"/>
              <w:bottom w:val="nil"/>
              <w:right w:val="nil"/>
            </w:tcBorders>
          </w:tcPr>
          <w:p w14:paraId="177EE05C" w14:textId="4A44D8B3" w:rsidR="00144684" w:rsidRPr="00752F5A" w:rsidRDefault="00144684" w:rsidP="006E705B">
            <w:pPr>
              <w:tabs>
                <w:tab w:val="decimal" w:pos="950"/>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r w:rsidR="00227BAB">
              <w:rPr>
                <w:rFonts w:eastAsia="Times New Roman"/>
                <w:sz w:val="22"/>
                <w:szCs w:val="22"/>
                <w:lang w:val="en-US"/>
              </w:rPr>
              <w:t>167.39</w:t>
            </w:r>
          </w:p>
          <w:p w14:paraId="7971E284" w14:textId="2ACA061C" w:rsidR="00144684" w:rsidRPr="00752F5A" w:rsidRDefault="00144684" w:rsidP="006E705B">
            <w:pPr>
              <w:tabs>
                <w:tab w:val="decimal" w:pos="1165"/>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r w:rsidR="00227BAB">
              <w:rPr>
                <w:rFonts w:eastAsia="Times New Roman"/>
                <w:sz w:val="22"/>
                <w:szCs w:val="22"/>
                <w:lang w:val="en-US"/>
              </w:rPr>
              <w:t>178.00</w:t>
            </w:r>
            <w:r w:rsidRPr="00752F5A">
              <w:rPr>
                <w:rFonts w:eastAsia="Times New Roman"/>
                <w:sz w:val="22"/>
                <w:szCs w:val="22"/>
                <w:lang w:val="en-US"/>
              </w:rPr>
              <w:t>)</w:t>
            </w:r>
          </w:p>
        </w:tc>
      </w:tr>
      <w:bookmarkEnd w:id="1"/>
      <w:tr w:rsidR="00144684" w:rsidRPr="00752F5A" w14:paraId="70B69C4D" w14:textId="77777777" w:rsidTr="006E705B">
        <w:trPr>
          <w:trHeight w:val="626"/>
          <w:jc w:val="center"/>
        </w:trPr>
        <w:tc>
          <w:tcPr>
            <w:tcW w:w="2835" w:type="dxa"/>
            <w:tcBorders>
              <w:top w:val="nil"/>
              <w:left w:val="nil"/>
              <w:bottom w:val="nil"/>
              <w:right w:val="nil"/>
            </w:tcBorders>
          </w:tcPr>
          <w:p w14:paraId="5C8BD155" w14:textId="77777777" w:rsidR="00144684" w:rsidRPr="00752F5A" w:rsidRDefault="00144684" w:rsidP="006E705B">
            <w:pPr>
              <w:autoSpaceDE w:val="0"/>
              <w:autoSpaceDN w:val="0"/>
              <w:adjustRightInd w:val="0"/>
              <w:spacing w:after="0" w:line="240" w:lineRule="auto"/>
              <w:rPr>
                <w:rFonts w:eastAsia="Times New Roman"/>
                <w:lang w:val="en-US"/>
              </w:rPr>
            </w:pPr>
            <w:r w:rsidRPr="00752F5A">
              <w:rPr>
                <w:rFonts w:eastAsia="Times New Roman"/>
                <w:sz w:val="22"/>
                <w:szCs w:val="22"/>
                <w:lang w:val="en-US"/>
              </w:rPr>
              <w:t xml:space="preserve">Sophisticated &amp; </w:t>
            </w:r>
            <w:r w:rsidRPr="00752F5A">
              <w:rPr>
                <w:sz w:val="22"/>
                <w:szCs w:val="22"/>
                <w:lang w:val="en-US"/>
              </w:rPr>
              <w:t>D_TAX = 1</w:t>
            </w:r>
          </w:p>
        </w:tc>
        <w:tc>
          <w:tcPr>
            <w:tcW w:w="2553" w:type="dxa"/>
            <w:tcBorders>
              <w:top w:val="nil"/>
              <w:left w:val="nil"/>
              <w:bottom w:val="nil"/>
              <w:right w:val="nil"/>
            </w:tcBorders>
          </w:tcPr>
          <w:p w14:paraId="7AEA9B2B" w14:textId="23593691" w:rsidR="00144684" w:rsidRPr="00752F5A" w:rsidRDefault="00144684" w:rsidP="006E705B">
            <w:pPr>
              <w:tabs>
                <w:tab w:val="decimal" w:pos="950"/>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r w:rsidR="000E5349">
              <w:rPr>
                <w:rFonts w:eastAsia="Times New Roman"/>
                <w:sz w:val="22"/>
                <w:szCs w:val="22"/>
                <w:lang w:val="en-US"/>
              </w:rPr>
              <w:t>102.15</w:t>
            </w:r>
          </w:p>
          <w:p w14:paraId="154FB30A" w14:textId="38F0B7DD" w:rsidR="00144684" w:rsidRPr="00752F5A" w:rsidRDefault="00144684" w:rsidP="006E705B">
            <w:pPr>
              <w:tabs>
                <w:tab w:val="decimal" w:pos="950"/>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proofErr w:type="gramStart"/>
            <w:r w:rsidR="000E5349">
              <w:rPr>
                <w:rFonts w:eastAsia="Times New Roman"/>
                <w:sz w:val="22"/>
                <w:szCs w:val="22"/>
                <w:lang w:val="en-US"/>
              </w:rPr>
              <w:t>49.71</w:t>
            </w:r>
            <w:r w:rsidRPr="00752F5A">
              <w:rPr>
                <w:rFonts w:eastAsia="Times New Roman"/>
                <w:sz w:val="22"/>
                <w:szCs w:val="22"/>
                <w:lang w:val="en-US"/>
              </w:rPr>
              <w:t>)</w:t>
            </w:r>
            <w:r w:rsidR="005F2759">
              <w:rPr>
                <w:rFonts w:eastAsia="Times New Roman"/>
                <w:sz w:val="22"/>
                <w:szCs w:val="22"/>
                <w:lang w:val="en-US"/>
              </w:rPr>
              <w:t>*</w:t>
            </w:r>
            <w:proofErr w:type="gramEnd"/>
            <w:r w:rsidR="00265B13">
              <w:rPr>
                <w:rFonts w:eastAsia="Times New Roman"/>
                <w:sz w:val="22"/>
                <w:szCs w:val="22"/>
                <w:lang w:val="en-US"/>
              </w:rPr>
              <w:t>*</w:t>
            </w:r>
          </w:p>
        </w:tc>
        <w:tc>
          <w:tcPr>
            <w:tcW w:w="2821" w:type="dxa"/>
            <w:tcBorders>
              <w:top w:val="nil"/>
              <w:left w:val="nil"/>
              <w:bottom w:val="nil"/>
              <w:right w:val="nil"/>
            </w:tcBorders>
          </w:tcPr>
          <w:p w14:paraId="2D944832" w14:textId="482AB06F" w:rsidR="00144684" w:rsidRPr="00752F5A" w:rsidRDefault="00A66479" w:rsidP="006E705B">
            <w:pPr>
              <w:tabs>
                <w:tab w:val="decimal" w:pos="1165"/>
              </w:tabs>
              <w:autoSpaceDE w:val="0"/>
              <w:autoSpaceDN w:val="0"/>
              <w:adjustRightInd w:val="0"/>
              <w:spacing w:after="0" w:line="240" w:lineRule="auto"/>
              <w:jc w:val="center"/>
              <w:rPr>
                <w:rFonts w:eastAsia="Times New Roman"/>
                <w:lang w:val="en-US"/>
              </w:rPr>
            </w:pPr>
            <w:r>
              <w:rPr>
                <w:rFonts w:eastAsia="Times New Roman"/>
                <w:sz w:val="22"/>
                <w:szCs w:val="22"/>
                <w:lang w:val="en-US"/>
              </w:rPr>
              <w:t>-102.15</w:t>
            </w:r>
          </w:p>
          <w:p w14:paraId="2CA27D88" w14:textId="19953CBF" w:rsidR="00144684" w:rsidRPr="00752F5A" w:rsidRDefault="00144684" w:rsidP="006E705B">
            <w:pPr>
              <w:tabs>
                <w:tab w:val="decimal" w:pos="1165"/>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proofErr w:type="gramStart"/>
            <w:r w:rsidR="00265B13">
              <w:rPr>
                <w:rFonts w:eastAsia="Times New Roman"/>
                <w:sz w:val="22"/>
                <w:szCs w:val="22"/>
                <w:lang w:val="en-US"/>
              </w:rPr>
              <w:t>26.38</w:t>
            </w:r>
            <w:r w:rsidRPr="00752F5A">
              <w:rPr>
                <w:rFonts w:eastAsia="Times New Roman"/>
                <w:sz w:val="22"/>
                <w:szCs w:val="22"/>
                <w:lang w:val="en-US"/>
              </w:rPr>
              <w:t>)</w:t>
            </w:r>
            <w:r w:rsidR="00265B13">
              <w:rPr>
                <w:rFonts w:eastAsia="Times New Roman"/>
                <w:sz w:val="22"/>
                <w:szCs w:val="22"/>
                <w:lang w:val="en-US"/>
              </w:rPr>
              <w:t>*</w:t>
            </w:r>
            <w:proofErr w:type="gramEnd"/>
            <w:r w:rsidRPr="00752F5A">
              <w:rPr>
                <w:rFonts w:eastAsia="Times New Roman"/>
                <w:sz w:val="22"/>
                <w:szCs w:val="22"/>
                <w:lang w:val="en-US"/>
              </w:rPr>
              <w:t>*</w:t>
            </w:r>
          </w:p>
        </w:tc>
      </w:tr>
      <w:tr w:rsidR="003B4B14" w:rsidRPr="00752F5A" w14:paraId="6012AFF5" w14:textId="77777777" w:rsidTr="006E705B">
        <w:trPr>
          <w:trHeight w:val="626"/>
          <w:jc w:val="center"/>
        </w:trPr>
        <w:tc>
          <w:tcPr>
            <w:tcW w:w="2835" w:type="dxa"/>
            <w:tcBorders>
              <w:top w:val="nil"/>
              <w:left w:val="nil"/>
              <w:bottom w:val="nil"/>
              <w:right w:val="nil"/>
            </w:tcBorders>
          </w:tcPr>
          <w:p w14:paraId="5CD83609" w14:textId="1568A2DC" w:rsidR="003B4B14" w:rsidRPr="00752F5A" w:rsidRDefault="003B4B14" w:rsidP="006E705B">
            <w:pPr>
              <w:autoSpaceDE w:val="0"/>
              <w:autoSpaceDN w:val="0"/>
              <w:adjustRightInd w:val="0"/>
              <w:spacing w:after="0" w:line="240" w:lineRule="auto"/>
              <w:rPr>
                <w:rFonts w:eastAsia="Times New Roman"/>
                <w:lang w:val="en-US"/>
              </w:rPr>
            </w:pPr>
            <w:r>
              <w:rPr>
                <w:rFonts w:eastAsia="Times New Roman"/>
                <w:sz w:val="22"/>
                <w:szCs w:val="22"/>
                <w:lang w:val="en-US"/>
              </w:rPr>
              <w:t>Period</w:t>
            </w:r>
          </w:p>
        </w:tc>
        <w:tc>
          <w:tcPr>
            <w:tcW w:w="2553" w:type="dxa"/>
            <w:tcBorders>
              <w:top w:val="nil"/>
              <w:left w:val="nil"/>
              <w:bottom w:val="nil"/>
              <w:right w:val="nil"/>
            </w:tcBorders>
          </w:tcPr>
          <w:p w14:paraId="320EAC5E" w14:textId="0580AC6C" w:rsidR="003B4B14" w:rsidRDefault="00CE7AFB" w:rsidP="006E705B">
            <w:pPr>
              <w:tabs>
                <w:tab w:val="decimal" w:pos="950"/>
              </w:tabs>
              <w:autoSpaceDE w:val="0"/>
              <w:autoSpaceDN w:val="0"/>
              <w:adjustRightInd w:val="0"/>
              <w:spacing w:after="0" w:line="240" w:lineRule="auto"/>
              <w:jc w:val="center"/>
              <w:rPr>
                <w:rFonts w:eastAsia="Times New Roman"/>
                <w:lang w:val="en-US"/>
              </w:rPr>
            </w:pPr>
            <w:r>
              <w:rPr>
                <w:rFonts w:eastAsia="Times New Roman"/>
                <w:sz w:val="22"/>
                <w:szCs w:val="22"/>
                <w:lang w:val="en-US"/>
              </w:rPr>
              <w:t>7.</w:t>
            </w:r>
            <w:r w:rsidR="000E5349">
              <w:rPr>
                <w:rFonts w:eastAsia="Times New Roman"/>
                <w:sz w:val="22"/>
                <w:szCs w:val="22"/>
                <w:lang w:val="en-US"/>
              </w:rPr>
              <w:t>64</w:t>
            </w:r>
          </w:p>
          <w:p w14:paraId="6D9DDEBE" w14:textId="5BC30A41" w:rsidR="00CE7AFB" w:rsidRPr="00752F5A" w:rsidRDefault="00CE7AFB" w:rsidP="006E705B">
            <w:pPr>
              <w:tabs>
                <w:tab w:val="decimal" w:pos="950"/>
              </w:tabs>
              <w:autoSpaceDE w:val="0"/>
              <w:autoSpaceDN w:val="0"/>
              <w:adjustRightInd w:val="0"/>
              <w:spacing w:after="0" w:line="240" w:lineRule="auto"/>
              <w:jc w:val="center"/>
              <w:rPr>
                <w:rFonts w:eastAsia="Times New Roman"/>
                <w:lang w:val="en-US"/>
              </w:rPr>
            </w:pPr>
            <w:r>
              <w:rPr>
                <w:rFonts w:eastAsia="Times New Roman"/>
                <w:sz w:val="22"/>
                <w:szCs w:val="22"/>
                <w:lang w:val="en-US"/>
              </w:rPr>
              <w:t>(</w:t>
            </w:r>
            <w:proofErr w:type="gramStart"/>
            <w:r w:rsidR="000E5349">
              <w:rPr>
                <w:rFonts w:eastAsia="Times New Roman"/>
                <w:sz w:val="22"/>
                <w:szCs w:val="22"/>
                <w:lang w:val="en-US"/>
              </w:rPr>
              <w:t>3.07</w:t>
            </w:r>
            <w:r>
              <w:rPr>
                <w:rFonts w:eastAsia="Times New Roman"/>
                <w:sz w:val="22"/>
                <w:szCs w:val="22"/>
                <w:lang w:val="en-US"/>
              </w:rPr>
              <w:t>)*</w:t>
            </w:r>
            <w:proofErr w:type="gramEnd"/>
            <w:r>
              <w:rPr>
                <w:rFonts w:eastAsia="Times New Roman"/>
                <w:sz w:val="22"/>
                <w:szCs w:val="22"/>
                <w:lang w:val="en-US"/>
              </w:rPr>
              <w:t>*</w:t>
            </w:r>
          </w:p>
        </w:tc>
        <w:tc>
          <w:tcPr>
            <w:tcW w:w="2821" w:type="dxa"/>
            <w:tcBorders>
              <w:top w:val="nil"/>
              <w:left w:val="nil"/>
              <w:bottom w:val="nil"/>
              <w:right w:val="nil"/>
            </w:tcBorders>
          </w:tcPr>
          <w:p w14:paraId="3DACD270" w14:textId="77777777" w:rsidR="003B4B14" w:rsidRDefault="00227BAB" w:rsidP="006E705B">
            <w:pPr>
              <w:tabs>
                <w:tab w:val="decimal" w:pos="1165"/>
              </w:tabs>
              <w:autoSpaceDE w:val="0"/>
              <w:autoSpaceDN w:val="0"/>
              <w:adjustRightInd w:val="0"/>
              <w:spacing w:after="0" w:line="240" w:lineRule="auto"/>
              <w:jc w:val="center"/>
              <w:rPr>
                <w:rFonts w:eastAsia="Times New Roman"/>
                <w:lang w:val="en-US"/>
              </w:rPr>
            </w:pPr>
            <w:r>
              <w:rPr>
                <w:rFonts w:eastAsia="Times New Roman"/>
                <w:sz w:val="22"/>
                <w:szCs w:val="22"/>
                <w:lang w:val="en-US"/>
              </w:rPr>
              <w:t>43.64</w:t>
            </w:r>
          </w:p>
          <w:p w14:paraId="5C77194E" w14:textId="35128863" w:rsidR="00227BAB" w:rsidRPr="00752F5A" w:rsidRDefault="00227BAB" w:rsidP="006E705B">
            <w:pPr>
              <w:tabs>
                <w:tab w:val="decimal" w:pos="1165"/>
              </w:tabs>
              <w:autoSpaceDE w:val="0"/>
              <w:autoSpaceDN w:val="0"/>
              <w:adjustRightInd w:val="0"/>
              <w:spacing w:after="0" w:line="240" w:lineRule="auto"/>
              <w:jc w:val="center"/>
              <w:rPr>
                <w:rFonts w:eastAsia="Times New Roman"/>
                <w:lang w:val="en-US"/>
              </w:rPr>
            </w:pPr>
            <w:r>
              <w:rPr>
                <w:rFonts w:eastAsia="Times New Roman"/>
                <w:sz w:val="22"/>
                <w:szCs w:val="22"/>
                <w:lang w:val="en-US"/>
              </w:rPr>
              <w:t>(</w:t>
            </w:r>
            <w:proofErr w:type="gramStart"/>
            <w:r>
              <w:rPr>
                <w:rFonts w:eastAsia="Times New Roman"/>
                <w:sz w:val="22"/>
                <w:szCs w:val="22"/>
                <w:lang w:val="en-US"/>
              </w:rPr>
              <w:t>3.09)*</w:t>
            </w:r>
            <w:proofErr w:type="gramEnd"/>
            <w:r>
              <w:rPr>
                <w:rFonts w:eastAsia="Times New Roman"/>
                <w:sz w:val="22"/>
                <w:szCs w:val="22"/>
                <w:lang w:val="en-US"/>
              </w:rPr>
              <w:t>**</w:t>
            </w:r>
          </w:p>
        </w:tc>
      </w:tr>
      <w:tr w:rsidR="00144684" w:rsidRPr="00752F5A" w14:paraId="253FB207" w14:textId="77777777" w:rsidTr="006E705B">
        <w:trPr>
          <w:trHeight w:val="626"/>
          <w:jc w:val="center"/>
        </w:trPr>
        <w:tc>
          <w:tcPr>
            <w:tcW w:w="2835" w:type="dxa"/>
            <w:tcBorders>
              <w:top w:val="nil"/>
              <w:left w:val="nil"/>
              <w:bottom w:val="dashed" w:sz="4" w:space="0" w:color="auto"/>
              <w:right w:val="nil"/>
            </w:tcBorders>
          </w:tcPr>
          <w:p w14:paraId="28972445" w14:textId="77777777" w:rsidR="00144684" w:rsidRPr="00752F5A" w:rsidRDefault="00144684" w:rsidP="006E705B">
            <w:pPr>
              <w:autoSpaceDE w:val="0"/>
              <w:autoSpaceDN w:val="0"/>
              <w:adjustRightInd w:val="0"/>
              <w:spacing w:after="0" w:line="240" w:lineRule="auto"/>
              <w:rPr>
                <w:rFonts w:eastAsia="Times New Roman"/>
                <w:lang w:val="en-US"/>
              </w:rPr>
            </w:pPr>
            <w:r w:rsidRPr="00752F5A">
              <w:rPr>
                <w:rFonts w:eastAsia="Times New Roman"/>
                <w:sz w:val="22"/>
                <w:szCs w:val="22"/>
                <w:lang w:val="en-US"/>
              </w:rPr>
              <w:t>Constant</w:t>
            </w:r>
          </w:p>
        </w:tc>
        <w:tc>
          <w:tcPr>
            <w:tcW w:w="2553" w:type="dxa"/>
            <w:tcBorders>
              <w:top w:val="nil"/>
              <w:left w:val="nil"/>
              <w:bottom w:val="dashed" w:sz="4" w:space="0" w:color="auto"/>
              <w:right w:val="nil"/>
            </w:tcBorders>
          </w:tcPr>
          <w:p w14:paraId="49572CEE" w14:textId="4261C7CA" w:rsidR="00144684" w:rsidRPr="00752F5A" w:rsidRDefault="000E5349" w:rsidP="006E705B">
            <w:pPr>
              <w:tabs>
                <w:tab w:val="decimal" w:pos="950"/>
              </w:tabs>
              <w:autoSpaceDE w:val="0"/>
              <w:autoSpaceDN w:val="0"/>
              <w:adjustRightInd w:val="0"/>
              <w:spacing w:after="0" w:line="240" w:lineRule="auto"/>
              <w:jc w:val="center"/>
              <w:rPr>
                <w:rFonts w:eastAsia="Times New Roman"/>
                <w:lang w:val="en-US"/>
              </w:rPr>
            </w:pPr>
            <w:r>
              <w:rPr>
                <w:rFonts w:eastAsia="Times New Roman"/>
                <w:sz w:val="22"/>
                <w:szCs w:val="22"/>
                <w:lang w:val="en-US"/>
              </w:rPr>
              <w:t>158.58</w:t>
            </w:r>
          </w:p>
          <w:p w14:paraId="30637357" w14:textId="24B46F67" w:rsidR="00144684" w:rsidRPr="00752F5A" w:rsidRDefault="00144684" w:rsidP="006E705B">
            <w:pPr>
              <w:tabs>
                <w:tab w:val="decimal" w:pos="950"/>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r w:rsidR="000E5349">
              <w:rPr>
                <w:rFonts w:eastAsia="Times New Roman"/>
                <w:sz w:val="22"/>
                <w:szCs w:val="22"/>
                <w:lang w:val="en-US"/>
              </w:rPr>
              <w:t>178.64</w:t>
            </w:r>
            <w:r w:rsidRPr="00752F5A">
              <w:rPr>
                <w:rFonts w:eastAsia="Times New Roman"/>
                <w:sz w:val="22"/>
                <w:szCs w:val="22"/>
                <w:lang w:val="en-US"/>
              </w:rPr>
              <w:t>)</w:t>
            </w:r>
          </w:p>
        </w:tc>
        <w:tc>
          <w:tcPr>
            <w:tcW w:w="2821" w:type="dxa"/>
            <w:tcBorders>
              <w:top w:val="nil"/>
              <w:left w:val="nil"/>
              <w:bottom w:val="dashed" w:sz="4" w:space="0" w:color="auto"/>
              <w:right w:val="nil"/>
            </w:tcBorders>
          </w:tcPr>
          <w:p w14:paraId="724C9204" w14:textId="4B458FE2" w:rsidR="00144684" w:rsidRPr="00752F5A" w:rsidRDefault="00227BAB" w:rsidP="006E705B">
            <w:pPr>
              <w:tabs>
                <w:tab w:val="decimal" w:pos="1165"/>
              </w:tabs>
              <w:autoSpaceDE w:val="0"/>
              <w:autoSpaceDN w:val="0"/>
              <w:adjustRightInd w:val="0"/>
              <w:spacing w:after="0" w:line="240" w:lineRule="auto"/>
              <w:jc w:val="center"/>
              <w:rPr>
                <w:rFonts w:eastAsia="Times New Roman"/>
                <w:lang w:val="en-US"/>
              </w:rPr>
            </w:pPr>
            <w:r>
              <w:rPr>
                <w:rFonts w:eastAsia="Times New Roman"/>
                <w:sz w:val="22"/>
                <w:szCs w:val="22"/>
                <w:lang w:val="en-US"/>
              </w:rPr>
              <w:t>-417.42</w:t>
            </w:r>
          </w:p>
          <w:p w14:paraId="7E8A933E" w14:textId="4427679B" w:rsidR="00144684" w:rsidRPr="00752F5A" w:rsidRDefault="00144684" w:rsidP="006E705B">
            <w:pPr>
              <w:tabs>
                <w:tab w:val="decimal" w:pos="1165"/>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w:t>
            </w:r>
            <w:proofErr w:type="gramStart"/>
            <w:r w:rsidR="00265B13">
              <w:rPr>
                <w:rFonts w:eastAsia="Times New Roman"/>
                <w:sz w:val="22"/>
                <w:szCs w:val="22"/>
                <w:lang w:val="en-US"/>
              </w:rPr>
              <w:t>1</w:t>
            </w:r>
            <w:r w:rsidR="00227BAB">
              <w:rPr>
                <w:rFonts w:eastAsia="Times New Roman"/>
                <w:sz w:val="22"/>
                <w:szCs w:val="22"/>
                <w:lang w:val="en-US"/>
              </w:rPr>
              <w:t>78.64</w:t>
            </w:r>
            <w:r w:rsidRPr="00752F5A">
              <w:rPr>
                <w:rFonts w:eastAsia="Times New Roman"/>
                <w:sz w:val="22"/>
                <w:szCs w:val="22"/>
                <w:lang w:val="en-US"/>
              </w:rPr>
              <w:t>)*</w:t>
            </w:r>
            <w:proofErr w:type="gramEnd"/>
            <w:r w:rsidR="00227BAB">
              <w:rPr>
                <w:rFonts w:eastAsia="Times New Roman"/>
                <w:sz w:val="22"/>
                <w:szCs w:val="22"/>
                <w:lang w:val="en-US"/>
              </w:rPr>
              <w:t>*</w:t>
            </w:r>
          </w:p>
        </w:tc>
      </w:tr>
      <w:tr w:rsidR="00144684" w:rsidRPr="00752F5A" w14:paraId="4BE5EB3A" w14:textId="77777777" w:rsidTr="006E705B">
        <w:trPr>
          <w:trHeight w:val="316"/>
          <w:jc w:val="center"/>
        </w:trPr>
        <w:tc>
          <w:tcPr>
            <w:tcW w:w="2835" w:type="dxa"/>
            <w:tcBorders>
              <w:top w:val="nil"/>
              <w:left w:val="nil"/>
              <w:bottom w:val="nil"/>
              <w:right w:val="nil"/>
            </w:tcBorders>
          </w:tcPr>
          <w:p w14:paraId="179D7DCD" w14:textId="77777777" w:rsidR="00144684" w:rsidRPr="00752F5A" w:rsidRDefault="00144684" w:rsidP="006E705B">
            <w:pPr>
              <w:autoSpaceDE w:val="0"/>
              <w:autoSpaceDN w:val="0"/>
              <w:adjustRightInd w:val="0"/>
              <w:spacing w:after="0" w:line="240" w:lineRule="auto"/>
              <w:rPr>
                <w:rFonts w:eastAsia="Times New Roman"/>
                <w:lang w:val="en-US"/>
              </w:rPr>
            </w:pPr>
            <w:r w:rsidRPr="00752F5A">
              <w:rPr>
                <w:color w:val="000000"/>
                <w:sz w:val="22"/>
                <w:szCs w:val="22"/>
                <w:lang w:val="en-US" w:eastAsia="de-DE"/>
              </w:rPr>
              <w:t xml:space="preserve"># </w:t>
            </w:r>
            <w:proofErr w:type="spellStart"/>
            <w:r w:rsidRPr="00752F5A">
              <w:rPr>
                <w:color w:val="000000"/>
                <w:sz w:val="22"/>
                <w:szCs w:val="22"/>
                <w:lang w:val="en-US" w:eastAsia="de-DE"/>
              </w:rPr>
              <w:t>obs</w:t>
            </w:r>
            <w:proofErr w:type="spellEnd"/>
          </w:p>
        </w:tc>
        <w:tc>
          <w:tcPr>
            <w:tcW w:w="2553" w:type="dxa"/>
            <w:tcBorders>
              <w:top w:val="nil"/>
              <w:left w:val="nil"/>
              <w:bottom w:val="nil"/>
              <w:right w:val="nil"/>
            </w:tcBorders>
          </w:tcPr>
          <w:p w14:paraId="0FEFF159" w14:textId="6A4EF279" w:rsidR="00144684" w:rsidRPr="00752F5A" w:rsidRDefault="000E5349" w:rsidP="006E705B">
            <w:pPr>
              <w:autoSpaceDE w:val="0"/>
              <w:autoSpaceDN w:val="0"/>
              <w:adjustRightInd w:val="0"/>
              <w:spacing w:after="0" w:line="240" w:lineRule="auto"/>
              <w:ind w:leftChars="-330" w:left="-99" w:rightChars="-289" w:right="-694" w:hangingChars="315" w:hanging="693"/>
              <w:jc w:val="center"/>
              <w:rPr>
                <w:rFonts w:eastAsia="Times New Roman"/>
                <w:lang w:val="en-US"/>
              </w:rPr>
            </w:pPr>
            <w:r>
              <w:rPr>
                <w:rFonts w:eastAsia="Times New Roman"/>
                <w:sz w:val="22"/>
                <w:szCs w:val="22"/>
                <w:lang w:val="en-US"/>
              </w:rPr>
              <w:t>953</w:t>
            </w:r>
          </w:p>
        </w:tc>
        <w:tc>
          <w:tcPr>
            <w:tcW w:w="2821" w:type="dxa"/>
            <w:tcBorders>
              <w:top w:val="nil"/>
              <w:left w:val="nil"/>
              <w:bottom w:val="nil"/>
              <w:right w:val="nil"/>
            </w:tcBorders>
          </w:tcPr>
          <w:p w14:paraId="030AAEF0" w14:textId="442D7685" w:rsidR="00144684" w:rsidRPr="00752F5A" w:rsidRDefault="000E5349" w:rsidP="006E705B">
            <w:pPr>
              <w:autoSpaceDE w:val="0"/>
              <w:autoSpaceDN w:val="0"/>
              <w:adjustRightInd w:val="0"/>
              <w:spacing w:after="0" w:line="240" w:lineRule="auto"/>
              <w:jc w:val="center"/>
              <w:rPr>
                <w:rFonts w:eastAsia="Times New Roman"/>
                <w:lang w:val="en-US"/>
              </w:rPr>
            </w:pPr>
            <w:r>
              <w:rPr>
                <w:rFonts w:eastAsia="Times New Roman"/>
                <w:sz w:val="22"/>
                <w:szCs w:val="22"/>
                <w:lang w:val="en-US"/>
              </w:rPr>
              <w:t>953</w:t>
            </w:r>
          </w:p>
        </w:tc>
      </w:tr>
      <w:tr w:rsidR="00144684" w:rsidRPr="00752F5A" w14:paraId="53ACBAF3" w14:textId="77777777" w:rsidTr="006E705B">
        <w:trPr>
          <w:trHeight w:val="316"/>
          <w:jc w:val="center"/>
        </w:trPr>
        <w:tc>
          <w:tcPr>
            <w:tcW w:w="2835" w:type="dxa"/>
            <w:tcBorders>
              <w:top w:val="nil"/>
              <w:left w:val="nil"/>
              <w:bottom w:val="nil"/>
              <w:right w:val="nil"/>
            </w:tcBorders>
          </w:tcPr>
          <w:p w14:paraId="4E7DF932" w14:textId="77777777" w:rsidR="00144684" w:rsidRPr="00752F5A" w:rsidRDefault="00144684" w:rsidP="006E705B">
            <w:pPr>
              <w:autoSpaceDE w:val="0"/>
              <w:autoSpaceDN w:val="0"/>
              <w:adjustRightInd w:val="0"/>
              <w:spacing w:after="0" w:line="240" w:lineRule="auto"/>
              <w:rPr>
                <w:color w:val="000000"/>
                <w:lang w:val="en-US" w:eastAsia="de-DE"/>
              </w:rPr>
            </w:pPr>
            <w:r w:rsidRPr="00752F5A">
              <w:rPr>
                <w:color w:val="000000"/>
                <w:sz w:val="22"/>
                <w:szCs w:val="22"/>
                <w:lang w:val="en-US" w:eastAsia="de-DE"/>
              </w:rPr>
              <w:t># clusters</w:t>
            </w:r>
          </w:p>
        </w:tc>
        <w:tc>
          <w:tcPr>
            <w:tcW w:w="2553" w:type="dxa"/>
            <w:tcBorders>
              <w:top w:val="nil"/>
              <w:left w:val="nil"/>
              <w:bottom w:val="nil"/>
              <w:right w:val="nil"/>
            </w:tcBorders>
          </w:tcPr>
          <w:p w14:paraId="51CDDDF0" w14:textId="6EDC3F66" w:rsidR="00144684" w:rsidRPr="00752F5A" w:rsidRDefault="000E5349" w:rsidP="006E705B">
            <w:pPr>
              <w:autoSpaceDE w:val="0"/>
              <w:autoSpaceDN w:val="0"/>
              <w:adjustRightInd w:val="0"/>
              <w:spacing w:after="0" w:line="240" w:lineRule="auto"/>
              <w:ind w:leftChars="-330" w:left="-99" w:rightChars="-289" w:right="-694" w:hangingChars="315" w:hanging="693"/>
              <w:jc w:val="center"/>
              <w:rPr>
                <w:rFonts w:eastAsia="Times New Roman"/>
                <w:lang w:val="en-US"/>
              </w:rPr>
            </w:pPr>
            <w:r>
              <w:rPr>
                <w:rFonts w:eastAsia="Times New Roman"/>
                <w:sz w:val="22"/>
                <w:szCs w:val="22"/>
                <w:lang w:val="en-US"/>
              </w:rPr>
              <w:t>100</w:t>
            </w:r>
          </w:p>
        </w:tc>
        <w:tc>
          <w:tcPr>
            <w:tcW w:w="2821" w:type="dxa"/>
            <w:tcBorders>
              <w:top w:val="nil"/>
              <w:left w:val="nil"/>
              <w:bottom w:val="nil"/>
              <w:right w:val="nil"/>
            </w:tcBorders>
          </w:tcPr>
          <w:p w14:paraId="61C813CE" w14:textId="5DEBEBEB" w:rsidR="00144684" w:rsidRPr="00752F5A" w:rsidRDefault="003B4B14" w:rsidP="006E705B">
            <w:pPr>
              <w:autoSpaceDE w:val="0"/>
              <w:autoSpaceDN w:val="0"/>
              <w:adjustRightInd w:val="0"/>
              <w:spacing w:after="0" w:line="240" w:lineRule="auto"/>
              <w:jc w:val="center"/>
              <w:rPr>
                <w:rFonts w:eastAsia="Times New Roman"/>
                <w:lang w:val="en-US"/>
              </w:rPr>
            </w:pPr>
            <w:r>
              <w:rPr>
                <w:rFonts w:eastAsia="Times New Roman"/>
                <w:sz w:val="22"/>
                <w:szCs w:val="22"/>
                <w:lang w:val="en-US"/>
              </w:rPr>
              <w:t>135</w:t>
            </w:r>
          </w:p>
        </w:tc>
      </w:tr>
      <w:tr w:rsidR="00144684" w:rsidRPr="00752F5A" w14:paraId="55538040" w14:textId="77777777" w:rsidTr="006E705B">
        <w:tblPrEx>
          <w:tblBorders>
            <w:bottom w:val="single" w:sz="6" w:space="0" w:color="auto"/>
          </w:tblBorders>
        </w:tblPrEx>
        <w:trPr>
          <w:trHeight w:val="327"/>
          <w:jc w:val="center"/>
        </w:trPr>
        <w:tc>
          <w:tcPr>
            <w:tcW w:w="2835" w:type="dxa"/>
            <w:tcBorders>
              <w:top w:val="nil"/>
              <w:left w:val="nil"/>
              <w:bottom w:val="single" w:sz="12" w:space="0" w:color="auto"/>
              <w:right w:val="nil"/>
            </w:tcBorders>
          </w:tcPr>
          <w:p w14:paraId="248CD272" w14:textId="77777777" w:rsidR="00144684" w:rsidRPr="00752F5A" w:rsidRDefault="00144684" w:rsidP="006E705B">
            <w:pPr>
              <w:autoSpaceDE w:val="0"/>
              <w:autoSpaceDN w:val="0"/>
              <w:adjustRightInd w:val="0"/>
              <w:spacing w:after="0" w:line="240" w:lineRule="auto"/>
              <w:rPr>
                <w:rFonts w:eastAsia="Times New Roman"/>
                <w:lang w:val="en-US"/>
              </w:rPr>
            </w:pPr>
            <w:r w:rsidRPr="00752F5A">
              <w:rPr>
                <w:rFonts w:eastAsia="Times New Roman"/>
                <w:sz w:val="22"/>
                <w:szCs w:val="22"/>
                <w:lang w:val="en-US"/>
              </w:rPr>
              <w:t>R</w:t>
            </w:r>
            <w:r w:rsidRPr="00752F5A">
              <w:rPr>
                <w:rFonts w:eastAsia="Times New Roman"/>
                <w:sz w:val="22"/>
                <w:szCs w:val="22"/>
                <w:vertAlign w:val="superscript"/>
                <w:lang w:val="en-US"/>
              </w:rPr>
              <w:t>2</w:t>
            </w:r>
          </w:p>
        </w:tc>
        <w:tc>
          <w:tcPr>
            <w:tcW w:w="2553" w:type="dxa"/>
            <w:tcBorders>
              <w:top w:val="nil"/>
              <w:left w:val="nil"/>
              <w:bottom w:val="single" w:sz="12" w:space="0" w:color="auto"/>
              <w:right w:val="nil"/>
            </w:tcBorders>
          </w:tcPr>
          <w:p w14:paraId="497234E8" w14:textId="4C4B3F37" w:rsidR="00144684" w:rsidRPr="00752F5A" w:rsidRDefault="00144684" w:rsidP="006E705B">
            <w:pPr>
              <w:autoSpaceDE w:val="0"/>
              <w:autoSpaceDN w:val="0"/>
              <w:adjustRightInd w:val="0"/>
              <w:spacing w:after="0" w:line="240" w:lineRule="auto"/>
              <w:ind w:leftChars="-332" w:left="776" w:rightChars="-289" w:right="-694" w:hangingChars="715" w:hanging="1573"/>
              <w:jc w:val="center"/>
              <w:rPr>
                <w:rFonts w:eastAsia="Times New Roman"/>
                <w:lang w:val="en-US"/>
              </w:rPr>
            </w:pPr>
            <w:r w:rsidRPr="00752F5A">
              <w:rPr>
                <w:rFonts w:eastAsia="Times New Roman"/>
                <w:sz w:val="22"/>
                <w:szCs w:val="22"/>
                <w:lang w:val="en-US"/>
              </w:rPr>
              <w:t>0</w:t>
            </w:r>
            <w:bookmarkStart w:id="2" w:name="OLE_LINK22"/>
            <w:r w:rsidRPr="00752F5A">
              <w:rPr>
                <w:rFonts w:eastAsia="Times New Roman"/>
                <w:sz w:val="22"/>
                <w:szCs w:val="22"/>
                <w:lang w:val="en-US"/>
              </w:rPr>
              <w:t>.</w:t>
            </w:r>
            <w:bookmarkEnd w:id="2"/>
            <w:r w:rsidR="00265B13">
              <w:rPr>
                <w:rFonts w:eastAsia="Times New Roman"/>
                <w:sz w:val="22"/>
                <w:szCs w:val="22"/>
                <w:lang w:val="en-US"/>
              </w:rPr>
              <w:t>4</w:t>
            </w:r>
            <w:r w:rsidR="000E5349">
              <w:rPr>
                <w:rFonts w:eastAsia="Times New Roman"/>
                <w:sz w:val="22"/>
                <w:szCs w:val="22"/>
                <w:lang w:val="en-US"/>
              </w:rPr>
              <w:t>0</w:t>
            </w:r>
          </w:p>
        </w:tc>
        <w:tc>
          <w:tcPr>
            <w:tcW w:w="2821" w:type="dxa"/>
            <w:tcBorders>
              <w:top w:val="nil"/>
              <w:left w:val="nil"/>
              <w:bottom w:val="single" w:sz="12" w:space="0" w:color="auto"/>
              <w:right w:val="nil"/>
            </w:tcBorders>
          </w:tcPr>
          <w:p w14:paraId="3D648BC9" w14:textId="21ED087D" w:rsidR="00144684" w:rsidRPr="00752F5A" w:rsidRDefault="00144684" w:rsidP="006E705B">
            <w:pPr>
              <w:tabs>
                <w:tab w:val="decimal" w:pos="1165"/>
              </w:tabs>
              <w:autoSpaceDE w:val="0"/>
              <w:autoSpaceDN w:val="0"/>
              <w:adjustRightInd w:val="0"/>
              <w:spacing w:after="0" w:line="240" w:lineRule="auto"/>
              <w:jc w:val="center"/>
              <w:rPr>
                <w:rFonts w:eastAsia="Times New Roman"/>
                <w:lang w:val="en-US"/>
              </w:rPr>
            </w:pPr>
            <w:r w:rsidRPr="00752F5A">
              <w:rPr>
                <w:rFonts w:eastAsia="Times New Roman"/>
                <w:sz w:val="22"/>
                <w:szCs w:val="22"/>
                <w:lang w:val="en-US"/>
              </w:rPr>
              <w:t>0.</w:t>
            </w:r>
            <w:r w:rsidR="000E5349">
              <w:rPr>
                <w:rFonts w:eastAsia="Times New Roman"/>
                <w:sz w:val="22"/>
                <w:szCs w:val="22"/>
                <w:lang w:val="en-US"/>
              </w:rPr>
              <w:t>57</w:t>
            </w:r>
          </w:p>
        </w:tc>
      </w:tr>
    </w:tbl>
    <w:p w14:paraId="7F6BF61B" w14:textId="479FDC48" w:rsidR="00144684" w:rsidRPr="00752F5A" w:rsidRDefault="00144684" w:rsidP="00582505">
      <w:pPr>
        <w:spacing w:after="0" w:line="240" w:lineRule="auto"/>
        <w:ind w:left="284" w:right="276"/>
        <w:jc w:val="both"/>
        <w:rPr>
          <w:sz w:val="20"/>
          <w:szCs w:val="20"/>
          <w:lang w:val="en-US"/>
        </w:rPr>
      </w:pPr>
      <w:r w:rsidRPr="00752F5A">
        <w:rPr>
          <w:sz w:val="20"/>
          <w:szCs w:val="20"/>
          <w:lang w:val="en-US"/>
        </w:rPr>
        <w:t xml:space="preserve">Notes: Results show coefficients from </w:t>
      </w:r>
      <w:r w:rsidR="000E5349">
        <w:rPr>
          <w:sz w:val="20"/>
          <w:szCs w:val="20"/>
          <w:lang w:val="en-US"/>
        </w:rPr>
        <w:t>random effect panel</w:t>
      </w:r>
      <w:r w:rsidR="000E5349" w:rsidRPr="00752F5A">
        <w:rPr>
          <w:sz w:val="20"/>
          <w:szCs w:val="20"/>
          <w:lang w:val="en-US"/>
        </w:rPr>
        <w:t xml:space="preserve"> </w:t>
      </w:r>
      <w:r w:rsidRPr="00752F5A">
        <w:rPr>
          <w:sz w:val="20"/>
          <w:szCs w:val="20"/>
          <w:lang w:val="en-US"/>
        </w:rPr>
        <w:t>regressions</w:t>
      </w:r>
      <w:r w:rsidR="00265B13">
        <w:rPr>
          <w:sz w:val="20"/>
          <w:szCs w:val="20"/>
          <w:lang w:val="en-US"/>
        </w:rPr>
        <w:t xml:space="preserve"> with session fixed effects</w:t>
      </w:r>
      <w:r w:rsidRPr="00752F5A">
        <w:rPr>
          <w:sz w:val="20"/>
          <w:szCs w:val="20"/>
          <w:lang w:val="en-US"/>
        </w:rPr>
        <w:t>. Robust standard errors, clustering at the</w:t>
      </w:r>
      <w:r w:rsidR="005F2759">
        <w:rPr>
          <w:sz w:val="20"/>
          <w:szCs w:val="20"/>
          <w:lang w:val="en-US"/>
        </w:rPr>
        <w:t xml:space="preserve"> </w:t>
      </w:r>
      <w:r w:rsidR="00265B13">
        <w:rPr>
          <w:sz w:val="20"/>
          <w:szCs w:val="20"/>
          <w:lang w:val="en-US"/>
        </w:rPr>
        <w:t>subject</w:t>
      </w:r>
      <w:r w:rsidRPr="00752F5A">
        <w:rPr>
          <w:sz w:val="20"/>
          <w:szCs w:val="20"/>
          <w:lang w:val="en-US"/>
        </w:rPr>
        <w:t xml:space="preserve"> level, are reported in the parentheses. *, ** and *** indicate significance at the 10%, 5% and 1 % significance level, respectively.</w:t>
      </w:r>
    </w:p>
    <w:p w14:paraId="501542E8" w14:textId="77777777" w:rsidR="004C58A5" w:rsidRDefault="00144684" w:rsidP="00144684">
      <w:pPr>
        <w:jc w:val="both"/>
        <w:rPr>
          <w:lang w:val="en-US"/>
        </w:rPr>
      </w:pPr>
      <w:r w:rsidRPr="00480CCB">
        <w:rPr>
          <w:lang w:val="en-US"/>
        </w:rPr>
        <w:tab/>
      </w:r>
    </w:p>
    <w:p w14:paraId="1A3C8EFD" w14:textId="1A7C882C" w:rsidR="00C4564A" w:rsidRPr="00480CCB" w:rsidRDefault="00C4564A" w:rsidP="00664441">
      <w:pPr>
        <w:tabs>
          <w:tab w:val="clear" w:pos="425"/>
        </w:tabs>
        <w:spacing w:after="240" w:line="240" w:lineRule="auto"/>
        <w:rPr>
          <w:b/>
          <w:bCs/>
          <w:lang w:val="en-US"/>
        </w:rPr>
      </w:pPr>
      <w:r>
        <w:rPr>
          <w:b/>
          <w:bCs/>
          <w:lang w:val="en-US"/>
        </w:rPr>
        <w:t>4</w:t>
      </w:r>
      <w:r w:rsidRPr="00480CCB">
        <w:rPr>
          <w:b/>
          <w:bCs/>
          <w:lang w:val="en-US"/>
        </w:rPr>
        <w:t>.</w:t>
      </w:r>
      <w:r>
        <w:rPr>
          <w:b/>
          <w:bCs/>
          <w:lang w:val="en-US"/>
        </w:rPr>
        <w:t>3</w:t>
      </w:r>
      <w:r w:rsidRPr="00480CCB">
        <w:rPr>
          <w:b/>
          <w:bCs/>
          <w:lang w:val="en-US"/>
        </w:rPr>
        <w:t xml:space="preserve"> </w:t>
      </w:r>
      <w:r w:rsidR="00D36CAC">
        <w:rPr>
          <w:b/>
          <w:bCs/>
          <w:lang w:val="en-US"/>
        </w:rPr>
        <w:t>Overpricing in the absence of speculative incentives</w:t>
      </w:r>
    </w:p>
    <w:p w14:paraId="59B3C1E0" w14:textId="3DED8B01" w:rsidR="00F65832" w:rsidRDefault="00D36CAC" w:rsidP="00D36CAC">
      <w:pPr>
        <w:jc w:val="both"/>
        <w:rPr>
          <w:lang w:val="en-US"/>
        </w:rPr>
      </w:pPr>
      <w:r>
        <w:rPr>
          <w:lang w:val="en-US"/>
        </w:rPr>
        <w:t>Although the TAX treatment significantly mitigate</w:t>
      </w:r>
      <w:r w:rsidR="008862EF">
        <w:rPr>
          <w:lang w:val="en-US"/>
        </w:rPr>
        <w:t>s</w:t>
      </w:r>
      <w:r>
        <w:rPr>
          <w:lang w:val="en-US"/>
        </w:rPr>
        <w:t xml:space="preserve"> overpricing, </w:t>
      </w:r>
      <w:r w:rsidR="00984693">
        <w:rPr>
          <w:lang w:val="en-US"/>
        </w:rPr>
        <w:t xml:space="preserve">there are still </w:t>
      </w:r>
      <w:r w:rsidR="00A47D13">
        <w:rPr>
          <w:lang w:val="en-US"/>
        </w:rPr>
        <w:t>a</w:t>
      </w:r>
      <w:r w:rsidR="00984693">
        <w:rPr>
          <w:lang w:val="en-US"/>
        </w:rPr>
        <w:t xml:space="preserve"> few sessions</w:t>
      </w:r>
      <w:r w:rsidR="008862EF">
        <w:rPr>
          <w:lang w:val="en-US"/>
        </w:rPr>
        <w:t xml:space="preserve"> that exhibit </w:t>
      </w:r>
      <w:r w:rsidR="00DE719E">
        <w:rPr>
          <w:lang w:val="en-US"/>
        </w:rPr>
        <w:t xml:space="preserve">mild </w:t>
      </w:r>
      <w:r w:rsidR="008862EF">
        <w:rPr>
          <w:lang w:val="en-US"/>
        </w:rPr>
        <w:t>overpricing, especially at the beginning and the end of the market</w:t>
      </w:r>
      <w:r w:rsidR="00984693">
        <w:rPr>
          <w:lang w:val="en-US"/>
        </w:rPr>
        <w:t xml:space="preserve"> (see Figure </w:t>
      </w:r>
      <w:r w:rsidR="008862EF">
        <w:rPr>
          <w:lang w:val="en-US"/>
        </w:rPr>
        <w:t xml:space="preserve">A4). This is not surprising given that </w:t>
      </w:r>
      <w:r>
        <w:rPr>
          <w:lang w:val="en-US"/>
        </w:rPr>
        <w:t xml:space="preserve">we do not tax the sale of </w:t>
      </w:r>
      <w:r w:rsidR="008862EF">
        <w:rPr>
          <w:lang w:val="en-US"/>
        </w:rPr>
        <w:t xml:space="preserve">the </w:t>
      </w:r>
      <w:r>
        <w:rPr>
          <w:lang w:val="en-US"/>
        </w:rPr>
        <w:t>endowed assets. This means that if some traders</w:t>
      </w:r>
      <w:r w:rsidR="00984693">
        <w:rPr>
          <w:lang w:val="en-US"/>
        </w:rPr>
        <w:t xml:space="preserve"> are willing to purchase the asset at elevated prices (say higher than the fundamentals</w:t>
      </w:r>
      <w:r w:rsidR="008862EF">
        <w:rPr>
          <w:lang w:val="en-US"/>
        </w:rPr>
        <w:t xml:space="preserve"> or even the maximum justified value</w:t>
      </w:r>
      <w:r w:rsidR="00984693">
        <w:rPr>
          <w:lang w:val="en-US"/>
        </w:rPr>
        <w:t xml:space="preserve">), it is profitable to </w:t>
      </w:r>
      <w:r w:rsidR="008862EF">
        <w:rPr>
          <w:lang w:val="en-US"/>
        </w:rPr>
        <w:t>ful</w:t>
      </w:r>
      <w:r w:rsidR="00984693">
        <w:rPr>
          <w:lang w:val="en-US"/>
        </w:rPr>
        <w:t>fill that order. Out</w:t>
      </w:r>
      <w:r>
        <w:rPr>
          <w:lang w:val="en-US"/>
        </w:rPr>
        <w:t xml:space="preserve"> of the nine sessions with the capital gains tax, four </w:t>
      </w:r>
      <w:r>
        <w:rPr>
          <w:lang w:val="en-US"/>
        </w:rPr>
        <w:lastRenderedPageBreak/>
        <w:t>exhibit larger overpricing than the rest</w:t>
      </w:r>
      <w:r w:rsidR="008862EF">
        <w:rPr>
          <w:lang w:val="en-US"/>
        </w:rPr>
        <w:t xml:space="preserve"> and we investigate whether cognitive ability can explain the trading behavior in the presence of capital gains tax.</w:t>
      </w:r>
      <w:r w:rsidR="00F65832">
        <w:rPr>
          <w:lang w:val="en-US"/>
        </w:rPr>
        <w:t xml:space="preserve"> </w:t>
      </w:r>
    </w:p>
    <w:p w14:paraId="79347296" w14:textId="1BF35060" w:rsidR="009410AE" w:rsidRDefault="00F65832" w:rsidP="00D36CAC">
      <w:pPr>
        <w:jc w:val="both"/>
        <w:rPr>
          <w:lang w:val="en-US"/>
        </w:rPr>
      </w:pPr>
      <w:r>
        <w:rPr>
          <w:lang w:val="en-US"/>
        </w:rPr>
        <w:tab/>
        <w:t>As argued above, s</w:t>
      </w:r>
      <w:r w:rsidRPr="00480CCB">
        <w:rPr>
          <w:lang w:val="en-US"/>
        </w:rPr>
        <w:t>ince capital gains are impossible, there is no valid financial reason to</w:t>
      </w:r>
      <w:r w:rsidR="00BA5AD1">
        <w:rPr>
          <w:lang w:val="en-US"/>
        </w:rPr>
        <w:t xml:space="preserve"> purchase the asset at prices higher</w:t>
      </w:r>
      <w:r w:rsidRPr="00480CCB">
        <w:rPr>
          <w:lang w:val="en-US"/>
        </w:rPr>
        <w:t xml:space="preserve"> than the sum of the maximum possible dividends</w:t>
      </w:r>
      <w:r>
        <w:rPr>
          <w:lang w:val="en-US"/>
        </w:rPr>
        <w:t>. Thus, we expect the</w:t>
      </w:r>
      <w:r w:rsidR="00BA5AD1">
        <w:rPr>
          <w:lang w:val="en-US"/>
        </w:rPr>
        <w:t xml:space="preserve"> less sophisticated traders to make more such mistakes and drive the prices up. We calculate for each trader the net </w:t>
      </w:r>
      <w:r w:rsidR="00A90410">
        <w:rPr>
          <w:lang w:val="en-US"/>
        </w:rPr>
        <w:t xml:space="preserve">number of </w:t>
      </w:r>
      <w:r w:rsidR="00BA5AD1">
        <w:rPr>
          <w:lang w:val="en-US"/>
        </w:rPr>
        <w:t xml:space="preserve">“mistakes” she makes as the difference between the total number </w:t>
      </w:r>
      <w:r w:rsidR="00CD364E">
        <w:rPr>
          <w:lang w:val="en-US"/>
        </w:rPr>
        <w:t xml:space="preserve">of </w:t>
      </w:r>
      <w:r w:rsidR="00BA5AD1">
        <w:rPr>
          <w:lang w:val="en-US"/>
        </w:rPr>
        <w:t xml:space="preserve">shares she purchased </w:t>
      </w:r>
      <w:r w:rsidR="00A90410">
        <w:rPr>
          <w:lang w:val="en-US"/>
        </w:rPr>
        <w:t xml:space="preserve">and sold </w:t>
      </w:r>
      <w:r w:rsidR="00BA5AD1">
        <w:rPr>
          <w:lang w:val="en-US"/>
        </w:rPr>
        <w:t xml:space="preserve">at the prices </w:t>
      </w:r>
      <w:r w:rsidR="00A90410">
        <w:rPr>
          <w:lang w:val="en-US"/>
        </w:rPr>
        <w:t>higher than the maximum justified values. If the difference is positive, we consider her to be prone to mak</w:t>
      </w:r>
      <w:r w:rsidR="00A47D13">
        <w:rPr>
          <w:lang w:val="en-US"/>
        </w:rPr>
        <w:t>e</w:t>
      </w:r>
      <w:r w:rsidR="00A90410">
        <w:rPr>
          <w:lang w:val="en-US"/>
        </w:rPr>
        <w:t xml:space="preserve"> decision errors. We find that people who are prone to make decision errors scored lower in the Raven’s tests (5 vs. 7, p&lt;0.05, Mann-Whitney U test).</w:t>
      </w:r>
    </w:p>
    <w:p w14:paraId="1C84B25C" w14:textId="2FF116BF" w:rsidR="00B51A14" w:rsidRDefault="009410AE" w:rsidP="00D36CAC">
      <w:pPr>
        <w:jc w:val="both"/>
        <w:rPr>
          <w:lang w:val="en-US"/>
        </w:rPr>
      </w:pPr>
      <w:r>
        <w:rPr>
          <w:lang w:val="en-US"/>
        </w:rPr>
        <w:tab/>
      </w:r>
      <w:r w:rsidR="00B51A14">
        <w:rPr>
          <w:lang w:val="en-US"/>
        </w:rPr>
        <w:t>Moreover,</w:t>
      </w:r>
      <w:r w:rsidR="00F65832">
        <w:rPr>
          <w:lang w:val="en-US"/>
        </w:rPr>
        <w:t xml:space="preserve"> </w:t>
      </w:r>
      <w:r>
        <w:rPr>
          <w:lang w:val="en-US"/>
        </w:rPr>
        <w:t>we find that the</w:t>
      </w:r>
      <w:r w:rsidR="00DE659C">
        <w:rPr>
          <w:lang w:val="en-US"/>
        </w:rPr>
        <w:t xml:space="preserve"> total</w:t>
      </w:r>
      <w:r>
        <w:rPr>
          <w:lang w:val="en-US"/>
        </w:rPr>
        <w:t xml:space="preserve"> number of shares </w:t>
      </w:r>
      <w:r w:rsidR="00821477">
        <w:rPr>
          <w:lang w:val="en-US"/>
        </w:rPr>
        <w:t>purchase</w:t>
      </w:r>
      <w:r w:rsidR="00DE659C">
        <w:rPr>
          <w:lang w:val="en-US"/>
        </w:rPr>
        <w:t>d</w:t>
      </w:r>
      <w:r w:rsidR="00821477">
        <w:rPr>
          <w:lang w:val="en-US"/>
        </w:rPr>
        <w:t xml:space="preserve"> at prices higher than the maximum justified values</w:t>
      </w:r>
      <w:r>
        <w:rPr>
          <w:lang w:val="en-US"/>
        </w:rPr>
        <w:t xml:space="preserve"> is significantly and negatively related to individuals’ cognitive ability in these four sessions </w:t>
      </w:r>
      <w:r w:rsidR="00DE659C">
        <w:rPr>
          <w:lang w:val="en-US"/>
        </w:rPr>
        <w:t xml:space="preserve">with higher mispricing </w:t>
      </w:r>
      <w:r>
        <w:rPr>
          <w:lang w:val="en-US"/>
        </w:rPr>
        <w:t>(N=32, Spearman’s correlation coefficient is -0.43, p&lt;0.05).</w:t>
      </w:r>
      <w:r w:rsidR="00DE659C">
        <w:rPr>
          <w:lang w:val="en-US"/>
        </w:rPr>
        <w:t xml:space="preserve"> Less sophisticated traders are also more likely to purchase at prices higher than the fundamentals</w:t>
      </w:r>
      <w:r w:rsidR="00C4037E">
        <w:rPr>
          <w:lang w:val="en-US"/>
        </w:rPr>
        <w:t xml:space="preserve"> (N=32, Spearman’s correlation coefficient is -0.32, p&lt;0.1).</w:t>
      </w:r>
    </w:p>
    <w:p w14:paraId="44025D94" w14:textId="697BB247" w:rsidR="00DE719E" w:rsidRDefault="00DE719E" w:rsidP="00D36CAC">
      <w:pPr>
        <w:jc w:val="both"/>
        <w:rPr>
          <w:lang w:val="en-US"/>
        </w:rPr>
      </w:pPr>
      <w:r>
        <w:rPr>
          <w:lang w:val="en-US"/>
        </w:rPr>
        <w:tab/>
        <w:t>Our evidence suggests that decision errors are responsible for</w:t>
      </w:r>
      <w:r w:rsidR="00556564">
        <w:rPr>
          <w:lang w:val="en-US"/>
        </w:rPr>
        <w:t xml:space="preserve"> some of</w:t>
      </w:r>
      <w:r>
        <w:rPr>
          <w:lang w:val="en-US"/>
        </w:rPr>
        <w:t xml:space="preserve"> the mispricing seen in the TAX treatment. Individuals with lower cognitive ability are more likely to be purchase shares at prices higher than the fundamentals or even the maximum justified prices. </w:t>
      </w:r>
    </w:p>
    <w:p w14:paraId="57A68699" w14:textId="4AE55AD4" w:rsidR="000A395D" w:rsidRPr="00480CCB" w:rsidRDefault="00582505" w:rsidP="00F07FB4">
      <w:pPr>
        <w:rPr>
          <w:b/>
          <w:bCs/>
          <w:lang w:val="en-US"/>
        </w:rPr>
      </w:pPr>
      <w:r>
        <w:rPr>
          <w:b/>
          <w:bCs/>
          <w:lang w:val="en-US"/>
        </w:rPr>
        <w:t>5</w:t>
      </w:r>
      <w:r w:rsidR="000A395D" w:rsidRPr="00480CCB">
        <w:rPr>
          <w:b/>
          <w:bCs/>
          <w:lang w:val="en-US"/>
        </w:rPr>
        <w:t xml:space="preserve">. Conclusion </w:t>
      </w:r>
    </w:p>
    <w:p w14:paraId="439937DD" w14:textId="613FB715" w:rsidR="00250F39" w:rsidRPr="00480CCB" w:rsidRDefault="004F30CA" w:rsidP="00B74CFB">
      <w:pPr>
        <w:jc w:val="both"/>
        <w:rPr>
          <w:lang w:val="en-US"/>
        </w:rPr>
      </w:pPr>
      <w:r w:rsidRPr="00480CCB">
        <w:rPr>
          <w:lang w:val="en-US"/>
        </w:rPr>
        <w:t>Economic bubbles</w:t>
      </w:r>
      <w:r w:rsidR="00B82046" w:rsidRPr="00480CCB">
        <w:rPr>
          <w:lang w:val="en-US"/>
        </w:rPr>
        <w:t xml:space="preserve"> are a major destabilizing factor for the economy and often lead to severe consequences (</w:t>
      </w:r>
      <w:r w:rsidR="008761AE" w:rsidRPr="00480CCB">
        <w:rPr>
          <w:lang w:val="en-US"/>
        </w:rPr>
        <w:t xml:space="preserve">see </w:t>
      </w:r>
      <w:r w:rsidR="00B82046" w:rsidRPr="00480CCB">
        <w:rPr>
          <w:lang w:val="en-US"/>
        </w:rPr>
        <w:t xml:space="preserve">e.g., </w:t>
      </w:r>
      <w:proofErr w:type="spellStart"/>
      <w:r w:rsidR="00B82046" w:rsidRPr="00480CCB">
        <w:rPr>
          <w:lang w:val="en-US"/>
        </w:rPr>
        <w:t>Brunnermeier</w:t>
      </w:r>
      <w:proofErr w:type="spellEnd"/>
      <w:r w:rsidR="00B82046" w:rsidRPr="00480CCB">
        <w:rPr>
          <w:lang w:val="en-US"/>
        </w:rPr>
        <w:t xml:space="preserve"> and Schnabel 2016</w:t>
      </w:r>
      <w:r w:rsidR="008761AE" w:rsidRPr="00480CCB">
        <w:rPr>
          <w:lang w:val="en-US"/>
        </w:rPr>
        <w:t xml:space="preserve"> for a comprehensive review</w:t>
      </w:r>
      <w:r w:rsidR="00B82046" w:rsidRPr="00480CCB">
        <w:rPr>
          <w:lang w:val="en-US"/>
        </w:rPr>
        <w:t xml:space="preserve">). </w:t>
      </w:r>
      <w:r w:rsidR="009C711C" w:rsidRPr="00480CCB">
        <w:rPr>
          <w:lang w:val="en-US"/>
        </w:rPr>
        <w:t>Economists have long been fascinated by the causes of bubbles</w:t>
      </w:r>
      <w:r w:rsidR="008761AE" w:rsidRPr="00480CCB">
        <w:rPr>
          <w:lang w:val="en-US"/>
        </w:rPr>
        <w:t>. R</w:t>
      </w:r>
      <w:r w:rsidR="009C711C" w:rsidRPr="00480CCB">
        <w:rPr>
          <w:lang w:val="en-US"/>
        </w:rPr>
        <w:t xml:space="preserve">esearch in </w:t>
      </w:r>
      <w:r w:rsidR="008761AE" w:rsidRPr="00480CCB">
        <w:rPr>
          <w:lang w:val="en-US"/>
        </w:rPr>
        <w:t xml:space="preserve">finance in </w:t>
      </w:r>
      <w:r w:rsidR="009C711C" w:rsidRPr="00480CCB">
        <w:rPr>
          <w:lang w:val="en-US"/>
        </w:rPr>
        <w:t>the past decades ha</w:t>
      </w:r>
      <w:r w:rsidR="00A14431" w:rsidRPr="00480CCB">
        <w:rPr>
          <w:lang w:val="en-US"/>
        </w:rPr>
        <w:t>s</w:t>
      </w:r>
      <w:r w:rsidR="009C711C" w:rsidRPr="00480CCB">
        <w:rPr>
          <w:lang w:val="en-US"/>
        </w:rPr>
        <w:t xml:space="preserve"> shown significant progress. For instance, </w:t>
      </w:r>
      <w:proofErr w:type="spellStart"/>
      <w:r w:rsidR="009C711C" w:rsidRPr="00480CCB">
        <w:rPr>
          <w:lang w:val="en-US"/>
        </w:rPr>
        <w:t>Brunnermeier</w:t>
      </w:r>
      <w:proofErr w:type="spellEnd"/>
      <w:r w:rsidR="009C711C" w:rsidRPr="00480CCB">
        <w:rPr>
          <w:lang w:val="en-US"/>
        </w:rPr>
        <w:t xml:space="preserve"> and Oehmke (201</w:t>
      </w:r>
      <w:r w:rsidR="009E6D58" w:rsidRPr="00480CCB">
        <w:rPr>
          <w:lang w:val="en-US"/>
        </w:rPr>
        <w:t>3</w:t>
      </w:r>
      <w:r w:rsidR="009C711C" w:rsidRPr="00480CCB">
        <w:rPr>
          <w:lang w:val="en-US"/>
        </w:rPr>
        <w:t xml:space="preserve">) </w:t>
      </w:r>
      <w:r w:rsidR="00B76325" w:rsidRPr="00480CCB">
        <w:rPr>
          <w:lang w:val="en-US"/>
        </w:rPr>
        <w:t xml:space="preserve">offer </w:t>
      </w:r>
      <w:r w:rsidR="009C711C" w:rsidRPr="00480CCB">
        <w:rPr>
          <w:lang w:val="en-US"/>
        </w:rPr>
        <w:t xml:space="preserve">a </w:t>
      </w:r>
      <w:r w:rsidR="008761AE" w:rsidRPr="00480CCB">
        <w:rPr>
          <w:lang w:val="en-US"/>
        </w:rPr>
        <w:t>broad</w:t>
      </w:r>
      <w:r w:rsidR="009C711C" w:rsidRPr="00480CCB">
        <w:rPr>
          <w:lang w:val="en-US"/>
        </w:rPr>
        <w:t xml:space="preserve"> survey on various reasons for bubble formation, such as rational bubbles, limits of arbitrage and heterogeneous information</w:t>
      </w:r>
      <w:r w:rsidR="008761AE" w:rsidRPr="00480CCB">
        <w:rPr>
          <w:lang w:val="en-US"/>
        </w:rPr>
        <w:t>, etc</w:t>
      </w:r>
      <w:r w:rsidR="009C711C" w:rsidRPr="00480CCB">
        <w:rPr>
          <w:lang w:val="en-US"/>
        </w:rPr>
        <w:t>. In the experimental finance literature, t</w:t>
      </w:r>
      <w:r w:rsidR="005F402E" w:rsidRPr="00480CCB">
        <w:rPr>
          <w:lang w:val="en-US"/>
        </w:rPr>
        <w:t>he conventional wisdom</w:t>
      </w:r>
      <w:r w:rsidR="00C95760" w:rsidRPr="00480CCB">
        <w:rPr>
          <w:lang w:val="en-US"/>
        </w:rPr>
        <w:t xml:space="preserve"> </w:t>
      </w:r>
      <w:r w:rsidR="005F402E" w:rsidRPr="00480CCB">
        <w:rPr>
          <w:lang w:val="en-US"/>
        </w:rPr>
        <w:t>has suggested that bubbles are often caused by speculative activitie</w:t>
      </w:r>
      <w:r w:rsidR="00291CBE" w:rsidRPr="00480CCB">
        <w:rPr>
          <w:lang w:val="en-US"/>
        </w:rPr>
        <w:t>s</w:t>
      </w:r>
      <w:r w:rsidR="003F561E" w:rsidRPr="00480CCB">
        <w:rPr>
          <w:lang w:val="en-US"/>
        </w:rPr>
        <w:t>, which result from</w:t>
      </w:r>
      <w:r w:rsidR="00291CBE" w:rsidRPr="00480CCB">
        <w:rPr>
          <w:lang w:val="en-US"/>
        </w:rPr>
        <w:t xml:space="preserve"> </w:t>
      </w:r>
      <w:r w:rsidR="005F402E" w:rsidRPr="00480CCB">
        <w:rPr>
          <w:lang w:val="en-US"/>
        </w:rPr>
        <w:t xml:space="preserve">the lack of common knowledge </w:t>
      </w:r>
      <w:r w:rsidR="005F402E" w:rsidRPr="00480CCB">
        <w:rPr>
          <w:lang w:val="en-US"/>
        </w:rPr>
        <w:lastRenderedPageBreak/>
        <w:t>of rationality (Smith et al., 1988</w:t>
      </w:r>
      <w:r w:rsidR="00437C42" w:rsidRPr="00480CCB">
        <w:rPr>
          <w:lang w:val="en-US"/>
        </w:rPr>
        <w:t>; Plott, 1991</w:t>
      </w:r>
      <w:r w:rsidR="005F402E" w:rsidRPr="00480CCB">
        <w:rPr>
          <w:lang w:val="en-US"/>
        </w:rPr>
        <w:t>).</w:t>
      </w:r>
      <w:r w:rsidR="003F561E" w:rsidRPr="00480CCB">
        <w:rPr>
          <w:lang w:val="en-US"/>
        </w:rPr>
        <w:t xml:space="preserve"> </w:t>
      </w:r>
      <w:r w:rsidR="00624B31" w:rsidRPr="00480CCB">
        <w:rPr>
          <w:lang w:val="en-US"/>
        </w:rPr>
        <w:t>This is analogous to heterogeneity in beliefs in the field due to uncertainty</w:t>
      </w:r>
      <w:r w:rsidR="00AA722F" w:rsidRPr="00480CCB">
        <w:rPr>
          <w:lang w:val="en-US"/>
        </w:rPr>
        <w:t xml:space="preserve"> in the</w:t>
      </w:r>
      <w:r w:rsidR="00624B31" w:rsidRPr="00480CCB">
        <w:rPr>
          <w:lang w:val="en-US"/>
        </w:rPr>
        <w:t xml:space="preserve"> intrinsic value of the asset. </w:t>
      </w:r>
      <w:r w:rsidR="00465B45" w:rsidRPr="00480CCB">
        <w:rPr>
          <w:lang w:val="en-US"/>
        </w:rPr>
        <w:t>This interpretation has been challenged by Lei et al.</w:t>
      </w:r>
      <w:r w:rsidR="00B74CFB" w:rsidRPr="00480CCB">
        <w:rPr>
          <w:lang w:val="en-US"/>
        </w:rPr>
        <w:t>’s</w:t>
      </w:r>
      <w:r w:rsidR="00465B45" w:rsidRPr="00480CCB">
        <w:rPr>
          <w:lang w:val="en-US"/>
        </w:rPr>
        <w:t xml:space="preserve"> (2001)</w:t>
      </w:r>
      <w:r w:rsidR="00B74CFB" w:rsidRPr="00480CCB">
        <w:rPr>
          <w:lang w:val="en-US"/>
        </w:rPr>
        <w:t xml:space="preserve"> results, which suggest that speculation is not a key ingredient to bubbles. </w:t>
      </w:r>
      <w:r w:rsidR="009F79DC">
        <w:rPr>
          <w:lang w:val="en-US"/>
        </w:rPr>
        <w:t>Tucker and Xu (2023)</w:t>
      </w:r>
      <w:r w:rsidR="009F79DC" w:rsidRPr="00480CCB">
        <w:rPr>
          <w:lang w:val="en-US"/>
        </w:rPr>
        <w:t xml:space="preserve"> </w:t>
      </w:r>
      <w:r w:rsidR="005F1F71" w:rsidRPr="00480CCB">
        <w:rPr>
          <w:lang w:val="en-US"/>
        </w:rPr>
        <w:t xml:space="preserve">argue that </w:t>
      </w:r>
      <w:r w:rsidR="00711450" w:rsidRPr="00480CCB">
        <w:rPr>
          <w:lang w:val="en-US"/>
        </w:rPr>
        <w:t>the</w:t>
      </w:r>
      <w:r w:rsidR="00B74CFB" w:rsidRPr="00480CCB">
        <w:rPr>
          <w:lang w:val="en-US"/>
        </w:rPr>
        <w:t>se</w:t>
      </w:r>
      <w:r w:rsidR="00711450" w:rsidRPr="00480CCB">
        <w:rPr>
          <w:lang w:val="en-US"/>
        </w:rPr>
        <w:t xml:space="preserve"> results </w:t>
      </w:r>
      <w:r w:rsidR="00242859">
        <w:rPr>
          <w:lang w:val="en-US"/>
        </w:rPr>
        <w:t>may</w:t>
      </w:r>
      <w:r w:rsidR="00242859" w:rsidRPr="00480CCB">
        <w:rPr>
          <w:lang w:val="en-US"/>
        </w:rPr>
        <w:t xml:space="preserve"> </w:t>
      </w:r>
      <w:r w:rsidR="00711450" w:rsidRPr="00480CCB">
        <w:rPr>
          <w:lang w:val="en-US"/>
        </w:rPr>
        <w:t>be attributed to</w:t>
      </w:r>
      <w:r w:rsidR="005F1F71" w:rsidRPr="00480CCB">
        <w:rPr>
          <w:lang w:val="en-US"/>
        </w:rPr>
        <w:t xml:space="preserve"> </w:t>
      </w:r>
      <w:r w:rsidR="00711450" w:rsidRPr="00480CCB">
        <w:rPr>
          <w:lang w:val="en-US"/>
        </w:rPr>
        <w:t>design features in LNP that</w:t>
      </w:r>
      <w:r w:rsidR="005F1F71" w:rsidRPr="00480CCB">
        <w:rPr>
          <w:lang w:val="en-US"/>
        </w:rPr>
        <w:t xml:space="preserve"> </w:t>
      </w:r>
      <w:r w:rsidR="00B74CFB" w:rsidRPr="00480CCB">
        <w:rPr>
          <w:lang w:val="en-US"/>
        </w:rPr>
        <w:t xml:space="preserve">replaced speculative motives by other motives to buy assets at elevated prices. To overcome these issues, we introduce a condition with a </w:t>
      </w:r>
      <w:r w:rsidR="00E0011D" w:rsidRPr="00480CCB">
        <w:rPr>
          <w:lang w:val="en-US"/>
        </w:rPr>
        <w:t>100% capital gain</w:t>
      </w:r>
      <w:r w:rsidR="00711450" w:rsidRPr="00480CCB">
        <w:rPr>
          <w:lang w:val="en-US"/>
        </w:rPr>
        <w:t>s</w:t>
      </w:r>
      <w:r w:rsidR="00E0011D" w:rsidRPr="00480CCB">
        <w:rPr>
          <w:lang w:val="en-US"/>
        </w:rPr>
        <w:t xml:space="preserve"> tax on traders, meaning that all </w:t>
      </w:r>
      <w:r w:rsidR="0021450E" w:rsidRPr="00480CCB">
        <w:rPr>
          <w:lang w:val="en-US"/>
        </w:rPr>
        <w:t>resale earnings</w:t>
      </w:r>
      <w:r w:rsidR="00E0011D" w:rsidRPr="00480CCB">
        <w:rPr>
          <w:lang w:val="en-US"/>
        </w:rPr>
        <w:t xml:space="preserve"> will be</w:t>
      </w:r>
      <w:r w:rsidR="007C44DC" w:rsidRPr="00480CCB">
        <w:rPr>
          <w:lang w:val="en-US"/>
        </w:rPr>
        <w:t xml:space="preserve"> completely</w:t>
      </w:r>
      <w:r w:rsidR="00E0011D" w:rsidRPr="00480CCB">
        <w:rPr>
          <w:lang w:val="en-US"/>
        </w:rPr>
        <w:t xml:space="preserve"> taxed away.</w:t>
      </w:r>
      <w:r w:rsidR="00D30E4E">
        <w:rPr>
          <w:lang w:val="en-US"/>
        </w:rPr>
        <w:t xml:space="preserve">  Thus, any financial incentive to engage in speculative behavior is removed while a</w:t>
      </w:r>
      <w:r w:rsidR="00B74CFB" w:rsidRPr="00480CCB">
        <w:rPr>
          <w:lang w:val="en-US"/>
        </w:rPr>
        <w:t xml:space="preserve">ll other aspects of the basic SSW asset market are retained. We find </w:t>
      </w:r>
      <w:r w:rsidR="00E0011D" w:rsidRPr="00480CCB">
        <w:rPr>
          <w:lang w:val="en-US"/>
        </w:rPr>
        <w:t>that</w:t>
      </w:r>
      <w:r w:rsidR="0021450E" w:rsidRPr="00480CCB">
        <w:rPr>
          <w:lang w:val="en-US"/>
        </w:rPr>
        <w:t xml:space="preserve"> prices track fundamental value </w:t>
      </w:r>
      <w:r w:rsidR="00B74CFB" w:rsidRPr="00480CCB">
        <w:rPr>
          <w:lang w:val="en-US"/>
        </w:rPr>
        <w:t>very</w:t>
      </w:r>
      <w:r w:rsidR="0021450E" w:rsidRPr="00480CCB">
        <w:rPr>
          <w:lang w:val="en-US"/>
        </w:rPr>
        <w:t xml:space="preserve"> well</w:t>
      </w:r>
      <w:r w:rsidR="005543F8" w:rsidRPr="00480CCB">
        <w:rPr>
          <w:lang w:val="en-US"/>
        </w:rPr>
        <w:t>,</w:t>
      </w:r>
      <w:r w:rsidR="00B43E98" w:rsidRPr="00480CCB">
        <w:rPr>
          <w:lang w:val="en-US"/>
        </w:rPr>
        <w:t xml:space="preserve"> suggesting that speculation is</w:t>
      </w:r>
      <w:r w:rsidR="00D30E4E">
        <w:rPr>
          <w:lang w:val="en-US"/>
        </w:rPr>
        <w:t xml:space="preserve"> in fact</w:t>
      </w:r>
      <w:r w:rsidR="00B43E98" w:rsidRPr="00480CCB">
        <w:rPr>
          <w:lang w:val="en-US"/>
        </w:rPr>
        <w:t xml:space="preserve"> </w:t>
      </w:r>
      <w:r w:rsidR="00386B44" w:rsidRPr="00480CCB">
        <w:rPr>
          <w:lang w:val="en-US"/>
        </w:rPr>
        <w:t>a critical factor</w:t>
      </w:r>
      <w:r w:rsidR="00DE21AD" w:rsidRPr="00480CCB">
        <w:rPr>
          <w:lang w:val="en-US"/>
        </w:rPr>
        <w:t xml:space="preserve"> </w:t>
      </w:r>
      <w:r w:rsidR="00B43E98" w:rsidRPr="00480CCB">
        <w:rPr>
          <w:lang w:val="en-US"/>
        </w:rPr>
        <w:t>for bubble</w:t>
      </w:r>
      <w:r w:rsidR="00386B44" w:rsidRPr="00480CCB">
        <w:rPr>
          <w:lang w:val="en-US"/>
        </w:rPr>
        <w:t xml:space="preserve"> formation</w:t>
      </w:r>
      <w:r w:rsidR="00B43E98" w:rsidRPr="00480CCB">
        <w:rPr>
          <w:lang w:val="en-US"/>
        </w:rPr>
        <w:t>.</w:t>
      </w:r>
      <w:r w:rsidR="0021450E" w:rsidRPr="00480CCB">
        <w:rPr>
          <w:lang w:val="en-US"/>
        </w:rPr>
        <w:t xml:space="preserve"> </w:t>
      </w:r>
      <w:r w:rsidR="00B74CFB" w:rsidRPr="00480CCB">
        <w:rPr>
          <w:lang w:val="en-US"/>
        </w:rPr>
        <w:t xml:space="preserve">Analyses of </w:t>
      </w:r>
      <w:r w:rsidR="00452302" w:rsidRPr="00480CCB">
        <w:rPr>
          <w:lang w:val="en-US"/>
        </w:rPr>
        <w:t xml:space="preserve">the </w:t>
      </w:r>
      <w:r w:rsidR="00A70FD7" w:rsidRPr="00480CCB">
        <w:rPr>
          <w:lang w:val="en-US"/>
        </w:rPr>
        <w:t xml:space="preserve">bidding behavior of </w:t>
      </w:r>
      <w:r w:rsidR="00B74CFB" w:rsidRPr="00480CCB">
        <w:rPr>
          <w:lang w:val="en-US"/>
        </w:rPr>
        <w:t>traders shows that</w:t>
      </w:r>
      <w:r w:rsidR="00F2124E" w:rsidRPr="00480CCB">
        <w:rPr>
          <w:lang w:val="en-US"/>
        </w:rPr>
        <w:t xml:space="preserve"> </w:t>
      </w:r>
      <w:r w:rsidR="00482F5C" w:rsidRPr="00480CCB">
        <w:rPr>
          <w:lang w:val="en-US"/>
        </w:rPr>
        <w:t xml:space="preserve">the TAX </w:t>
      </w:r>
      <w:r w:rsidR="00F2124E" w:rsidRPr="00480CCB">
        <w:rPr>
          <w:lang w:val="en-US"/>
        </w:rPr>
        <w:t xml:space="preserve">treatment discourages </w:t>
      </w:r>
      <w:r w:rsidR="00A70FD7" w:rsidRPr="00480CCB">
        <w:rPr>
          <w:lang w:val="en-US"/>
        </w:rPr>
        <w:t xml:space="preserve">relatively more sophisticated traders to engage in </w:t>
      </w:r>
      <w:r w:rsidR="00F2124E" w:rsidRPr="00480CCB">
        <w:rPr>
          <w:lang w:val="en-US"/>
        </w:rPr>
        <w:t>speculative activities</w:t>
      </w:r>
      <w:r w:rsidR="00B74CFB" w:rsidRPr="00480CCB">
        <w:rPr>
          <w:lang w:val="en-US"/>
        </w:rPr>
        <w:t xml:space="preserve">, while </w:t>
      </w:r>
      <w:r w:rsidR="00A70FD7" w:rsidRPr="00480CCB">
        <w:rPr>
          <w:lang w:val="en-US"/>
        </w:rPr>
        <w:t>they still make high bids in the LNP no</w:t>
      </w:r>
      <w:r w:rsidR="00A02A3A" w:rsidRPr="00480CCB">
        <w:rPr>
          <w:lang w:val="en-US"/>
        </w:rPr>
        <w:t>-</w:t>
      </w:r>
      <w:r w:rsidR="00A70FD7" w:rsidRPr="00480CCB">
        <w:rPr>
          <w:lang w:val="en-US"/>
        </w:rPr>
        <w:t>speculation paradigm</w:t>
      </w:r>
      <w:r w:rsidR="00F2124E" w:rsidRPr="00480CCB">
        <w:rPr>
          <w:lang w:val="en-US"/>
        </w:rPr>
        <w:t xml:space="preserve">. </w:t>
      </w:r>
      <w:r w:rsidR="007A5F64" w:rsidRPr="00480CCB">
        <w:rPr>
          <w:lang w:val="en-US"/>
        </w:rPr>
        <w:t xml:space="preserve"> </w:t>
      </w:r>
      <w:r w:rsidR="00250F39">
        <w:rPr>
          <w:lang w:val="en-US"/>
        </w:rPr>
        <w:tab/>
      </w:r>
    </w:p>
    <w:p w14:paraId="2D632A7E" w14:textId="5E72E362" w:rsidR="00802CF5" w:rsidRPr="00480CCB" w:rsidRDefault="00802CF5" w:rsidP="00B74CFB">
      <w:pPr>
        <w:jc w:val="both"/>
        <w:rPr>
          <w:lang w:val="en-US"/>
        </w:rPr>
      </w:pPr>
      <w:r w:rsidRPr="00480CCB">
        <w:tab/>
        <w:t>We contribute to the literature by reconciling a long-standing puzzle that the prevailing results in the experimental literature are at odds to the finance literature that the former suggests that speculation is not a necessary ingredient for bubbles. Rather, mistakes and confusions are the main reasons behind bubbles. This paper has shown that even if we do not extensively train these inexperienced traders, and thus confusion</w:t>
      </w:r>
      <w:r w:rsidR="00242859">
        <w:t>,</w:t>
      </w:r>
      <w:r w:rsidRPr="00480CCB">
        <w:t xml:space="preserve"> </w:t>
      </w:r>
      <w:proofErr w:type="gramStart"/>
      <w:r w:rsidRPr="00480CCB">
        <w:t>mistakes</w:t>
      </w:r>
      <w:proofErr w:type="gramEnd"/>
      <w:r w:rsidR="00242859">
        <w:t xml:space="preserve"> and the lack of common knowledge of rationality</w:t>
      </w:r>
      <w:r w:rsidRPr="00480CCB">
        <w:t xml:space="preserve"> may well be present, bubbles are attenuated when there is no motivation to speculate. Indeed, when there is no motivation to speculate, there is no incentives to take advantage of other people’s mistakes. Thus, the most fundamental reason of bubble formation is speculation.</w:t>
      </w:r>
    </w:p>
    <w:p w14:paraId="7C28270A" w14:textId="249D0586" w:rsidR="005B09C7" w:rsidRPr="005B2B03" w:rsidRDefault="005B09C7">
      <w:pPr>
        <w:tabs>
          <w:tab w:val="clear" w:pos="425"/>
        </w:tabs>
        <w:spacing w:after="0" w:line="240" w:lineRule="auto"/>
        <w:rPr>
          <w:b/>
          <w:lang w:val="en-US"/>
        </w:rPr>
      </w:pPr>
    </w:p>
    <w:p w14:paraId="366C6D3D" w14:textId="77777777" w:rsidR="00CD364E" w:rsidRDefault="00CD364E" w:rsidP="00CD364E">
      <w:pPr>
        <w:tabs>
          <w:tab w:val="clear" w:pos="425"/>
        </w:tabs>
        <w:spacing w:after="0" w:line="240" w:lineRule="auto"/>
        <w:rPr>
          <w:b/>
          <w:sz w:val="22"/>
          <w:szCs w:val="22"/>
          <w:lang w:val="de-DE"/>
        </w:rPr>
      </w:pPr>
    </w:p>
    <w:p w14:paraId="37AE7A7B" w14:textId="0FBF3BF9" w:rsidR="003139F2" w:rsidRPr="00CD364E" w:rsidRDefault="003139F2" w:rsidP="00CD364E">
      <w:pPr>
        <w:tabs>
          <w:tab w:val="clear" w:pos="425"/>
        </w:tabs>
        <w:spacing w:after="0" w:line="240" w:lineRule="auto"/>
        <w:rPr>
          <w:b/>
          <w:lang w:val="de-DE"/>
        </w:rPr>
      </w:pPr>
      <w:r w:rsidRPr="00CD364E">
        <w:rPr>
          <w:b/>
          <w:lang w:val="de-DE"/>
        </w:rPr>
        <w:t>References</w:t>
      </w:r>
    </w:p>
    <w:p w14:paraId="175F8F63" w14:textId="77777777" w:rsidR="00CD364E" w:rsidRPr="00CD364E" w:rsidRDefault="00CD364E" w:rsidP="00CD364E">
      <w:pPr>
        <w:tabs>
          <w:tab w:val="clear" w:pos="425"/>
        </w:tabs>
        <w:spacing w:after="0" w:line="240" w:lineRule="auto"/>
        <w:rPr>
          <w:b/>
          <w:lang w:val="en-US"/>
        </w:rPr>
      </w:pPr>
    </w:p>
    <w:p w14:paraId="0F47B0FD" w14:textId="3B4AB5FC" w:rsidR="0018117F" w:rsidRPr="009F71A2" w:rsidRDefault="0018117F"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lang w:val="de-DE"/>
        </w:rPr>
        <w:t xml:space="preserve">Abreu, D., &amp; Brunnermeier, M. K. (2003). </w:t>
      </w:r>
      <w:r w:rsidRPr="009F71A2">
        <w:rPr>
          <w:rFonts w:ascii="Times New Roman" w:hAnsi="Times New Roman" w:cs="Times New Roman"/>
          <w:sz w:val="22"/>
          <w:szCs w:val="22"/>
        </w:rPr>
        <w:t xml:space="preserve">Bubbles and Crashes. </w:t>
      </w:r>
      <w:proofErr w:type="spellStart"/>
      <w:r w:rsidRPr="009F71A2">
        <w:rPr>
          <w:rFonts w:ascii="Times New Roman" w:hAnsi="Times New Roman" w:cs="Times New Roman"/>
          <w:i/>
          <w:iCs/>
          <w:sz w:val="22"/>
          <w:szCs w:val="22"/>
        </w:rPr>
        <w:t>Econometrica</w:t>
      </w:r>
      <w:proofErr w:type="spellEnd"/>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71</w:t>
      </w:r>
      <w:r w:rsidRPr="009F71A2">
        <w:rPr>
          <w:rFonts w:ascii="Times New Roman" w:hAnsi="Times New Roman" w:cs="Times New Roman"/>
          <w:sz w:val="22"/>
          <w:szCs w:val="22"/>
        </w:rPr>
        <w:t>(1), 173–204.</w:t>
      </w:r>
    </w:p>
    <w:p w14:paraId="38518553" w14:textId="11A6B4F8" w:rsidR="006126EA" w:rsidRPr="009F71A2" w:rsidRDefault="006126EA" w:rsidP="00DB5EC1">
      <w:pPr>
        <w:tabs>
          <w:tab w:val="clear" w:pos="425"/>
        </w:tabs>
        <w:spacing w:line="240" w:lineRule="auto"/>
        <w:ind w:left="432" w:hanging="432"/>
        <w:jc w:val="both"/>
        <w:rPr>
          <w:rFonts w:eastAsia="SimSun"/>
          <w:sz w:val="22"/>
          <w:szCs w:val="22"/>
          <w:lang w:val="en-US" w:eastAsia="zh-CN"/>
        </w:rPr>
      </w:pPr>
      <w:r w:rsidRPr="009F71A2">
        <w:rPr>
          <w:rFonts w:eastAsia="SimSun"/>
          <w:sz w:val="22"/>
          <w:szCs w:val="22"/>
          <w:lang w:val="en-US" w:eastAsia="zh-CN"/>
        </w:rPr>
        <w:t xml:space="preserve">Akiyama, E., </w:t>
      </w:r>
      <w:proofErr w:type="spellStart"/>
      <w:r w:rsidRPr="009F71A2">
        <w:rPr>
          <w:rFonts w:eastAsia="SimSun"/>
          <w:sz w:val="22"/>
          <w:szCs w:val="22"/>
          <w:lang w:val="en-US" w:eastAsia="zh-CN"/>
        </w:rPr>
        <w:t>Hanaki</w:t>
      </w:r>
      <w:proofErr w:type="spellEnd"/>
      <w:r w:rsidRPr="009F71A2">
        <w:rPr>
          <w:rFonts w:eastAsia="SimSun"/>
          <w:sz w:val="22"/>
          <w:szCs w:val="22"/>
          <w:lang w:val="en-US" w:eastAsia="zh-CN"/>
        </w:rPr>
        <w:t xml:space="preserve">, N., &amp; Ishikawa, R. (2017). It is Not Just Confusion! Strategic Uncertainty in An Experimental Asset Market. </w:t>
      </w:r>
      <w:r w:rsidRPr="009F71A2">
        <w:rPr>
          <w:rFonts w:eastAsia="SimSun"/>
          <w:i/>
          <w:iCs/>
          <w:sz w:val="22"/>
          <w:szCs w:val="22"/>
          <w:lang w:val="en-US" w:eastAsia="zh-CN"/>
        </w:rPr>
        <w:t>Economic Journal</w:t>
      </w:r>
      <w:r w:rsidRPr="009F71A2">
        <w:rPr>
          <w:rFonts w:eastAsia="SimSun"/>
          <w:sz w:val="22"/>
          <w:szCs w:val="22"/>
          <w:lang w:val="en-US" w:eastAsia="zh-CN"/>
        </w:rPr>
        <w:t xml:space="preserve">, </w:t>
      </w:r>
      <w:r w:rsidRPr="009F71A2">
        <w:rPr>
          <w:rFonts w:eastAsia="SimSun"/>
          <w:i/>
          <w:iCs/>
          <w:sz w:val="22"/>
          <w:szCs w:val="22"/>
          <w:lang w:val="en-US" w:eastAsia="zh-CN"/>
        </w:rPr>
        <w:t>127</w:t>
      </w:r>
      <w:r w:rsidRPr="009F71A2">
        <w:rPr>
          <w:rFonts w:eastAsia="SimSun"/>
          <w:sz w:val="22"/>
          <w:szCs w:val="22"/>
          <w:lang w:val="en-US" w:eastAsia="zh-CN"/>
        </w:rPr>
        <w:t xml:space="preserve">(605), F563–F580. </w:t>
      </w:r>
    </w:p>
    <w:p w14:paraId="50DFDE31" w14:textId="3AEE9D38" w:rsidR="00581461" w:rsidRPr="009F71A2" w:rsidRDefault="00581461" w:rsidP="00DB5EC1">
      <w:pPr>
        <w:tabs>
          <w:tab w:val="clear" w:pos="425"/>
        </w:tabs>
        <w:spacing w:line="240" w:lineRule="auto"/>
        <w:ind w:left="432" w:hanging="432"/>
        <w:jc w:val="both"/>
        <w:rPr>
          <w:sz w:val="22"/>
          <w:szCs w:val="22"/>
          <w:lang w:val="en-US" w:eastAsia="de-DE" w:bidi="he-IL"/>
        </w:rPr>
      </w:pPr>
      <w:proofErr w:type="spellStart"/>
      <w:r w:rsidRPr="009F71A2">
        <w:rPr>
          <w:sz w:val="22"/>
          <w:szCs w:val="22"/>
          <w:lang w:val="en-US" w:eastAsia="de-DE" w:bidi="he-IL"/>
        </w:rPr>
        <w:t>Bors</w:t>
      </w:r>
      <w:proofErr w:type="spellEnd"/>
      <w:r w:rsidRPr="009F71A2">
        <w:rPr>
          <w:sz w:val="22"/>
          <w:szCs w:val="22"/>
          <w:lang w:val="en-US" w:eastAsia="de-DE" w:bidi="he-IL"/>
        </w:rPr>
        <w:t xml:space="preserve">, D. A., </w:t>
      </w:r>
      <w:r w:rsidR="00C803C1" w:rsidRPr="009F71A2">
        <w:rPr>
          <w:rFonts w:eastAsia="SimSun"/>
          <w:sz w:val="22"/>
          <w:szCs w:val="22"/>
          <w:lang w:val="en-US" w:eastAsia="zh-CN"/>
        </w:rPr>
        <w:t xml:space="preserve">&amp; </w:t>
      </w:r>
      <w:r w:rsidRPr="009F71A2">
        <w:rPr>
          <w:sz w:val="22"/>
          <w:szCs w:val="22"/>
          <w:lang w:val="en-US" w:eastAsia="de-DE" w:bidi="he-IL"/>
        </w:rPr>
        <w:t xml:space="preserve">Stokes, T. L. (1998). Raven's Advanced Progressive Matrices: Norms for first-year university students and the development of a short form. </w:t>
      </w:r>
      <w:r w:rsidRPr="009F71A2">
        <w:rPr>
          <w:i/>
          <w:iCs/>
          <w:sz w:val="22"/>
          <w:szCs w:val="22"/>
          <w:lang w:val="en-US" w:eastAsia="de-DE" w:bidi="he-IL"/>
        </w:rPr>
        <w:t>Educational and Psychological Measurement</w:t>
      </w:r>
      <w:r w:rsidRPr="009F71A2">
        <w:rPr>
          <w:sz w:val="22"/>
          <w:szCs w:val="22"/>
          <w:lang w:val="en-US" w:eastAsia="de-DE" w:bidi="he-IL"/>
        </w:rPr>
        <w:t>,</w:t>
      </w:r>
      <w:r w:rsidRPr="009F71A2">
        <w:rPr>
          <w:i/>
          <w:sz w:val="22"/>
          <w:szCs w:val="22"/>
          <w:lang w:val="en-US" w:eastAsia="de-DE" w:bidi="he-IL"/>
        </w:rPr>
        <w:t xml:space="preserve"> 58</w:t>
      </w:r>
      <w:r w:rsidRPr="009F71A2">
        <w:rPr>
          <w:sz w:val="22"/>
          <w:szCs w:val="22"/>
          <w:lang w:val="en-US" w:eastAsia="de-DE" w:bidi="he-IL"/>
        </w:rPr>
        <w:t>(3), 382-398.</w:t>
      </w:r>
    </w:p>
    <w:p w14:paraId="434CEA03" w14:textId="55DB15CB" w:rsidR="000A2314" w:rsidRPr="009F71A2" w:rsidRDefault="000A2314"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lastRenderedPageBreak/>
        <w:t xml:space="preserve">Bosch-Rosa, C., Meissner, T., &amp; Bosch-Domènech, A. (2018). Cognitive bubbles. </w:t>
      </w:r>
      <w:r w:rsidRPr="009F71A2">
        <w:rPr>
          <w:rFonts w:ascii="Times New Roman" w:hAnsi="Times New Roman" w:cs="Times New Roman"/>
          <w:i/>
          <w:iCs/>
          <w:sz w:val="22"/>
          <w:szCs w:val="22"/>
        </w:rPr>
        <w:t>Experimental Economics</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21</w:t>
      </w:r>
      <w:r w:rsidRPr="009F71A2">
        <w:rPr>
          <w:rFonts w:ascii="Times New Roman" w:hAnsi="Times New Roman" w:cs="Times New Roman"/>
          <w:sz w:val="22"/>
          <w:szCs w:val="22"/>
        </w:rPr>
        <w:t xml:space="preserve">(1), 132–153. </w:t>
      </w:r>
    </w:p>
    <w:p w14:paraId="1E640A4C" w14:textId="7FC87809" w:rsidR="00951AA9" w:rsidRPr="009F71A2" w:rsidRDefault="00951AA9" w:rsidP="00A90D39">
      <w:pPr>
        <w:pStyle w:val="NormalWeb"/>
        <w:spacing w:before="0" w:beforeAutospacing="0" w:after="120" w:afterAutospacing="0"/>
        <w:ind w:left="480" w:hanging="480"/>
        <w:jc w:val="both"/>
        <w:rPr>
          <w:rFonts w:ascii="Times New Roman" w:hAnsi="Times New Roman" w:cs="Times New Roman"/>
          <w:sz w:val="22"/>
          <w:szCs w:val="22"/>
        </w:rPr>
      </w:pPr>
      <w:proofErr w:type="spellStart"/>
      <w:r w:rsidRPr="009F71A2">
        <w:rPr>
          <w:rFonts w:ascii="Times New Roman" w:hAnsi="Times New Roman" w:cs="Times New Roman"/>
          <w:sz w:val="22"/>
          <w:szCs w:val="22"/>
        </w:rPr>
        <w:t>Brunnermeier</w:t>
      </w:r>
      <w:proofErr w:type="spellEnd"/>
      <w:r w:rsidRPr="009F71A2">
        <w:rPr>
          <w:rFonts w:ascii="Times New Roman" w:hAnsi="Times New Roman" w:cs="Times New Roman"/>
          <w:sz w:val="22"/>
          <w:szCs w:val="22"/>
        </w:rPr>
        <w:t xml:space="preserve">, M. K., &amp; Morgan, J. (2010). Clock games: Theory and experiments. </w:t>
      </w:r>
      <w:r w:rsidRPr="009F71A2">
        <w:rPr>
          <w:rFonts w:ascii="Times New Roman" w:hAnsi="Times New Roman" w:cs="Times New Roman"/>
          <w:i/>
          <w:iCs/>
          <w:sz w:val="22"/>
          <w:szCs w:val="22"/>
        </w:rPr>
        <w:t>Games and Economic Behavior</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68</w:t>
      </w:r>
      <w:r w:rsidRPr="009F71A2">
        <w:rPr>
          <w:rFonts w:ascii="Times New Roman" w:hAnsi="Times New Roman" w:cs="Times New Roman"/>
          <w:sz w:val="22"/>
          <w:szCs w:val="22"/>
        </w:rPr>
        <w:t>, 532–550.</w:t>
      </w:r>
    </w:p>
    <w:p w14:paraId="48B1F48B" w14:textId="6BB6AD7B" w:rsidR="00076590" w:rsidRPr="009F71A2" w:rsidRDefault="00076590" w:rsidP="00DB5EC1">
      <w:pPr>
        <w:pStyle w:val="NormalWeb"/>
        <w:spacing w:before="0" w:beforeAutospacing="0" w:after="120" w:afterAutospacing="0"/>
        <w:ind w:left="480" w:hanging="480"/>
        <w:jc w:val="both"/>
        <w:rPr>
          <w:rFonts w:ascii="Times New Roman" w:hAnsi="Times New Roman" w:cs="Times New Roman"/>
          <w:sz w:val="22"/>
          <w:szCs w:val="22"/>
        </w:rPr>
      </w:pPr>
      <w:proofErr w:type="spellStart"/>
      <w:r w:rsidRPr="009F71A2">
        <w:rPr>
          <w:rFonts w:ascii="Times New Roman" w:hAnsi="Times New Roman" w:cs="Times New Roman"/>
          <w:sz w:val="22"/>
          <w:szCs w:val="22"/>
        </w:rPr>
        <w:t>Brunnermeier</w:t>
      </w:r>
      <w:proofErr w:type="spellEnd"/>
      <w:r w:rsidRPr="009F71A2">
        <w:rPr>
          <w:rFonts w:ascii="Times New Roman" w:hAnsi="Times New Roman" w:cs="Times New Roman"/>
          <w:sz w:val="22"/>
          <w:szCs w:val="22"/>
        </w:rPr>
        <w:t xml:space="preserve">, M. K., &amp; Oehmke, M. (2013). Bubbles, Financial Crises, and Systemic Risk. In </w:t>
      </w:r>
      <w:r w:rsidRPr="009F71A2">
        <w:rPr>
          <w:rFonts w:ascii="Times New Roman" w:hAnsi="Times New Roman" w:cs="Times New Roman"/>
          <w:i/>
          <w:iCs/>
          <w:sz w:val="22"/>
          <w:szCs w:val="22"/>
        </w:rPr>
        <w:t>Handbook of the Economics of Finance</w:t>
      </w:r>
      <w:r w:rsidRPr="009F71A2">
        <w:rPr>
          <w:rFonts w:ascii="Times New Roman" w:hAnsi="Times New Roman" w:cs="Times New Roman"/>
          <w:sz w:val="22"/>
          <w:szCs w:val="22"/>
        </w:rPr>
        <w:t>. Amsterdam: Elsevier.</w:t>
      </w:r>
    </w:p>
    <w:p w14:paraId="5A2A4809" w14:textId="5F22CDE7" w:rsidR="00B82046" w:rsidRPr="009F71A2" w:rsidRDefault="00B82046" w:rsidP="00DB5EC1">
      <w:pPr>
        <w:pStyle w:val="NormalWeb"/>
        <w:spacing w:before="0" w:beforeAutospacing="0" w:after="120" w:afterAutospacing="0"/>
        <w:ind w:left="480" w:hanging="480"/>
        <w:jc w:val="both"/>
        <w:rPr>
          <w:rFonts w:ascii="Times New Roman" w:hAnsi="Times New Roman" w:cs="Times New Roman"/>
          <w:sz w:val="22"/>
          <w:szCs w:val="22"/>
        </w:rPr>
      </w:pPr>
      <w:proofErr w:type="spellStart"/>
      <w:r w:rsidRPr="009F71A2">
        <w:rPr>
          <w:rFonts w:ascii="Times New Roman" w:hAnsi="Times New Roman" w:cs="Times New Roman"/>
          <w:sz w:val="22"/>
          <w:szCs w:val="22"/>
        </w:rPr>
        <w:t>Brunnermeier</w:t>
      </w:r>
      <w:proofErr w:type="spellEnd"/>
      <w:r w:rsidRPr="009F71A2">
        <w:rPr>
          <w:rFonts w:ascii="Times New Roman" w:hAnsi="Times New Roman" w:cs="Times New Roman"/>
          <w:sz w:val="22"/>
          <w:szCs w:val="22"/>
        </w:rPr>
        <w:t xml:space="preserve">, M. K., &amp; Schnabel, I. (2016). Bubbles and Central Banks: Historical Perspectives. In </w:t>
      </w:r>
      <w:r w:rsidRPr="009F71A2">
        <w:rPr>
          <w:rFonts w:ascii="Times New Roman" w:hAnsi="Times New Roman" w:cs="Times New Roman"/>
          <w:i/>
          <w:iCs/>
          <w:sz w:val="22"/>
          <w:szCs w:val="22"/>
        </w:rPr>
        <w:t>Central Banks at a Crossroads: What Can We Learn from History?</w:t>
      </w:r>
      <w:r w:rsidRPr="009F71A2">
        <w:rPr>
          <w:rFonts w:ascii="Times New Roman" w:hAnsi="Times New Roman" w:cs="Times New Roman"/>
          <w:sz w:val="22"/>
          <w:szCs w:val="22"/>
        </w:rPr>
        <w:t xml:space="preserve"> Cambridge, UK: Cambridge University Press. </w:t>
      </w:r>
    </w:p>
    <w:p w14:paraId="0CDB67E4" w14:textId="2412AD6B" w:rsidR="00F4483D" w:rsidRPr="009F71A2" w:rsidRDefault="00951AA9"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Cheung, S. L., Hedegaard, M., &amp; Palan, S. (2014). To see is to believe: Common expectations in experimental asset markets. </w:t>
      </w:r>
      <w:r w:rsidRPr="009F71A2">
        <w:rPr>
          <w:rFonts w:ascii="Times New Roman" w:hAnsi="Times New Roman" w:cs="Times New Roman"/>
          <w:i/>
          <w:iCs/>
          <w:sz w:val="22"/>
          <w:szCs w:val="22"/>
        </w:rPr>
        <w:t>European Economic Review</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66</w:t>
      </w:r>
      <w:r w:rsidRPr="009F71A2">
        <w:rPr>
          <w:rFonts w:ascii="Times New Roman" w:hAnsi="Times New Roman" w:cs="Times New Roman"/>
          <w:sz w:val="22"/>
          <w:szCs w:val="22"/>
        </w:rPr>
        <w:t xml:space="preserve">, 84–96. </w:t>
      </w:r>
    </w:p>
    <w:p w14:paraId="5D40052B" w14:textId="47105E60" w:rsidR="00A54A9A" w:rsidRPr="009F71A2" w:rsidRDefault="00A54A9A" w:rsidP="00DB5EC1">
      <w:pPr>
        <w:pStyle w:val="NormalWeb"/>
        <w:spacing w:before="0" w:beforeAutospacing="0" w:after="120" w:afterAutospacing="0"/>
        <w:ind w:left="480" w:hanging="480"/>
        <w:jc w:val="both"/>
        <w:rPr>
          <w:rFonts w:ascii="Times New Roman" w:hAnsi="Times New Roman" w:cs="Times New Roman"/>
          <w:sz w:val="22"/>
          <w:szCs w:val="22"/>
        </w:rPr>
      </w:pPr>
      <w:proofErr w:type="spellStart"/>
      <w:r w:rsidRPr="009F71A2">
        <w:rPr>
          <w:rFonts w:ascii="Times New Roman" w:hAnsi="Times New Roman" w:cs="Times New Roman"/>
          <w:sz w:val="22"/>
          <w:szCs w:val="22"/>
          <w:lang w:val="en-NZ"/>
        </w:rPr>
        <w:t>Corgnet</w:t>
      </w:r>
      <w:proofErr w:type="spellEnd"/>
      <w:r w:rsidRPr="009F71A2">
        <w:rPr>
          <w:rFonts w:ascii="Times New Roman" w:hAnsi="Times New Roman" w:cs="Times New Roman"/>
          <w:sz w:val="22"/>
          <w:szCs w:val="22"/>
          <w:lang w:val="en-NZ"/>
        </w:rPr>
        <w:t xml:space="preserve">, B., Hernán-González, R., </w:t>
      </w:r>
      <w:proofErr w:type="spellStart"/>
      <w:r w:rsidRPr="009F71A2">
        <w:rPr>
          <w:rFonts w:ascii="Times New Roman" w:hAnsi="Times New Roman" w:cs="Times New Roman"/>
          <w:sz w:val="22"/>
          <w:szCs w:val="22"/>
          <w:lang w:val="en-NZ"/>
        </w:rPr>
        <w:t>Kujal</w:t>
      </w:r>
      <w:proofErr w:type="spellEnd"/>
      <w:r w:rsidRPr="009F71A2">
        <w:rPr>
          <w:rFonts w:ascii="Times New Roman" w:hAnsi="Times New Roman" w:cs="Times New Roman"/>
          <w:sz w:val="22"/>
          <w:szCs w:val="22"/>
          <w:lang w:val="en-NZ"/>
        </w:rPr>
        <w:t xml:space="preserve">, P., &amp; Porter, D. (2014). </w:t>
      </w:r>
      <w:r w:rsidRPr="009F71A2">
        <w:rPr>
          <w:rFonts w:ascii="Times New Roman" w:hAnsi="Times New Roman" w:cs="Times New Roman"/>
          <w:sz w:val="22"/>
          <w:szCs w:val="22"/>
        </w:rPr>
        <w:t xml:space="preserve">The Effect of Earned Versus House Money on Price Bubble Formation in Experimental Asset Markets. </w:t>
      </w:r>
      <w:r w:rsidRPr="009F71A2">
        <w:rPr>
          <w:rFonts w:ascii="Times New Roman" w:hAnsi="Times New Roman" w:cs="Times New Roman"/>
          <w:i/>
          <w:iCs/>
          <w:sz w:val="22"/>
          <w:szCs w:val="22"/>
        </w:rPr>
        <w:t>Review of Finance</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19</w:t>
      </w:r>
      <w:r w:rsidRPr="009F71A2">
        <w:rPr>
          <w:rFonts w:ascii="Times New Roman" w:hAnsi="Times New Roman" w:cs="Times New Roman"/>
          <w:sz w:val="22"/>
          <w:szCs w:val="22"/>
        </w:rPr>
        <w:t xml:space="preserve">(4), 1455–1488. </w:t>
      </w:r>
    </w:p>
    <w:p w14:paraId="4EAFBC67" w14:textId="7C82FADB" w:rsidR="00F22CC9" w:rsidRPr="009F71A2" w:rsidRDefault="00F22CC9" w:rsidP="00DB5EC1">
      <w:pPr>
        <w:pStyle w:val="NormalWeb"/>
        <w:spacing w:before="0" w:beforeAutospacing="0" w:after="120" w:afterAutospacing="0"/>
        <w:ind w:left="480" w:hanging="480"/>
        <w:jc w:val="both"/>
        <w:rPr>
          <w:rFonts w:ascii="Times New Roman" w:hAnsi="Times New Roman" w:cs="Times New Roman"/>
          <w:sz w:val="22"/>
          <w:szCs w:val="22"/>
          <w:lang w:val="en-NZ"/>
        </w:rPr>
      </w:pPr>
      <w:r w:rsidRPr="009F71A2">
        <w:rPr>
          <w:rFonts w:ascii="Times New Roman" w:hAnsi="Times New Roman" w:cs="Times New Roman"/>
          <w:sz w:val="22"/>
          <w:szCs w:val="22"/>
          <w:lang w:val="en-NZ"/>
        </w:rPr>
        <w:t xml:space="preserve">Deck, C., </w:t>
      </w:r>
      <w:proofErr w:type="spellStart"/>
      <w:r w:rsidRPr="009F71A2">
        <w:rPr>
          <w:rFonts w:ascii="Times New Roman" w:hAnsi="Times New Roman" w:cs="Times New Roman"/>
          <w:sz w:val="22"/>
          <w:szCs w:val="22"/>
          <w:lang w:val="en-NZ"/>
        </w:rPr>
        <w:t>Servatka</w:t>
      </w:r>
      <w:proofErr w:type="spellEnd"/>
      <w:r w:rsidRPr="009F71A2">
        <w:rPr>
          <w:rFonts w:ascii="Times New Roman" w:hAnsi="Times New Roman" w:cs="Times New Roman"/>
          <w:sz w:val="22"/>
          <w:szCs w:val="22"/>
          <w:lang w:val="en-NZ"/>
        </w:rPr>
        <w:t xml:space="preserve">, M., &amp; Tucker, S. (2020) Designing Call Auction Institutions to Eliminate Price Bubbles: Is English Dutch the Best? </w:t>
      </w:r>
      <w:r w:rsidRPr="009F71A2">
        <w:rPr>
          <w:rFonts w:ascii="Times New Roman" w:hAnsi="Times New Roman" w:cs="Times New Roman"/>
          <w:i/>
          <w:iCs/>
          <w:sz w:val="22"/>
          <w:szCs w:val="22"/>
          <w:lang w:val="en-NZ"/>
        </w:rPr>
        <w:t>American Economic Review: Insights,</w:t>
      </w:r>
      <w:r w:rsidRPr="009F71A2">
        <w:rPr>
          <w:rFonts w:ascii="Times New Roman" w:hAnsi="Times New Roman" w:cs="Times New Roman"/>
          <w:sz w:val="22"/>
          <w:szCs w:val="22"/>
          <w:lang w:val="en-NZ"/>
        </w:rPr>
        <w:t xml:space="preserve"> </w:t>
      </w:r>
      <w:r w:rsidRPr="009F71A2">
        <w:rPr>
          <w:rFonts w:ascii="Times New Roman" w:hAnsi="Times New Roman" w:cs="Times New Roman"/>
          <w:i/>
          <w:iCs/>
          <w:sz w:val="22"/>
          <w:szCs w:val="22"/>
          <w:lang w:val="en-NZ"/>
        </w:rPr>
        <w:t>2</w:t>
      </w:r>
      <w:r w:rsidRPr="009F71A2">
        <w:rPr>
          <w:rFonts w:ascii="Times New Roman" w:hAnsi="Times New Roman" w:cs="Times New Roman"/>
          <w:sz w:val="22"/>
          <w:szCs w:val="22"/>
          <w:lang w:val="en-NZ"/>
        </w:rPr>
        <w:t>(2), 225-36.</w:t>
      </w:r>
    </w:p>
    <w:p w14:paraId="2B183796" w14:textId="37CEA4D9" w:rsidR="000D753A" w:rsidRPr="009F71A2" w:rsidRDefault="000D753A" w:rsidP="00DB5EC1">
      <w:pPr>
        <w:pStyle w:val="NormalWeb"/>
        <w:spacing w:before="0" w:beforeAutospacing="0" w:after="120" w:afterAutospacing="0"/>
        <w:ind w:left="480" w:hanging="480"/>
        <w:jc w:val="both"/>
        <w:rPr>
          <w:rFonts w:ascii="Times New Roman" w:hAnsi="Times New Roman" w:cs="Times New Roman"/>
          <w:sz w:val="22"/>
          <w:szCs w:val="22"/>
          <w:lang w:val="en-NZ"/>
        </w:rPr>
      </w:pPr>
      <w:r w:rsidRPr="009F71A2">
        <w:rPr>
          <w:rFonts w:ascii="Times New Roman" w:hAnsi="Times New Roman" w:cs="Times New Roman"/>
          <w:sz w:val="22"/>
          <w:szCs w:val="22"/>
        </w:rPr>
        <w:t xml:space="preserve">De Long, J., Shleifer, A., Summers, L., &amp; Waldmann, R. (1990a). Noise Trader Risk in Financial Markets. </w:t>
      </w:r>
      <w:r w:rsidRPr="009F71A2">
        <w:rPr>
          <w:rFonts w:ascii="Times New Roman" w:hAnsi="Times New Roman" w:cs="Times New Roman"/>
          <w:i/>
          <w:iCs/>
          <w:sz w:val="22"/>
          <w:szCs w:val="22"/>
        </w:rPr>
        <w:t>Journal of Political Economy</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98</w:t>
      </w:r>
      <w:r w:rsidRPr="009F71A2">
        <w:rPr>
          <w:rFonts w:ascii="Times New Roman" w:hAnsi="Times New Roman" w:cs="Times New Roman"/>
          <w:sz w:val="22"/>
          <w:szCs w:val="22"/>
        </w:rPr>
        <w:t xml:space="preserve">(4), 703-738. </w:t>
      </w:r>
    </w:p>
    <w:p w14:paraId="6A34D9AE" w14:textId="4E2F26BC" w:rsidR="002E2D1F" w:rsidRPr="009F71A2" w:rsidRDefault="002E2D1F" w:rsidP="00DB5EC1">
      <w:pPr>
        <w:pStyle w:val="NormalWeb"/>
        <w:spacing w:before="0" w:beforeAutospacing="0" w:after="120" w:afterAutospacing="0"/>
        <w:ind w:left="480" w:hanging="480"/>
        <w:jc w:val="both"/>
        <w:rPr>
          <w:rFonts w:ascii="Times New Roman" w:hAnsi="Times New Roman" w:cs="Times New Roman"/>
          <w:sz w:val="22"/>
          <w:szCs w:val="22"/>
          <w:lang w:val="en-NZ"/>
        </w:rPr>
      </w:pPr>
      <w:r w:rsidRPr="009F71A2">
        <w:rPr>
          <w:rFonts w:ascii="Calibri" w:hAnsi="Calibri" w:cs="Calibri"/>
          <w:sz w:val="22"/>
          <w:szCs w:val="22"/>
          <w:lang w:val="en-NZ"/>
        </w:rPr>
        <w:t>﻿</w:t>
      </w:r>
      <w:r w:rsidRPr="009F71A2">
        <w:rPr>
          <w:rFonts w:ascii="Times New Roman" w:hAnsi="Times New Roman" w:cs="Times New Roman"/>
          <w:sz w:val="22"/>
          <w:szCs w:val="22"/>
          <w:lang w:val="en-NZ"/>
        </w:rPr>
        <w:t xml:space="preserve">De Long, J. B., Shleifer, A., Summers, L. H., &amp; Waldmann, R. J. (1990b). Positive Feedback Investment Strategies and Destabilizing Rational Speculation. </w:t>
      </w:r>
      <w:r w:rsidRPr="009F71A2">
        <w:rPr>
          <w:rFonts w:ascii="Times New Roman" w:hAnsi="Times New Roman" w:cs="Times New Roman"/>
          <w:i/>
          <w:iCs/>
          <w:sz w:val="22"/>
          <w:szCs w:val="22"/>
          <w:lang w:val="en-NZ"/>
        </w:rPr>
        <w:t>Journal of Finance</w:t>
      </w:r>
      <w:r w:rsidRPr="009F71A2">
        <w:rPr>
          <w:rFonts w:ascii="Times New Roman" w:hAnsi="Times New Roman" w:cs="Times New Roman"/>
          <w:sz w:val="22"/>
          <w:szCs w:val="22"/>
          <w:lang w:val="en-NZ"/>
        </w:rPr>
        <w:t xml:space="preserve">, </w:t>
      </w:r>
      <w:r w:rsidRPr="009F71A2">
        <w:rPr>
          <w:rFonts w:ascii="Times New Roman" w:hAnsi="Times New Roman" w:cs="Times New Roman"/>
          <w:i/>
          <w:iCs/>
          <w:sz w:val="22"/>
          <w:szCs w:val="22"/>
          <w:lang w:val="en-NZ"/>
        </w:rPr>
        <w:t>45</w:t>
      </w:r>
      <w:r w:rsidRPr="009F71A2">
        <w:rPr>
          <w:rFonts w:ascii="Times New Roman" w:hAnsi="Times New Roman" w:cs="Times New Roman"/>
          <w:sz w:val="22"/>
          <w:szCs w:val="22"/>
          <w:lang w:val="en-NZ"/>
        </w:rPr>
        <w:t xml:space="preserve">(2), 379–395. </w:t>
      </w:r>
    </w:p>
    <w:p w14:paraId="3D94B788" w14:textId="45DC10F2" w:rsidR="009328F8" w:rsidRPr="009F71A2" w:rsidRDefault="009328F8" w:rsidP="00DB5EC1">
      <w:pPr>
        <w:pStyle w:val="NormalWeb"/>
        <w:spacing w:before="0" w:beforeAutospacing="0" w:after="120" w:afterAutospacing="0"/>
        <w:ind w:left="480" w:hanging="480"/>
        <w:jc w:val="both"/>
        <w:rPr>
          <w:rFonts w:ascii="Times New Roman" w:hAnsi="Times New Roman" w:cs="Times New Roman"/>
          <w:sz w:val="22"/>
          <w:szCs w:val="22"/>
          <w:lang w:val="es-ES"/>
        </w:rPr>
      </w:pPr>
      <w:proofErr w:type="spellStart"/>
      <w:r w:rsidRPr="009F71A2">
        <w:rPr>
          <w:rFonts w:ascii="Times New Roman" w:hAnsi="Times New Roman" w:cs="Times New Roman"/>
          <w:sz w:val="22"/>
          <w:szCs w:val="22"/>
        </w:rPr>
        <w:t>Fischbacher</w:t>
      </w:r>
      <w:proofErr w:type="spellEnd"/>
      <w:r w:rsidRPr="009F71A2">
        <w:rPr>
          <w:rFonts w:ascii="Times New Roman" w:hAnsi="Times New Roman" w:cs="Times New Roman"/>
          <w:sz w:val="22"/>
          <w:szCs w:val="22"/>
        </w:rPr>
        <w:t xml:space="preserve">, U. (2007). z-Tree: Zurich toolbox for ready-made economic experiments. </w:t>
      </w:r>
      <w:r w:rsidRPr="009F71A2">
        <w:rPr>
          <w:rFonts w:ascii="Times New Roman" w:hAnsi="Times New Roman" w:cs="Times New Roman"/>
          <w:i/>
          <w:iCs/>
          <w:sz w:val="22"/>
          <w:szCs w:val="22"/>
          <w:lang w:val="es-ES"/>
        </w:rPr>
        <w:t xml:space="preserve">Experimental </w:t>
      </w:r>
      <w:proofErr w:type="spellStart"/>
      <w:r w:rsidRPr="009F71A2">
        <w:rPr>
          <w:rFonts w:ascii="Times New Roman" w:hAnsi="Times New Roman" w:cs="Times New Roman"/>
          <w:i/>
          <w:iCs/>
          <w:sz w:val="22"/>
          <w:szCs w:val="22"/>
          <w:lang w:val="es-ES"/>
        </w:rPr>
        <w:t>Economics</w:t>
      </w:r>
      <w:proofErr w:type="spellEnd"/>
      <w:r w:rsidRPr="009F71A2">
        <w:rPr>
          <w:rFonts w:ascii="Times New Roman" w:hAnsi="Times New Roman" w:cs="Times New Roman"/>
          <w:sz w:val="22"/>
          <w:szCs w:val="22"/>
          <w:lang w:val="es-ES"/>
        </w:rPr>
        <w:t xml:space="preserve">, </w:t>
      </w:r>
      <w:r w:rsidRPr="009F71A2">
        <w:rPr>
          <w:rFonts w:ascii="Times New Roman" w:hAnsi="Times New Roman" w:cs="Times New Roman"/>
          <w:i/>
          <w:iCs/>
          <w:sz w:val="22"/>
          <w:szCs w:val="22"/>
          <w:lang w:val="es-ES"/>
        </w:rPr>
        <w:t>10</w:t>
      </w:r>
      <w:r w:rsidRPr="009F71A2">
        <w:rPr>
          <w:rFonts w:ascii="Times New Roman" w:hAnsi="Times New Roman" w:cs="Times New Roman"/>
          <w:sz w:val="22"/>
          <w:szCs w:val="22"/>
          <w:lang w:val="es-ES"/>
        </w:rPr>
        <w:t xml:space="preserve">(2), 171–178. </w:t>
      </w:r>
    </w:p>
    <w:p w14:paraId="12B6C6F8" w14:textId="77777777" w:rsidR="000A336F" w:rsidRPr="009F71A2" w:rsidRDefault="000A336F" w:rsidP="000A336F">
      <w:pPr>
        <w:tabs>
          <w:tab w:val="clear" w:pos="425"/>
        </w:tabs>
        <w:spacing w:line="240" w:lineRule="auto"/>
        <w:ind w:left="432" w:hanging="432"/>
        <w:jc w:val="both"/>
        <w:rPr>
          <w:sz w:val="22"/>
          <w:szCs w:val="22"/>
          <w:lang w:val="en-NZ" w:eastAsia="de-DE" w:bidi="he-IL"/>
        </w:rPr>
      </w:pPr>
      <w:r w:rsidRPr="009F71A2">
        <w:rPr>
          <w:sz w:val="22"/>
          <w:szCs w:val="22"/>
          <w:lang w:val="it-IT" w:eastAsia="de-DE" w:bidi="he-IL"/>
        </w:rPr>
        <w:t xml:space="preserve">Guler, B., Lugovskyy, V., Puzzello, D. &amp; Tucker, S. (2021). </w:t>
      </w:r>
      <w:r w:rsidRPr="009F71A2">
        <w:rPr>
          <w:sz w:val="22"/>
          <w:szCs w:val="22"/>
          <w:lang w:val="en-NZ" w:eastAsia="de-DE" w:bidi="he-IL"/>
        </w:rPr>
        <w:t>Trading Institutions in Experimental Asset Markets: Theory and Evidence. Working Paper, SSRN Electronic Journal.</w:t>
      </w:r>
    </w:p>
    <w:p w14:paraId="7F852852" w14:textId="4AB11959" w:rsidR="00914606" w:rsidRPr="009F71A2" w:rsidRDefault="00914606"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Huber, J., &amp; </w:t>
      </w:r>
      <w:proofErr w:type="spellStart"/>
      <w:r w:rsidRPr="009F71A2">
        <w:rPr>
          <w:rFonts w:ascii="Times New Roman" w:hAnsi="Times New Roman" w:cs="Times New Roman"/>
          <w:sz w:val="22"/>
          <w:szCs w:val="22"/>
        </w:rPr>
        <w:t>Kirchler</w:t>
      </w:r>
      <w:proofErr w:type="spellEnd"/>
      <w:r w:rsidRPr="009F71A2">
        <w:rPr>
          <w:rFonts w:ascii="Times New Roman" w:hAnsi="Times New Roman" w:cs="Times New Roman"/>
          <w:sz w:val="22"/>
          <w:szCs w:val="22"/>
        </w:rPr>
        <w:t xml:space="preserve">, M. (2012). The impact of instructions and procedure on reducing confusion and bubbles in experimental asset markets. </w:t>
      </w:r>
      <w:r w:rsidRPr="009F71A2">
        <w:rPr>
          <w:rFonts w:ascii="Times New Roman" w:hAnsi="Times New Roman" w:cs="Times New Roman"/>
          <w:i/>
          <w:iCs/>
          <w:sz w:val="22"/>
          <w:szCs w:val="22"/>
        </w:rPr>
        <w:t>Experimental Economics</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15</w:t>
      </w:r>
      <w:r w:rsidRPr="009F71A2">
        <w:rPr>
          <w:rFonts w:ascii="Times New Roman" w:hAnsi="Times New Roman" w:cs="Times New Roman"/>
          <w:sz w:val="22"/>
          <w:szCs w:val="22"/>
        </w:rPr>
        <w:t>(1), 89–105.</w:t>
      </w:r>
    </w:p>
    <w:p w14:paraId="66818E76" w14:textId="1EF38995" w:rsidR="00C803C1" w:rsidRPr="009F71A2" w:rsidRDefault="00C803C1" w:rsidP="00DB5EC1">
      <w:pPr>
        <w:pStyle w:val="NormalWeb"/>
        <w:spacing w:before="0" w:beforeAutospacing="0" w:after="120" w:afterAutospacing="0"/>
        <w:ind w:left="480" w:hanging="480"/>
        <w:jc w:val="both"/>
        <w:rPr>
          <w:rFonts w:ascii="Times New Roman" w:hAnsi="Times New Roman" w:cs="Times New Roman"/>
          <w:sz w:val="22"/>
          <w:szCs w:val="22"/>
          <w:lang w:val="en-AU"/>
        </w:rPr>
      </w:pPr>
      <w:r w:rsidRPr="009F71A2">
        <w:rPr>
          <w:rFonts w:ascii="Times New Roman" w:hAnsi="Times New Roman" w:cs="Times New Roman"/>
          <w:sz w:val="22"/>
          <w:szCs w:val="22"/>
        </w:rPr>
        <w:t xml:space="preserve">Janssen, D. J., </w:t>
      </w:r>
      <w:proofErr w:type="spellStart"/>
      <w:r w:rsidRPr="009F71A2">
        <w:rPr>
          <w:rFonts w:ascii="Times New Roman" w:hAnsi="Times New Roman" w:cs="Times New Roman"/>
          <w:sz w:val="22"/>
          <w:szCs w:val="22"/>
        </w:rPr>
        <w:t>Füllbrunn</w:t>
      </w:r>
      <w:proofErr w:type="spellEnd"/>
      <w:r w:rsidRPr="009F71A2">
        <w:rPr>
          <w:rFonts w:ascii="Times New Roman" w:hAnsi="Times New Roman" w:cs="Times New Roman"/>
          <w:sz w:val="22"/>
          <w:szCs w:val="22"/>
        </w:rPr>
        <w:t xml:space="preserve">, S., &amp; Weitzel, U. (2019). </w:t>
      </w:r>
      <w:r w:rsidRPr="009F71A2">
        <w:rPr>
          <w:rFonts w:ascii="Times New Roman" w:hAnsi="Times New Roman" w:cs="Times New Roman"/>
          <w:sz w:val="22"/>
          <w:szCs w:val="22"/>
          <w:lang w:val="en-AU"/>
        </w:rPr>
        <w:t xml:space="preserve">Individual speculative </w:t>
      </w:r>
      <w:proofErr w:type="spellStart"/>
      <w:r w:rsidRPr="009F71A2">
        <w:rPr>
          <w:rFonts w:ascii="Times New Roman" w:hAnsi="Times New Roman" w:cs="Times New Roman"/>
          <w:sz w:val="22"/>
          <w:szCs w:val="22"/>
          <w:lang w:val="en-AU"/>
        </w:rPr>
        <w:t>behavior</w:t>
      </w:r>
      <w:proofErr w:type="spellEnd"/>
      <w:r w:rsidRPr="009F71A2">
        <w:rPr>
          <w:rFonts w:ascii="Times New Roman" w:hAnsi="Times New Roman" w:cs="Times New Roman"/>
          <w:sz w:val="22"/>
          <w:szCs w:val="22"/>
          <w:lang w:val="en-AU"/>
        </w:rPr>
        <w:t xml:space="preserve"> and overpricing in experimental asset markets</w:t>
      </w:r>
      <w:r w:rsidRPr="009F71A2">
        <w:rPr>
          <w:rFonts w:ascii="Times New Roman" w:hAnsi="Times New Roman" w:cs="Times New Roman"/>
          <w:i/>
          <w:iCs/>
          <w:sz w:val="22"/>
          <w:szCs w:val="22"/>
          <w:lang w:val="en-AU"/>
        </w:rPr>
        <w:t>. Experimental Economics, 22</w:t>
      </w:r>
      <w:r w:rsidRPr="009F71A2">
        <w:rPr>
          <w:rFonts w:ascii="Times New Roman" w:hAnsi="Times New Roman" w:cs="Times New Roman"/>
          <w:sz w:val="22"/>
          <w:szCs w:val="22"/>
          <w:lang w:val="en-AU"/>
        </w:rPr>
        <w:t>(3), 653-675.</w:t>
      </w:r>
    </w:p>
    <w:p w14:paraId="05531A51" w14:textId="1EA97887" w:rsidR="00ED4BBA" w:rsidRPr="009F71A2" w:rsidRDefault="00ED4BBA"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lang w:val="en-AU"/>
        </w:rPr>
        <w:t>King, R. R., Smith, V. L., Williams, A. W., &amp; Van Boening, M. (1993). The robustness of bubbles and crashes in experimental stock markets. </w:t>
      </w:r>
      <w:r w:rsidRPr="009F71A2">
        <w:rPr>
          <w:rFonts w:ascii="Times New Roman" w:hAnsi="Times New Roman" w:cs="Times New Roman"/>
          <w:i/>
          <w:iCs/>
          <w:sz w:val="22"/>
          <w:szCs w:val="22"/>
          <w:lang w:val="en-AU"/>
        </w:rPr>
        <w:t>Nonlinear dynamics and evolutionary economics</w:t>
      </w:r>
      <w:r w:rsidRPr="009F71A2">
        <w:rPr>
          <w:rFonts w:ascii="Times New Roman" w:hAnsi="Times New Roman" w:cs="Times New Roman"/>
          <w:sz w:val="22"/>
          <w:szCs w:val="22"/>
          <w:lang w:val="en-AU"/>
        </w:rPr>
        <w:t>, 183-200.</w:t>
      </w:r>
    </w:p>
    <w:p w14:paraId="53576B04" w14:textId="50C73543" w:rsidR="00076590" w:rsidRPr="009F71A2" w:rsidRDefault="00076590" w:rsidP="00DB5EC1">
      <w:pPr>
        <w:pStyle w:val="NormalWeb"/>
        <w:spacing w:before="0" w:beforeAutospacing="0" w:after="120" w:afterAutospacing="0"/>
        <w:ind w:left="480" w:hanging="480"/>
        <w:jc w:val="both"/>
        <w:rPr>
          <w:rFonts w:ascii="Times New Roman" w:hAnsi="Times New Roman" w:cs="Times New Roman"/>
          <w:sz w:val="22"/>
          <w:szCs w:val="22"/>
        </w:rPr>
      </w:pPr>
      <w:proofErr w:type="spellStart"/>
      <w:r w:rsidRPr="009F71A2">
        <w:rPr>
          <w:rFonts w:ascii="Times New Roman" w:hAnsi="Times New Roman" w:cs="Times New Roman"/>
          <w:sz w:val="22"/>
          <w:szCs w:val="22"/>
        </w:rPr>
        <w:t>Kirchler</w:t>
      </w:r>
      <w:proofErr w:type="spellEnd"/>
      <w:r w:rsidRPr="009F71A2">
        <w:rPr>
          <w:rFonts w:ascii="Times New Roman" w:hAnsi="Times New Roman" w:cs="Times New Roman"/>
          <w:sz w:val="22"/>
          <w:szCs w:val="22"/>
        </w:rPr>
        <w:t xml:space="preserve">, M., Huber, J., &amp; Stöckl, T. (2012). Thar She Bursts: Reducing Confusion Reduces Bubbles. </w:t>
      </w:r>
      <w:r w:rsidRPr="009F71A2">
        <w:rPr>
          <w:rFonts w:ascii="Times New Roman" w:hAnsi="Times New Roman" w:cs="Times New Roman"/>
          <w:i/>
          <w:iCs/>
          <w:sz w:val="22"/>
          <w:szCs w:val="22"/>
        </w:rPr>
        <w:t>American Economic Review</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102</w:t>
      </w:r>
      <w:r w:rsidRPr="009F71A2">
        <w:rPr>
          <w:rFonts w:ascii="Times New Roman" w:hAnsi="Times New Roman" w:cs="Times New Roman"/>
          <w:sz w:val="22"/>
          <w:szCs w:val="22"/>
        </w:rPr>
        <w:t xml:space="preserve">(2), 865–883.  </w:t>
      </w:r>
    </w:p>
    <w:p w14:paraId="784CD4FF" w14:textId="1F566839" w:rsidR="00202823" w:rsidRPr="009F71A2" w:rsidRDefault="00202823"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Kocher, M. G., Schindler, D., Trautmann, S. T., &amp; Xu, Y. (2019). Risk, time pressure, and selection effects. </w:t>
      </w:r>
      <w:r w:rsidRPr="009F71A2">
        <w:rPr>
          <w:rFonts w:ascii="Times New Roman" w:hAnsi="Times New Roman" w:cs="Times New Roman"/>
          <w:i/>
          <w:iCs/>
          <w:sz w:val="22"/>
          <w:szCs w:val="22"/>
        </w:rPr>
        <w:t>Experimental Economics</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22</w:t>
      </w:r>
      <w:r w:rsidRPr="009F71A2">
        <w:rPr>
          <w:rFonts w:ascii="Times New Roman" w:hAnsi="Times New Roman" w:cs="Times New Roman"/>
          <w:sz w:val="22"/>
          <w:szCs w:val="22"/>
        </w:rPr>
        <w:t xml:space="preserve">(1), 216–246. </w:t>
      </w:r>
    </w:p>
    <w:p w14:paraId="0FE3291E" w14:textId="74911BE8" w:rsidR="00A54A9A" w:rsidRPr="009F71A2" w:rsidRDefault="00A54A9A"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Lei, V., </w:t>
      </w:r>
      <w:proofErr w:type="spellStart"/>
      <w:r w:rsidRPr="009F71A2">
        <w:rPr>
          <w:rFonts w:ascii="Times New Roman" w:hAnsi="Times New Roman" w:cs="Times New Roman"/>
          <w:sz w:val="22"/>
          <w:szCs w:val="22"/>
        </w:rPr>
        <w:t>Noussair</w:t>
      </w:r>
      <w:proofErr w:type="spellEnd"/>
      <w:r w:rsidRPr="009F71A2">
        <w:rPr>
          <w:rFonts w:ascii="Times New Roman" w:hAnsi="Times New Roman" w:cs="Times New Roman"/>
          <w:sz w:val="22"/>
          <w:szCs w:val="22"/>
        </w:rPr>
        <w:t>, C., &amp; Plott, C. (2001). Nonspeculative Bubbles in Experimental Asset Markets: Lack of Common Knowledge of Rationality vs. Actual Irrationality. </w:t>
      </w:r>
      <w:proofErr w:type="spellStart"/>
      <w:r w:rsidRPr="009F71A2">
        <w:rPr>
          <w:rFonts w:ascii="Times New Roman" w:hAnsi="Times New Roman" w:cs="Times New Roman"/>
          <w:i/>
          <w:iCs/>
          <w:sz w:val="22"/>
          <w:szCs w:val="22"/>
        </w:rPr>
        <w:t>Econometrica</w:t>
      </w:r>
      <w:proofErr w:type="spellEnd"/>
      <w:r w:rsidRPr="009F71A2">
        <w:rPr>
          <w:rFonts w:ascii="Times New Roman" w:hAnsi="Times New Roman" w:cs="Times New Roman"/>
          <w:i/>
          <w:iCs/>
          <w:sz w:val="22"/>
          <w:szCs w:val="22"/>
        </w:rPr>
        <w:t>,</w:t>
      </w:r>
      <w:r w:rsidRPr="009F71A2">
        <w:rPr>
          <w:rFonts w:ascii="Times New Roman" w:hAnsi="Times New Roman" w:cs="Times New Roman"/>
          <w:sz w:val="22"/>
          <w:szCs w:val="22"/>
        </w:rPr>
        <w:t> </w:t>
      </w:r>
      <w:r w:rsidRPr="009F71A2">
        <w:rPr>
          <w:rFonts w:ascii="Times New Roman" w:hAnsi="Times New Roman" w:cs="Times New Roman"/>
          <w:i/>
          <w:iCs/>
          <w:sz w:val="22"/>
          <w:szCs w:val="22"/>
        </w:rPr>
        <w:t>69</w:t>
      </w:r>
      <w:r w:rsidRPr="009F71A2">
        <w:rPr>
          <w:rFonts w:ascii="Times New Roman" w:hAnsi="Times New Roman" w:cs="Times New Roman"/>
          <w:sz w:val="22"/>
          <w:szCs w:val="22"/>
        </w:rPr>
        <w:t xml:space="preserve">(4), 831-859. </w:t>
      </w:r>
    </w:p>
    <w:p w14:paraId="7DE88C5D" w14:textId="0CF12AA9" w:rsidR="00E91710" w:rsidRPr="009F71A2" w:rsidRDefault="00E91710"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lastRenderedPageBreak/>
        <w:t xml:space="preserve">Lei, V., </w:t>
      </w:r>
      <w:proofErr w:type="spellStart"/>
      <w:r w:rsidRPr="009F71A2">
        <w:rPr>
          <w:rFonts w:ascii="Times New Roman" w:hAnsi="Times New Roman" w:cs="Times New Roman"/>
          <w:sz w:val="22"/>
          <w:szCs w:val="22"/>
        </w:rPr>
        <w:t>Noussair</w:t>
      </w:r>
      <w:proofErr w:type="spellEnd"/>
      <w:r w:rsidRPr="009F71A2">
        <w:rPr>
          <w:rFonts w:ascii="Times New Roman" w:hAnsi="Times New Roman" w:cs="Times New Roman"/>
          <w:sz w:val="22"/>
          <w:szCs w:val="22"/>
        </w:rPr>
        <w:t xml:space="preserve">, C., &amp; Plott, C. (2002). Asset Bubbles and Rationality: Additional Evidence </w:t>
      </w:r>
      <w:r w:rsidR="008D69B8" w:rsidRPr="009F71A2">
        <w:rPr>
          <w:rFonts w:ascii="Times New Roman" w:hAnsi="Times New Roman" w:cs="Times New Roman"/>
          <w:sz w:val="22"/>
          <w:szCs w:val="22"/>
        </w:rPr>
        <w:t>from</w:t>
      </w:r>
      <w:r w:rsidRPr="009F71A2">
        <w:rPr>
          <w:rFonts w:ascii="Times New Roman" w:hAnsi="Times New Roman" w:cs="Times New Roman"/>
          <w:sz w:val="22"/>
          <w:szCs w:val="22"/>
        </w:rPr>
        <w:t xml:space="preserve"> Capital Gains Tax Experiments. California Institute of Technology Working Paper.</w:t>
      </w:r>
    </w:p>
    <w:p w14:paraId="34F29AA9" w14:textId="6266DDA4" w:rsidR="00E91710" w:rsidRPr="009F71A2" w:rsidRDefault="00E91710"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Lei, V., &amp; Vesely, F. (2009). Market Efficiency: Evidence from a No-Bubble Asset Market Experiment. </w:t>
      </w:r>
      <w:r w:rsidRPr="009F71A2">
        <w:rPr>
          <w:rFonts w:ascii="Times New Roman" w:hAnsi="Times New Roman" w:cs="Times New Roman"/>
          <w:i/>
          <w:iCs/>
          <w:sz w:val="22"/>
          <w:szCs w:val="22"/>
        </w:rPr>
        <w:t>Pacific Economic Review</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14</w:t>
      </w:r>
      <w:r w:rsidRPr="009F71A2">
        <w:rPr>
          <w:rFonts w:ascii="Times New Roman" w:hAnsi="Times New Roman" w:cs="Times New Roman"/>
          <w:sz w:val="22"/>
          <w:szCs w:val="22"/>
        </w:rPr>
        <w:t xml:space="preserve">(2), 246–258. </w:t>
      </w:r>
    </w:p>
    <w:p w14:paraId="36568E12" w14:textId="15E42D33" w:rsidR="00EB60AC" w:rsidRPr="009F71A2" w:rsidRDefault="00EB60AC"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Mackintosh, N. J. (2011). History of theories and measurement of intelligence. </w:t>
      </w:r>
      <w:r w:rsidRPr="009F71A2">
        <w:rPr>
          <w:rFonts w:ascii="Times New Roman" w:hAnsi="Times New Roman" w:cs="Times New Roman"/>
          <w:i/>
          <w:iCs/>
          <w:sz w:val="22"/>
          <w:szCs w:val="22"/>
        </w:rPr>
        <w:t>The Cambridge handbook of intelligence</w:t>
      </w:r>
      <w:r w:rsidRPr="009F71A2">
        <w:rPr>
          <w:rFonts w:ascii="Times New Roman" w:hAnsi="Times New Roman" w:cs="Times New Roman"/>
          <w:sz w:val="22"/>
          <w:szCs w:val="22"/>
        </w:rPr>
        <w:t>, R. J. Sternberg and S. B. Kaufman, eds., 3–19. Cambridge, UK: Cambridge University Press.</w:t>
      </w:r>
    </w:p>
    <w:p w14:paraId="13032630" w14:textId="24709271" w:rsidR="00202823" w:rsidRPr="009F71A2" w:rsidRDefault="00202823" w:rsidP="00DB5EC1">
      <w:pPr>
        <w:pStyle w:val="NormalWeb"/>
        <w:spacing w:before="0" w:beforeAutospacing="0" w:after="120" w:afterAutospacing="0"/>
        <w:ind w:left="480" w:hanging="480"/>
        <w:jc w:val="both"/>
        <w:rPr>
          <w:rFonts w:ascii="Times New Roman" w:hAnsi="Times New Roman" w:cs="Times New Roman"/>
          <w:sz w:val="22"/>
          <w:szCs w:val="22"/>
        </w:rPr>
      </w:pPr>
      <w:proofErr w:type="spellStart"/>
      <w:r w:rsidRPr="009F71A2">
        <w:rPr>
          <w:rFonts w:ascii="Times New Roman" w:hAnsi="Times New Roman" w:cs="Times New Roman"/>
          <w:sz w:val="22"/>
          <w:szCs w:val="22"/>
        </w:rPr>
        <w:t>Noussair</w:t>
      </w:r>
      <w:proofErr w:type="spellEnd"/>
      <w:r w:rsidRPr="009F71A2">
        <w:rPr>
          <w:rFonts w:ascii="Times New Roman" w:hAnsi="Times New Roman" w:cs="Times New Roman"/>
          <w:sz w:val="22"/>
          <w:szCs w:val="22"/>
        </w:rPr>
        <w:t xml:space="preserve">, C. N., &amp; Tucker, S. (2013). </w:t>
      </w:r>
      <w:r w:rsidR="008D4549" w:rsidRPr="009F71A2">
        <w:rPr>
          <w:rFonts w:ascii="Times New Roman" w:hAnsi="Times New Roman" w:cs="Times New Roman"/>
          <w:sz w:val="22"/>
          <w:szCs w:val="22"/>
        </w:rPr>
        <w:t xml:space="preserve">Experimental Research </w:t>
      </w:r>
      <w:r w:rsidR="00581461" w:rsidRPr="009F71A2">
        <w:rPr>
          <w:rFonts w:ascii="Times New Roman" w:hAnsi="Times New Roman" w:cs="Times New Roman"/>
          <w:sz w:val="22"/>
          <w:szCs w:val="22"/>
        </w:rPr>
        <w:t>o</w:t>
      </w:r>
      <w:r w:rsidR="008D4549" w:rsidRPr="009F71A2">
        <w:rPr>
          <w:rFonts w:ascii="Times New Roman" w:hAnsi="Times New Roman" w:cs="Times New Roman"/>
          <w:sz w:val="22"/>
          <w:szCs w:val="22"/>
        </w:rPr>
        <w:t>n Asset Pricing</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Journal of Economic Surveys</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27</w:t>
      </w:r>
      <w:r w:rsidRPr="009F71A2">
        <w:rPr>
          <w:rFonts w:ascii="Times New Roman" w:hAnsi="Times New Roman" w:cs="Times New Roman"/>
          <w:sz w:val="22"/>
          <w:szCs w:val="22"/>
        </w:rPr>
        <w:t xml:space="preserve">(3), 554–569. </w:t>
      </w:r>
    </w:p>
    <w:p w14:paraId="61BE0823" w14:textId="7151FA43" w:rsidR="00C803C1" w:rsidRPr="009F71A2" w:rsidRDefault="00C803C1" w:rsidP="00DB5EC1">
      <w:pPr>
        <w:pStyle w:val="NormalWeb"/>
        <w:spacing w:before="0" w:beforeAutospacing="0" w:after="120" w:afterAutospacing="0"/>
        <w:ind w:left="480" w:hanging="480"/>
        <w:jc w:val="both"/>
        <w:rPr>
          <w:rFonts w:ascii="Times New Roman" w:hAnsi="Times New Roman" w:cs="Times New Roman"/>
          <w:sz w:val="22"/>
          <w:szCs w:val="22"/>
        </w:rPr>
      </w:pPr>
      <w:proofErr w:type="spellStart"/>
      <w:r w:rsidRPr="009F71A2">
        <w:rPr>
          <w:rFonts w:ascii="Times New Roman" w:hAnsi="Times New Roman" w:cs="Times New Roman"/>
          <w:sz w:val="22"/>
          <w:szCs w:val="22"/>
          <w:lang w:val="en-AU"/>
        </w:rPr>
        <w:t>Noussair</w:t>
      </w:r>
      <w:proofErr w:type="spellEnd"/>
      <w:r w:rsidRPr="009F71A2">
        <w:rPr>
          <w:rFonts w:ascii="Times New Roman" w:hAnsi="Times New Roman" w:cs="Times New Roman"/>
          <w:sz w:val="22"/>
          <w:szCs w:val="22"/>
          <w:lang w:val="en-AU"/>
        </w:rPr>
        <w:t>, C., &amp; Tucker, S. (2006). Futures markets and bubble formation in experimental asset markets. </w:t>
      </w:r>
      <w:r w:rsidRPr="009F71A2">
        <w:rPr>
          <w:rFonts w:ascii="Times New Roman" w:hAnsi="Times New Roman" w:cs="Times New Roman"/>
          <w:i/>
          <w:iCs/>
          <w:sz w:val="22"/>
          <w:szCs w:val="22"/>
          <w:lang w:val="en-AU"/>
        </w:rPr>
        <w:t>Pacific Economic Review</w:t>
      </w:r>
      <w:r w:rsidRPr="009F71A2">
        <w:rPr>
          <w:rFonts w:ascii="Times New Roman" w:hAnsi="Times New Roman" w:cs="Times New Roman"/>
          <w:sz w:val="22"/>
          <w:szCs w:val="22"/>
          <w:lang w:val="en-AU"/>
        </w:rPr>
        <w:t>, </w:t>
      </w:r>
      <w:r w:rsidRPr="009F71A2">
        <w:rPr>
          <w:rFonts w:ascii="Times New Roman" w:hAnsi="Times New Roman" w:cs="Times New Roman"/>
          <w:i/>
          <w:iCs/>
          <w:sz w:val="22"/>
          <w:szCs w:val="22"/>
          <w:lang w:val="en-AU"/>
        </w:rPr>
        <w:t>11</w:t>
      </w:r>
      <w:r w:rsidRPr="009F71A2">
        <w:rPr>
          <w:rFonts w:ascii="Times New Roman" w:hAnsi="Times New Roman" w:cs="Times New Roman"/>
          <w:sz w:val="22"/>
          <w:szCs w:val="22"/>
          <w:lang w:val="en-AU"/>
        </w:rPr>
        <w:t>(2), 167-184.</w:t>
      </w:r>
      <w:r w:rsidRPr="009F71A2" w:rsidDel="00C803C1">
        <w:rPr>
          <w:rFonts w:ascii="Times New Roman" w:hAnsi="Times New Roman" w:cs="Times New Roman"/>
          <w:sz w:val="22"/>
          <w:szCs w:val="22"/>
          <w:lang w:val="en-NZ"/>
        </w:rPr>
        <w:t xml:space="preserve"> </w:t>
      </w:r>
    </w:p>
    <w:p w14:paraId="23F7120E" w14:textId="0D7CDC4F" w:rsidR="00993515" w:rsidRPr="009F71A2" w:rsidRDefault="00993515" w:rsidP="00DB5EC1">
      <w:pPr>
        <w:pStyle w:val="NormalWeb"/>
        <w:spacing w:before="0" w:beforeAutospacing="0" w:after="120" w:afterAutospacing="0"/>
        <w:ind w:left="480" w:hanging="480"/>
        <w:jc w:val="both"/>
        <w:rPr>
          <w:rFonts w:ascii="Times New Roman" w:hAnsi="Times New Roman" w:cs="Times New Roman"/>
          <w:sz w:val="22"/>
          <w:szCs w:val="22"/>
          <w:lang w:val="en-NZ"/>
        </w:rPr>
      </w:pPr>
      <w:proofErr w:type="spellStart"/>
      <w:r w:rsidRPr="009F71A2">
        <w:rPr>
          <w:rFonts w:ascii="Times New Roman" w:hAnsi="Times New Roman" w:cs="Times New Roman"/>
          <w:sz w:val="22"/>
          <w:szCs w:val="22"/>
        </w:rPr>
        <w:t>Noussair</w:t>
      </w:r>
      <w:proofErr w:type="spellEnd"/>
      <w:r w:rsidRPr="009F71A2">
        <w:rPr>
          <w:rFonts w:ascii="Times New Roman" w:hAnsi="Times New Roman" w:cs="Times New Roman"/>
          <w:sz w:val="22"/>
          <w:szCs w:val="22"/>
        </w:rPr>
        <w:t>, C. N., Tucker, S., &amp;</w:t>
      </w:r>
      <w:r w:rsidR="00686BDD" w:rsidRPr="009F71A2">
        <w:rPr>
          <w:rFonts w:ascii="Times New Roman" w:hAnsi="Times New Roman" w:cs="Times New Roman"/>
          <w:sz w:val="22"/>
          <w:szCs w:val="22"/>
        </w:rPr>
        <w:t xml:space="preserve"> Xu, Y.</w:t>
      </w:r>
      <w:r w:rsidRPr="009F71A2">
        <w:rPr>
          <w:rFonts w:ascii="Times New Roman" w:hAnsi="Times New Roman" w:cs="Times New Roman"/>
          <w:sz w:val="22"/>
          <w:szCs w:val="22"/>
        </w:rPr>
        <w:t xml:space="preserve"> (201</w:t>
      </w:r>
      <w:r w:rsidR="00686BDD" w:rsidRPr="009F71A2">
        <w:rPr>
          <w:rFonts w:ascii="Times New Roman" w:hAnsi="Times New Roman" w:cs="Times New Roman"/>
          <w:sz w:val="22"/>
          <w:szCs w:val="22"/>
        </w:rPr>
        <w:t>6</w:t>
      </w:r>
      <w:r w:rsidRPr="009F71A2">
        <w:rPr>
          <w:rFonts w:ascii="Times New Roman" w:hAnsi="Times New Roman" w:cs="Times New Roman"/>
          <w:sz w:val="22"/>
          <w:szCs w:val="22"/>
        </w:rPr>
        <w:t>).</w:t>
      </w:r>
      <w:r w:rsidR="00686BDD" w:rsidRPr="009F71A2">
        <w:rPr>
          <w:rFonts w:ascii="Times New Roman" w:hAnsi="Times New Roman" w:cs="Times New Roman"/>
          <w:sz w:val="22"/>
          <w:szCs w:val="22"/>
        </w:rPr>
        <w:t xml:space="preserve"> </w:t>
      </w:r>
      <w:r w:rsidR="00686BDD" w:rsidRPr="009F71A2">
        <w:rPr>
          <w:rFonts w:ascii="Times New Roman" w:hAnsi="Times New Roman" w:cs="Times New Roman"/>
          <w:sz w:val="22"/>
          <w:szCs w:val="22"/>
          <w:lang w:val="en-NZ"/>
        </w:rPr>
        <w:t xml:space="preserve">Futures markets, cognitive ability, and mispricing in experimental asset markets. </w:t>
      </w:r>
      <w:r w:rsidR="00686BDD" w:rsidRPr="009F71A2">
        <w:rPr>
          <w:rFonts w:ascii="Times New Roman" w:hAnsi="Times New Roman" w:cs="Times New Roman"/>
          <w:i/>
          <w:iCs/>
          <w:sz w:val="22"/>
          <w:szCs w:val="22"/>
          <w:lang w:val="en-NZ"/>
        </w:rPr>
        <w:t xml:space="preserve">Journal of Economic </w:t>
      </w:r>
      <w:proofErr w:type="spellStart"/>
      <w:r w:rsidR="00686BDD" w:rsidRPr="009F71A2">
        <w:rPr>
          <w:rFonts w:ascii="Times New Roman" w:hAnsi="Times New Roman" w:cs="Times New Roman"/>
          <w:i/>
          <w:iCs/>
          <w:sz w:val="22"/>
          <w:szCs w:val="22"/>
          <w:lang w:val="en-NZ"/>
        </w:rPr>
        <w:t>Behavior</w:t>
      </w:r>
      <w:proofErr w:type="spellEnd"/>
      <w:r w:rsidR="00686BDD" w:rsidRPr="009F71A2">
        <w:rPr>
          <w:rFonts w:ascii="Times New Roman" w:hAnsi="Times New Roman" w:cs="Times New Roman"/>
          <w:i/>
          <w:iCs/>
          <w:sz w:val="22"/>
          <w:szCs w:val="22"/>
          <w:lang w:val="en-NZ"/>
        </w:rPr>
        <w:t xml:space="preserve"> &amp; Organization</w:t>
      </w:r>
      <w:r w:rsidR="00686BDD" w:rsidRPr="009F71A2">
        <w:rPr>
          <w:rFonts w:ascii="Times New Roman" w:hAnsi="Times New Roman" w:cs="Times New Roman"/>
          <w:sz w:val="22"/>
          <w:szCs w:val="22"/>
          <w:lang w:val="en-NZ"/>
        </w:rPr>
        <w:t xml:space="preserve">, </w:t>
      </w:r>
      <w:r w:rsidR="00686BDD" w:rsidRPr="009F71A2">
        <w:rPr>
          <w:rFonts w:ascii="Times New Roman" w:hAnsi="Times New Roman" w:cs="Times New Roman"/>
          <w:i/>
          <w:iCs/>
          <w:sz w:val="22"/>
          <w:szCs w:val="22"/>
          <w:lang w:val="en-NZ"/>
        </w:rPr>
        <w:t>130</w:t>
      </w:r>
      <w:r w:rsidR="00686BDD" w:rsidRPr="009F71A2">
        <w:rPr>
          <w:rFonts w:ascii="Times New Roman" w:hAnsi="Times New Roman" w:cs="Times New Roman"/>
          <w:sz w:val="22"/>
          <w:szCs w:val="22"/>
          <w:lang w:val="en-NZ"/>
        </w:rPr>
        <w:t>, 166-179</w:t>
      </w:r>
    </w:p>
    <w:p w14:paraId="5861EEEB" w14:textId="0BF422AD" w:rsidR="008E278B" w:rsidRPr="009F71A2" w:rsidRDefault="008E278B" w:rsidP="00DB5EC1">
      <w:pPr>
        <w:pStyle w:val="NormalWeb"/>
        <w:spacing w:before="0" w:beforeAutospacing="0" w:after="120" w:afterAutospacing="0"/>
        <w:ind w:left="480" w:hanging="480"/>
        <w:jc w:val="both"/>
        <w:rPr>
          <w:rFonts w:ascii="Times New Roman" w:hAnsi="Times New Roman" w:cs="Times New Roman"/>
          <w:sz w:val="22"/>
          <w:szCs w:val="22"/>
        </w:rPr>
      </w:pPr>
      <w:proofErr w:type="spellStart"/>
      <w:r w:rsidRPr="009F71A2">
        <w:rPr>
          <w:rFonts w:ascii="Times New Roman" w:hAnsi="Times New Roman" w:cs="Times New Roman"/>
          <w:sz w:val="22"/>
          <w:szCs w:val="22"/>
        </w:rPr>
        <w:t>Oechssler</w:t>
      </w:r>
      <w:proofErr w:type="spellEnd"/>
      <w:r w:rsidRPr="009F71A2">
        <w:rPr>
          <w:rFonts w:ascii="Times New Roman" w:hAnsi="Times New Roman" w:cs="Times New Roman"/>
          <w:sz w:val="22"/>
          <w:szCs w:val="22"/>
        </w:rPr>
        <w:t xml:space="preserve">, J. (2010). Searching beyond the lamppost: Let’s focus on economically relevant questions. </w:t>
      </w:r>
      <w:r w:rsidR="00814259" w:rsidRPr="009F71A2">
        <w:rPr>
          <w:rFonts w:ascii="Times New Roman" w:hAnsi="Times New Roman" w:cs="Times New Roman"/>
          <w:i/>
          <w:iCs/>
          <w:sz w:val="22"/>
          <w:szCs w:val="22"/>
        </w:rPr>
        <w:t>Journal of Economic Behavior &amp; Organization</w:t>
      </w:r>
      <w:r w:rsidR="00814259" w:rsidRPr="009F71A2">
        <w:rPr>
          <w:rFonts w:ascii="Times New Roman" w:hAnsi="Times New Roman" w:cs="Times New Roman"/>
          <w:sz w:val="22"/>
          <w:szCs w:val="22"/>
        </w:rPr>
        <w:t xml:space="preserve">, </w:t>
      </w:r>
      <w:r w:rsidR="00814259" w:rsidRPr="009F71A2">
        <w:rPr>
          <w:rFonts w:ascii="Times New Roman" w:hAnsi="Times New Roman" w:cs="Times New Roman"/>
          <w:i/>
          <w:iCs/>
          <w:sz w:val="22"/>
          <w:szCs w:val="22"/>
        </w:rPr>
        <w:t>73</w:t>
      </w:r>
      <w:r w:rsidR="00814259" w:rsidRPr="009F71A2">
        <w:rPr>
          <w:rFonts w:ascii="Times New Roman" w:hAnsi="Times New Roman" w:cs="Times New Roman"/>
          <w:sz w:val="22"/>
          <w:szCs w:val="22"/>
        </w:rPr>
        <w:t>(1), 65-67,</w:t>
      </w:r>
    </w:p>
    <w:p w14:paraId="73E10248" w14:textId="401811B7" w:rsidR="00202823" w:rsidRPr="009F71A2" w:rsidRDefault="00202823"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Palan, S. (2013). </w:t>
      </w:r>
      <w:r w:rsidR="008D4549" w:rsidRPr="009F71A2">
        <w:rPr>
          <w:rFonts w:ascii="Times New Roman" w:hAnsi="Times New Roman" w:cs="Times New Roman"/>
          <w:sz w:val="22"/>
          <w:szCs w:val="22"/>
        </w:rPr>
        <w:t>A Review of Bubbles and Crashes in Experimental Asset Markets</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Journal of Economic Surveys</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27</w:t>
      </w:r>
      <w:r w:rsidRPr="009F71A2">
        <w:rPr>
          <w:rFonts w:ascii="Times New Roman" w:hAnsi="Times New Roman" w:cs="Times New Roman"/>
          <w:sz w:val="22"/>
          <w:szCs w:val="22"/>
        </w:rPr>
        <w:t xml:space="preserve">(3), 570–588. </w:t>
      </w:r>
    </w:p>
    <w:p w14:paraId="7E959328" w14:textId="03E1B2E8" w:rsidR="00431846" w:rsidRPr="009F71A2" w:rsidRDefault="00431846"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Plott, C. (1991). Will Economics Become an Experimental Science? </w:t>
      </w:r>
      <w:r w:rsidRPr="009F71A2">
        <w:rPr>
          <w:rFonts w:ascii="Times New Roman" w:hAnsi="Times New Roman" w:cs="Times New Roman"/>
          <w:i/>
          <w:iCs/>
          <w:sz w:val="22"/>
          <w:szCs w:val="22"/>
        </w:rPr>
        <w:t>Southern Economic Journal,</w:t>
      </w:r>
      <w:r w:rsidRPr="009F71A2">
        <w:rPr>
          <w:rFonts w:ascii="Times New Roman" w:hAnsi="Times New Roman" w:cs="Times New Roman"/>
          <w:sz w:val="22"/>
          <w:szCs w:val="22"/>
        </w:rPr>
        <w:t> </w:t>
      </w:r>
      <w:r w:rsidRPr="009F71A2">
        <w:rPr>
          <w:rFonts w:ascii="Times New Roman" w:hAnsi="Times New Roman" w:cs="Times New Roman"/>
          <w:i/>
          <w:iCs/>
          <w:sz w:val="22"/>
          <w:szCs w:val="22"/>
        </w:rPr>
        <w:t>57</w:t>
      </w:r>
      <w:r w:rsidRPr="009F71A2">
        <w:rPr>
          <w:rFonts w:ascii="Times New Roman" w:hAnsi="Times New Roman" w:cs="Times New Roman"/>
          <w:sz w:val="22"/>
          <w:szCs w:val="22"/>
        </w:rPr>
        <w:t>(4), 901-919.</w:t>
      </w:r>
    </w:p>
    <w:p w14:paraId="3827D383" w14:textId="3F8DD7E9" w:rsidR="00164412" w:rsidRPr="009F71A2" w:rsidRDefault="00164412" w:rsidP="00DB5EC1">
      <w:pPr>
        <w:autoSpaceDE w:val="0"/>
        <w:autoSpaceDN w:val="0"/>
        <w:adjustRightInd w:val="0"/>
        <w:spacing w:line="240" w:lineRule="auto"/>
        <w:ind w:left="432" w:hanging="432"/>
        <w:jc w:val="both"/>
        <w:rPr>
          <w:rFonts w:eastAsia="SimSun"/>
          <w:sz w:val="22"/>
          <w:szCs w:val="22"/>
          <w:lang w:val="en-US" w:eastAsia="zh-CN"/>
        </w:rPr>
      </w:pPr>
      <w:r w:rsidRPr="009F71A2">
        <w:rPr>
          <w:rFonts w:eastAsia="SimSun"/>
          <w:sz w:val="22"/>
          <w:szCs w:val="22"/>
          <w:lang w:val="en-US" w:eastAsia="zh-CN"/>
        </w:rPr>
        <w:t xml:space="preserve">Plott, C., &amp; Smith, V. (2008). </w:t>
      </w:r>
      <w:r w:rsidRPr="009F71A2">
        <w:rPr>
          <w:rFonts w:eastAsia="SimSun"/>
          <w:i/>
          <w:iCs/>
          <w:sz w:val="22"/>
          <w:szCs w:val="22"/>
          <w:lang w:val="en-US" w:eastAsia="zh-CN"/>
        </w:rPr>
        <w:t>Handbook of Experimental Economics Results</w:t>
      </w:r>
      <w:r w:rsidRPr="009F71A2">
        <w:rPr>
          <w:rFonts w:eastAsia="SimSun"/>
          <w:sz w:val="22"/>
          <w:szCs w:val="22"/>
          <w:lang w:val="en-US" w:eastAsia="zh-CN"/>
        </w:rPr>
        <w:t xml:space="preserve">. (Vol. 1). Elsevier. </w:t>
      </w:r>
    </w:p>
    <w:p w14:paraId="79C0580C" w14:textId="77777777" w:rsidR="00EE3159" w:rsidRPr="009F71A2" w:rsidRDefault="00EE3159" w:rsidP="00DB5EC1">
      <w:pPr>
        <w:spacing w:line="240" w:lineRule="auto"/>
        <w:ind w:left="567" w:hanging="567"/>
        <w:jc w:val="both"/>
        <w:rPr>
          <w:rFonts w:asciiTheme="majorBidi" w:hAnsiTheme="majorBidi" w:cstheme="majorBidi"/>
          <w:sz w:val="22"/>
          <w:szCs w:val="22"/>
        </w:rPr>
      </w:pPr>
      <w:r w:rsidRPr="009F71A2">
        <w:rPr>
          <w:rFonts w:asciiTheme="majorBidi" w:hAnsiTheme="majorBidi" w:cstheme="majorBidi"/>
          <w:sz w:val="22"/>
          <w:szCs w:val="22"/>
        </w:rPr>
        <w:t xml:space="preserve">Powell, O. (2016). Numeraire Independence and the Measurement of Mispricing in Experimental Asset Markets. </w:t>
      </w:r>
      <w:r w:rsidRPr="009F71A2">
        <w:rPr>
          <w:rFonts w:asciiTheme="majorBidi" w:hAnsiTheme="majorBidi" w:cstheme="majorBidi"/>
          <w:i/>
          <w:iCs/>
          <w:sz w:val="22"/>
          <w:szCs w:val="22"/>
        </w:rPr>
        <w:t xml:space="preserve">Journal of </w:t>
      </w:r>
      <w:proofErr w:type="spellStart"/>
      <w:r w:rsidRPr="009F71A2">
        <w:rPr>
          <w:rFonts w:asciiTheme="majorBidi" w:hAnsiTheme="majorBidi" w:cstheme="majorBidi"/>
          <w:i/>
          <w:iCs/>
          <w:sz w:val="22"/>
          <w:szCs w:val="22"/>
        </w:rPr>
        <w:t>Behavioral</w:t>
      </w:r>
      <w:proofErr w:type="spellEnd"/>
      <w:r w:rsidRPr="009F71A2">
        <w:rPr>
          <w:rFonts w:asciiTheme="majorBidi" w:hAnsiTheme="majorBidi" w:cstheme="majorBidi"/>
          <w:i/>
          <w:iCs/>
          <w:sz w:val="22"/>
          <w:szCs w:val="22"/>
        </w:rPr>
        <w:t xml:space="preserve"> and Experimental Finance, 9</w:t>
      </w:r>
      <w:r w:rsidRPr="009F71A2">
        <w:rPr>
          <w:rFonts w:asciiTheme="majorBidi" w:hAnsiTheme="majorBidi" w:cstheme="majorBidi"/>
          <w:sz w:val="22"/>
          <w:szCs w:val="22"/>
        </w:rPr>
        <w:t>, 56-62.</w:t>
      </w:r>
    </w:p>
    <w:p w14:paraId="47FAFF7C" w14:textId="794C2B4F" w:rsidR="00581461" w:rsidRPr="009F71A2" w:rsidRDefault="00581461" w:rsidP="00DB5EC1">
      <w:pPr>
        <w:autoSpaceDE w:val="0"/>
        <w:autoSpaceDN w:val="0"/>
        <w:adjustRightInd w:val="0"/>
        <w:spacing w:line="240" w:lineRule="auto"/>
        <w:ind w:left="432" w:hanging="432"/>
        <w:jc w:val="both"/>
        <w:rPr>
          <w:sz w:val="22"/>
          <w:szCs w:val="22"/>
          <w:lang w:val="en-US"/>
        </w:rPr>
      </w:pPr>
      <w:r w:rsidRPr="009F71A2">
        <w:rPr>
          <w:sz w:val="22"/>
          <w:szCs w:val="22"/>
          <w:lang w:val="en-US"/>
        </w:rPr>
        <w:t xml:space="preserve">Raven, J., Raven, J. C., </w:t>
      </w:r>
      <w:r w:rsidR="00C803C1" w:rsidRPr="009F71A2">
        <w:rPr>
          <w:sz w:val="22"/>
          <w:szCs w:val="22"/>
          <w:lang w:val="en-US"/>
        </w:rPr>
        <w:t xml:space="preserve">&amp; </w:t>
      </w:r>
      <w:r w:rsidRPr="009F71A2">
        <w:rPr>
          <w:sz w:val="22"/>
          <w:szCs w:val="22"/>
          <w:lang w:val="en-US"/>
        </w:rPr>
        <w:t xml:space="preserve">Court, J. H. (1998). </w:t>
      </w:r>
      <w:r w:rsidRPr="009F71A2">
        <w:rPr>
          <w:rStyle w:val="Emphasis"/>
          <w:sz w:val="22"/>
          <w:szCs w:val="22"/>
          <w:lang w:val="en-US"/>
        </w:rPr>
        <w:t>Manual for Raven's Progressive Matrices and Vocabulary Scales</w:t>
      </w:r>
      <w:r w:rsidRPr="009F71A2">
        <w:rPr>
          <w:sz w:val="22"/>
          <w:szCs w:val="22"/>
          <w:lang w:val="en-US"/>
        </w:rPr>
        <w:t>. Section 4: The Advanced Progressive Matrices. San Antonio, TX: Harcourt Assessment.</w:t>
      </w:r>
    </w:p>
    <w:p w14:paraId="549178A8" w14:textId="2FA33CD1" w:rsidR="00C85F52" w:rsidRPr="009F71A2" w:rsidRDefault="00587280" w:rsidP="00DB5EC1">
      <w:pPr>
        <w:autoSpaceDE w:val="0"/>
        <w:autoSpaceDN w:val="0"/>
        <w:adjustRightInd w:val="0"/>
        <w:spacing w:line="240" w:lineRule="auto"/>
        <w:ind w:left="432" w:hanging="432"/>
        <w:jc w:val="both"/>
        <w:rPr>
          <w:sz w:val="22"/>
          <w:szCs w:val="22"/>
        </w:rPr>
      </w:pPr>
      <w:r w:rsidRPr="009F71A2">
        <w:rPr>
          <w:sz w:val="22"/>
          <w:szCs w:val="22"/>
        </w:rPr>
        <w:t>Shiller, R. J. (2015). Irrational exuberance. In </w:t>
      </w:r>
      <w:r w:rsidRPr="009F71A2">
        <w:rPr>
          <w:i/>
          <w:iCs/>
          <w:sz w:val="22"/>
          <w:szCs w:val="22"/>
        </w:rPr>
        <w:t>Irrational exuberance</w:t>
      </w:r>
      <w:r w:rsidRPr="009F71A2">
        <w:rPr>
          <w:sz w:val="22"/>
          <w:szCs w:val="22"/>
        </w:rPr>
        <w:t>. Princeton university press.</w:t>
      </w:r>
    </w:p>
    <w:p w14:paraId="4AF39960" w14:textId="75111E07" w:rsidR="00E91710" w:rsidRPr="009F71A2" w:rsidRDefault="00E91710"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Smith, V. (1962). An Experimental Study of Competitive Market Behavior. </w:t>
      </w:r>
      <w:r w:rsidRPr="009F71A2">
        <w:rPr>
          <w:rFonts w:ascii="Times New Roman" w:hAnsi="Times New Roman" w:cs="Times New Roman"/>
          <w:i/>
          <w:iCs/>
          <w:sz w:val="22"/>
          <w:szCs w:val="22"/>
        </w:rPr>
        <w:t>The Journal of Political Economy</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70</w:t>
      </w:r>
      <w:r w:rsidRPr="009F71A2">
        <w:rPr>
          <w:rFonts w:ascii="Times New Roman" w:hAnsi="Times New Roman" w:cs="Times New Roman"/>
          <w:sz w:val="22"/>
          <w:szCs w:val="22"/>
        </w:rPr>
        <w:t xml:space="preserve">(2), 111–137. </w:t>
      </w:r>
    </w:p>
    <w:p w14:paraId="1419CCA1" w14:textId="2E9881F4" w:rsidR="00E91710" w:rsidRPr="009F71A2" w:rsidRDefault="00E91710"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Smith, V. L., Suchanek, G. L., &amp; Williams, A. W. (1988). Bubbles, Crashes, and Endogenous Expectations in Experimental Spot Asset Markets. </w:t>
      </w:r>
      <w:proofErr w:type="spellStart"/>
      <w:r w:rsidRPr="009F71A2">
        <w:rPr>
          <w:rFonts w:ascii="Times New Roman" w:hAnsi="Times New Roman" w:cs="Times New Roman"/>
          <w:i/>
          <w:iCs/>
          <w:sz w:val="22"/>
          <w:szCs w:val="22"/>
        </w:rPr>
        <w:t>Econometrica</w:t>
      </w:r>
      <w:proofErr w:type="spellEnd"/>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56</w:t>
      </w:r>
      <w:r w:rsidRPr="009F71A2">
        <w:rPr>
          <w:rFonts w:ascii="Times New Roman" w:hAnsi="Times New Roman" w:cs="Times New Roman"/>
          <w:sz w:val="22"/>
          <w:szCs w:val="22"/>
        </w:rPr>
        <w:t xml:space="preserve">(5), 1119–1151. </w:t>
      </w:r>
    </w:p>
    <w:p w14:paraId="742228ED" w14:textId="019A881F" w:rsidR="002F3AD4" w:rsidRPr="009F71A2" w:rsidRDefault="003139F2" w:rsidP="00A90D39">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Stöckl, T., Huber, J., &amp; </w:t>
      </w:r>
      <w:proofErr w:type="spellStart"/>
      <w:r w:rsidRPr="009F71A2">
        <w:rPr>
          <w:rFonts w:ascii="Times New Roman" w:hAnsi="Times New Roman" w:cs="Times New Roman"/>
          <w:sz w:val="22"/>
          <w:szCs w:val="22"/>
        </w:rPr>
        <w:t>Kirchler</w:t>
      </w:r>
      <w:proofErr w:type="spellEnd"/>
      <w:r w:rsidRPr="009F71A2">
        <w:rPr>
          <w:rFonts w:ascii="Times New Roman" w:hAnsi="Times New Roman" w:cs="Times New Roman"/>
          <w:sz w:val="22"/>
          <w:szCs w:val="22"/>
        </w:rPr>
        <w:t xml:space="preserve">, M. (2010). Bubble measures in experimental asset markets. </w:t>
      </w:r>
      <w:r w:rsidRPr="009F71A2">
        <w:rPr>
          <w:rFonts w:ascii="Times New Roman" w:hAnsi="Times New Roman" w:cs="Times New Roman"/>
          <w:i/>
          <w:iCs/>
          <w:sz w:val="22"/>
          <w:szCs w:val="22"/>
        </w:rPr>
        <w:t>Experimental Economics</w:t>
      </w:r>
      <w:r w:rsidRPr="009F71A2">
        <w:rPr>
          <w:rFonts w:ascii="Times New Roman" w:hAnsi="Times New Roman" w:cs="Times New Roman"/>
          <w:sz w:val="22"/>
          <w:szCs w:val="22"/>
        </w:rPr>
        <w:t xml:space="preserve">, </w:t>
      </w:r>
      <w:r w:rsidRPr="009F71A2">
        <w:rPr>
          <w:rFonts w:ascii="Times New Roman" w:hAnsi="Times New Roman" w:cs="Times New Roman"/>
          <w:i/>
          <w:iCs/>
          <w:sz w:val="22"/>
          <w:szCs w:val="22"/>
        </w:rPr>
        <w:t>13</w:t>
      </w:r>
      <w:r w:rsidRPr="009F71A2">
        <w:rPr>
          <w:rFonts w:ascii="Times New Roman" w:hAnsi="Times New Roman" w:cs="Times New Roman"/>
          <w:sz w:val="22"/>
          <w:szCs w:val="22"/>
        </w:rPr>
        <w:t xml:space="preserve">(3), 284–298. </w:t>
      </w:r>
    </w:p>
    <w:p w14:paraId="54CCDE20" w14:textId="479C13A0" w:rsidR="002F3AD4" w:rsidRPr="009F71A2" w:rsidRDefault="002F3AD4" w:rsidP="002F3AD4">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Tucker, S. &amp; Xu, Y. (2024). Nonspeculative Bubbles Revisited. </w:t>
      </w:r>
      <w:r w:rsidR="00460F01" w:rsidRPr="009F71A2">
        <w:rPr>
          <w:rFonts w:ascii="Times New Roman" w:hAnsi="Times New Roman" w:cs="Times New Roman"/>
          <w:sz w:val="22"/>
          <w:szCs w:val="22"/>
        </w:rPr>
        <w:t>Working Papers in Economics 24/01, University of Waikato.</w:t>
      </w:r>
    </w:p>
    <w:p w14:paraId="4837DB8C" w14:textId="344F3054" w:rsidR="00D24935" w:rsidRPr="009F71A2" w:rsidRDefault="00D24935" w:rsidP="00DB5EC1">
      <w:pPr>
        <w:pStyle w:val="NormalWeb"/>
        <w:spacing w:before="0" w:beforeAutospacing="0" w:after="120" w:afterAutospacing="0"/>
        <w:ind w:left="480" w:hanging="480"/>
        <w:jc w:val="both"/>
        <w:rPr>
          <w:rFonts w:ascii="Times New Roman" w:hAnsi="Times New Roman" w:cs="Times New Roman"/>
          <w:sz w:val="22"/>
          <w:szCs w:val="22"/>
        </w:rPr>
      </w:pPr>
      <w:r w:rsidRPr="009F71A2">
        <w:rPr>
          <w:rFonts w:ascii="Times New Roman" w:hAnsi="Times New Roman" w:cs="Times New Roman"/>
          <w:sz w:val="22"/>
          <w:szCs w:val="22"/>
        </w:rPr>
        <w:t xml:space="preserve">Van Boening, M.V., Williams, A.W., &amp; LaMaster, S. (1993). Price bubbles and crashes in experimental call markets? </w:t>
      </w:r>
      <w:r w:rsidR="004E7AF7" w:rsidRPr="009F71A2">
        <w:rPr>
          <w:rFonts w:ascii="Times New Roman" w:hAnsi="Times New Roman" w:cs="Times New Roman"/>
          <w:i/>
          <w:iCs/>
          <w:sz w:val="22"/>
          <w:szCs w:val="22"/>
          <w:lang w:val="en-AU"/>
        </w:rPr>
        <w:t>Economics Letters,</w:t>
      </w:r>
      <w:r w:rsidR="004E7AF7" w:rsidRPr="009F71A2" w:rsidDel="004E7AF7">
        <w:rPr>
          <w:rFonts w:ascii="Times New Roman" w:hAnsi="Times New Roman" w:cs="Times New Roman"/>
          <w:i/>
          <w:iCs/>
          <w:sz w:val="22"/>
          <w:szCs w:val="22"/>
          <w:lang w:val="en-AU"/>
        </w:rPr>
        <w:t xml:space="preserve"> </w:t>
      </w:r>
      <w:r w:rsidRPr="009F71A2">
        <w:rPr>
          <w:rFonts w:ascii="Times New Roman" w:hAnsi="Times New Roman" w:cs="Times New Roman"/>
          <w:i/>
          <w:iCs/>
          <w:sz w:val="22"/>
          <w:szCs w:val="22"/>
        </w:rPr>
        <w:t>41</w:t>
      </w:r>
      <w:r w:rsidRPr="009F71A2">
        <w:rPr>
          <w:rFonts w:ascii="Times New Roman" w:hAnsi="Times New Roman" w:cs="Times New Roman"/>
          <w:sz w:val="22"/>
          <w:szCs w:val="22"/>
        </w:rPr>
        <w:t>(2), 179–185.</w:t>
      </w:r>
    </w:p>
    <w:p w14:paraId="7D502920" w14:textId="4728F3B6" w:rsidR="00F32EC0" w:rsidRDefault="00F32EC0">
      <w:pPr>
        <w:tabs>
          <w:tab w:val="clear" w:pos="425"/>
        </w:tabs>
        <w:spacing w:after="0" w:line="240" w:lineRule="auto"/>
      </w:pPr>
      <w:r>
        <w:br w:type="page"/>
      </w:r>
    </w:p>
    <w:p w14:paraId="75CEB144" w14:textId="77777777" w:rsidR="009F71A2" w:rsidRDefault="009F71A2">
      <w:pPr>
        <w:tabs>
          <w:tab w:val="clear" w:pos="425"/>
        </w:tabs>
        <w:spacing w:after="0" w:line="240" w:lineRule="auto"/>
        <w:rPr>
          <w:rFonts w:eastAsia="SimSun"/>
          <w:lang w:val="en-US" w:eastAsia="zh-CN"/>
        </w:rPr>
      </w:pPr>
    </w:p>
    <w:p w14:paraId="67655280" w14:textId="41CDF4CA" w:rsidR="00F32EC0" w:rsidRDefault="00F32EC0" w:rsidP="00F32EC0">
      <w:pPr>
        <w:tabs>
          <w:tab w:val="clear" w:pos="425"/>
        </w:tabs>
        <w:spacing w:after="0" w:line="240" w:lineRule="auto"/>
        <w:rPr>
          <w:b/>
          <w:sz w:val="28"/>
          <w:szCs w:val="28"/>
          <w:lang w:val="en-US"/>
        </w:rPr>
      </w:pPr>
      <w:r>
        <w:rPr>
          <w:b/>
          <w:sz w:val="28"/>
          <w:szCs w:val="28"/>
          <w:lang w:val="en-US"/>
        </w:rPr>
        <w:t xml:space="preserve">Online </w:t>
      </w:r>
      <w:r w:rsidRPr="00752F5A">
        <w:rPr>
          <w:b/>
          <w:sz w:val="28"/>
          <w:szCs w:val="28"/>
          <w:lang w:val="en-US"/>
        </w:rPr>
        <w:t>Appendix:  Time series of transaction prices by treatment</w:t>
      </w:r>
    </w:p>
    <w:p w14:paraId="77679974" w14:textId="77777777" w:rsidR="00A4190F" w:rsidRDefault="00A4190F" w:rsidP="00F32EC0">
      <w:pPr>
        <w:tabs>
          <w:tab w:val="clear" w:pos="425"/>
        </w:tabs>
        <w:spacing w:after="0" w:line="240" w:lineRule="auto"/>
        <w:rPr>
          <w:b/>
          <w:sz w:val="28"/>
          <w:szCs w:val="28"/>
          <w:lang w:val="en-US"/>
        </w:rPr>
      </w:pPr>
    </w:p>
    <w:p w14:paraId="6CAA83F6" w14:textId="77777777" w:rsidR="009F71A2" w:rsidRPr="009F71A2" w:rsidRDefault="009F71A2" w:rsidP="009F71A2">
      <w:pPr>
        <w:tabs>
          <w:tab w:val="clear" w:pos="425"/>
        </w:tabs>
        <w:spacing w:after="0" w:line="240" w:lineRule="auto"/>
        <w:jc w:val="center"/>
        <w:rPr>
          <w:sz w:val="22"/>
          <w:szCs w:val="22"/>
          <w:lang w:val="en-US"/>
        </w:rPr>
      </w:pPr>
      <w:r w:rsidRPr="009F71A2">
        <w:rPr>
          <w:b/>
          <w:bCs/>
          <w:sz w:val="22"/>
          <w:szCs w:val="22"/>
          <w:lang w:val="en-US"/>
        </w:rPr>
        <w:t xml:space="preserve">Figure A1. </w:t>
      </w:r>
      <w:r w:rsidRPr="009F71A2">
        <w:rPr>
          <w:sz w:val="22"/>
          <w:szCs w:val="22"/>
          <w:lang w:val="en-US"/>
        </w:rPr>
        <w:t>Time series of transaction prices: Baseline</w:t>
      </w:r>
    </w:p>
    <w:p w14:paraId="47C27F5C" w14:textId="77777777" w:rsidR="009F71A2" w:rsidRDefault="009F71A2" w:rsidP="00A24831">
      <w:pPr>
        <w:tabs>
          <w:tab w:val="clear" w:pos="425"/>
        </w:tabs>
        <w:spacing w:after="0" w:line="240" w:lineRule="auto"/>
        <w:jc w:val="center"/>
        <w:rPr>
          <w:b/>
          <w:bCs/>
          <w:lang w:val="en-US"/>
        </w:rPr>
      </w:pPr>
    </w:p>
    <w:p w14:paraId="0077788C" w14:textId="55E18545" w:rsidR="00A24831" w:rsidRDefault="00141790" w:rsidP="00A24831">
      <w:pPr>
        <w:tabs>
          <w:tab w:val="clear" w:pos="425"/>
        </w:tabs>
        <w:spacing w:after="0" w:line="240" w:lineRule="auto"/>
        <w:jc w:val="center"/>
        <w:rPr>
          <w:b/>
          <w:bCs/>
          <w:lang w:val="en-US"/>
        </w:rPr>
      </w:pPr>
      <w:r w:rsidRPr="00141790">
        <w:rPr>
          <w:b/>
          <w:bCs/>
          <w:noProof/>
          <w:lang w:val="en-US"/>
        </w:rPr>
        <w:drawing>
          <wp:inline distT="0" distB="0" distL="0" distR="0" wp14:anchorId="7C21DBA6" wp14:editId="20077E1B">
            <wp:extent cx="4571502" cy="31816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8218" b="4787"/>
                    <a:stretch/>
                  </pic:blipFill>
                  <pic:spPr bwMode="auto">
                    <a:xfrm>
                      <a:off x="0" y="0"/>
                      <a:ext cx="4572000" cy="3181958"/>
                    </a:xfrm>
                    <a:prstGeom prst="rect">
                      <a:avLst/>
                    </a:prstGeom>
                    <a:noFill/>
                    <a:ln>
                      <a:noFill/>
                    </a:ln>
                    <a:extLst>
                      <a:ext uri="{53640926-AAD7-44D8-BBD7-CCE9431645EC}">
                        <a14:shadowObscured xmlns:a14="http://schemas.microsoft.com/office/drawing/2010/main"/>
                      </a:ext>
                    </a:extLst>
                  </pic:spPr>
                </pic:pic>
              </a:graphicData>
            </a:graphic>
          </wp:inline>
        </w:drawing>
      </w:r>
    </w:p>
    <w:p w14:paraId="3AE7A31C" w14:textId="351B0896" w:rsidR="00F32EC0" w:rsidRDefault="00F32EC0" w:rsidP="00F32EC0">
      <w:pPr>
        <w:tabs>
          <w:tab w:val="clear" w:pos="425"/>
        </w:tabs>
        <w:spacing w:after="0" w:line="240" w:lineRule="auto"/>
        <w:jc w:val="center"/>
        <w:rPr>
          <w:b/>
          <w:lang w:val="en-US"/>
        </w:rPr>
      </w:pPr>
    </w:p>
    <w:p w14:paraId="1E4FB2E5" w14:textId="051433F8" w:rsidR="00A24831" w:rsidRPr="009F71A2" w:rsidRDefault="009F71A2" w:rsidP="00F32EC0">
      <w:pPr>
        <w:tabs>
          <w:tab w:val="clear" w:pos="425"/>
        </w:tabs>
        <w:spacing w:after="0" w:line="240" w:lineRule="auto"/>
        <w:jc w:val="center"/>
        <w:rPr>
          <w:noProof/>
          <w:sz w:val="22"/>
          <w:szCs w:val="22"/>
          <w:lang w:val="en-US"/>
        </w:rPr>
      </w:pPr>
      <w:r w:rsidRPr="009F71A2">
        <w:rPr>
          <w:b/>
          <w:bCs/>
          <w:noProof/>
          <w:sz w:val="22"/>
          <w:szCs w:val="22"/>
          <w:lang w:val="en-US"/>
        </w:rPr>
        <w:t>Figure A2.</w:t>
      </w:r>
      <w:r w:rsidRPr="009F71A2">
        <w:rPr>
          <w:noProof/>
          <w:sz w:val="22"/>
          <w:szCs w:val="22"/>
          <w:lang w:val="en-US"/>
        </w:rPr>
        <w:t xml:space="preserve"> Time series of transaction prices: NoSpec</w:t>
      </w:r>
    </w:p>
    <w:p w14:paraId="6A655F27" w14:textId="77777777" w:rsidR="009F71A2" w:rsidRDefault="009F71A2" w:rsidP="00F32EC0">
      <w:pPr>
        <w:tabs>
          <w:tab w:val="clear" w:pos="425"/>
        </w:tabs>
        <w:spacing w:after="0" w:line="240" w:lineRule="auto"/>
        <w:jc w:val="center"/>
        <w:rPr>
          <w:b/>
          <w:bCs/>
          <w:noProof/>
          <w:lang w:val="en-US"/>
        </w:rPr>
      </w:pPr>
    </w:p>
    <w:p w14:paraId="59D4C965" w14:textId="07DECB1D" w:rsidR="00F32EC0" w:rsidRDefault="009274DB" w:rsidP="00F32EC0">
      <w:pPr>
        <w:tabs>
          <w:tab w:val="clear" w:pos="425"/>
        </w:tabs>
        <w:spacing w:after="0" w:line="240" w:lineRule="auto"/>
        <w:jc w:val="center"/>
        <w:rPr>
          <w:b/>
          <w:bCs/>
          <w:lang w:val="en-US"/>
        </w:rPr>
      </w:pPr>
      <w:r w:rsidRPr="009274DB">
        <w:rPr>
          <w:b/>
          <w:bCs/>
          <w:noProof/>
          <w:lang w:val="en-US"/>
        </w:rPr>
        <w:drawing>
          <wp:inline distT="0" distB="0" distL="0" distR="0" wp14:anchorId="54EE85A1" wp14:editId="656522E9">
            <wp:extent cx="4571631" cy="31774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8447" b="4673"/>
                    <a:stretch/>
                  </pic:blipFill>
                  <pic:spPr bwMode="auto">
                    <a:xfrm>
                      <a:off x="0" y="0"/>
                      <a:ext cx="4572000" cy="3177691"/>
                    </a:xfrm>
                    <a:prstGeom prst="rect">
                      <a:avLst/>
                    </a:prstGeom>
                    <a:noFill/>
                    <a:ln>
                      <a:noFill/>
                    </a:ln>
                    <a:extLst>
                      <a:ext uri="{53640926-AAD7-44D8-BBD7-CCE9431645EC}">
                        <a14:shadowObscured xmlns:a14="http://schemas.microsoft.com/office/drawing/2010/main"/>
                      </a:ext>
                    </a:extLst>
                  </pic:spPr>
                </pic:pic>
              </a:graphicData>
            </a:graphic>
          </wp:inline>
        </w:drawing>
      </w:r>
    </w:p>
    <w:p w14:paraId="37635F74" w14:textId="6740EC8B" w:rsidR="00F32EC0" w:rsidRPr="006570CF" w:rsidRDefault="00F32EC0" w:rsidP="00336123">
      <w:pPr>
        <w:tabs>
          <w:tab w:val="clear" w:pos="425"/>
        </w:tabs>
        <w:spacing w:after="0" w:line="240" w:lineRule="auto"/>
        <w:rPr>
          <w:lang w:val="en-US"/>
        </w:rPr>
      </w:pPr>
      <w:r w:rsidRPr="00FD6FE7">
        <w:rPr>
          <w:noProof/>
        </w:rPr>
        <w:t xml:space="preserve"> </w:t>
      </w:r>
      <w:r w:rsidR="003C2715" w:rsidRPr="003C2715">
        <w:rPr>
          <w:noProof/>
        </w:rPr>
        <w:t xml:space="preserve"> </w:t>
      </w:r>
    </w:p>
    <w:p w14:paraId="2A8501EF" w14:textId="77777777" w:rsidR="009F71A2" w:rsidRPr="009F71A2" w:rsidRDefault="009F71A2" w:rsidP="009F71A2">
      <w:pPr>
        <w:tabs>
          <w:tab w:val="clear" w:pos="425"/>
        </w:tabs>
        <w:spacing w:after="0" w:line="240" w:lineRule="auto"/>
        <w:jc w:val="center"/>
        <w:rPr>
          <w:sz w:val="22"/>
          <w:szCs w:val="22"/>
          <w:lang w:val="en-US"/>
        </w:rPr>
      </w:pPr>
      <w:r w:rsidRPr="009F71A2">
        <w:rPr>
          <w:b/>
          <w:bCs/>
          <w:sz w:val="22"/>
          <w:szCs w:val="22"/>
          <w:lang w:val="en-US"/>
        </w:rPr>
        <w:lastRenderedPageBreak/>
        <w:t xml:space="preserve">Figure A3. </w:t>
      </w:r>
      <w:r w:rsidRPr="009F71A2">
        <w:rPr>
          <w:sz w:val="22"/>
          <w:szCs w:val="22"/>
          <w:lang w:val="en-US"/>
        </w:rPr>
        <w:t xml:space="preserve">Time series of transaction prices: </w:t>
      </w:r>
      <w:proofErr w:type="spellStart"/>
      <w:r w:rsidRPr="009F71A2">
        <w:rPr>
          <w:sz w:val="22"/>
          <w:szCs w:val="22"/>
          <w:lang w:val="en-US"/>
        </w:rPr>
        <w:t>TMkt</w:t>
      </w:r>
      <w:proofErr w:type="spellEnd"/>
      <w:r w:rsidRPr="009F71A2">
        <w:rPr>
          <w:sz w:val="22"/>
          <w:szCs w:val="22"/>
          <w:lang w:val="en-US"/>
        </w:rPr>
        <w:t xml:space="preserve">/NS </w:t>
      </w:r>
    </w:p>
    <w:p w14:paraId="0AE5BCB4" w14:textId="06E1E5F4" w:rsidR="009F71A2" w:rsidRDefault="009F71A2" w:rsidP="00A24831">
      <w:pPr>
        <w:tabs>
          <w:tab w:val="clear" w:pos="425"/>
        </w:tabs>
        <w:spacing w:after="0" w:line="240" w:lineRule="auto"/>
        <w:jc w:val="center"/>
        <w:rPr>
          <w:noProof/>
        </w:rPr>
      </w:pPr>
    </w:p>
    <w:p w14:paraId="2AC84F80" w14:textId="15737F42" w:rsidR="00F32EC0" w:rsidRDefault="004A0A1B" w:rsidP="00A24831">
      <w:pPr>
        <w:tabs>
          <w:tab w:val="clear" w:pos="425"/>
        </w:tabs>
        <w:spacing w:after="0" w:line="240" w:lineRule="auto"/>
        <w:jc w:val="center"/>
        <w:rPr>
          <w:noProof/>
        </w:rPr>
      </w:pPr>
      <w:r w:rsidRPr="004A0A1B">
        <w:rPr>
          <w:noProof/>
        </w:rPr>
        <w:drawing>
          <wp:inline distT="0" distB="0" distL="0" distR="0" wp14:anchorId="127CFBED" wp14:editId="48D97E82">
            <wp:extent cx="4571762" cy="31983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8676" b="3877"/>
                    <a:stretch/>
                  </pic:blipFill>
                  <pic:spPr bwMode="auto">
                    <a:xfrm>
                      <a:off x="0" y="0"/>
                      <a:ext cx="4572000" cy="3198479"/>
                    </a:xfrm>
                    <a:prstGeom prst="rect">
                      <a:avLst/>
                    </a:prstGeom>
                    <a:noFill/>
                    <a:ln>
                      <a:noFill/>
                    </a:ln>
                    <a:extLst>
                      <a:ext uri="{53640926-AAD7-44D8-BBD7-CCE9431645EC}">
                        <a14:shadowObscured xmlns:a14="http://schemas.microsoft.com/office/drawing/2010/main"/>
                      </a:ext>
                    </a:extLst>
                  </pic:spPr>
                </pic:pic>
              </a:graphicData>
            </a:graphic>
          </wp:inline>
        </w:drawing>
      </w:r>
    </w:p>
    <w:p w14:paraId="6750E8A3" w14:textId="77777777" w:rsidR="009F71A2" w:rsidRDefault="009F71A2" w:rsidP="00A24831">
      <w:pPr>
        <w:tabs>
          <w:tab w:val="clear" w:pos="425"/>
        </w:tabs>
        <w:spacing w:after="0" w:line="240" w:lineRule="auto"/>
        <w:jc w:val="center"/>
        <w:rPr>
          <w:noProof/>
        </w:rPr>
      </w:pPr>
    </w:p>
    <w:p w14:paraId="432D22C7" w14:textId="77777777" w:rsidR="00A24831" w:rsidRDefault="00A24831" w:rsidP="00A4190F">
      <w:pPr>
        <w:tabs>
          <w:tab w:val="clear" w:pos="425"/>
        </w:tabs>
        <w:spacing w:after="0" w:line="240" w:lineRule="auto"/>
        <w:jc w:val="center"/>
        <w:rPr>
          <w:lang w:val="en-US"/>
        </w:rPr>
      </w:pPr>
    </w:p>
    <w:p w14:paraId="7A1B5617" w14:textId="77777777" w:rsidR="009F71A2" w:rsidRPr="009F71A2" w:rsidRDefault="009F71A2" w:rsidP="009F71A2">
      <w:pPr>
        <w:tabs>
          <w:tab w:val="clear" w:pos="425"/>
        </w:tabs>
        <w:spacing w:after="0" w:line="240" w:lineRule="auto"/>
        <w:jc w:val="center"/>
        <w:rPr>
          <w:sz w:val="22"/>
          <w:szCs w:val="22"/>
        </w:rPr>
      </w:pPr>
      <w:r w:rsidRPr="009F71A2">
        <w:rPr>
          <w:b/>
          <w:bCs/>
          <w:sz w:val="22"/>
          <w:szCs w:val="22"/>
          <w:lang w:val="en-US"/>
        </w:rPr>
        <w:t xml:space="preserve">Figure A4. </w:t>
      </w:r>
      <w:r w:rsidRPr="009F71A2">
        <w:rPr>
          <w:sz w:val="22"/>
          <w:szCs w:val="22"/>
          <w:lang w:val="en-US"/>
        </w:rPr>
        <w:t>Time series of transaction prices: TAX</w:t>
      </w:r>
    </w:p>
    <w:p w14:paraId="11E63498" w14:textId="77777777" w:rsidR="00A24831" w:rsidRPr="00752F5A" w:rsidRDefault="00A24831" w:rsidP="00A4190F">
      <w:pPr>
        <w:tabs>
          <w:tab w:val="clear" w:pos="425"/>
        </w:tabs>
        <w:spacing w:after="0" w:line="240" w:lineRule="auto"/>
        <w:jc w:val="center"/>
        <w:rPr>
          <w:lang w:val="en-US"/>
        </w:rPr>
      </w:pPr>
    </w:p>
    <w:p w14:paraId="63C8A982" w14:textId="77777777" w:rsidR="00A24831" w:rsidRDefault="00A24831" w:rsidP="00F32EC0">
      <w:pPr>
        <w:tabs>
          <w:tab w:val="clear" w:pos="425"/>
        </w:tabs>
        <w:spacing w:after="0" w:line="240" w:lineRule="auto"/>
        <w:jc w:val="center"/>
        <w:rPr>
          <w:noProof/>
          <w:lang w:val="en-US"/>
        </w:rPr>
      </w:pPr>
    </w:p>
    <w:p w14:paraId="3DDC1891" w14:textId="6E5B8F38" w:rsidR="009B24B5" w:rsidRDefault="004A0A1B" w:rsidP="00F32EC0">
      <w:pPr>
        <w:tabs>
          <w:tab w:val="clear" w:pos="425"/>
        </w:tabs>
        <w:spacing w:after="0" w:line="240" w:lineRule="auto"/>
        <w:jc w:val="center"/>
        <w:rPr>
          <w:lang w:val="en-US"/>
        </w:rPr>
      </w:pPr>
      <w:r w:rsidRPr="004A0A1B">
        <w:rPr>
          <w:noProof/>
          <w:lang w:val="en-US"/>
        </w:rPr>
        <w:drawing>
          <wp:inline distT="0" distB="0" distL="0" distR="0" wp14:anchorId="48EE920C" wp14:editId="335937C0">
            <wp:extent cx="4571503" cy="32108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8218" b="3987"/>
                    <a:stretch/>
                  </pic:blipFill>
                  <pic:spPr bwMode="auto">
                    <a:xfrm>
                      <a:off x="0" y="0"/>
                      <a:ext cx="4572000" cy="3211187"/>
                    </a:xfrm>
                    <a:prstGeom prst="rect">
                      <a:avLst/>
                    </a:prstGeom>
                    <a:noFill/>
                    <a:ln>
                      <a:noFill/>
                    </a:ln>
                    <a:extLst>
                      <a:ext uri="{53640926-AAD7-44D8-BBD7-CCE9431645EC}">
                        <a14:shadowObscured xmlns:a14="http://schemas.microsoft.com/office/drawing/2010/main"/>
                      </a:ext>
                    </a:extLst>
                  </pic:spPr>
                </pic:pic>
              </a:graphicData>
            </a:graphic>
          </wp:inline>
        </w:drawing>
      </w:r>
    </w:p>
    <w:sectPr w:rsidR="009B24B5" w:rsidSect="000F77D9">
      <w:footerReference w:type="default" r:id="rId13"/>
      <w:pgSz w:w="12240" w:h="15840"/>
      <w:pgMar w:top="1440" w:right="1800" w:bottom="1440" w:left="180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A51E" w14:textId="77777777" w:rsidR="003270C8" w:rsidRDefault="003270C8">
      <w:r>
        <w:separator/>
      </w:r>
    </w:p>
  </w:endnote>
  <w:endnote w:type="continuationSeparator" w:id="0">
    <w:p w14:paraId="662D2CE5" w14:textId="77777777" w:rsidR="003270C8" w:rsidRDefault="0032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92373"/>
      <w:docPartObj>
        <w:docPartGallery w:val="Page Numbers (Bottom of Page)"/>
        <w:docPartUnique/>
      </w:docPartObj>
    </w:sdtPr>
    <w:sdtContent>
      <w:p w14:paraId="5C0A68B8" w14:textId="017FA02C" w:rsidR="00553F99" w:rsidRDefault="00553F99">
        <w:pPr>
          <w:pStyle w:val="Footer"/>
          <w:jc w:val="right"/>
        </w:pPr>
        <w:r>
          <w:fldChar w:fldCharType="begin"/>
        </w:r>
        <w:r>
          <w:instrText>PAGE   \* MERGEFORMAT</w:instrText>
        </w:r>
        <w:r>
          <w:fldChar w:fldCharType="separate"/>
        </w:r>
        <w:r w:rsidRPr="00684071">
          <w:rPr>
            <w:noProof/>
            <w:lang w:val="de-DE"/>
          </w:rPr>
          <w:t>21</w:t>
        </w:r>
        <w:r>
          <w:fldChar w:fldCharType="end"/>
        </w:r>
      </w:p>
    </w:sdtContent>
  </w:sdt>
  <w:p w14:paraId="16604DDD" w14:textId="77777777" w:rsidR="00553F99" w:rsidRDefault="00553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CAF54" w14:textId="77777777" w:rsidR="003270C8" w:rsidRDefault="003270C8">
      <w:r>
        <w:separator/>
      </w:r>
    </w:p>
  </w:footnote>
  <w:footnote w:type="continuationSeparator" w:id="0">
    <w:p w14:paraId="6B235CF2" w14:textId="77777777" w:rsidR="003270C8" w:rsidRDefault="003270C8">
      <w:r>
        <w:continuationSeparator/>
      </w:r>
    </w:p>
  </w:footnote>
  <w:footnote w:id="1">
    <w:p w14:paraId="0E72C361" w14:textId="7478706C" w:rsidR="00BC0750" w:rsidRPr="00EB52D0" w:rsidRDefault="00BC0750" w:rsidP="00592974">
      <w:pPr>
        <w:pStyle w:val="FootnoteText"/>
        <w:spacing w:line="240" w:lineRule="auto"/>
      </w:pPr>
      <w:r>
        <w:rPr>
          <w:rStyle w:val="FootnoteReference"/>
        </w:rPr>
        <w:footnoteRef/>
      </w:r>
      <w:r w:rsidRPr="00096A4A">
        <w:rPr>
          <w:lang w:val="nl-NL"/>
        </w:rPr>
        <w:t xml:space="preserve"> </w:t>
      </w:r>
      <w:r w:rsidRPr="00592974">
        <w:rPr>
          <w:lang w:val="nl-NL"/>
        </w:rPr>
        <w:t xml:space="preserve">The results in Janssen et al. </w:t>
      </w:r>
      <w:r>
        <w:t xml:space="preserve">(2019) also points in the same direction, but they still conclude, as in LNP, that </w:t>
      </w:r>
      <w:r w:rsidRPr="00D87066">
        <w:t xml:space="preserve">speculation is </w:t>
      </w:r>
      <w:r w:rsidRPr="006E1FEE">
        <w:rPr>
          <w:i/>
          <w:iCs/>
        </w:rPr>
        <w:t>not</w:t>
      </w:r>
      <w:r w:rsidRPr="00D87066">
        <w:t xml:space="preserve"> necessary to cause departures from fundamental values</w:t>
      </w:r>
      <w:r>
        <w:t xml:space="preserve">. Contrary to their conclusion, our result shows that when speculation motives are completely removed, bubbles are effectively attenuated. </w:t>
      </w:r>
    </w:p>
  </w:footnote>
  <w:footnote w:id="2">
    <w:p w14:paraId="13519CA4" w14:textId="77777777" w:rsidR="00553F99" w:rsidRPr="007B2529" w:rsidRDefault="00553F99" w:rsidP="00743C48">
      <w:pPr>
        <w:pStyle w:val="FootnoteText"/>
        <w:spacing w:line="240" w:lineRule="auto"/>
        <w:jc w:val="both"/>
      </w:pPr>
      <w:r>
        <w:rPr>
          <w:rStyle w:val="FootnoteReference"/>
        </w:rPr>
        <w:footnoteRef/>
      </w:r>
      <w:r>
        <w:t xml:space="preserve"> </w:t>
      </w:r>
      <w:r>
        <w:rPr>
          <w:lang w:val="en-US"/>
        </w:rPr>
        <w:t xml:space="preserve">It has also been shown in experimental markets that sophisticated traders exploit the less sophisticated and achieve greater profits in bubbly markets (e.g., </w:t>
      </w:r>
      <w:proofErr w:type="spellStart"/>
      <w:r>
        <w:rPr>
          <w:lang w:val="en-US"/>
        </w:rPr>
        <w:t>Corgnet</w:t>
      </w:r>
      <w:proofErr w:type="spellEnd"/>
      <w:r>
        <w:rPr>
          <w:lang w:val="en-US"/>
        </w:rPr>
        <w:t xml:space="preserve"> et al., 2014; </w:t>
      </w:r>
      <w:proofErr w:type="spellStart"/>
      <w:r>
        <w:rPr>
          <w:lang w:val="en-US"/>
        </w:rPr>
        <w:t>Noussair</w:t>
      </w:r>
      <w:proofErr w:type="spellEnd"/>
      <w:r>
        <w:rPr>
          <w:lang w:val="en-US"/>
        </w:rPr>
        <w:t xml:space="preserve"> et al., 2016).</w:t>
      </w:r>
    </w:p>
  </w:footnote>
  <w:footnote w:id="3">
    <w:p w14:paraId="406C177C" w14:textId="5B12BD8F" w:rsidR="00927C86" w:rsidRPr="00336123" w:rsidRDefault="00927C86">
      <w:pPr>
        <w:pStyle w:val="FootnoteText"/>
        <w:rPr>
          <w:lang w:val="en-US"/>
        </w:rPr>
      </w:pPr>
      <w:r>
        <w:rPr>
          <w:rStyle w:val="FootnoteReference"/>
        </w:rPr>
        <w:footnoteRef/>
      </w:r>
      <w:r>
        <w:t xml:space="preserve"> </w:t>
      </w:r>
      <w:r w:rsidRPr="00336123">
        <w:rPr>
          <w:lang w:val="en-US"/>
        </w:rPr>
        <w:t>There were two sessions w</w:t>
      </w:r>
      <w:r>
        <w:rPr>
          <w:lang w:val="en-US"/>
        </w:rPr>
        <w:t>ith six and seven traders respectively due to no shows.</w:t>
      </w:r>
    </w:p>
  </w:footnote>
  <w:footnote w:id="4">
    <w:p w14:paraId="2E43A564" w14:textId="77777777" w:rsidR="002D56CD" w:rsidRPr="00AC4435" w:rsidRDefault="002D56CD" w:rsidP="002D56CD">
      <w:pPr>
        <w:pStyle w:val="FootnoteText"/>
        <w:spacing w:after="0" w:line="240" w:lineRule="auto"/>
        <w:jc w:val="both"/>
        <w:rPr>
          <w:lang w:val="en-NZ"/>
        </w:rPr>
      </w:pPr>
      <w:r>
        <w:rPr>
          <w:rStyle w:val="FootnoteReference"/>
        </w:rPr>
        <w:footnoteRef/>
      </w:r>
      <w:r>
        <w:t xml:space="preserve"> </w:t>
      </w:r>
      <w:r>
        <w:rPr>
          <w:lang w:val="en-NZ"/>
        </w:rPr>
        <w:t>The text provided to subjects on their bidding screen referencing their lowest purchase price (</w:t>
      </w:r>
      <w:r>
        <w:rPr>
          <w:i/>
          <w:lang w:val="en-NZ"/>
        </w:rPr>
        <w:t>p</w:t>
      </w:r>
      <w:r>
        <w:rPr>
          <w:vertAlign w:val="subscript"/>
          <w:lang w:val="en-NZ"/>
        </w:rPr>
        <w:t>1</w:t>
      </w:r>
      <w:r>
        <w:rPr>
          <w:lang w:val="en-NZ"/>
        </w:rPr>
        <w:t>) is as follows, “Because of the constraints on resale earnings, the next unit you sell will be taxed for any price greater than [</w:t>
      </w:r>
      <w:r>
        <w:rPr>
          <w:i/>
          <w:lang w:val="en-NZ"/>
        </w:rPr>
        <w:t>p</w:t>
      </w:r>
      <w:r>
        <w:rPr>
          <w:vertAlign w:val="subscript"/>
          <w:lang w:val="en-NZ"/>
        </w:rPr>
        <w:t>1</w:t>
      </w:r>
      <w:r>
        <w:rPr>
          <w:lang w:val="en-NZ"/>
        </w:rPr>
        <w:t xml:space="preserve">].” </w:t>
      </w:r>
    </w:p>
  </w:footnote>
  <w:footnote w:id="5">
    <w:p w14:paraId="742CCC56" w14:textId="77777777" w:rsidR="002D56CD" w:rsidRPr="000F7397" w:rsidRDefault="002D56CD" w:rsidP="00EE7AC0">
      <w:pPr>
        <w:pStyle w:val="FootnoteText"/>
        <w:spacing w:line="240" w:lineRule="auto"/>
        <w:jc w:val="both"/>
      </w:pPr>
      <w:r>
        <w:rPr>
          <w:rStyle w:val="FootnoteReference"/>
        </w:rPr>
        <w:footnoteRef/>
      </w:r>
      <w:r>
        <w:t xml:space="preserve"> A capital gains tax may have a </w:t>
      </w:r>
      <w:proofErr w:type="spellStart"/>
      <w:r>
        <w:t>behavioral</w:t>
      </w:r>
      <w:proofErr w:type="spellEnd"/>
      <w:r>
        <w:t xml:space="preserve"> consequence as certainly some people may have an aversion to taxes generally, and thus the existence of a tax alone may have a dampening effect on prices.  However, there is no support of this in the existing literature.  King et al. (1993) </w:t>
      </w:r>
      <w:proofErr w:type="gramStart"/>
      <w:r>
        <w:t>introduce</w:t>
      </w:r>
      <w:proofErr w:type="gramEnd"/>
      <w:r>
        <w:t xml:space="preserve"> a Tobin tax with mixed effects and Lei et al. (2002) implement a 50% capital gains tax with no effects.  Therefore, aversion to a tax is not likely to be the driving factor behind the dissipation of bubbles observed in our TAX treatment. </w:t>
      </w:r>
    </w:p>
  </w:footnote>
  <w:footnote w:id="6">
    <w:p w14:paraId="41FA3E19" w14:textId="1C41FED9" w:rsidR="00553F99" w:rsidRPr="00A234E3" w:rsidRDefault="00553F99" w:rsidP="0005347C">
      <w:pPr>
        <w:pStyle w:val="FootnoteText"/>
        <w:spacing w:after="0" w:line="240" w:lineRule="auto"/>
        <w:rPr>
          <w:lang w:val="en-US"/>
        </w:rPr>
      </w:pPr>
      <w:r>
        <w:rPr>
          <w:rStyle w:val="FootnoteReference"/>
        </w:rPr>
        <w:footnoteRef/>
      </w:r>
      <w:r>
        <w:t xml:space="preserve"> </w:t>
      </w:r>
      <w:r>
        <w:rPr>
          <w:lang w:val="en-US"/>
        </w:rPr>
        <w:t>Note, the market for good Y does not use “cash” to facilitate transactions and thus no impact on the C/A ratio.  More specifically, just as in LNP, the goods market is conducted similarly to Smith (1962) in which earnings from transactions are simply calculated as the difference between the</w:t>
      </w:r>
      <w:r w:rsidR="00D27B2E">
        <w:rPr>
          <w:lang w:val="en-US"/>
        </w:rPr>
        <w:t xml:space="preserve"> transaction</w:t>
      </w:r>
      <w:r>
        <w:rPr>
          <w:lang w:val="en-US"/>
        </w:rPr>
        <w:t xml:space="preserve"> price and induced values to buyers/sellers. </w:t>
      </w:r>
    </w:p>
  </w:footnote>
  <w:footnote w:id="7">
    <w:p w14:paraId="04D135B1" w14:textId="77777777" w:rsidR="00016B7F" w:rsidRPr="00310FDE" w:rsidRDefault="00016B7F" w:rsidP="00016B7F">
      <w:pPr>
        <w:pStyle w:val="FootnoteText"/>
        <w:rPr>
          <w:lang w:val="en-NZ"/>
        </w:rPr>
      </w:pPr>
      <w:r>
        <w:rPr>
          <w:rStyle w:val="FootnoteReference"/>
        </w:rPr>
        <w:footnoteRef/>
      </w:r>
      <w:r>
        <w:t xml:space="preserve"> </w:t>
      </w:r>
      <w:r>
        <w:rPr>
          <w:bCs/>
          <w:lang w:val="en-US"/>
        </w:rPr>
        <w:t>Plots of individual sessions are reported in the online appendix.</w:t>
      </w:r>
    </w:p>
  </w:footnote>
  <w:footnote w:id="8">
    <w:p w14:paraId="1FB87ACF" w14:textId="31776F06" w:rsidR="00EA1285" w:rsidRPr="00EA1285" w:rsidRDefault="00EA1285" w:rsidP="00EA1285">
      <w:pPr>
        <w:pStyle w:val="FootnoteText"/>
        <w:spacing w:after="0" w:line="240" w:lineRule="auto"/>
        <w:rPr>
          <w:lang w:val="en-NZ"/>
        </w:rPr>
      </w:pPr>
      <w:r>
        <w:rPr>
          <w:rStyle w:val="FootnoteReference"/>
        </w:rPr>
        <w:footnoteRef/>
      </w:r>
      <w:r>
        <w:t xml:space="preserve"> </w:t>
      </w:r>
      <w:r w:rsidR="002E3E83">
        <w:t>It is not informative to</w:t>
      </w:r>
      <w:r w:rsidRPr="00EA1285">
        <w:t xml:space="preserve"> test for differences in Turnover </w:t>
      </w:r>
      <w:r w:rsidR="00484CD2">
        <w:t>between</w:t>
      </w:r>
      <w:r w:rsidRPr="00EA1285">
        <w:t xml:space="preserve"> treatments involving LNP’s no-speculation condition</w:t>
      </w:r>
      <w:r w:rsidR="00484CD2">
        <w:t xml:space="preserve"> </w:t>
      </w:r>
      <w:r w:rsidRPr="00EA1285">
        <w:t>because</w:t>
      </w:r>
      <w:r>
        <w:t>,</w:t>
      </w:r>
      <w:r w:rsidRPr="00EA1285">
        <w:t xml:space="preserve"> by design</w:t>
      </w:r>
      <w:r>
        <w:t>,</w:t>
      </w:r>
      <w:r w:rsidRPr="00EA1285">
        <w:t xml:space="preserve"> the LNP no-speculation paradigm has a maximum turnover of 1.</w:t>
      </w:r>
      <w:r w:rsidR="000577CD">
        <w:t xml:space="preserve"> A superscript </w:t>
      </w:r>
      <w:proofErr w:type="spellStart"/>
      <w:r w:rsidR="000577CD" w:rsidRPr="002572A5">
        <w:rPr>
          <w:sz w:val="21"/>
          <w:szCs w:val="21"/>
          <w:vertAlign w:val="superscript"/>
          <w:lang w:val="en-US"/>
        </w:rPr>
        <w:t>na</w:t>
      </w:r>
      <w:proofErr w:type="spellEnd"/>
      <w:r w:rsidR="000577CD">
        <w:rPr>
          <w:sz w:val="21"/>
          <w:szCs w:val="21"/>
          <w:vertAlign w:val="superscript"/>
          <w:lang w:val="en-US"/>
        </w:rPr>
        <w:t xml:space="preserve"> </w:t>
      </w:r>
      <w:r w:rsidR="000577CD">
        <w:rPr>
          <w:sz w:val="21"/>
          <w:szCs w:val="21"/>
          <w:lang w:val="en-US"/>
        </w:rPr>
        <w:t>is used to indicate the test is not applicable.</w:t>
      </w:r>
    </w:p>
  </w:footnote>
  <w:footnote w:id="9">
    <w:p w14:paraId="198EF27A" w14:textId="717640FB" w:rsidR="00553F99" w:rsidRPr="00897D13" w:rsidRDefault="00553F99" w:rsidP="004F7E84">
      <w:pPr>
        <w:pStyle w:val="FootnoteText"/>
        <w:spacing w:line="240" w:lineRule="auto"/>
        <w:rPr>
          <w:lang w:val="en-US"/>
        </w:rPr>
      </w:pPr>
      <w:r>
        <w:rPr>
          <w:rStyle w:val="FootnoteReference"/>
        </w:rPr>
        <w:footnoteRef/>
      </w:r>
      <w:r>
        <w:t xml:space="preserve"> Results</w:t>
      </w:r>
      <w:r>
        <w:rPr>
          <w:lang w:val="en-US"/>
        </w:rPr>
        <w:t xml:space="preserve"> are qualitatively the same if we</w:t>
      </w:r>
      <w:r w:rsidR="003F2A1B">
        <w:rPr>
          <w:lang w:val="en-US"/>
        </w:rPr>
        <w:t xml:space="preserve"> also</w:t>
      </w:r>
      <w:r>
        <w:rPr>
          <w:lang w:val="en-US"/>
        </w:rPr>
        <w:t xml:space="preserve"> include the Baseline treatment</w:t>
      </w:r>
      <w:r w:rsidR="00265B13">
        <w:rPr>
          <w:lang w:val="en-US"/>
        </w:rPr>
        <w:t xml:space="preserve"> or using a Probit regression to test the likelihood of proposing a high bid</w:t>
      </w:r>
      <w:r w:rsidR="000928B5">
        <w:rPr>
          <w:lang w:val="en-US"/>
        </w:rPr>
        <w:t xml:space="preserve">, defined as </w:t>
      </w:r>
      <m:oMath>
        <m:r>
          <w:rPr>
            <w:rFonts w:ascii="Cambria Math" w:hAnsi="Cambria Math"/>
            <w:lang w:val="en-US"/>
          </w:rPr>
          <m:t>Bids-FVs</m:t>
        </m:r>
      </m:oMath>
      <w:r w:rsidR="000928B5">
        <w:rPr>
          <w:rFonts w:hint="eastAsia"/>
          <w:lang w:val="en-US"/>
        </w:rPr>
        <w:t xml:space="preserve"> </w:t>
      </w:r>
      <w:r w:rsidR="000928B5">
        <w:rPr>
          <w:lang w:val="en-US"/>
        </w:rPr>
        <w:t xml:space="preserve">or </w:t>
      </w:r>
      <m:oMath>
        <m:r>
          <w:rPr>
            <w:rFonts w:ascii="Cambria Math" w:hAnsi="Cambria Math"/>
            <w:lang w:val="en-US"/>
          </w:rPr>
          <m:t>Bids-MaxValues</m:t>
        </m:r>
      </m:oMath>
      <w:r w:rsidR="000928B5">
        <w:rPr>
          <w:rFonts w:hint="eastAsia"/>
          <w:lang w:val="en-US"/>
        </w:rPr>
        <w:t xml:space="preserve"> </w:t>
      </w:r>
      <w:r w:rsidR="000928B5">
        <w:rPr>
          <w:lang w:val="en-US"/>
        </w:rPr>
        <w:t>&gt;0</w:t>
      </w:r>
      <w:r w:rsidR="00265B13">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608EF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FC3335"/>
    <w:multiLevelType w:val="hybridMultilevel"/>
    <w:tmpl w:val="9352437E"/>
    <w:lvl w:ilvl="0" w:tplc="6C00D08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A908DE"/>
    <w:multiLevelType w:val="hybridMultilevel"/>
    <w:tmpl w:val="B5120646"/>
    <w:lvl w:ilvl="0" w:tplc="8B6649C0">
      <w:start w:val="2"/>
      <w:numFmt w:val="bullet"/>
      <w:lvlText w:val="-"/>
      <w:lvlJc w:val="left"/>
      <w:pPr>
        <w:ind w:left="6840" w:hanging="360"/>
      </w:pPr>
      <w:rPr>
        <w:rFonts w:ascii="Times New Roman" w:eastAsia="DengXian" w:hAnsi="Times New Roman" w:cs="Times New Roman" w:hint="default"/>
      </w:rPr>
    </w:lvl>
    <w:lvl w:ilvl="1" w:tplc="14090003" w:tentative="1">
      <w:start w:val="1"/>
      <w:numFmt w:val="bullet"/>
      <w:lvlText w:val="o"/>
      <w:lvlJc w:val="left"/>
      <w:pPr>
        <w:ind w:left="7560" w:hanging="360"/>
      </w:pPr>
      <w:rPr>
        <w:rFonts w:ascii="Courier New" w:hAnsi="Courier New" w:cs="Courier New" w:hint="default"/>
      </w:rPr>
    </w:lvl>
    <w:lvl w:ilvl="2" w:tplc="14090005" w:tentative="1">
      <w:start w:val="1"/>
      <w:numFmt w:val="bullet"/>
      <w:lvlText w:val=""/>
      <w:lvlJc w:val="left"/>
      <w:pPr>
        <w:ind w:left="8280" w:hanging="360"/>
      </w:pPr>
      <w:rPr>
        <w:rFonts w:ascii="Wingdings" w:hAnsi="Wingdings" w:hint="default"/>
      </w:rPr>
    </w:lvl>
    <w:lvl w:ilvl="3" w:tplc="14090001" w:tentative="1">
      <w:start w:val="1"/>
      <w:numFmt w:val="bullet"/>
      <w:lvlText w:val=""/>
      <w:lvlJc w:val="left"/>
      <w:pPr>
        <w:ind w:left="9000" w:hanging="360"/>
      </w:pPr>
      <w:rPr>
        <w:rFonts w:ascii="Symbol" w:hAnsi="Symbol" w:hint="default"/>
      </w:rPr>
    </w:lvl>
    <w:lvl w:ilvl="4" w:tplc="14090003" w:tentative="1">
      <w:start w:val="1"/>
      <w:numFmt w:val="bullet"/>
      <w:lvlText w:val="o"/>
      <w:lvlJc w:val="left"/>
      <w:pPr>
        <w:ind w:left="9720" w:hanging="360"/>
      </w:pPr>
      <w:rPr>
        <w:rFonts w:ascii="Courier New" w:hAnsi="Courier New" w:cs="Courier New" w:hint="default"/>
      </w:rPr>
    </w:lvl>
    <w:lvl w:ilvl="5" w:tplc="14090005" w:tentative="1">
      <w:start w:val="1"/>
      <w:numFmt w:val="bullet"/>
      <w:lvlText w:val=""/>
      <w:lvlJc w:val="left"/>
      <w:pPr>
        <w:ind w:left="10440" w:hanging="360"/>
      </w:pPr>
      <w:rPr>
        <w:rFonts w:ascii="Wingdings" w:hAnsi="Wingdings" w:hint="default"/>
      </w:rPr>
    </w:lvl>
    <w:lvl w:ilvl="6" w:tplc="14090001" w:tentative="1">
      <w:start w:val="1"/>
      <w:numFmt w:val="bullet"/>
      <w:lvlText w:val=""/>
      <w:lvlJc w:val="left"/>
      <w:pPr>
        <w:ind w:left="11160" w:hanging="360"/>
      </w:pPr>
      <w:rPr>
        <w:rFonts w:ascii="Symbol" w:hAnsi="Symbol" w:hint="default"/>
      </w:rPr>
    </w:lvl>
    <w:lvl w:ilvl="7" w:tplc="14090003" w:tentative="1">
      <w:start w:val="1"/>
      <w:numFmt w:val="bullet"/>
      <w:lvlText w:val="o"/>
      <w:lvlJc w:val="left"/>
      <w:pPr>
        <w:ind w:left="11880" w:hanging="360"/>
      </w:pPr>
      <w:rPr>
        <w:rFonts w:ascii="Courier New" w:hAnsi="Courier New" w:cs="Courier New" w:hint="default"/>
      </w:rPr>
    </w:lvl>
    <w:lvl w:ilvl="8" w:tplc="14090005" w:tentative="1">
      <w:start w:val="1"/>
      <w:numFmt w:val="bullet"/>
      <w:lvlText w:val=""/>
      <w:lvlJc w:val="left"/>
      <w:pPr>
        <w:ind w:left="12600" w:hanging="360"/>
      </w:pPr>
      <w:rPr>
        <w:rFonts w:ascii="Wingdings" w:hAnsi="Wingdings" w:hint="default"/>
      </w:rPr>
    </w:lvl>
  </w:abstractNum>
  <w:abstractNum w:abstractNumId="3" w15:restartNumberingAfterBreak="0">
    <w:nsid w:val="265829E5"/>
    <w:multiLevelType w:val="hybridMultilevel"/>
    <w:tmpl w:val="BE427B3C"/>
    <w:lvl w:ilvl="0" w:tplc="1E447BE8">
      <w:start w:val="1"/>
      <w:numFmt w:val="bullet"/>
      <w:lvlText w:val="•"/>
      <w:lvlJc w:val="left"/>
      <w:pPr>
        <w:tabs>
          <w:tab w:val="num" w:pos="720"/>
        </w:tabs>
        <w:ind w:left="720" w:hanging="360"/>
      </w:pPr>
      <w:rPr>
        <w:rFonts w:ascii="Arial" w:hAnsi="Arial" w:hint="default"/>
      </w:rPr>
    </w:lvl>
    <w:lvl w:ilvl="1" w:tplc="D6A0669C">
      <w:numFmt w:val="bullet"/>
      <w:lvlText w:val="•"/>
      <w:lvlJc w:val="left"/>
      <w:pPr>
        <w:tabs>
          <w:tab w:val="num" w:pos="1440"/>
        </w:tabs>
        <w:ind w:left="1440" w:hanging="360"/>
      </w:pPr>
      <w:rPr>
        <w:rFonts w:ascii="Arial" w:hAnsi="Arial" w:hint="default"/>
      </w:rPr>
    </w:lvl>
    <w:lvl w:ilvl="2" w:tplc="07CEB4EA" w:tentative="1">
      <w:start w:val="1"/>
      <w:numFmt w:val="bullet"/>
      <w:lvlText w:val="•"/>
      <w:lvlJc w:val="left"/>
      <w:pPr>
        <w:tabs>
          <w:tab w:val="num" w:pos="2160"/>
        </w:tabs>
        <w:ind w:left="2160" w:hanging="360"/>
      </w:pPr>
      <w:rPr>
        <w:rFonts w:ascii="Arial" w:hAnsi="Arial" w:hint="default"/>
      </w:rPr>
    </w:lvl>
    <w:lvl w:ilvl="3" w:tplc="2B8E33C6" w:tentative="1">
      <w:start w:val="1"/>
      <w:numFmt w:val="bullet"/>
      <w:lvlText w:val="•"/>
      <w:lvlJc w:val="left"/>
      <w:pPr>
        <w:tabs>
          <w:tab w:val="num" w:pos="2880"/>
        </w:tabs>
        <w:ind w:left="2880" w:hanging="360"/>
      </w:pPr>
      <w:rPr>
        <w:rFonts w:ascii="Arial" w:hAnsi="Arial" w:hint="default"/>
      </w:rPr>
    </w:lvl>
    <w:lvl w:ilvl="4" w:tplc="B616FB3E" w:tentative="1">
      <w:start w:val="1"/>
      <w:numFmt w:val="bullet"/>
      <w:lvlText w:val="•"/>
      <w:lvlJc w:val="left"/>
      <w:pPr>
        <w:tabs>
          <w:tab w:val="num" w:pos="3600"/>
        </w:tabs>
        <w:ind w:left="3600" w:hanging="360"/>
      </w:pPr>
      <w:rPr>
        <w:rFonts w:ascii="Arial" w:hAnsi="Arial" w:hint="default"/>
      </w:rPr>
    </w:lvl>
    <w:lvl w:ilvl="5" w:tplc="3B4AEE82" w:tentative="1">
      <w:start w:val="1"/>
      <w:numFmt w:val="bullet"/>
      <w:lvlText w:val="•"/>
      <w:lvlJc w:val="left"/>
      <w:pPr>
        <w:tabs>
          <w:tab w:val="num" w:pos="4320"/>
        </w:tabs>
        <w:ind w:left="4320" w:hanging="360"/>
      </w:pPr>
      <w:rPr>
        <w:rFonts w:ascii="Arial" w:hAnsi="Arial" w:hint="default"/>
      </w:rPr>
    </w:lvl>
    <w:lvl w:ilvl="6" w:tplc="8F869E38" w:tentative="1">
      <w:start w:val="1"/>
      <w:numFmt w:val="bullet"/>
      <w:lvlText w:val="•"/>
      <w:lvlJc w:val="left"/>
      <w:pPr>
        <w:tabs>
          <w:tab w:val="num" w:pos="5040"/>
        </w:tabs>
        <w:ind w:left="5040" w:hanging="360"/>
      </w:pPr>
      <w:rPr>
        <w:rFonts w:ascii="Arial" w:hAnsi="Arial" w:hint="default"/>
      </w:rPr>
    </w:lvl>
    <w:lvl w:ilvl="7" w:tplc="712C1F6C" w:tentative="1">
      <w:start w:val="1"/>
      <w:numFmt w:val="bullet"/>
      <w:lvlText w:val="•"/>
      <w:lvlJc w:val="left"/>
      <w:pPr>
        <w:tabs>
          <w:tab w:val="num" w:pos="5760"/>
        </w:tabs>
        <w:ind w:left="5760" w:hanging="360"/>
      </w:pPr>
      <w:rPr>
        <w:rFonts w:ascii="Arial" w:hAnsi="Arial" w:hint="default"/>
      </w:rPr>
    </w:lvl>
    <w:lvl w:ilvl="8" w:tplc="E6CA63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8B4DE2"/>
    <w:multiLevelType w:val="hybridMultilevel"/>
    <w:tmpl w:val="36B06EB0"/>
    <w:lvl w:ilvl="0" w:tplc="E60290B6">
      <w:start w:val="1"/>
      <w:numFmt w:val="bullet"/>
      <w:lvlText w:val=""/>
      <w:lvlJc w:val="left"/>
      <w:pPr>
        <w:tabs>
          <w:tab w:val="num" w:pos="720"/>
        </w:tabs>
        <w:ind w:left="720" w:hanging="360"/>
      </w:pPr>
      <w:rPr>
        <w:rFonts w:ascii="Wingdings 2" w:hAnsi="Wingdings 2" w:cs="Wingdings 2" w:hint="default"/>
      </w:rPr>
    </w:lvl>
    <w:lvl w:ilvl="1" w:tplc="3974AA4E">
      <w:start w:val="818"/>
      <w:numFmt w:val="bullet"/>
      <w:lvlText w:val=""/>
      <w:lvlJc w:val="left"/>
      <w:pPr>
        <w:tabs>
          <w:tab w:val="num" w:pos="1440"/>
        </w:tabs>
        <w:ind w:left="1440" w:hanging="360"/>
      </w:pPr>
      <w:rPr>
        <w:rFonts w:ascii="Wingdings 2" w:hAnsi="Wingdings 2" w:cs="Wingdings 2" w:hint="default"/>
      </w:rPr>
    </w:lvl>
    <w:lvl w:ilvl="2" w:tplc="273C7828" w:tentative="1">
      <w:start w:val="1"/>
      <w:numFmt w:val="bullet"/>
      <w:lvlText w:val=""/>
      <w:lvlJc w:val="left"/>
      <w:pPr>
        <w:tabs>
          <w:tab w:val="num" w:pos="2160"/>
        </w:tabs>
        <w:ind w:left="2160" w:hanging="360"/>
      </w:pPr>
      <w:rPr>
        <w:rFonts w:ascii="Wingdings 2" w:hAnsi="Wingdings 2" w:cs="Wingdings 2" w:hint="default"/>
      </w:rPr>
    </w:lvl>
    <w:lvl w:ilvl="3" w:tplc="10F6FB16" w:tentative="1">
      <w:start w:val="1"/>
      <w:numFmt w:val="bullet"/>
      <w:lvlText w:val=""/>
      <w:lvlJc w:val="left"/>
      <w:pPr>
        <w:tabs>
          <w:tab w:val="num" w:pos="2880"/>
        </w:tabs>
        <w:ind w:left="2880" w:hanging="360"/>
      </w:pPr>
      <w:rPr>
        <w:rFonts w:ascii="Wingdings 2" w:hAnsi="Wingdings 2" w:cs="Wingdings 2" w:hint="default"/>
      </w:rPr>
    </w:lvl>
    <w:lvl w:ilvl="4" w:tplc="FFD64D3E" w:tentative="1">
      <w:start w:val="1"/>
      <w:numFmt w:val="bullet"/>
      <w:lvlText w:val=""/>
      <w:lvlJc w:val="left"/>
      <w:pPr>
        <w:tabs>
          <w:tab w:val="num" w:pos="3600"/>
        </w:tabs>
        <w:ind w:left="3600" w:hanging="360"/>
      </w:pPr>
      <w:rPr>
        <w:rFonts w:ascii="Wingdings 2" w:hAnsi="Wingdings 2" w:cs="Wingdings 2" w:hint="default"/>
      </w:rPr>
    </w:lvl>
    <w:lvl w:ilvl="5" w:tplc="93EC3CDA" w:tentative="1">
      <w:start w:val="1"/>
      <w:numFmt w:val="bullet"/>
      <w:lvlText w:val=""/>
      <w:lvlJc w:val="left"/>
      <w:pPr>
        <w:tabs>
          <w:tab w:val="num" w:pos="4320"/>
        </w:tabs>
        <w:ind w:left="4320" w:hanging="360"/>
      </w:pPr>
      <w:rPr>
        <w:rFonts w:ascii="Wingdings 2" w:hAnsi="Wingdings 2" w:cs="Wingdings 2" w:hint="default"/>
      </w:rPr>
    </w:lvl>
    <w:lvl w:ilvl="6" w:tplc="E144A304" w:tentative="1">
      <w:start w:val="1"/>
      <w:numFmt w:val="bullet"/>
      <w:lvlText w:val=""/>
      <w:lvlJc w:val="left"/>
      <w:pPr>
        <w:tabs>
          <w:tab w:val="num" w:pos="5040"/>
        </w:tabs>
        <w:ind w:left="5040" w:hanging="360"/>
      </w:pPr>
      <w:rPr>
        <w:rFonts w:ascii="Wingdings 2" w:hAnsi="Wingdings 2" w:cs="Wingdings 2" w:hint="default"/>
      </w:rPr>
    </w:lvl>
    <w:lvl w:ilvl="7" w:tplc="7446420C" w:tentative="1">
      <w:start w:val="1"/>
      <w:numFmt w:val="bullet"/>
      <w:lvlText w:val=""/>
      <w:lvlJc w:val="left"/>
      <w:pPr>
        <w:tabs>
          <w:tab w:val="num" w:pos="5760"/>
        </w:tabs>
        <w:ind w:left="5760" w:hanging="360"/>
      </w:pPr>
      <w:rPr>
        <w:rFonts w:ascii="Wingdings 2" w:hAnsi="Wingdings 2" w:cs="Wingdings 2" w:hint="default"/>
      </w:rPr>
    </w:lvl>
    <w:lvl w:ilvl="8" w:tplc="3CC84CE6" w:tentative="1">
      <w:start w:val="1"/>
      <w:numFmt w:val="bullet"/>
      <w:lvlText w:val=""/>
      <w:lvlJc w:val="left"/>
      <w:pPr>
        <w:tabs>
          <w:tab w:val="num" w:pos="6480"/>
        </w:tabs>
        <w:ind w:left="6480" w:hanging="360"/>
      </w:pPr>
      <w:rPr>
        <w:rFonts w:ascii="Wingdings 2" w:hAnsi="Wingdings 2" w:cs="Wingdings 2" w:hint="default"/>
      </w:rPr>
    </w:lvl>
  </w:abstractNum>
  <w:abstractNum w:abstractNumId="5" w15:restartNumberingAfterBreak="0">
    <w:nsid w:val="30527F91"/>
    <w:multiLevelType w:val="hybridMultilevel"/>
    <w:tmpl w:val="390CE1E0"/>
    <w:lvl w:ilvl="0" w:tplc="BE8CB196">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4C76AD7"/>
    <w:multiLevelType w:val="hybridMultilevel"/>
    <w:tmpl w:val="0F28C5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2B162B"/>
    <w:multiLevelType w:val="singleLevel"/>
    <w:tmpl w:val="55A04752"/>
    <w:lvl w:ilvl="0">
      <w:start w:val="1"/>
      <w:numFmt w:val="decimal"/>
      <w:lvlText w:val="%1."/>
      <w:legacy w:legacy="1" w:legacySpace="0" w:legacyIndent="360"/>
      <w:lvlJc w:val="left"/>
      <w:pPr>
        <w:ind w:left="360" w:hanging="360"/>
      </w:pPr>
    </w:lvl>
  </w:abstractNum>
  <w:abstractNum w:abstractNumId="8" w15:restartNumberingAfterBreak="0">
    <w:nsid w:val="3A00530C"/>
    <w:multiLevelType w:val="singleLevel"/>
    <w:tmpl w:val="71A43E5A"/>
    <w:lvl w:ilvl="0">
      <w:start w:val="1"/>
      <w:numFmt w:val="decimal"/>
      <w:lvlText w:val="%1."/>
      <w:legacy w:legacy="1" w:legacySpace="0" w:legacyIndent="360"/>
      <w:lvlJc w:val="left"/>
      <w:pPr>
        <w:ind w:left="360" w:hanging="360"/>
      </w:pPr>
    </w:lvl>
  </w:abstractNum>
  <w:abstractNum w:abstractNumId="9" w15:restartNumberingAfterBreak="0">
    <w:nsid w:val="40D028EE"/>
    <w:multiLevelType w:val="hybridMultilevel"/>
    <w:tmpl w:val="E7C2C4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14B50"/>
    <w:multiLevelType w:val="hybridMultilevel"/>
    <w:tmpl w:val="1C4E4DF8"/>
    <w:lvl w:ilvl="0" w:tplc="74ECFA26">
      <w:start w:val="2"/>
      <w:numFmt w:val="bullet"/>
      <w:lvlText w:val=""/>
      <w:lvlJc w:val="left"/>
      <w:pPr>
        <w:ind w:left="720" w:hanging="360"/>
      </w:pPr>
      <w:rPr>
        <w:rFonts w:ascii="Wingdings" w:eastAsiaTheme="minorEastAsia"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69F0E32"/>
    <w:multiLevelType w:val="hybridMultilevel"/>
    <w:tmpl w:val="AE16F19E"/>
    <w:lvl w:ilvl="0" w:tplc="267856B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9F4644"/>
    <w:multiLevelType w:val="hybridMultilevel"/>
    <w:tmpl w:val="1ADA9AD2"/>
    <w:lvl w:ilvl="0" w:tplc="A6F2147C">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9D59FC"/>
    <w:multiLevelType w:val="multilevel"/>
    <w:tmpl w:val="9A5E70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FF630F4"/>
    <w:multiLevelType w:val="hybridMultilevel"/>
    <w:tmpl w:val="6D06F994"/>
    <w:lvl w:ilvl="0" w:tplc="3A1CB5AA">
      <w:start w:val="1"/>
      <w:numFmt w:val="bullet"/>
      <w:lvlText w:val=""/>
      <w:lvlJc w:val="left"/>
      <w:pPr>
        <w:tabs>
          <w:tab w:val="num" w:pos="720"/>
        </w:tabs>
        <w:ind w:left="720" w:hanging="360"/>
      </w:pPr>
      <w:rPr>
        <w:rFonts w:ascii="Wingdings 2" w:hAnsi="Wingdings 2" w:cs="Wingdings 2" w:hint="default"/>
      </w:rPr>
    </w:lvl>
    <w:lvl w:ilvl="1" w:tplc="DF381940" w:tentative="1">
      <w:start w:val="1"/>
      <w:numFmt w:val="bullet"/>
      <w:lvlText w:val=""/>
      <w:lvlJc w:val="left"/>
      <w:pPr>
        <w:tabs>
          <w:tab w:val="num" w:pos="1440"/>
        </w:tabs>
        <w:ind w:left="1440" w:hanging="360"/>
      </w:pPr>
      <w:rPr>
        <w:rFonts w:ascii="Wingdings 2" w:hAnsi="Wingdings 2" w:cs="Wingdings 2" w:hint="default"/>
      </w:rPr>
    </w:lvl>
    <w:lvl w:ilvl="2" w:tplc="0C02E4D4" w:tentative="1">
      <w:start w:val="1"/>
      <w:numFmt w:val="bullet"/>
      <w:lvlText w:val=""/>
      <w:lvlJc w:val="left"/>
      <w:pPr>
        <w:tabs>
          <w:tab w:val="num" w:pos="2160"/>
        </w:tabs>
        <w:ind w:left="2160" w:hanging="360"/>
      </w:pPr>
      <w:rPr>
        <w:rFonts w:ascii="Wingdings 2" w:hAnsi="Wingdings 2" w:cs="Wingdings 2" w:hint="default"/>
      </w:rPr>
    </w:lvl>
    <w:lvl w:ilvl="3" w:tplc="2CC6F650" w:tentative="1">
      <w:start w:val="1"/>
      <w:numFmt w:val="bullet"/>
      <w:lvlText w:val=""/>
      <w:lvlJc w:val="left"/>
      <w:pPr>
        <w:tabs>
          <w:tab w:val="num" w:pos="2880"/>
        </w:tabs>
        <w:ind w:left="2880" w:hanging="360"/>
      </w:pPr>
      <w:rPr>
        <w:rFonts w:ascii="Wingdings 2" w:hAnsi="Wingdings 2" w:cs="Wingdings 2" w:hint="default"/>
      </w:rPr>
    </w:lvl>
    <w:lvl w:ilvl="4" w:tplc="F792651A" w:tentative="1">
      <w:start w:val="1"/>
      <w:numFmt w:val="bullet"/>
      <w:lvlText w:val=""/>
      <w:lvlJc w:val="left"/>
      <w:pPr>
        <w:tabs>
          <w:tab w:val="num" w:pos="3600"/>
        </w:tabs>
        <w:ind w:left="3600" w:hanging="360"/>
      </w:pPr>
      <w:rPr>
        <w:rFonts w:ascii="Wingdings 2" w:hAnsi="Wingdings 2" w:cs="Wingdings 2" w:hint="default"/>
      </w:rPr>
    </w:lvl>
    <w:lvl w:ilvl="5" w:tplc="F97CABE0" w:tentative="1">
      <w:start w:val="1"/>
      <w:numFmt w:val="bullet"/>
      <w:lvlText w:val=""/>
      <w:lvlJc w:val="left"/>
      <w:pPr>
        <w:tabs>
          <w:tab w:val="num" w:pos="4320"/>
        </w:tabs>
        <w:ind w:left="4320" w:hanging="360"/>
      </w:pPr>
      <w:rPr>
        <w:rFonts w:ascii="Wingdings 2" w:hAnsi="Wingdings 2" w:cs="Wingdings 2" w:hint="default"/>
      </w:rPr>
    </w:lvl>
    <w:lvl w:ilvl="6" w:tplc="477A60F8" w:tentative="1">
      <w:start w:val="1"/>
      <w:numFmt w:val="bullet"/>
      <w:lvlText w:val=""/>
      <w:lvlJc w:val="left"/>
      <w:pPr>
        <w:tabs>
          <w:tab w:val="num" w:pos="5040"/>
        </w:tabs>
        <w:ind w:left="5040" w:hanging="360"/>
      </w:pPr>
      <w:rPr>
        <w:rFonts w:ascii="Wingdings 2" w:hAnsi="Wingdings 2" w:cs="Wingdings 2" w:hint="default"/>
      </w:rPr>
    </w:lvl>
    <w:lvl w:ilvl="7" w:tplc="702A5866" w:tentative="1">
      <w:start w:val="1"/>
      <w:numFmt w:val="bullet"/>
      <w:lvlText w:val=""/>
      <w:lvlJc w:val="left"/>
      <w:pPr>
        <w:tabs>
          <w:tab w:val="num" w:pos="5760"/>
        </w:tabs>
        <w:ind w:left="5760" w:hanging="360"/>
      </w:pPr>
      <w:rPr>
        <w:rFonts w:ascii="Wingdings 2" w:hAnsi="Wingdings 2" w:cs="Wingdings 2" w:hint="default"/>
      </w:rPr>
    </w:lvl>
    <w:lvl w:ilvl="8" w:tplc="93CC7F5E" w:tentative="1">
      <w:start w:val="1"/>
      <w:numFmt w:val="bullet"/>
      <w:lvlText w:val=""/>
      <w:lvlJc w:val="left"/>
      <w:pPr>
        <w:tabs>
          <w:tab w:val="num" w:pos="6480"/>
        </w:tabs>
        <w:ind w:left="6480" w:hanging="360"/>
      </w:pPr>
      <w:rPr>
        <w:rFonts w:ascii="Wingdings 2" w:hAnsi="Wingdings 2" w:cs="Wingdings 2" w:hint="default"/>
      </w:rPr>
    </w:lvl>
  </w:abstractNum>
  <w:abstractNum w:abstractNumId="15" w15:restartNumberingAfterBreak="0">
    <w:nsid w:val="61B05FEB"/>
    <w:multiLevelType w:val="hybridMultilevel"/>
    <w:tmpl w:val="F5240AD4"/>
    <w:lvl w:ilvl="0" w:tplc="1409000F">
      <w:start w:val="1"/>
      <w:numFmt w:val="decimal"/>
      <w:lvlText w:val="%1."/>
      <w:lvlJc w:val="left"/>
      <w:pPr>
        <w:ind w:left="1152" w:hanging="360"/>
      </w:pPr>
    </w:lvl>
    <w:lvl w:ilvl="1" w:tplc="14090019" w:tentative="1">
      <w:start w:val="1"/>
      <w:numFmt w:val="lowerLetter"/>
      <w:lvlText w:val="%2."/>
      <w:lvlJc w:val="left"/>
      <w:pPr>
        <w:ind w:left="1872" w:hanging="360"/>
      </w:pPr>
    </w:lvl>
    <w:lvl w:ilvl="2" w:tplc="1409001B" w:tentative="1">
      <w:start w:val="1"/>
      <w:numFmt w:val="lowerRoman"/>
      <w:lvlText w:val="%3."/>
      <w:lvlJc w:val="right"/>
      <w:pPr>
        <w:ind w:left="2592" w:hanging="180"/>
      </w:pPr>
    </w:lvl>
    <w:lvl w:ilvl="3" w:tplc="1409000F" w:tentative="1">
      <w:start w:val="1"/>
      <w:numFmt w:val="decimal"/>
      <w:lvlText w:val="%4."/>
      <w:lvlJc w:val="left"/>
      <w:pPr>
        <w:ind w:left="3312" w:hanging="360"/>
      </w:pPr>
    </w:lvl>
    <w:lvl w:ilvl="4" w:tplc="14090019" w:tentative="1">
      <w:start w:val="1"/>
      <w:numFmt w:val="lowerLetter"/>
      <w:lvlText w:val="%5."/>
      <w:lvlJc w:val="left"/>
      <w:pPr>
        <w:ind w:left="4032" w:hanging="360"/>
      </w:pPr>
    </w:lvl>
    <w:lvl w:ilvl="5" w:tplc="1409001B" w:tentative="1">
      <w:start w:val="1"/>
      <w:numFmt w:val="lowerRoman"/>
      <w:lvlText w:val="%6."/>
      <w:lvlJc w:val="right"/>
      <w:pPr>
        <w:ind w:left="4752" w:hanging="180"/>
      </w:pPr>
    </w:lvl>
    <w:lvl w:ilvl="6" w:tplc="1409000F" w:tentative="1">
      <w:start w:val="1"/>
      <w:numFmt w:val="decimal"/>
      <w:lvlText w:val="%7."/>
      <w:lvlJc w:val="left"/>
      <w:pPr>
        <w:ind w:left="5472" w:hanging="360"/>
      </w:pPr>
    </w:lvl>
    <w:lvl w:ilvl="7" w:tplc="14090019" w:tentative="1">
      <w:start w:val="1"/>
      <w:numFmt w:val="lowerLetter"/>
      <w:lvlText w:val="%8."/>
      <w:lvlJc w:val="left"/>
      <w:pPr>
        <w:ind w:left="6192" w:hanging="360"/>
      </w:pPr>
    </w:lvl>
    <w:lvl w:ilvl="8" w:tplc="1409001B" w:tentative="1">
      <w:start w:val="1"/>
      <w:numFmt w:val="lowerRoman"/>
      <w:lvlText w:val="%9."/>
      <w:lvlJc w:val="right"/>
      <w:pPr>
        <w:ind w:left="6912" w:hanging="180"/>
      </w:pPr>
    </w:lvl>
  </w:abstractNum>
  <w:num w:numId="1" w16cid:durableId="2035693073">
    <w:abstractNumId w:val="0"/>
  </w:num>
  <w:num w:numId="2" w16cid:durableId="649556795">
    <w:abstractNumId w:val="0"/>
  </w:num>
  <w:num w:numId="3" w16cid:durableId="170144209">
    <w:abstractNumId w:val="0"/>
  </w:num>
  <w:num w:numId="4" w16cid:durableId="818613704">
    <w:abstractNumId w:val="0"/>
  </w:num>
  <w:num w:numId="5" w16cid:durableId="1378166954">
    <w:abstractNumId w:val="0"/>
  </w:num>
  <w:num w:numId="6" w16cid:durableId="1605964147">
    <w:abstractNumId w:val="0"/>
  </w:num>
  <w:num w:numId="7" w16cid:durableId="1854950160">
    <w:abstractNumId w:val="0"/>
  </w:num>
  <w:num w:numId="8" w16cid:durableId="586889099">
    <w:abstractNumId w:val="0"/>
  </w:num>
  <w:num w:numId="9" w16cid:durableId="953512811">
    <w:abstractNumId w:val="0"/>
  </w:num>
  <w:num w:numId="10" w16cid:durableId="1685400217">
    <w:abstractNumId w:val="0"/>
  </w:num>
  <w:num w:numId="11" w16cid:durableId="1602569941">
    <w:abstractNumId w:val="0"/>
  </w:num>
  <w:num w:numId="12" w16cid:durableId="2037465289">
    <w:abstractNumId w:val="0"/>
  </w:num>
  <w:num w:numId="13" w16cid:durableId="1767261544">
    <w:abstractNumId w:val="0"/>
  </w:num>
  <w:num w:numId="14" w16cid:durableId="140463263">
    <w:abstractNumId w:val="0"/>
  </w:num>
  <w:num w:numId="15" w16cid:durableId="1679886320">
    <w:abstractNumId w:val="0"/>
  </w:num>
  <w:num w:numId="16" w16cid:durableId="399451694">
    <w:abstractNumId w:val="0"/>
  </w:num>
  <w:num w:numId="17" w16cid:durableId="929435636">
    <w:abstractNumId w:val="0"/>
  </w:num>
  <w:num w:numId="18" w16cid:durableId="493572646">
    <w:abstractNumId w:val="0"/>
  </w:num>
  <w:num w:numId="19" w16cid:durableId="1426728707">
    <w:abstractNumId w:val="0"/>
  </w:num>
  <w:num w:numId="20" w16cid:durableId="1407068078">
    <w:abstractNumId w:val="0"/>
  </w:num>
  <w:num w:numId="21" w16cid:durableId="1161122006">
    <w:abstractNumId w:val="4"/>
  </w:num>
  <w:num w:numId="22" w16cid:durableId="844325527">
    <w:abstractNumId w:val="14"/>
  </w:num>
  <w:num w:numId="23" w16cid:durableId="176963775">
    <w:abstractNumId w:val="5"/>
  </w:num>
  <w:num w:numId="24" w16cid:durableId="1422600481">
    <w:abstractNumId w:val="11"/>
  </w:num>
  <w:num w:numId="25" w16cid:durableId="1812863756">
    <w:abstractNumId w:val="3"/>
  </w:num>
  <w:num w:numId="26" w16cid:durableId="223563374">
    <w:abstractNumId w:val="12"/>
  </w:num>
  <w:num w:numId="27" w16cid:durableId="1228881051">
    <w:abstractNumId w:val="6"/>
  </w:num>
  <w:num w:numId="28" w16cid:durableId="1949459038">
    <w:abstractNumId w:val="10"/>
  </w:num>
  <w:num w:numId="29" w16cid:durableId="1397433941">
    <w:abstractNumId w:val="13"/>
  </w:num>
  <w:num w:numId="30" w16cid:durableId="1143888469">
    <w:abstractNumId w:val="9"/>
  </w:num>
  <w:num w:numId="31" w16cid:durableId="1144617931">
    <w:abstractNumId w:val="7"/>
  </w:num>
  <w:num w:numId="32" w16cid:durableId="1902209353">
    <w:abstractNumId w:val="8"/>
  </w:num>
  <w:num w:numId="33" w16cid:durableId="1932811220">
    <w:abstractNumId w:val="2"/>
  </w:num>
  <w:num w:numId="34" w16cid:durableId="182666727">
    <w:abstractNumId w:val="1"/>
  </w:num>
  <w:num w:numId="35" w16cid:durableId="1872843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AU" w:vendorID="64" w:dllVersion="6" w:nlCheck="1" w:checkStyle="1"/>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en-AU"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n-NZ" w:vendorID="64" w:dllVersion="6" w:nlCheck="1" w:checkStyle="1"/>
  <w:activeWritingStyle w:appName="MSWord" w:lang="fr-FR" w:vendorID="64" w:dllVersion="6" w:nlCheck="1" w:checkStyle="0"/>
  <w:activeWritingStyle w:appName="MSWord" w:lang="es-ES" w:vendorID="64" w:dllVersion="6" w:nlCheck="1" w:checkStyle="0"/>
  <w:activeWritingStyle w:appName="MSWord" w:lang="en-NZ"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NZ" w:vendorID="64" w:dllVersion="4096" w:nlCheck="1" w:checkStyle="0"/>
  <w:activeWritingStyle w:appName="MSWord" w:lang="es-ES" w:vendorID="64" w:dllVersion="0" w:nlCheck="1" w:checkStyle="0"/>
  <w:activeWritingStyle w:appName="MSWord" w:lang="it-IT" w:vendorID="64" w:dllVersion="0" w:nlCheck="1" w:checkStyle="0"/>
  <w:activeWritingStyle w:appName="MSWord" w:lang="nl-NL" w:vendorID="64" w:dllVersion="0" w:nlCheck="1" w:checkStyle="0"/>
  <w:activeWritingStyle w:appName="MSWord" w:lang="en-US" w:vendorID="2" w:dllVersion="6" w:checkStyle="1"/>
  <w:activeWritingStyle w:appName="MSWord" w:lang="nl-NL" w:vendorID="1" w:dllVersion="512" w:checkStyle="1"/>
  <w:activeWritingStyle w:appName="MSWord" w:lang="it-IT" w:vendorID="3" w:dllVersion="517" w:checkStyle="1"/>
  <w:activeWritingStyle w:appName="MSWord" w:lang="en-AU" w:vendorID="2" w:dllVersion="6"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MwNzY0NzO0NDE0tDRU0lEKTi0uzszPAykwqwUA/KgHTywAAAA="/>
  </w:docVars>
  <w:rsids>
    <w:rsidRoot w:val="009468A7"/>
    <w:rsid w:val="0000013B"/>
    <w:rsid w:val="0000030E"/>
    <w:rsid w:val="00000A87"/>
    <w:rsid w:val="00000DC5"/>
    <w:rsid w:val="00000EDD"/>
    <w:rsid w:val="00000FD6"/>
    <w:rsid w:val="00001004"/>
    <w:rsid w:val="000011E3"/>
    <w:rsid w:val="000012CB"/>
    <w:rsid w:val="000014BB"/>
    <w:rsid w:val="000017B0"/>
    <w:rsid w:val="00001858"/>
    <w:rsid w:val="0000190F"/>
    <w:rsid w:val="00001C07"/>
    <w:rsid w:val="00001EC3"/>
    <w:rsid w:val="00001F00"/>
    <w:rsid w:val="00001FCE"/>
    <w:rsid w:val="0000221C"/>
    <w:rsid w:val="00002405"/>
    <w:rsid w:val="000029FA"/>
    <w:rsid w:val="00003179"/>
    <w:rsid w:val="000031EF"/>
    <w:rsid w:val="0000397E"/>
    <w:rsid w:val="0000399B"/>
    <w:rsid w:val="00003AAF"/>
    <w:rsid w:val="00003BA3"/>
    <w:rsid w:val="00003ED8"/>
    <w:rsid w:val="00003FBA"/>
    <w:rsid w:val="0000419A"/>
    <w:rsid w:val="0000439E"/>
    <w:rsid w:val="00004520"/>
    <w:rsid w:val="0000469C"/>
    <w:rsid w:val="00004B34"/>
    <w:rsid w:val="00004D01"/>
    <w:rsid w:val="00005056"/>
    <w:rsid w:val="000050B7"/>
    <w:rsid w:val="00005670"/>
    <w:rsid w:val="00005A1F"/>
    <w:rsid w:val="000067AB"/>
    <w:rsid w:val="000068B8"/>
    <w:rsid w:val="00006A44"/>
    <w:rsid w:val="00006B56"/>
    <w:rsid w:val="00006EE8"/>
    <w:rsid w:val="00006F60"/>
    <w:rsid w:val="0000721F"/>
    <w:rsid w:val="00007578"/>
    <w:rsid w:val="00007AE2"/>
    <w:rsid w:val="00007F37"/>
    <w:rsid w:val="000106AA"/>
    <w:rsid w:val="000109F7"/>
    <w:rsid w:val="00010BB7"/>
    <w:rsid w:val="00011172"/>
    <w:rsid w:val="000111E2"/>
    <w:rsid w:val="00011275"/>
    <w:rsid w:val="00011333"/>
    <w:rsid w:val="00011A25"/>
    <w:rsid w:val="00011E82"/>
    <w:rsid w:val="00012BB3"/>
    <w:rsid w:val="00012C13"/>
    <w:rsid w:val="00012F55"/>
    <w:rsid w:val="0001301F"/>
    <w:rsid w:val="00013320"/>
    <w:rsid w:val="000135D4"/>
    <w:rsid w:val="00013618"/>
    <w:rsid w:val="00013D83"/>
    <w:rsid w:val="00014338"/>
    <w:rsid w:val="00014613"/>
    <w:rsid w:val="000146D6"/>
    <w:rsid w:val="00014CFF"/>
    <w:rsid w:val="00015326"/>
    <w:rsid w:val="00015B39"/>
    <w:rsid w:val="00015CB7"/>
    <w:rsid w:val="0001626F"/>
    <w:rsid w:val="000163BA"/>
    <w:rsid w:val="00016A50"/>
    <w:rsid w:val="00016B60"/>
    <w:rsid w:val="00016B7F"/>
    <w:rsid w:val="00016BD7"/>
    <w:rsid w:val="00016E02"/>
    <w:rsid w:val="00016E7D"/>
    <w:rsid w:val="000175E7"/>
    <w:rsid w:val="00017B30"/>
    <w:rsid w:val="00017D40"/>
    <w:rsid w:val="00017EAA"/>
    <w:rsid w:val="00020504"/>
    <w:rsid w:val="000205DC"/>
    <w:rsid w:val="000209C5"/>
    <w:rsid w:val="00020DE7"/>
    <w:rsid w:val="000210AE"/>
    <w:rsid w:val="000216F7"/>
    <w:rsid w:val="0002170D"/>
    <w:rsid w:val="0002193D"/>
    <w:rsid w:val="00021BC6"/>
    <w:rsid w:val="00022277"/>
    <w:rsid w:val="000226A1"/>
    <w:rsid w:val="000229CE"/>
    <w:rsid w:val="00022A6A"/>
    <w:rsid w:val="0002326D"/>
    <w:rsid w:val="00023997"/>
    <w:rsid w:val="00023E38"/>
    <w:rsid w:val="000241CD"/>
    <w:rsid w:val="000243A2"/>
    <w:rsid w:val="0002443F"/>
    <w:rsid w:val="00024541"/>
    <w:rsid w:val="00024629"/>
    <w:rsid w:val="00024B82"/>
    <w:rsid w:val="00025053"/>
    <w:rsid w:val="00025488"/>
    <w:rsid w:val="00025AB8"/>
    <w:rsid w:val="00025BF9"/>
    <w:rsid w:val="00025E4A"/>
    <w:rsid w:val="00025F9E"/>
    <w:rsid w:val="00026220"/>
    <w:rsid w:val="0002658C"/>
    <w:rsid w:val="0002672A"/>
    <w:rsid w:val="00027097"/>
    <w:rsid w:val="0002777B"/>
    <w:rsid w:val="00027B52"/>
    <w:rsid w:val="00027DAC"/>
    <w:rsid w:val="0003020E"/>
    <w:rsid w:val="00030630"/>
    <w:rsid w:val="00030676"/>
    <w:rsid w:val="00030785"/>
    <w:rsid w:val="000309B4"/>
    <w:rsid w:val="00030FC6"/>
    <w:rsid w:val="00031737"/>
    <w:rsid w:val="000319D4"/>
    <w:rsid w:val="00031DF5"/>
    <w:rsid w:val="000322E9"/>
    <w:rsid w:val="0003262E"/>
    <w:rsid w:val="00032672"/>
    <w:rsid w:val="00032A8E"/>
    <w:rsid w:val="00033F1E"/>
    <w:rsid w:val="000345EF"/>
    <w:rsid w:val="00034684"/>
    <w:rsid w:val="00034732"/>
    <w:rsid w:val="00034871"/>
    <w:rsid w:val="00034B74"/>
    <w:rsid w:val="00034C21"/>
    <w:rsid w:val="00034C44"/>
    <w:rsid w:val="00034ECF"/>
    <w:rsid w:val="000350EE"/>
    <w:rsid w:val="00035427"/>
    <w:rsid w:val="00035BDC"/>
    <w:rsid w:val="00036375"/>
    <w:rsid w:val="00036376"/>
    <w:rsid w:val="00036EC5"/>
    <w:rsid w:val="00036ED3"/>
    <w:rsid w:val="00037052"/>
    <w:rsid w:val="000373CA"/>
    <w:rsid w:val="00037722"/>
    <w:rsid w:val="00037943"/>
    <w:rsid w:val="00037B15"/>
    <w:rsid w:val="00037D6A"/>
    <w:rsid w:val="00037EA4"/>
    <w:rsid w:val="00037F73"/>
    <w:rsid w:val="00037F78"/>
    <w:rsid w:val="00040040"/>
    <w:rsid w:val="00040167"/>
    <w:rsid w:val="00040311"/>
    <w:rsid w:val="00040708"/>
    <w:rsid w:val="00040CBE"/>
    <w:rsid w:val="0004126A"/>
    <w:rsid w:val="00041866"/>
    <w:rsid w:val="00041E97"/>
    <w:rsid w:val="00042B7F"/>
    <w:rsid w:val="00042F23"/>
    <w:rsid w:val="00043BA4"/>
    <w:rsid w:val="000447B8"/>
    <w:rsid w:val="000449F0"/>
    <w:rsid w:val="00044B3A"/>
    <w:rsid w:val="000452D4"/>
    <w:rsid w:val="000457B8"/>
    <w:rsid w:val="000459C7"/>
    <w:rsid w:val="000461A2"/>
    <w:rsid w:val="00046255"/>
    <w:rsid w:val="000462C1"/>
    <w:rsid w:val="000467FD"/>
    <w:rsid w:val="000469E3"/>
    <w:rsid w:val="00046C74"/>
    <w:rsid w:val="00046DD8"/>
    <w:rsid w:val="00046E88"/>
    <w:rsid w:val="00046F0F"/>
    <w:rsid w:val="000475FA"/>
    <w:rsid w:val="00047806"/>
    <w:rsid w:val="00047C86"/>
    <w:rsid w:val="00047D92"/>
    <w:rsid w:val="000505E7"/>
    <w:rsid w:val="00050AA2"/>
    <w:rsid w:val="00050B8E"/>
    <w:rsid w:val="00050C2A"/>
    <w:rsid w:val="00050C8C"/>
    <w:rsid w:val="00050E85"/>
    <w:rsid w:val="00051443"/>
    <w:rsid w:val="000516C1"/>
    <w:rsid w:val="00051962"/>
    <w:rsid w:val="00051D64"/>
    <w:rsid w:val="000520BC"/>
    <w:rsid w:val="00052A3E"/>
    <w:rsid w:val="00052CBD"/>
    <w:rsid w:val="0005347C"/>
    <w:rsid w:val="0005383F"/>
    <w:rsid w:val="0005400B"/>
    <w:rsid w:val="000542C3"/>
    <w:rsid w:val="0005430B"/>
    <w:rsid w:val="000547F3"/>
    <w:rsid w:val="000548AA"/>
    <w:rsid w:val="00054AB5"/>
    <w:rsid w:val="00054DA8"/>
    <w:rsid w:val="00054DF1"/>
    <w:rsid w:val="00054E24"/>
    <w:rsid w:val="000551D6"/>
    <w:rsid w:val="00055534"/>
    <w:rsid w:val="00055620"/>
    <w:rsid w:val="00055877"/>
    <w:rsid w:val="00055B7C"/>
    <w:rsid w:val="00055D10"/>
    <w:rsid w:val="000564EE"/>
    <w:rsid w:val="00056773"/>
    <w:rsid w:val="00057296"/>
    <w:rsid w:val="000574B5"/>
    <w:rsid w:val="000577CD"/>
    <w:rsid w:val="0005785C"/>
    <w:rsid w:val="000579B6"/>
    <w:rsid w:val="00057C17"/>
    <w:rsid w:val="00060E86"/>
    <w:rsid w:val="00060FFB"/>
    <w:rsid w:val="000610DA"/>
    <w:rsid w:val="000611A5"/>
    <w:rsid w:val="00061810"/>
    <w:rsid w:val="00061D40"/>
    <w:rsid w:val="000625C2"/>
    <w:rsid w:val="00062EDE"/>
    <w:rsid w:val="000634C8"/>
    <w:rsid w:val="000648EC"/>
    <w:rsid w:val="00064A55"/>
    <w:rsid w:val="00064B88"/>
    <w:rsid w:val="000658EB"/>
    <w:rsid w:val="000658F3"/>
    <w:rsid w:val="00065952"/>
    <w:rsid w:val="00065E36"/>
    <w:rsid w:val="0006656A"/>
    <w:rsid w:val="000668AD"/>
    <w:rsid w:val="000669FB"/>
    <w:rsid w:val="00066B49"/>
    <w:rsid w:val="00066FBC"/>
    <w:rsid w:val="00067144"/>
    <w:rsid w:val="0006797B"/>
    <w:rsid w:val="000702A2"/>
    <w:rsid w:val="00070630"/>
    <w:rsid w:val="0007078E"/>
    <w:rsid w:val="000707C8"/>
    <w:rsid w:val="00070973"/>
    <w:rsid w:val="000709E3"/>
    <w:rsid w:val="00070F2E"/>
    <w:rsid w:val="00071B38"/>
    <w:rsid w:val="00071F62"/>
    <w:rsid w:val="00072217"/>
    <w:rsid w:val="000726F9"/>
    <w:rsid w:val="00072E9E"/>
    <w:rsid w:val="00072EE1"/>
    <w:rsid w:val="0007335C"/>
    <w:rsid w:val="000737A1"/>
    <w:rsid w:val="00073FA6"/>
    <w:rsid w:val="00074237"/>
    <w:rsid w:val="0007470D"/>
    <w:rsid w:val="000749C5"/>
    <w:rsid w:val="00074CEA"/>
    <w:rsid w:val="000752F6"/>
    <w:rsid w:val="000753F1"/>
    <w:rsid w:val="000754CC"/>
    <w:rsid w:val="00075568"/>
    <w:rsid w:val="00075993"/>
    <w:rsid w:val="00075B07"/>
    <w:rsid w:val="00075D7E"/>
    <w:rsid w:val="00075F3F"/>
    <w:rsid w:val="00076482"/>
    <w:rsid w:val="00076590"/>
    <w:rsid w:val="000767F7"/>
    <w:rsid w:val="00076A89"/>
    <w:rsid w:val="00076EB7"/>
    <w:rsid w:val="00077202"/>
    <w:rsid w:val="0007737A"/>
    <w:rsid w:val="0007746A"/>
    <w:rsid w:val="00077B76"/>
    <w:rsid w:val="000801DA"/>
    <w:rsid w:val="00080781"/>
    <w:rsid w:val="000807E5"/>
    <w:rsid w:val="000809DF"/>
    <w:rsid w:val="00081655"/>
    <w:rsid w:val="00081705"/>
    <w:rsid w:val="0008208C"/>
    <w:rsid w:val="00082340"/>
    <w:rsid w:val="00082735"/>
    <w:rsid w:val="00083201"/>
    <w:rsid w:val="0008351F"/>
    <w:rsid w:val="00083A9C"/>
    <w:rsid w:val="00084322"/>
    <w:rsid w:val="00084945"/>
    <w:rsid w:val="00085B66"/>
    <w:rsid w:val="00085DB1"/>
    <w:rsid w:val="000860BA"/>
    <w:rsid w:val="000867D1"/>
    <w:rsid w:val="000872C3"/>
    <w:rsid w:val="000872F3"/>
    <w:rsid w:val="00087819"/>
    <w:rsid w:val="00087C82"/>
    <w:rsid w:val="0009027C"/>
    <w:rsid w:val="00090368"/>
    <w:rsid w:val="000906A9"/>
    <w:rsid w:val="000911C8"/>
    <w:rsid w:val="000912EC"/>
    <w:rsid w:val="00091926"/>
    <w:rsid w:val="00091D4B"/>
    <w:rsid w:val="00091F11"/>
    <w:rsid w:val="000924C6"/>
    <w:rsid w:val="00092871"/>
    <w:rsid w:val="000928B5"/>
    <w:rsid w:val="00093206"/>
    <w:rsid w:val="000932A9"/>
    <w:rsid w:val="00093580"/>
    <w:rsid w:val="00093E3D"/>
    <w:rsid w:val="00093F30"/>
    <w:rsid w:val="0009441E"/>
    <w:rsid w:val="0009489B"/>
    <w:rsid w:val="00094B8F"/>
    <w:rsid w:val="00094D18"/>
    <w:rsid w:val="00094F09"/>
    <w:rsid w:val="00094F53"/>
    <w:rsid w:val="00095C45"/>
    <w:rsid w:val="00095DED"/>
    <w:rsid w:val="000960A4"/>
    <w:rsid w:val="00096784"/>
    <w:rsid w:val="00096A4A"/>
    <w:rsid w:val="00096D45"/>
    <w:rsid w:val="00096E6F"/>
    <w:rsid w:val="000979A5"/>
    <w:rsid w:val="00097CB5"/>
    <w:rsid w:val="000A040C"/>
    <w:rsid w:val="000A0B06"/>
    <w:rsid w:val="000A10B0"/>
    <w:rsid w:val="000A178B"/>
    <w:rsid w:val="000A181B"/>
    <w:rsid w:val="000A1F6A"/>
    <w:rsid w:val="000A21AD"/>
    <w:rsid w:val="000A2314"/>
    <w:rsid w:val="000A28C8"/>
    <w:rsid w:val="000A2B25"/>
    <w:rsid w:val="000A3067"/>
    <w:rsid w:val="000A30B3"/>
    <w:rsid w:val="000A336F"/>
    <w:rsid w:val="000A38F1"/>
    <w:rsid w:val="000A395D"/>
    <w:rsid w:val="000A45DD"/>
    <w:rsid w:val="000A478F"/>
    <w:rsid w:val="000A4CE3"/>
    <w:rsid w:val="000A4EC1"/>
    <w:rsid w:val="000A4F6C"/>
    <w:rsid w:val="000A54C7"/>
    <w:rsid w:val="000A585B"/>
    <w:rsid w:val="000A596D"/>
    <w:rsid w:val="000A5999"/>
    <w:rsid w:val="000A5C4B"/>
    <w:rsid w:val="000A64FD"/>
    <w:rsid w:val="000A704F"/>
    <w:rsid w:val="000A720F"/>
    <w:rsid w:val="000A7313"/>
    <w:rsid w:val="000A7628"/>
    <w:rsid w:val="000A78B5"/>
    <w:rsid w:val="000A7975"/>
    <w:rsid w:val="000A7DE5"/>
    <w:rsid w:val="000B0407"/>
    <w:rsid w:val="000B044A"/>
    <w:rsid w:val="000B0620"/>
    <w:rsid w:val="000B0A73"/>
    <w:rsid w:val="000B0ACD"/>
    <w:rsid w:val="000B12D9"/>
    <w:rsid w:val="000B1895"/>
    <w:rsid w:val="000B1B1C"/>
    <w:rsid w:val="000B1BE2"/>
    <w:rsid w:val="000B23FE"/>
    <w:rsid w:val="000B2740"/>
    <w:rsid w:val="000B2964"/>
    <w:rsid w:val="000B2EE4"/>
    <w:rsid w:val="000B2FF1"/>
    <w:rsid w:val="000B3571"/>
    <w:rsid w:val="000B37F5"/>
    <w:rsid w:val="000B3B44"/>
    <w:rsid w:val="000B3E0C"/>
    <w:rsid w:val="000B4033"/>
    <w:rsid w:val="000B41A5"/>
    <w:rsid w:val="000B45CB"/>
    <w:rsid w:val="000B46E5"/>
    <w:rsid w:val="000B4BD2"/>
    <w:rsid w:val="000B4E4F"/>
    <w:rsid w:val="000B51AD"/>
    <w:rsid w:val="000B51BF"/>
    <w:rsid w:val="000B5631"/>
    <w:rsid w:val="000B58DB"/>
    <w:rsid w:val="000B5901"/>
    <w:rsid w:val="000B596F"/>
    <w:rsid w:val="000B63C8"/>
    <w:rsid w:val="000B70B7"/>
    <w:rsid w:val="000B714F"/>
    <w:rsid w:val="000B753A"/>
    <w:rsid w:val="000B775E"/>
    <w:rsid w:val="000B7973"/>
    <w:rsid w:val="000B7BA2"/>
    <w:rsid w:val="000B7D1B"/>
    <w:rsid w:val="000C07A3"/>
    <w:rsid w:val="000C0902"/>
    <w:rsid w:val="000C09CF"/>
    <w:rsid w:val="000C0A6A"/>
    <w:rsid w:val="000C13F1"/>
    <w:rsid w:val="000C1592"/>
    <w:rsid w:val="000C17F6"/>
    <w:rsid w:val="000C1955"/>
    <w:rsid w:val="000C1B20"/>
    <w:rsid w:val="000C208E"/>
    <w:rsid w:val="000C221A"/>
    <w:rsid w:val="000C3016"/>
    <w:rsid w:val="000C325B"/>
    <w:rsid w:val="000C3F40"/>
    <w:rsid w:val="000C4231"/>
    <w:rsid w:val="000C4356"/>
    <w:rsid w:val="000C456E"/>
    <w:rsid w:val="000C4915"/>
    <w:rsid w:val="000C4B58"/>
    <w:rsid w:val="000C584E"/>
    <w:rsid w:val="000C5BD2"/>
    <w:rsid w:val="000C5D35"/>
    <w:rsid w:val="000C619F"/>
    <w:rsid w:val="000C663D"/>
    <w:rsid w:val="000C668D"/>
    <w:rsid w:val="000C6794"/>
    <w:rsid w:val="000C6AE7"/>
    <w:rsid w:val="000C71CC"/>
    <w:rsid w:val="000C7463"/>
    <w:rsid w:val="000C77CA"/>
    <w:rsid w:val="000C7B15"/>
    <w:rsid w:val="000C7CBB"/>
    <w:rsid w:val="000C7E17"/>
    <w:rsid w:val="000D0012"/>
    <w:rsid w:val="000D024A"/>
    <w:rsid w:val="000D04F2"/>
    <w:rsid w:val="000D0502"/>
    <w:rsid w:val="000D0548"/>
    <w:rsid w:val="000D1622"/>
    <w:rsid w:val="000D1D20"/>
    <w:rsid w:val="000D20D6"/>
    <w:rsid w:val="000D20F0"/>
    <w:rsid w:val="000D2405"/>
    <w:rsid w:val="000D29DC"/>
    <w:rsid w:val="000D3AB5"/>
    <w:rsid w:val="000D3D92"/>
    <w:rsid w:val="000D46A1"/>
    <w:rsid w:val="000D4A9C"/>
    <w:rsid w:val="000D4C0F"/>
    <w:rsid w:val="000D4C92"/>
    <w:rsid w:val="000D4E43"/>
    <w:rsid w:val="000D5950"/>
    <w:rsid w:val="000D5B78"/>
    <w:rsid w:val="000D6262"/>
    <w:rsid w:val="000D6367"/>
    <w:rsid w:val="000D68A2"/>
    <w:rsid w:val="000D6BC0"/>
    <w:rsid w:val="000D6CF9"/>
    <w:rsid w:val="000D6E09"/>
    <w:rsid w:val="000D731C"/>
    <w:rsid w:val="000D74C1"/>
    <w:rsid w:val="000D753A"/>
    <w:rsid w:val="000D76B4"/>
    <w:rsid w:val="000D773F"/>
    <w:rsid w:val="000D7B29"/>
    <w:rsid w:val="000D7C0F"/>
    <w:rsid w:val="000E0150"/>
    <w:rsid w:val="000E02F3"/>
    <w:rsid w:val="000E07CC"/>
    <w:rsid w:val="000E099C"/>
    <w:rsid w:val="000E0C26"/>
    <w:rsid w:val="000E0C72"/>
    <w:rsid w:val="000E1024"/>
    <w:rsid w:val="000E13BE"/>
    <w:rsid w:val="000E146F"/>
    <w:rsid w:val="000E1548"/>
    <w:rsid w:val="000E1D8C"/>
    <w:rsid w:val="000E23D8"/>
    <w:rsid w:val="000E25D0"/>
    <w:rsid w:val="000E25FF"/>
    <w:rsid w:val="000E2BBB"/>
    <w:rsid w:val="000E2FE5"/>
    <w:rsid w:val="000E310C"/>
    <w:rsid w:val="000E320A"/>
    <w:rsid w:val="000E3569"/>
    <w:rsid w:val="000E35DA"/>
    <w:rsid w:val="000E3783"/>
    <w:rsid w:val="000E3ACD"/>
    <w:rsid w:val="000E4553"/>
    <w:rsid w:val="000E463A"/>
    <w:rsid w:val="000E4A96"/>
    <w:rsid w:val="000E52DD"/>
    <w:rsid w:val="000E5349"/>
    <w:rsid w:val="000E53EC"/>
    <w:rsid w:val="000E5670"/>
    <w:rsid w:val="000E5920"/>
    <w:rsid w:val="000E5DF0"/>
    <w:rsid w:val="000E68F0"/>
    <w:rsid w:val="000E6BE6"/>
    <w:rsid w:val="000E6C8C"/>
    <w:rsid w:val="000E765A"/>
    <w:rsid w:val="000F0022"/>
    <w:rsid w:val="000F01F4"/>
    <w:rsid w:val="000F02F3"/>
    <w:rsid w:val="000F06EA"/>
    <w:rsid w:val="000F0E24"/>
    <w:rsid w:val="000F1090"/>
    <w:rsid w:val="000F115D"/>
    <w:rsid w:val="000F12AA"/>
    <w:rsid w:val="000F1431"/>
    <w:rsid w:val="000F16F5"/>
    <w:rsid w:val="000F1771"/>
    <w:rsid w:val="000F2187"/>
    <w:rsid w:val="000F23E6"/>
    <w:rsid w:val="000F25B8"/>
    <w:rsid w:val="000F26E0"/>
    <w:rsid w:val="000F2A6F"/>
    <w:rsid w:val="000F2ACC"/>
    <w:rsid w:val="000F2E11"/>
    <w:rsid w:val="000F2E1B"/>
    <w:rsid w:val="000F3179"/>
    <w:rsid w:val="000F37E0"/>
    <w:rsid w:val="000F3AD4"/>
    <w:rsid w:val="000F3CDC"/>
    <w:rsid w:val="000F3D6A"/>
    <w:rsid w:val="000F3F21"/>
    <w:rsid w:val="000F3F68"/>
    <w:rsid w:val="000F4164"/>
    <w:rsid w:val="000F4418"/>
    <w:rsid w:val="000F470E"/>
    <w:rsid w:val="000F4761"/>
    <w:rsid w:val="000F47B2"/>
    <w:rsid w:val="000F48AA"/>
    <w:rsid w:val="000F4A4F"/>
    <w:rsid w:val="000F4BC4"/>
    <w:rsid w:val="000F507E"/>
    <w:rsid w:val="000F510E"/>
    <w:rsid w:val="000F53BE"/>
    <w:rsid w:val="000F53C8"/>
    <w:rsid w:val="000F54C1"/>
    <w:rsid w:val="000F564E"/>
    <w:rsid w:val="000F59D1"/>
    <w:rsid w:val="000F5B95"/>
    <w:rsid w:val="000F5F27"/>
    <w:rsid w:val="000F6284"/>
    <w:rsid w:val="000F6950"/>
    <w:rsid w:val="000F6C10"/>
    <w:rsid w:val="000F6EEE"/>
    <w:rsid w:val="000F70CC"/>
    <w:rsid w:val="000F7397"/>
    <w:rsid w:val="000F74C8"/>
    <w:rsid w:val="000F77D9"/>
    <w:rsid w:val="000F7EC0"/>
    <w:rsid w:val="000F7F4E"/>
    <w:rsid w:val="000F7FC1"/>
    <w:rsid w:val="00100760"/>
    <w:rsid w:val="00100D71"/>
    <w:rsid w:val="0010118F"/>
    <w:rsid w:val="00101363"/>
    <w:rsid w:val="001013EF"/>
    <w:rsid w:val="0010160F"/>
    <w:rsid w:val="00101EAF"/>
    <w:rsid w:val="00102736"/>
    <w:rsid w:val="00102DD2"/>
    <w:rsid w:val="00102EB5"/>
    <w:rsid w:val="001033A6"/>
    <w:rsid w:val="00103578"/>
    <w:rsid w:val="00103C39"/>
    <w:rsid w:val="00103EBA"/>
    <w:rsid w:val="001047FC"/>
    <w:rsid w:val="00104EC0"/>
    <w:rsid w:val="001050D1"/>
    <w:rsid w:val="001051CF"/>
    <w:rsid w:val="00105697"/>
    <w:rsid w:val="0010594C"/>
    <w:rsid w:val="00106118"/>
    <w:rsid w:val="00106454"/>
    <w:rsid w:val="00106991"/>
    <w:rsid w:val="00106A1E"/>
    <w:rsid w:val="00106A1F"/>
    <w:rsid w:val="00106E00"/>
    <w:rsid w:val="00106E93"/>
    <w:rsid w:val="00107761"/>
    <w:rsid w:val="00107AC5"/>
    <w:rsid w:val="00107C32"/>
    <w:rsid w:val="001101F0"/>
    <w:rsid w:val="00110729"/>
    <w:rsid w:val="00110A54"/>
    <w:rsid w:val="00111102"/>
    <w:rsid w:val="0011141F"/>
    <w:rsid w:val="001116BA"/>
    <w:rsid w:val="001119B9"/>
    <w:rsid w:val="00111F06"/>
    <w:rsid w:val="00112018"/>
    <w:rsid w:val="001120AE"/>
    <w:rsid w:val="00112161"/>
    <w:rsid w:val="00112CD5"/>
    <w:rsid w:val="00112F4F"/>
    <w:rsid w:val="001131B4"/>
    <w:rsid w:val="001133E3"/>
    <w:rsid w:val="00113800"/>
    <w:rsid w:val="00113C8F"/>
    <w:rsid w:val="00113D65"/>
    <w:rsid w:val="00113FED"/>
    <w:rsid w:val="001140CF"/>
    <w:rsid w:val="00114646"/>
    <w:rsid w:val="00115229"/>
    <w:rsid w:val="0011538E"/>
    <w:rsid w:val="001156CF"/>
    <w:rsid w:val="001158C8"/>
    <w:rsid w:val="00115BCF"/>
    <w:rsid w:val="0011619B"/>
    <w:rsid w:val="0011659C"/>
    <w:rsid w:val="001169B6"/>
    <w:rsid w:val="00116AD9"/>
    <w:rsid w:val="00116E33"/>
    <w:rsid w:val="00116FDE"/>
    <w:rsid w:val="001172A4"/>
    <w:rsid w:val="00117412"/>
    <w:rsid w:val="00117525"/>
    <w:rsid w:val="001175F1"/>
    <w:rsid w:val="00117890"/>
    <w:rsid w:val="00117C29"/>
    <w:rsid w:val="001203A0"/>
    <w:rsid w:val="00120477"/>
    <w:rsid w:val="0012047D"/>
    <w:rsid w:val="00120BAD"/>
    <w:rsid w:val="00120C82"/>
    <w:rsid w:val="00120E44"/>
    <w:rsid w:val="00120FA5"/>
    <w:rsid w:val="0012160E"/>
    <w:rsid w:val="0012248D"/>
    <w:rsid w:val="00122712"/>
    <w:rsid w:val="001227B2"/>
    <w:rsid w:val="00122A9A"/>
    <w:rsid w:val="00122C7B"/>
    <w:rsid w:val="001231AC"/>
    <w:rsid w:val="001233A7"/>
    <w:rsid w:val="00123832"/>
    <w:rsid w:val="00123C11"/>
    <w:rsid w:val="00123D6E"/>
    <w:rsid w:val="00123E00"/>
    <w:rsid w:val="00124266"/>
    <w:rsid w:val="00124672"/>
    <w:rsid w:val="00124708"/>
    <w:rsid w:val="00124D75"/>
    <w:rsid w:val="001250BE"/>
    <w:rsid w:val="0012536E"/>
    <w:rsid w:val="001255FE"/>
    <w:rsid w:val="00125A69"/>
    <w:rsid w:val="00125B2B"/>
    <w:rsid w:val="00126042"/>
    <w:rsid w:val="001261F7"/>
    <w:rsid w:val="001263D8"/>
    <w:rsid w:val="00126425"/>
    <w:rsid w:val="001269D3"/>
    <w:rsid w:val="00126F85"/>
    <w:rsid w:val="00126FD5"/>
    <w:rsid w:val="0012701B"/>
    <w:rsid w:val="0012745B"/>
    <w:rsid w:val="0012776A"/>
    <w:rsid w:val="001300F5"/>
    <w:rsid w:val="00130101"/>
    <w:rsid w:val="001301A3"/>
    <w:rsid w:val="00130452"/>
    <w:rsid w:val="00130A17"/>
    <w:rsid w:val="00130BFA"/>
    <w:rsid w:val="00131614"/>
    <w:rsid w:val="00131AF4"/>
    <w:rsid w:val="00132106"/>
    <w:rsid w:val="00132591"/>
    <w:rsid w:val="00132AF5"/>
    <w:rsid w:val="00132B57"/>
    <w:rsid w:val="00133127"/>
    <w:rsid w:val="001334E5"/>
    <w:rsid w:val="00133689"/>
    <w:rsid w:val="00133B2D"/>
    <w:rsid w:val="00133C15"/>
    <w:rsid w:val="00133D37"/>
    <w:rsid w:val="00133F77"/>
    <w:rsid w:val="0013404D"/>
    <w:rsid w:val="001344E7"/>
    <w:rsid w:val="00134775"/>
    <w:rsid w:val="0013480A"/>
    <w:rsid w:val="00134843"/>
    <w:rsid w:val="00134BB1"/>
    <w:rsid w:val="00135025"/>
    <w:rsid w:val="00135172"/>
    <w:rsid w:val="00135B21"/>
    <w:rsid w:val="00135CF5"/>
    <w:rsid w:val="00135D07"/>
    <w:rsid w:val="0013604A"/>
    <w:rsid w:val="00136E34"/>
    <w:rsid w:val="001376C5"/>
    <w:rsid w:val="00137876"/>
    <w:rsid w:val="00137AEC"/>
    <w:rsid w:val="0014050B"/>
    <w:rsid w:val="00140B75"/>
    <w:rsid w:val="00140BC9"/>
    <w:rsid w:val="00140EDB"/>
    <w:rsid w:val="001412DD"/>
    <w:rsid w:val="00141790"/>
    <w:rsid w:val="00141C6A"/>
    <w:rsid w:val="00141FB7"/>
    <w:rsid w:val="00142A18"/>
    <w:rsid w:val="00142EE5"/>
    <w:rsid w:val="001436FA"/>
    <w:rsid w:val="00143946"/>
    <w:rsid w:val="00143A4C"/>
    <w:rsid w:val="00143EDA"/>
    <w:rsid w:val="0014406C"/>
    <w:rsid w:val="001440BA"/>
    <w:rsid w:val="0014418B"/>
    <w:rsid w:val="0014449F"/>
    <w:rsid w:val="00144545"/>
    <w:rsid w:val="00144684"/>
    <w:rsid w:val="001449C4"/>
    <w:rsid w:val="00145056"/>
    <w:rsid w:val="0014552A"/>
    <w:rsid w:val="00145751"/>
    <w:rsid w:val="00145B28"/>
    <w:rsid w:val="0014604F"/>
    <w:rsid w:val="0014618A"/>
    <w:rsid w:val="0014674A"/>
    <w:rsid w:val="001469EC"/>
    <w:rsid w:val="00146A3B"/>
    <w:rsid w:val="00146D69"/>
    <w:rsid w:val="001471C9"/>
    <w:rsid w:val="00147319"/>
    <w:rsid w:val="00147355"/>
    <w:rsid w:val="0014775F"/>
    <w:rsid w:val="00147AEA"/>
    <w:rsid w:val="00147C65"/>
    <w:rsid w:val="00147CC3"/>
    <w:rsid w:val="00147D4D"/>
    <w:rsid w:val="00147DCD"/>
    <w:rsid w:val="0015000D"/>
    <w:rsid w:val="001507C1"/>
    <w:rsid w:val="001508B0"/>
    <w:rsid w:val="001509D3"/>
    <w:rsid w:val="00150DF2"/>
    <w:rsid w:val="001510FB"/>
    <w:rsid w:val="0015165F"/>
    <w:rsid w:val="001517B7"/>
    <w:rsid w:val="00151989"/>
    <w:rsid w:val="00151AFE"/>
    <w:rsid w:val="00151C70"/>
    <w:rsid w:val="0015206F"/>
    <w:rsid w:val="001520DC"/>
    <w:rsid w:val="00152252"/>
    <w:rsid w:val="001524C6"/>
    <w:rsid w:val="0015287A"/>
    <w:rsid w:val="00152B61"/>
    <w:rsid w:val="00152CA1"/>
    <w:rsid w:val="00152CC0"/>
    <w:rsid w:val="00152E3D"/>
    <w:rsid w:val="00152F95"/>
    <w:rsid w:val="0015343B"/>
    <w:rsid w:val="0015377F"/>
    <w:rsid w:val="00153C5B"/>
    <w:rsid w:val="00153C6B"/>
    <w:rsid w:val="00153F0A"/>
    <w:rsid w:val="0015462B"/>
    <w:rsid w:val="00154F90"/>
    <w:rsid w:val="0015517A"/>
    <w:rsid w:val="001552D2"/>
    <w:rsid w:val="001553AE"/>
    <w:rsid w:val="00155D89"/>
    <w:rsid w:val="00156221"/>
    <w:rsid w:val="00156341"/>
    <w:rsid w:val="0015642A"/>
    <w:rsid w:val="00156446"/>
    <w:rsid w:val="0015653B"/>
    <w:rsid w:val="00156D4C"/>
    <w:rsid w:val="00157063"/>
    <w:rsid w:val="00157391"/>
    <w:rsid w:val="00157831"/>
    <w:rsid w:val="00157BC8"/>
    <w:rsid w:val="00157EF2"/>
    <w:rsid w:val="001609FE"/>
    <w:rsid w:val="00160DE7"/>
    <w:rsid w:val="001619B4"/>
    <w:rsid w:val="00161AF7"/>
    <w:rsid w:val="00161C7A"/>
    <w:rsid w:val="00161DEB"/>
    <w:rsid w:val="00161FE2"/>
    <w:rsid w:val="00162181"/>
    <w:rsid w:val="00162C39"/>
    <w:rsid w:val="00162CA3"/>
    <w:rsid w:val="00162E44"/>
    <w:rsid w:val="00163050"/>
    <w:rsid w:val="0016324B"/>
    <w:rsid w:val="00163B7D"/>
    <w:rsid w:val="00163FC8"/>
    <w:rsid w:val="0016406C"/>
    <w:rsid w:val="0016426A"/>
    <w:rsid w:val="00164412"/>
    <w:rsid w:val="00164961"/>
    <w:rsid w:val="001649F0"/>
    <w:rsid w:val="00164D8C"/>
    <w:rsid w:val="00164D94"/>
    <w:rsid w:val="00165123"/>
    <w:rsid w:val="0016545B"/>
    <w:rsid w:val="00165E86"/>
    <w:rsid w:val="00165EBE"/>
    <w:rsid w:val="001660AE"/>
    <w:rsid w:val="001664B9"/>
    <w:rsid w:val="0016676B"/>
    <w:rsid w:val="00166D58"/>
    <w:rsid w:val="00166F2F"/>
    <w:rsid w:val="00166F36"/>
    <w:rsid w:val="00167812"/>
    <w:rsid w:val="001678FC"/>
    <w:rsid w:val="00167D8B"/>
    <w:rsid w:val="0017003A"/>
    <w:rsid w:val="001709EC"/>
    <w:rsid w:val="00170E56"/>
    <w:rsid w:val="00170F69"/>
    <w:rsid w:val="00171057"/>
    <w:rsid w:val="001711A0"/>
    <w:rsid w:val="00171250"/>
    <w:rsid w:val="0017134D"/>
    <w:rsid w:val="001714DC"/>
    <w:rsid w:val="001715AF"/>
    <w:rsid w:val="0017163C"/>
    <w:rsid w:val="00171943"/>
    <w:rsid w:val="00171A09"/>
    <w:rsid w:val="0017234C"/>
    <w:rsid w:val="00172BE1"/>
    <w:rsid w:val="00173121"/>
    <w:rsid w:val="00173E7C"/>
    <w:rsid w:val="001744A4"/>
    <w:rsid w:val="00174A21"/>
    <w:rsid w:val="00174C00"/>
    <w:rsid w:val="00174EAD"/>
    <w:rsid w:val="00175523"/>
    <w:rsid w:val="0017598D"/>
    <w:rsid w:val="00175AD6"/>
    <w:rsid w:val="00175D17"/>
    <w:rsid w:val="00175D46"/>
    <w:rsid w:val="00175EFC"/>
    <w:rsid w:val="00175F8E"/>
    <w:rsid w:val="0017672C"/>
    <w:rsid w:val="00176DB8"/>
    <w:rsid w:val="00177255"/>
    <w:rsid w:val="00177546"/>
    <w:rsid w:val="001778B6"/>
    <w:rsid w:val="00177C3F"/>
    <w:rsid w:val="00180294"/>
    <w:rsid w:val="001802A5"/>
    <w:rsid w:val="0018117F"/>
    <w:rsid w:val="00181591"/>
    <w:rsid w:val="0018160C"/>
    <w:rsid w:val="001817F5"/>
    <w:rsid w:val="001817FA"/>
    <w:rsid w:val="00181E8B"/>
    <w:rsid w:val="001821E9"/>
    <w:rsid w:val="00182438"/>
    <w:rsid w:val="0018251A"/>
    <w:rsid w:val="00182934"/>
    <w:rsid w:val="00182D0F"/>
    <w:rsid w:val="00182E94"/>
    <w:rsid w:val="00182F99"/>
    <w:rsid w:val="001830B5"/>
    <w:rsid w:val="00183112"/>
    <w:rsid w:val="00183234"/>
    <w:rsid w:val="00183755"/>
    <w:rsid w:val="00183B3E"/>
    <w:rsid w:val="00183C20"/>
    <w:rsid w:val="00183C2B"/>
    <w:rsid w:val="00183E11"/>
    <w:rsid w:val="00184342"/>
    <w:rsid w:val="00184F89"/>
    <w:rsid w:val="00185150"/>
    <w:rsid w:val="00185195"/>
    <w:rsid w:val="00185385"/>
    <w:rsid w:val="00185657"/>
    <w:rsid w:val="00185909"/>
    <w:rsid w:val="00185A5D"/>
    <w:rsid w:val="00185A60"/>
    <w:rsid w:val="00185B9C"/>
    <w:rsid w:val="00185D73"/>
    <w:rsid w:val="00185E05"/>
    <w:rsid w:val="00187BA7"/>
    <w:rsid w:val="001904FD"/>
    <w:rsid w:val="00190916"/>
    <w:rsid w:val="00190A56"/>
    <w:rsid w:val="00190AAD"/>
    <w:rsid w:val="00190C64"/>
    <w:rsid w:val="001914AA"/>
    <w:rsid w:val="00191543"/>
    <w:rsid w:val="00191D0F"/>
    <w:rsid w:val="00191E1B"/>
    <w:rsid w:val="00191EAE"/>
    <w:rsid w:val="00192405"/>
    <w:rsid w:val="0019267D"/>
    <w:rsid w:val="001927A2"/>
    <w:rsid w:val="0019282B"/>
    <w:rsid w:val="00192846"/>
    <w:rsid w:val="0019327D"/>
    <w:rsid w:val="0019339B"/>
    <w:rsid w:val="00193563"/>
    <w:rsid w:val="0019370E"/>
    <w:rsid w:val="001940DE"/>
    <w:rsid w:val="00194547"/>
    <w:rsid w:val="001949EF"/>
    <w:rsid w:val="00194EE0"/>
    <w:rsid w:val="00194F87"/>
    <w:rsid w:val="00194FA2"/>
    <w:rsid w:val="001958D5"/>
    <w:rsid w:val="00195A7E"/>
    <w:rsid w:val="0019601F"/>
    <w:rsid w:val="00196310"/>
    <w:rsid w:val="0019646D"/>
    <w:rsid w:val="001968B2"/>
    <w:rsid w:val="00196BF8"/>
    <w:rsid w:val="001A0002"/>
    <w:rsid w:val="001A02B1"/>
    <w:rsid w:val="001A03B3"/>
    <w:rsid w:val="001A04A3"/>
    <w:rsid w:val="001A04F3"/>
    <w:rsid w:val="001A04FA"/>
    <w:rsid w:val="001A0670"/>
    <w:rsid w:val="001A108A"/>
    <w:rsid w:val="001A20DA"/>
    <w:rsid w:val="001A2182"/>
    <w:rsid w:val="001A2277"/>
    <w:rsid w:val="001A264C"/>
    <w:rsid w:val="001A2817"/>
    <w:rsid w:val="001A2AF3"/>
    <w:rsid w:val="001A2B61"/>
    <w:rsid w:val="001A2B95"/>
    <w:rsid w:val="001A31CB"/>
    <w:rsid w:val="001A360A"/>
    <w:rsid w:val="001A3C83"/>
    <w:rsid w:val="001A3DB1"/>
    <w:rsid w:val="001A3FA2"/>
    <w:rsid w:val="001A4600"/>
    <w:rsid w:val="001A4899"/>
    <w:rsid w:val="001A49F8"/>
    <w:rsid w:val="001A4A49"/>
    <w:rsid w:val="001A4ECC"/>
    <w:rsid w:val="001A51DA"/>
    <w:rsid w:val="001A547E"/>
    <w:rsid w:val="001A6011"/>
    <w:rsid w:val="001A6333"/>
    <w:rsid w:val="001A754B"/>
    <w:rsid w:val="001A7566"/>
    <w:rsid w:val="001A7EA3"/>
    <w:rsid w:val="001B054D"/>
    <w:rsid w:val="001B0985"/>
    <w:rsid w:val="001B0B4C"/>
    <w:rsid w:val="001B0C59"/>
    <w:rsid w:val="001B128C"/>
    <w:rsid w:val="001B13A8"/>
    <w:rsid w:val="001B189B"/>
    <w:rsid w:val="001B1E1F"/>
    <w:rsid w:val="001B24C3"/>
    <w:rsid w:val="001B25EB"/>
    <w:rsid w:val="001B26A1"/>
    <w:rsid w:val="001B3130"/>
    <w:rsid w:val="001B3695"/>
    <w:rsid w:val="001B37B5"/>
    <w:rsid w:val="001B39D5"/>
    <w:rsid w:val="001B3D1A"/>
    <w:rsid w:val="001B3D75"/>
    <w:rsid w:val="001B410A"/>
    <w:rsid w:val="001B54E1"/>
    <w:rsid w:val="001B58CF"/>
    <w:rsid w:val="001B5988"/>
    <w:rsid w:val="001B5ABA"/>
    <w:rsid w:val="001B5C7F"/>
    <w:rsid w:val="001B5DE2"/>
    <w:rsid w:val="001B5E05"/>
    <w:rsid w:val="001B60DD"/>
    <w:rsid w:val="001B61E5"/>
    <w:rsid w:val="001B6462"/>
    <w:rsid w:val="001B6A59"/>
    <w:rsid w:val="001B6BC4"/>
    <w:rsid w:val="001B72A9"/>
    <w:rsid w:val="001B7AF1"/>
    <w:rsid w:val="001B7B44"/>
    <w:rsid w:val="001B7B6E"/>
    <w:rsid w:val="001C047B"/>
    <w:rsid w:val="001C04CE"/>
    <w:rsid w:val="001C08B3"/>
    <w:rsid w:val="001C0CFA"/>
    <w:rsid w:val="001C0DC6"/>
    <w:rsid w:val="001C12D9"/>
    <w:rsid w:val="001C1E63"/>
    <w:rsid w:val="001C1EB4"/>
    <w:rsid w:val="001C239F"/>
    <w:rsid w:val="001C2722"/>
    <w:rsid w:val="001C2AAF"/>
    <w:rsid w:val="001C2CE0"/>
    <w:rsid w:val="001C2EBD"/>
    <w:rsid w:val="001C311B"/>
    <w:rsid w:val="001C367C"/>
    <w:rsid w:val="001C38C7"/>
    <w:rsid w:val="001C3B10"/>
    <w:rsid w:val="001C3FAD"/>
    <w:rsid w:val="001C4095"/>
    <w:rsid w:val="001C4343"/>
    <w:rsid w:val="001C437E"/>
    <w:rsid w:val="001C4388"/>
    <w:rsid w:val="001C4481"/>
    <w:rsid w:val="001C46C3"/>
    <w:rsid w:val="001C5120"/>
    <w:rsid w:val="001C5361"/>
    <w:rsid w:val="001C539C"/>
    <w:rsid w:val="001C58C7"/>
    <w:rsid w:val="001C5920"/>
    <w:rsid w:val="001C5A73"/>
    <w:rsid w:val="001C621D"/>
    <w:rsid w:val="001C62BF"/>
    <w:rsid w:val="001C6B21"/>
    <w:rsid w:val="001D10E5"/>
    <w:rsid w:val="001D15FD"/>
    <w:rsid w:val="001D19B4"/>
    <w:rsid w:val="001D1A08"/>
    <w:rsid w:val="001D1B05"/>
    <w:rsid w:val="001D1C7C"/>
    <w:rsid w:val="001D1D86"/>
    <w:rsid w:val="001D27A0"/>
    <w:rsid w:val="001D2916"/>
    <w:rsid w:val="001D2C9A"/>
    <w:rsid w:val="001D2ED8"/>
    <w:rsid w:val="001D333A"/>
    <w:rsid w:val="001D341A"/>
    <w:rsid w:val="001D36F1"/>
    <w:rsid w:val="001D3A6F"/>
    <w:rsid w:val="001D3A8E"/>
    <w:rsid w:val="001D3FA8"/>
    <w:rsid w:val="001D4900"/>
    <w:rsid w:val="001D5330"/>
    <w:rsid w:val="001D5754"/>
    <w:rsid w:val="001D5E0E"/>
    <w:rsid w:val="001D6512"/>
    <w:rsid w:val="001D672A"/>
    <w:rsid w:val="001D68CC"/>
    <w:rsid w:val="001D69B9"/>
    <w:rsid w:val="001D6C48"/>
    <w:rsid w:val="001D74B7"/>
    <w:rsid w:val="001D7913"/>
    <w:rsid w:val="001D7BC2"/>
    <w:rsid w:val="001D7E63"/>
    <w:rsid w:val="001E0EB6"/>
    <w:rsid w:val="001E1188"/>
    <w:rsid w:val="001E1376"/>
    <w:rsid w:val="001E16E0"/>
    <w:rsid w:val="001E1871"/>
    <w:rsid w:val="001E18FD"/>
    <w:rsid w:val="001E1B06"/>
    <w:rsid w:val="001E1B79"/>
    <w:rsid w:val="001E1D59"/>
    <w:rsid w:val="001E2250"/>
    <w:rsid w:val="001E23C8"/>
    <w:rsid w:val="001E249C"/>
    <w:rsid w:val="001E2DD3"/>
    <w:rsid w:val="001E3347"/>
    <w:rsid w:val="001E3602"/>
    <w:rsid w:val="001E3A11"/>
    <w:rsid w:val="001E418F"/>
    <w:rsid w:val="001E4AC3"/>
    <w:rsid w:val="001E52B5"/>
    <w:rsid w:val="001E553B"/>
    <w:rsid w:val="001E579C"/>
    <w:rsid w:val="001E58DD"/>
    <w:rsid w:val="001E5FEB"/>
    <w:rsid w:val="001E6049"/>
    <w:rsid w:val="001E64BE"/>
    <w:rsid w:val="001E6B1C"/>
    <w:rsid w:val="001E6C16"/>
    <w:rsid w:val="001E719A"/>
    <w:rsid w:val="001E71E4"/>
    <w:rsid w:val="001E7AF5"/>
    <w:rsid w:val="001F0795"/>
    <w:rsid w:val="001F07FE"/>
    <w:rsid w:val="001F090E"/>
    <w:rsid w:val="001F0FF3"/>
    <w:rsid w:val="001F107E"/>
    <w:rsid w:val="001F157A"/>
    <w:rsid w:val="001F1581"/>
    <w:rsid w:val="001F1900"/>
    <w:rsid w:val="001F1AB9"/>
    <w:rsid w:val="001F1B45"/>
    <w:rsid w:val="001F1F5B"/>
    <w:rsid w:val="001F201C"/>
    <w:rsid w:val="001F22AF"/>
    <w:rsid w:val="001F2D18"/>
    <w:rsid w:val="001F323F"/>
    <w:rsid w:val="001F33AB"/>
    <w:rsid w:val="001F3E74"/>
    <w:rsid w:val="001F4001"/>
    <w:rsid w:val="001F47B5"/>
    <w:rsid w:val="001F4BD8"/>
    <w:rsid w:val="001F4E13"/>
    <w:rsid w:val="001F4FF0"/>
    <w:rsid w:val="001F5157"/>
    <w:rsid w:val="001F5176"/>
    <w:rsid w:val="001F56BE"/>
    <w:rsid w:val="001F5A56"/>
    <w:rsid w:val="001F62FA"/>
    <w:rsid w:val="001F64B4"/>
    <w:rsid w:val="001F6679"/>
    <w:rsid w:val="001F697A"/>
    <w:rsid w:val="001F6EF8"/>
    <w:rsid w:val="001F77DE"/>
    <w:rsid w:val="002003FD"/>
    <w:rsid w:val="002009F7"/>
    <w:rsid w:val="00201107"/>
    <w:rsid w:val="002011F5"/>
    <w:rsid w:val="002013C7"/>
    <w:rsid w:val="0020160C"/>
    <w:rsid w:val="00201637"/>
    <w:rsid w:val="00201687"/>
    <w:rsid w:val="00201D92"/>
    <w:rsid w:val="00201EF2"/>
    <w:rsid w:val="00201F38"/>
    <w:rsid w:val="00202081"/>
    <w:rsid w:val="00202604"/>
    <w:rsid w:val="00202823"/>
    <w:rsid w:val="00202A15"/>
    <w:rsid w:val="00203112"/>
    <w:rsid w:val="002033FF"/>
    <w:rsid w:val="00203A9B"/>
    <w:rsid w:val="00203B3D"/>
    <w:rsid w:val="00203B92"/>
    <w:rsid w:val="00203F8E"/>
    <w:rsid w:val="0020467E"/>
    <w:rsid w:val="00204EED"/>
    <w:rsid w:val="0020560A"/>
    <w:rsid w:val="002056E4"/>
    <w:rsid w:val="00205A1C"/>
    <w:rsid w:val="00206C2B"/>
    <w:rsid w:val="00207703"/>
    <w:rsid w:val="002078C3"/>
    <w:rsid w:val="00207D94"/>
    <w:rsid w:val="00210345"/>
    <w:rsid w:val="002107CF"/>
    <w:rsid w:val="00210B67"/>
    <w:rsid w:val="00210BA2"/>
    <w:rsid w:val="00210D7B"/>
    <w:rsid w:val="00210E6D"/>
    <w:rsid w:val="00210F0D"/>
    <w:rsid w:val="00211174"/>
    <w:rsid w:val="002111CD"/>
    <w:rsid w:val="00211279"/>
    <w:rsid w:val="0021134F"/>
    <w:rsid w:val="00211471"/>
    <w:rsid w:val="0021165D"/>
    <w:rsid w:val="00211DAC"/>
    <w:rsid w:val="002121EB"/>
    <w:rsid w:val="002126AF"/>
    <w:rsid w:val="00212921"/>
    <w:rsid w:val="00212D3C"/>
    <w:rsid w:val="00213486"/>
    <w:rsid w:val="00213846"/>
    <w:rsid w:val="00213FC7"/>
    <w:rsid w:val="0021429A"/>
    <w:rsid w:val="0021450E"/>
    <w:rsid w:val="0021480B"/>
    <w:rsid w:val="00214855"/>
    <w:rsid w:val="00214BF3"/>
    <w:rsid w:val="00214FD4"/>
    <w:rsid w:val="002152A4"/>
    <w:rsid w:val="002154FF"/>
    <w:rsid w:val="00215C57"/>
    <w:rsid w:val="00215E8A"/>
    <w:rsid w:val="00215F00"/>
    <w:rsid w:val="0021612A"/>
    <w:rsid w:val="002162F6"/>
    <w:rsid w:val="00216322"/>
    <w:rsid w:val="00216576"/>
    <w:rsid w:val="00216ECA"/>
    <w:rsid w:val="00217107"/>
    <w:rsid w:val="002171F7"/>
    <w:rsid w:val="002176FC"/>
    <w:rsid w:val="00217C05"/>
    <w:rsid w:val="00220186"/>
    <w:rsid w:val="002201CE"/>
    <w:rsid w:val="00220B84"/>
    <w:rsid w:val="00220C0F"/>
    <w:rsid w:val="002210A8"/>
    <w:rsid w:val="002223FB"/>
    <w:rsid w:val="0022287E"/>
    <w:rsid w:val="0022299B"/>
    <w:rsid w:val="00222D9E"/>
    <w:rsid w:val="00222ECF"/>
    <w:rsid w:val="00223643"/>
    <w:rsid w:val="002236F2"/>
    <w:rsid w:val="002237C8"/>
    <w:rsid w:val="002237EA"/>
    <w:rsid w:val="002237F2"/>
    <w:rsid w:val="00223B74"/>
    <w:rsid w:val="00223D94"/>
    <w:rsid w:val="00224076"/>
    <w:rsid w:val="0022452E"/>
    <w:rsid w:val="00224831"/>
    <w:rsid w:val="00224BDF"/>
    <w:rsid w:val="0022503E"/>
    <w:rsid w:val="0022507A"/>
    <w:rsid w:val="002251AC"/>
    <w:rsid w:val="002252EA"/>
    <w:rsid w:val="0022535A"/>
    <w:rsid w:val="00225637"/>
    <w:rsid w:val="00226AC4"/>
    <w:rsid w:val="00227010"/>
    <w:rsid w:val="002272CD"/>
    <w:rsid w:val="0022745E"/>
    <w:rsid w:val="00227BAB"/>
    <w:rsid w:val="00227DBE"/>
    <w:rsid w:val="002303B2"/>
    <w:rsid w:val="00230488"/>
    <w:rsid w:val="00230ACA"/>
    <w:rsid w:val="0023119A"/>
    <w:rsid w:val="002311C7"/>
    <w:rsid w:val="0023155E"/>
    <w:rsid w:val="002319A3"/>
    <w:rsid w:val="00231B43"/>
    <w:rsid w:val="0023214E"/>
    <w:rsid w:val="0023230B"/>
    <w:rsid w:val="00232430"/>
    <w:rsid w:val="00232560"/>
    <w:rsid w:val="00232A37"/>
    <w:rsid w:val="00232A7A"/>
    <w:rsid w:val="00232B86"/>
    <w:rsid w:val="00232CB9"/>
    <w:rsid w:val="00233381"/>
    <w:rsid w:val="00233627"/>
    <w:rsid w:val="002337F1"/>
    <w:rsid w:val="00233B23"/>
    <w:rsid w:val="002343E5"/>
    <w:rsid w:val="0023451D"/>
    <w:rsid w:val="0023513A"/>
    <w:rsid w:val="00235289"/>
    <w:rsid w:val="00235436"/>
    <w:rsid w:val="002356AA"/>
    <w:rsid w:val="00235968"/>
    <w:rsid w:val="00235C16"/>
    <w:rsid w:val="0023728C"/>
    <w:rsid w:val="00237569"/>
    <w:rsid w:val="00237708"/>
    <w:rsid w:val="00237DC6"/>
    <w:rsid w:val="00240A4E"/>
    <w:rsid w:val="00240EE1"/>
    <w:rsid w:val="00241430"/>
    <w:rsid w:val="00241B2C"/>
    <w:rsid w:val="00241BD0"/>
    <w:rsid w:val="00241E76"/>
    <w:rsid w:val="00242121"/>
    <w:rsid w:val="00242859"/>
    <w:rsid w:val="00242A48"/>
    <w:rsid w:val="00242D60"/>
    <w:rsid w:val="002430A4"/>
    <w:rsid w:val="00243C4A"/>
    <w:rsid w:val="00243EA6"/>
    <w:rsid w:val="00244163"/>
    <w:rsid w:val="002447C9"/>
    <w:rsid w:val="00244FAF"/>
    <w:rsid w:val="002455D4"/>
    <w:rsid w:val="00245ED1"/>
    <w:rsid w:val="002464A7"/>
    <w:rsid w:val="00246848"/>
    <w:rsid w:val="00246BEF"/>
    <w:rsid w:val="002472F8"/>
    <w:rsid w:val="00247987"/>
    <w:rsid w:val="00247A5C"/>
    <w:rsid w:val="00247C89"/>
    <w:rsid w:val="00247F65"/>
    <w:rsid w:val="00247F95"/>
    <w:rsid w:val="0025009E"/>
    <w:rsid w:val="002501F3"/>
    <w:rsid w:val="0025037E"/>
    <w:rsid w:val="002506C8"/>
    <w:rsid w:val="00250808"/>
    <w:rsid w:val="0025086C"/>
    <w:rsid w:val="00250CE3"/>
    <w:rsid w:val="00250D7B"/>
    <w:rsid w:val="00250F39"/>
    <w:rsid w:val="002510C8"/>
    <w:rsid w:val="002518AD"/>
    <w:rsid w:val="00251B8B"/>
    <w:rsid w:val="002520C3"/>
    <w:rsid w:val="0025222D"/>
    <w:rsid w:val="00252316"/>
    <w:rsid w:val="00252465"/>
    <w:rsid w:val="002528C9"/>
    <w:rsid w:val="00252F3C"/>
    <w:rsid w:val="002532FE"/>
    <w:rsid w:val="002534A6"/>
    <w:rsid w:val="002538DA"/>
    <w:rsid w:val="00253C19"/>
    <w:rsid w:val="00253FA9"/>
    <w:rsid w:val="002544FF"/>
    <w:rsid w:val="00254B48"/>
    <w:rsid w:val="00254DE6"/>
    <w:rsid w:val="002554F6"/>
    <w:rsid w:val="002559C7"/>
    <w:rsid w:val="002561F8"/>
    <w:rsid w:val="0025677E"/>
    <w:rsid w:val="00257203"/>
    <w:rsid w:val="00257480"/>
    <w:rsid w:val="002575C4"/>
    <w:rsid w:val="00257B6E"/>
    <w:rsid w:val="00260601"/>
    <w:rsid w:val="002607D9"/>
    <w:rsid w:val="002609B9"/>
    <w:rsid w:val="00260A28"/>
    <w:rsid w:val="00260DA4"/>
    <w:rsid w:val="00260E26"/>
    <w:rsid w:val="00261289"/>
    <w:rsid w:val="00261294"/>
    <w:rsid w:val="00261E60"/>
    <w:rsid w:val="002622C9"/>
    <w:rsid w:val="00262874"/>
    <w:rsid w:val="002629E1"/>
    <w:rsid w:val="00262AA7"/>
    <w:rsid w:val="00262AC2"/>
    <w:rsid w:val="00263194"/>
    <w:rsid w:val="002637C2"/>
    <w:rsid w:val="00263AA6"/>
    <w:rsid w:val="00263FF5"/>
    <w:rsid w:val="00264106"/>
    <w:rsid w:val="00264FF5"/>
    <w:rsid w:val="00265006"/>
    <w:rsid w:val="00265345"/>
    <w:rsid w:val="00265A29"/>
    <w:rsid w:val="00265B13"/>
    <w:rsid w:val="00265D3A"/>
    <w:rsid w:val="0026657B"/>
    <w:rsid w:val="00266DCF"/>
    <w:rsid w:val="00267448"/>
    <w:rsid w:val="00267E60"/>
    <w:rsid w:val="0027037B"/>
    <w:rsid w:val="00270E07"/>
    <w:rsid w:val="0027118A"/>
    <w:rsid w:val="002716E2"/>
    <w:rsid w:val="00271A2C"/>
    <w:rsid w:val="00271B47"/>
    <w:rsid w:val="00271E03"/>
    <w:rsid w:val="00271EF4"/>
    <w:rsid w:val="002722E6"/>
    <w:rsid w:val="00272779"/>
    <w:rsid w:val="0027288D"/>
    <w:rsid w:val="002728D0"/>
    <w:rsid w:val="00272C40"/>
    <w:rsid w:val="00272C82"/>
    <w:rsid w:val="002730C6"/>
    <w:rsid w:val="00273378"/>
    <w:rsid w:val="00273FC1"/>
    <w:rsid w:val="002744EF"/>
    <w:rsid w:val="0027496B"/>
    <w:rsid w:val="002749FB"/>
    <w:rsid w:val="00274A31"/>
    <w:rsid w:val="00274D1D"/>
    <w:rsid w:val="00274EAA"/>
    <w:rsid w:val="00275218"/>
    <w:rsid w:val="002754D4"/>
    <w:rsid w:val="00276071"/>
    <w:rsid w:val="002768F9"/>
    <w:rsid w:val="00276AFE"/>
    <w:rsid w:val="00276DCB"/>
    <w:rsid w:val="0027737D"/>
    <w:rsid w:val="00277AD1"/>
    <w:rsid w:val="00277D41"/>
    <w:rsid w:val="00277EAF"/>
    <w:rsid w:val="00277F21"/>
    <w:rsid w:val="002806B2"/>
    <w:rsid w:val="002807F0"/>
    <w:rsid w:val="00280C0D"/>
    <w:rsid w:val="00280C56"/>
    <w:rsid w:val="00280D9D"/>
    <w:rsid w:val="00280E1B"/>
    <w:rsid w:val="00280F0C"/>
    <w:rsid w:val="00280FFB"/>
    <w:rsid w:val="0028160E"/>
    <w:rsid w:val="00281910"/>
    <w:rsid w:val="00281AA8"/>
    <w:rsid w:val="00281B3F"/>
    <w:rsid w:val="00281BB3"/>
    <w:rsid w:val="00281BC7"/>
    <w:rsid w:val="00281F2D"/>
    <w:rsid w:val="0028245C"/>
    <w:rsid w:val="002826FB"/>
    <w:rsid w:val="002830AF"/>
    <w:rsid w:val="00283214"/>
    <w:rsid w:val="0028372C"/>
    <w:rsid w:val="00283A1E"/>
    <w:rsid w:val="00283D5D"/>
    <w:rsid w:val="00283F4A"/>
    <w:rsid w:val="0028479C"/>
    <w:rsid w:val="00284D30"/>
    <w:rsid w:val="00284D45"/>
    <w:rsid w:val="0028511F"/>
    <w:rsid w:val="0028527D"/>
    <w:rsid w:val="002854E5"/>
    <w:rsid w:val="00285E0E"/>
    <w:rsid w:val="002860FA"/>
    <w:rsid w:val="0028622C"/>
    <w:rsid w:val="002865A1"/>
    <w:rsid w:val="00286863"/>
    <w:rsid w:val="00286940"/>
    <w:rsid w:val="00287043"/>
    <w:rsid w:val="00287291"/>
    <w:rsid w:val="00287C33"/>
    <w:rsid w:val="002907C0"/>
    <w:rsid w:val="00291115"/>
    <w:rsid w:val="00291CBE"/>
    <w:rsid w:val="00292111"/>
    <w:rsid w:val="002922BD"/>
    <w:rsid w:val="00292371"/>
    <w:rsid w:val="0029278C"/>
    <w:rsid w:val="002928F3"/>
    <w:rsid w:val="00292B6D"/>
    <w:rsid w:val="002930E4"/>
    <w:rsid w:val="0029341F"/>
    <w:rsid w:val="002934D9"/>
    <w:rsid w:val="00293A71"/>
    <w:rsid w:val="00293BF5"/>
    <w:rsid w:val="00293C8D"/>
    <w:rsid w:val="00293EC2"/>
    <w:rsid w:val="00293F6F"/>
    <w:rsid w:val="0029407D"/>
    <w:rsid w:val="002942E1"/>
    <w:rsid w:val="002943D9"/>
    <w:rsid w:val="002944F6"/>
    <w:rsid w:val="0029486A"/>
    <w:rsid w:val="00294A37"/>
    <w:rsid w:val="00294A58"/>
    <w:rsid w:val="00294AD2"/>
    <w:rsid w:val="00294C2A"/>
    <w:rsid w:val="00294E70"/>
    <w:rsid w:val="00295C12"/>
    <w:rsid w:val="0029607E"/>
    <w:rsid w:val="00296293"/>
    <w:rsid w:val="0029653F"/>
    <w:rsid w:val="002966EA"/>
    <w:rsid w:val="00296A12"/>
    <w:rsid w:val="00296C87"/>
    <w:rsid w:val="0029702E"/>
    <w:rsid w:val="00297D06"/>
    <w:rsid w:val="002A0233"/>
    <w:rsid w:val="002A0358"/>
    <w:rsid w:val="002A061A"/>
    <w:rsid w:val="002A062A"/>
    <w:rsid w:val="002A0631"/>
    <w:rsid w:val="002A08A6"/>
    <w:rsid w:val="002A0ECB"/>
    <w:rsid w:val="002A1318"/>
    <w:rsid w:val="002A1B6C"/>
    <w:rsid w:val="002A1C73"/>
    <w:rsid w:val="002A1F57"/>
    <w:rsid w:val="002A209C"/>
    <w:rsid w:val="002A20F5"/>
    <w:rsid w:val="002A2224"/>
    <w:rsid w:val="002A24A4"/>
    <w:rsid w:val="002A25EF"/>
    <w:rsid w:val="002A261E"/>
    <w:rsid w:val="002A2721"/>
    <w:rsid w:val="002A28B1"/>
    <w:rsid w:val="002A2BDA"/>
    <w:rsid w:val="002A2ED6"/>
    <w:rsid w:val="002A3129"/>
    <w:rsid w:val="002A3374"/>
    <w:rsid w:val="002A3704"/>
    <w:rsid w:val="002A3757"/>
    <w:rsid w:val="002A3822"/>
    <w:rsid w:val="002A3894"/>
    <w:rsid w:val="002A3A6F"/>
    <w:rsid w:val="002A3A96"/>
    <w:rsid w:val="002A3E5F"/>
    <w:rsid w:val="002A3F33"/>
    <w:rsid w:val="002A41B6"/>
    <w:rsid w:val="002A4D01"/>
    <w:rsid w:val="002A4E66"/>
    <w:rsid w:val="002A50A8"/>
    <w:rsid w:val="002A50FE"/>
    <w:rsid w:val="002A5156"/>
    <w:rsid w:val="002A558F"/>
    <w:rsid w:val="002A5594"/>
    <w:rsid w:val="002A582B"/>
    <w:rsid w:val="002A5E59"/>
    <w:rsid w:val="002A632D"/>
    <w:rsid w:val="002A736C"/>
    <w:rsid w:val="002A76B6"/>
    <w:rsid w:val="002A76ED"/>
    <w:rsid w:val="002A78A3"/>
    <w:rsid w:val="002A7A6B"/>
    <w:rsid w:val="002A7BC1"/>
    <w:rsid w:val="002A7E81"/>
    <w:rsid w:val="002A7F3D"/>
    <w:rsid w:val="002B01D5"/>
    <w:rsid w:val="002B0805"/>
    <w:rsid w:val="002B09B3"/>
    <w:rsid w:val="002B09CB"/>
    <w:rsid w:val="002B0ADF"/>
    <w:rsid w:val="002B0B19"/>
    <w:rsid w:val="002B1392"/>
    <w:rsid w:val="002B1A58"/>
    <w:rsid w:val="002B1D1B"/>
    <w:rsid w:val="002B1D71"/>
    <w:rsid w:val="002B1D9F"/>
    <w:rsid w:val="002B210C"/>
    <w:rsid w:val="002B2425"/>
    <w:rsid w:val="002B2426"/>
    <w:rsid w:val="002B24EC"/>
    <w:rsid w:val="002B2B00"/>
    <w:rsid w:val="002B2D82"/>
    <w:rsid w:val="002B2FFC"/>
    <w:rsid w:val="002B30CE"/>
    <w:rsid w:val="002B388E"/>
    <w:rsid w:val="002B3EEC"/>
    <w:rsid w:val="002B40BE"/>
    <w:rsid w:val="002B426F"/>
    <w:rsid w:val="002B43C0"/>
    <w:rsid w:val="002B4605"/>
    <w:rsid w:val="002B469C"/>
    <w:rsid w:val="002B54B2"/>
    <w:rsid w:val="002B577A"/>
    <w:rsid w:val="002B5DD2"/>
    <w:rsid w:val="002B6582"/>
    <w:rsid w:val="002B6A24"/>
    <w:rsid w:val="002B6DC9"/>
    <w:rsid w:val="002B72DE"/>
    <w:rsid w:val="002B7A7E"/>
    <w:rsid w:val="002C00D1"/>
    <w:rsid w:val="002C06C5"/>
    <w:rsid w:val="002C0946"/>
    <w:rsid w:val="002C0A7E"/>
    <w:rsid w:val="002C0DB6"/>
    <w:rsid w:val="002C12B9"/>
    <w:rsid w:val="002C13F3"/>
    <w:rsid w:val="002C1BF7"/>
    <w:rsid w:val="002C1E86"/>
    <w:rsid w:val="002C1FD2"/>
    <w:rsid w:val="002C20FF"/>
    <w:rsid w:val="002C21E0"/>
    <w:rsid w:val="002C22C5"/>
    <w:rsid w:val="002C26E3"/>
    <w:rsid w:val="002C2EED"/>
    <w:rsid w:val="002C3A9F"/>
    <w:rsid w:val="002C4251"/>
    <w:rsid w:val="002C4993"/>
    <w:rsid w:val="002C4B29"/>
    <w:rsid w:val="002C4B98"/>
    <w:rsid w:val="002C4D62"/>
    <w:rsid w:val="002C519E"/>
    <w:rsid w:val="002C538D"/>
    <w:rsid w:val="002C5477"/>
    <w:rsid w:val="002C59F8"/>
    <w:rsid w:val="002C5E9C"/>
    <w:rsid w:val="002C606B"/>
    <w:rsid w:val="002C6707"/>
    <w:rsid w:val="002C68D0"/>
    <w:rsid w:val="002C6920"/>
    <w:rsid w:val="002C697D"/>
    <w:rsid w:val="002C6AC1"/>
    <w:rsid w:val="002C7688"/>
    <w:rsid w:val="002C7707"/>
    <w:rsid w:val="002C7829"/>
    <w:rsid w:val="002C7846"/>
    <w:rsid w:val="002C7963"/>
    <w:rsid w:val="002C7C50"/>
    <w:rsid w:val="002D08FB"/>
    <w:rsid w:val="002D0B3A"/>
    <w:rsid w:val="002D0C16"/>
    <w:rsid w:val="002D1438"/>
    <w:rsid w:val="002D14A5"/>
    <w:rsid w:val="002D187B"/>
    <w:rsid w:val="002D1BFF"/>
    <w:rsid w:val="002D1D9F"/>
    <w:rsid w:val="002D202C"/>
    <w:rsid w:val="002D24AB"/>
    <w:rsid w:val="002D285A"/>
    <w:rsid w:val="002D2D1C"/>
    <w:rsid w:val="002D2EB2"/>
    <w:rsid w:val="002D3441"/>
    <w:rsid w:val="002D3489"/>
    <w:rsid w:val="002D3B7B"/>
    <w:rsid w:val="002D3C9D"/>
    <w:rsid w:val="002D4395"/>
    <w:rsid w:val="002D4ED6"/>
    <w:rsid w:val="002D511B"/>
    <w:rsid w:val="002D56CD"/>
    <w:rsid w:val="002D56F9"/>
    <w:rsid w:val="002D5DD1"/>
    <w:rsid w:val="002D61B8"/>
    <w:rsid w:val="002D6A88"/>
    <w:rsid w:val="002D6B3F"/>
    <w:rsid w:val="002D6DBC"/>
    <w:rsid w:val="002D6F5C"/>
    <w:rsid w:val="002D77A2"/>
    <w:rsid w:val="002D7ABB"/>
    <w:rsid w:val="002D7D78"/>
    <w:rsid w:val="002E000B"/>
    <w:rsid w:val="002E0040"/>
    <w:rsid w:val="002E0E48"/>
    <w:rsid w:val="002E1226"/>
    <w:rsid w:val="002E13D0"/>
    <w:rsid w:val="002E1493"/>
    <w:rsid w:val="002E1644"/>
    <w:rsid w:val="002E1892"/>
    <w:rsid w:val="002E1B32"/>
    <w:rsid w:val="002E1B7C"/>
    <w:rsid w:val="002E2492"/>
    <w:rsid w:val="002E27CB"/>
    <w:rsid w:val="002E28B1"/>
    <w:rsid w:val="002E2B08"/>
    <w:rsid w:val="002E2D1F"/>
    <w:rsid w:val="002E2F4E"/>
    <w:rsid w:val="002E330B"/>
    <w:rsid w:val="002E3373"/>
    <w:rsid w:val="002E364E"/>
    <w:rsid w:val="002E3907"/>
    <w:rsid w:val="002E3ADD"/>
    <w:rsid w:val="002E3B15"/>
    <w:rsid w:val="002E3D06"/>
    <w:rsid w:val="002E3D94"/>
    <w:rsid w:val="002E3DC1"/>
    <w:rsid w:val="002E3E83"/>
    <w:rsid w:val="002E3E95"/>
    <w:rsid w:val="002E41C9"/>
    <w:rsid w:val="002E4789"/>
    <w:rsid w:val="002E4ED4"/>
    <w:rsid w:val="002E53F5"/>
    <w:rsid w:val="002E5702"/>
    <w:rsid w:val="002E5A88"/>
    <w:rsid w:val="002E5D65"/>
    <w:rsid w:val="002E6033"/>
    <w:rsid w:val="002E61D2"/>
    <w:rsid w:val="002E622C"/>
    <w:rsid w:val="002E63D8"/>
    <w:rsid w:val="002E65C8"/>
    <w:rsid w:val="002E7416"/>
    <w:rsid w:val="002E7761"/>
    <w:rsid w:val="002E7B36"/>
    <w:rsid w:val="002E7C87"/>
    <w:rsid w:val="002E7D86"/>
    <w:rsid w:val="002E7EAC"/>
    <w:rsid w:val="002E7ECD"/>
    <w:rsid w:val="002F014A"/>
    <w:rsid w:val="002F04A7"/>
    <w:rsid w:val="002F12DE"/>
    <w:rsid w:val="002F1345"/>
    <w:rsid w:val="002F175E"/>
    <w:rsid w:val="002F1A30"/>
    <w:rsid w:val="002F253B"/>
    <w:rsid w:val="002F2543"/>
    <w:rsid w:val="002F29AB"/>
    <w:rsid w:val="002F2B48"/>
    <w:rsid w:val="002F2C11"/>
    <w:rsid w:val="002F2F35"/>
    <w:rsid w:val="002F3066"/>
    <w:rsid w:val="002F3236"/>
    <w:rsid w:val="002F36CA"/>
    <w:rsid w:val="002F37DF"/>
    <w:rsid w:val="002F3A30"/>
    <w:rsid w:val="002F3AD4"/>
    <w:rsid w:val="002F3D39"/>
    <w:rsid w:val="002F426A"/>
    <w:rsid w:val="002F4402"/>
    <w:rsid w:val="002F4518"/>
    <w:rsid w:val="002F475F"/>
    <w:rsid w:val="002F4B64"/>
    <w:rsid w:val="002F4EAA"/>
    <w:rsid w:val="002F4F02"/>
    <w:rsid w:val="002F58E7"/>
    <w:rsid w:val="002F69A5"/>
    <w:rsid w:val="002F730B"/>
    <w:rsid w:val="002F7623"/>
    <w:rsid w:val="002F7C4A"/>
    <w:rsid w:val="00300388"/>
    <w:rsid w:val="003005FC"/>
    <w:rsid w:val="00300916"/>
    <w:rsid w:val="00300EA2"/>
    <w:rsid w:val="00300F15"/>
    <w:rsid w:val="00300F8C"/>
    <w:rsid w:val="00301326"/>
    <w:rsid w:val="00301564"/>
    <w:rsid w:val="00301588"/>
    <w:rsid w:val="0030168E"/>
    <w:rsid w:val="0030197F"/>
    <w:rsid w:val="00302D25"/>
    <w:rsid w:val="0030356E"/>
    <w:rsid w:val="003037DA"/>
    <w:rsid w:val="00303A3E"/>
    <w:rsid w:val="00303DC6"/>
    <w:rsid w:val="00303DC8"/>
    <w:rsid w:val="0030472B"/>
    <w:rsid w:val="003050D8"/>
    <w:rsid w:val="00305391"/>
    <w:rsid w:val="003054E6"/>
    <w:rsid w:val="0030564D"/>
    <w:rsid w:val="00305710"/>
    <w:rsid w:val="00305868"/>
    <w:rsid w:val="00305CB6"/>
    <w:rsid w:val="003063B8"/>
    <w:rsid w:val="00306437"/>
    <w:rsid w:val="003064FE"/>
    <w:rsid w:val="0030684B"/>
    <w:rsid w:val="003072A0"/>
    <w:rsid w:val="003077B9"/>
    <w:rsid w:val="00307CEF"/>
    <w:rsid w:val="00310261"/>
    <w:rsid w:val="0031089F"/>
    <w:rsid w:val="00310F07"/>
    <w:rsid w:val="00310FDE"/>
    <w:rsid w:val="00311009"/>
    <w:rsid w:val="00311042"/>
    <w:rsid w:val="00311162"/>
    <w:rsid w:val="00311287"/>
    <w:rsid w:val="003118A0"/>
    <w:rsid w:val="00311B28"/>
    <w:rsid w:val="00311B5C"/>
    <w:rsid w:val="003122DF"/>
    <w:rsid w:val="00312B25"/>
    <w:rsid w:val="00312B7D"/>
    <w:rsid w:val="00312F0E"/>
    <w:rsid w:val="003132BB"/>
    <w:rsid w:val="00313929"/>
    <w:rsid w:val="003139F2"/>
    <w:rsid w:val="00313DD3"/>
    <w:rsid w:val="00314AF0"/>
    <w:rsid w:val="00315232"/>
    <w:rsid w:val="0031585D"/>
    <w:rsid w:val="00315C9D"/>
    <w:rsid w:val="00315E9B"/>
    <w:rsid w:val="00315F22"/>
    <w:rsid w:val="00315F6D"/>
    <w:rsid w:val="00315FE8"/>
    <w:rsid w:val="003160B2"/>
    <w:rsid w:val="0031621E"/>
    <w:rsid w:val="003163CC"/>
    <w:rsid w:val="00316E8D"/>
    <w:rsid w:val="00316EB1"/>
    <w:rsid w:val="00317231"/>
    <w:rsid w:val="00317451"/>
    <w:rsid w:val="003176C9"/>
    <w:rsid w:val="003177E9"/>
    <w:rsid w:val="00320158"/>
    <w:rsid w:val="00320E6E"/>
    <w:rsid w:val="00321B47"/>
    <w:rsid w:val="00321C69"/>
    <w:rsid w:val="0032200B"/>
    <w:rsid w:val="00322784"/>
    <w:rsid w:val="00322A39"/>
    <w:rsid w:val="003231D0"/>
    <w:rsid w:val="003231F2"/>
    <w:rsid w:val="003234C1"/>
    <w:rsid w:val="003235DB"/>
    <w:rsid w:val="003236AB"/>
    <w:rsid w:val="003239B8"/>
    <w:rsid w:val="00323D12"/>
    <w:rsid w:val="00323DFE"/>
    <w:rsid w:val="00324573"/>
    <w:rsid w:val="00324B24"/>
    <w:rsid w:val="0032511F"/>
    <w:rsid w:val="0032588C"/>
    <w:rsid w:val="00325C00"/>
    <w:rsid w:val="00325E58"/>
    <w:rsid w:val="00326201"/>
    <w:rsid w:val="003262B4"/>
    <w:rsid w:val="003263E2"/>
    <w:rsid w:val="003267D4"/>
    <w:rsid w:val="00326CD2"/>
    <w:rsid w:val="00326D91"/>
    <w:rsid w:val="003270C8"/>
    <w:rsid w:val="003271A9"/>
    <w:rsid w:val="0032746D"/>
    <w:rsid w:val="00327526"/>
    <w:rsid w:val="003300C0"/>
    <w:rsid w:val="003305A0"/>
    <w:rsid w:val="0033153D"/>
    <w:rsid w:val="00331866"/>
    <w:rsid w:val="00331AE8"/>
    <w:rsid w:val="00332426"/>
    <w:rsid w:val="00332490"/>
    <w:rsid w:val="0033249E"/>
    <w:rsid w:val="00332845"/>
    <w:rsid w:val="003329F5"/>
    <w:rsid w:val="00332C08"/>
    <w:rsid w:val="00332C81"/>
    <w:rsid w:val="00332CF7"/>
    <w:rsid w:val="00332E37"/>
    <w:rsid w:val="00333828"/>
    <w:rsid w:val="00333E3B"/>
    <w:rsid w:val="003344BE"/>
    <w:rsid w:val="00334C8D"/>
    <w:rsid w:val="003358B0"/>
    <w:rsid w:val="0033597E"/>
    <w:rsid w:val="00336123"/>
    <w:rsid w:val="00336311"/>
    <w:rsid w:val="00336915"/>
    <w:rsid w:val="00336CB6"/>
    <w:rsid w:val="00336EF4"/>
    <w:rsid w:val="0033711B"/>
    <w:rsid w:val="003377CD"/>
    <w:rsid w:val="003377CE"/>
    <w:rsid w:val="00337860"/>
    <w:rsid w:val="00337D14"/>
    <w:rsid w:val="00340508"/>
    <w:rsid w:val="00341569"/>
    <w:rsid w:val="003416FE"/>
    <w:rsid w:val="00341D49"/>
    <w:rsid w:val="00341E5A"/>
    <w:rsid w:val="00341F0B"/>
    <w:rsid w:val="0034227F"/>
    <w:rsid w:val="003423B6"/>
    <w:rsid w:val="003425D8"/>
    <w:rsid w:val="00342E7E"/>
    <w:rsid w:val="00343007"/>
    <w:rsid w:val="0034304E"/>
    <w:rsid w:val="003434AA"/>
    <w:rsid w:val="00343754"/>
    <w:rsid w:val="00343E1F"/>
    <w:rsid w:val="00343E28"/>
    <w:rsid w:val="00343F8D"/>
    <w:rsid w:val="00344257"/>
    <w:rsid w:val="00344464"/>
    <w:rsid w:val="003448DB"/>
    <w:rsid w:val="00344988"/>
    <w:rsid w:val="00344C6F"/>
    <w:rsid w:val="00345009"/>
    <w:rsid w:val="00345071"/>
    <w:rsid w:val="00345701"/>
    <w:rsid w:val="00345A2D"/>
    <w:rsid w:val="00345F6D"/>
    <w:rsid w:val="003463B5"/>
    <w:rsid w:val="003466AD"/>
    <w:rsid w:val="0034688E"/>
    <w:rsid w:val="003468BE"/>
    <w:rsid w:val="0034696D"/>
    <w:rsid w:val="00346A5F"/>
    <w:rsid w:val="00346EB3"/>
    <w:rsid w:val="00347982"/>
    <w:rsid w:val="00347B49"/>
    <w:rsid w:val="00347F63"/>
    <w:rsid w:val="00350434"/>
    <w:rsid w:val="00350440"/>
    <w:rsid w:val="0035050C"/>
    <w:rsid w:val="003505A8"/>
    <w:rsid w:val="003506A1"/>
    <w:rsid w:val="00350784"/>
    <w:rsid w:val="003508D9"/>
    <w:rsid w:val="003508E7"/>
    <w:rsid w:val="00350C01"/>
    <w:rsid w:val="00350C5D"/>
    <w:rsid w:val="00350CF3"/>
    <w:rsid w:val="00350F9D"/>
    <w:rsid w:val="00351352"/>
    <w:rsid w:val="003514E8"/>
    <w:rsid w:val="00351B83"/>
    <w:rsid w:val="00351D4C"/>
    <w:rsid w:val="003524DB"/>
    <w:rsid w:val="00352795"/>
    <w:rsid w:val="00352961"/>
    <w:rsid w:val="00352ACE"/>
    <w:rsid w:val="00352D42"/>
    <w:rsid w:val="00352DDB"/>
    <w:rsid w:val="00352DE2"/>
    <w:rsid w:val="00353059"/>
    <w:rsid w:val="003532E3"/>
    <w:rsid w:val="003534A7"/>
    <w:rsid w:val="00353CE5"/>
    <w:rsid w:val="003540BA"/>
    <w:rsid w:val="003543F2"/>
    <w:rsid w:val="00354A63"/>
    <w:rsid w:val="00355013"/>
    <w:rsid w:val="003550A7"/>
    <w:rsid w:val="003550E9"/>
    <w:rsid w:val="00355688"/>
    <w:rsid w:val="0035568A"/>
    <w:rsid w:val="00355A98"/>
    <w:rsid w:val="00355BF2"/>
    <w:rsid w:val="00355D7C"/>
    <w:rsid w:val="00356042"/>
    <w:rsid w:val="00356067"/>
    <w:rsid w:val="00356528"/>
    <w:rsid w:val="0035656F"/>
    <w:rsid w:val="0035674D"/>
    <w:rsid w:val="00356BBF"/>
    <w:rsid w:val="0035709B"/>
    <w:rsid w:val="00357111"/>
    <w:rsid w:val="00357453"/>
    <w:rsid w:val="0035793D"/>
    <w:rsid w:val="00357F8B"/>
    <w:rsid w:val="0036034F"/>
    <w:rsid w:val="00360B66"/>
    <w:rsid w:val="00360E44"/>
    <w:rsid w:val="0036102E"/>
    <w:rsid w:val="003611B7"/>
    <w:rsid w:val="003611C6"/>
    <w:rsid w:val="0036124C"/>
    <w:rsid w:val="0036142D"/>
    <w:rsid w:val="003615E3"/>
    <w:rsid w:val="00361A26"/>
    <w:rsid w:val="00361B43"/>
    <w:rsid w:val="00361DEB"/>
    <w:rsid w:val="0036206C"/>
    <w:rsid w:val="0036256D"/>
    <w:rsid w:val="003628A1"/>
    <w:rsid w:val="00362FD2"/>
    <w:rsid w:val="003633BF"/>
    <w:rsid w:val="0036368B"/>
    <w:rsid w:val="00363A29"/>
    <w:rsid w:val="00363A6C"/>
    <w:rsid w:val="00363AD7"/>
    <w:rsid w:val="00364096"/>
    <w:rsid w:val="00364205"/>
    <w:rsid w:val="00364447"/>
    <w:rsid w:val="00364FA2"/>
    <w:rsid w:val="003655CF"/>
    <w:rsid w:val="00365834"/>
    <w:rsid w:val="00365A5C"/>
    <w:rsid w:val="00365AAE"/>
    <w:rsid w:val="00365E63"/>
    <w:rsid w:val="00365FD1"/>
    <w:rsid w:val="00366152"/>
    <w:rsid w:val="00366A64"/>
    <w:rsid w:val="00366E2B"/>
    <w:rsid w:val="00366F2A"/>
    <w:rsid w:val="003670FF"/>
    <w:rsid w:val="003674D3"/>
    <w:rsid w:val="00367501"/>
    <w:rsid w:val="00367524"/>
    <w:rsid w:val="00367803"/>
    <w:rsid w:val="003678EE"/>
    <w:rsid w:val="00367D53"/>
    <w:rsid w:val="00370253"/>
    <w:rsid w:val="00370EDA"/>
    <w:rsid w:val="00371A03"/>
    <w:rsid w:val="00371A98"/>
    <w:rsid w:val="00371F28"/>
    <w:rsid w:val="00372097"/>
    <w:rsid w:val="003722E1"/>
    <w:rsid w:val="0037257D"/>
    <w:rsid w:val="00372927"/>
    <w:rsid w:val="00372933"/>
    <w:rsid w:val="00372D60"/>
    <w:rsid w:val="00373369"/>
    <w:rsid w:val="00373542"/>
    <w:rsid w:val="00373543"/>
    <w:rsid w:val="00373B9F"/>
    <w:rsid w:val="00373CEA"/>
    <w:rsid w:val="00373E0E"/>
    <w:rsid w:val="003742AD"/>
    <w:rsid w:val="0037437F"/>
    <w:rsid w:val="00374750"/>
    <w:rsid w:val="003749BF"/>
    <w:rsid w:val="0037543A"/>
    <w:rsid w:val="00375491"/>
    <w:rsid w:val="003757D4"/>
    <w:rsid w:val="00375828"/>
    <w:rsid w:val="00375901"/>
    <w:rsid w:val="00375ADB"/>
    <w:rsid w:val="00375B97"/>
    <w:rsid w:val="00375CB8"/>
    <w:rsid w:val="00375FD2"/>
    <w:rsid w:val="00376119"/>
    <w:rsid w:val="00376623"/>
    <w:rsid w:val="00376820"/>
    <w:rsid w:val="00376D1E"/>
    <w:rsid w:val="00377555"/>
    <w:rsid w:val="00377571"/>
    <w:rsid w:val="003779E3"/>
    <w:rsid w:val="00377C92"/>
    <w:rsid w:val="003804EF"/>
    <w:rsid w:val="00380600"/>
    <w:rsid w:val="0038072A"/>
    <w:rsid w:val="00380BF9"/>
    <w:rsid w:val="003814BB"/>
    <w:rsid w:val="00381710"/>
    <w:rsid w:val="00382006"/>
    <w:rsid w:val="00382013"/>
    <w:rsid w:val="00382639"/>
    <w:rsid w:val="0038264D"/>
    <w:rsid w:val="0038276D"/>
    <w:rsid w:val="003828F8"/>
    <w:rsid w:val="00382A24"/>
    <w:rsid w:val="00382F56"/>
    <w:rsid w:val="003831F2"/>
    <w:rsid w:val="00383921"/>
    <w:rsid w:val="00383E1F"/>
    <w:rsid w:val="003843A2"/>
    <w:rsid w:val="00384B22"/>
    <w:rsid w:val="00384DE0"/>
    <w:rsid w:val="003850AF"/>
    <w:rsid w:val="00385193"/>
    <w:rsid w:val="0038563A"/>
    <w:rsid w:val="00385B03"/>
    <w:rsid w:val="00385BD1"/>
    <w:rsid w:val="00385D19"/>
    <w:rsid w:val="00385FB6"/>
    <w:rsid w:val="003863EE"/>
    <w:rsid w:val="00386657"/>
    <w:rsid w:val="003868AC"/>
    <w:rsid w:val="00386949"/>
    <w:rsid w:val="00386B44"/>
    <w:rsid w:val="00386BF6"/>
    <w:rsid w:val="00386E19"/>
    <w:rsid w:val="00386E25"/>
    <w:rsid w:val="00387310"/>
    <w:rsid w:val="003879F0"/>
    <w:rsid w:val="00387A56"/>
    <w:rsid w:val="003901DE"/>
    <w:rsid w:val="003903FA"/>
    <w:rsid w:val="00390D4C"/>
    <w:rsid w:val="003915EF"/>
    <w:rsid w:val="00391735"/>
    <w:rsid w:val="00391789"/>
    <w:rsid w:val="00391A36"/>
    <w:rsid w:val="00391A47"/>
    <w:rsid w:val="00391AC8"/>
    <w:rsid w:val="00391D0D"/>
    <w:rsid w:val="00391ECD"/>
    <w:rsid w:val="003923D4"/>
    <w:rsid w:val="003925F1"/>
    <w:rsid w:val="00392718"/>
    <w:rsid w:val="00392A2F"/>
    <w:rsid w:val="00392C04"/>
    <w:rsid w:val="00392D43"/>
    <w:rsid w:val="00392D66"/>
    <w:rsid w:val="00393624"/>
    <w:rsid w:val="00393652"/>
    <w:rsid w:val="00393944"/>
    <w:rsid w:val="00393F2F"/>
    <w:rsid w:val="0039405B"/>
    <w:rsid w:val="003943F6"/>
    <w:rsid w:val="00394477"/>
    <w:rsid w:val="00394C64"/>
    <w:rsid w:val="003953DB"/>
    <w:rsid w:val="00395860"/>
    <w:rsid w:val="00395BEA"/>
    <w:rsid w:val="00395C57"/>
    <w:rsid w:val="00395E23"/>
    <w:rsid w:val="0039651F"/>
    <w:rsid w:val="00396A06"/>
    <w:rsid w:val="00396CF2"/>
    <w:rsid w:val="00396E1C"/>
    <w:rsid w:val="003970A6"/>
    <w:rsid w:val="00397194"/>
    <w:rsid w:val="00397E03"/>
    <w:rsid w:val="003A0653"/>
    <w:rsid w:val="003A2341"/>
    <w:rsid w:val="003A342F"/>
    <w:rsid w:val="003A346E"/>
    <w:rsid w:val="003A3937"/>
    <w:rsid w:val="003A399B"/>
    <w:rsid w:val="003A3FF5"/>
    <w:rsid w:val="003A4419"/>
    <w:rsid w:val="003A49A3"/>
    <w:rsid w:val="003A4B75"/>
    <w:rsid w:val="003A50CD"/>
    <w:rsid w:val="003A524A"/>
    <w:rsid w:val="003A5E4B"/>
    <w:rsid w:val="003A664C"/>
    <w:rsid w:val="003A70D2"/>
    <w:rsid w:val="003A7293"/>
    <w:rsid w:val="003A73FA"/>
    <w:rsid w:val="003A7614"/>
    <w:rsid w:val="003A79A8"/>
    <w:rsid w:val="003A7E5D"/>
    <w:rsid w:val="003A7F53"/>
    <w:rsid w:val="003B0569"/>
    <w:rsid w:val="003B0A94"/>
    <w:rsid w:val="003B19BC"/>
    <w:rsid w:val="003B1E4B"/>
    <w:rsid w:val="003B228E"/>
    <w:rsid w:val="003B22A3"/>
    <w:rsid w:val="003B279C"/>
    <w:rsid w:val="003B2F11"/>
    <w:rsid w:val="003B2F89"/>
    <w:rsid w:val="003B3918"/>
    <w:rsid w:val="003B3AFF"/>
    <w:rsid w:val="003B3B4C"/>
    <w:rsid w:val="003B3D3E"/>
    <w:rsid w:val="003B3D95"/>
    <w:rsid w:val="003B41FF"/>
    <w:rsid w:val="003B42E7"/>
    <w:rsid w:val="003B447A"/>
    <w:rsid w:val="003B461C"/>
    <w:rsid w:val="003B47AB"/>
    <w:rsid w:val="003B4B14"/>
    <w:rsid w:val="003B4B6A"/>
    <w:rsid w:val="003B4BEB"/>
    <w:rsid w:val="003B4D1F"/>
    <w:rsid w:val="003B50E5"/>
    <w:rsid w:val="003B51B0"/>
    <w:rsid w:val="003B52CA"/>
    <w:rsid w:val="003B59C1"/>
    <w:rsid w:val="003B6312"/>
    <w:rsid w:val="003B644C"/>
    <w:rsid w:val="003B64FC"/>
    <w:rsid w:val="003B691F"/>
    <w:rsid w:val="003B699A"/>
    <w:rsid w:val="003B6B88"/>
    <w:rsid w:val="003B6C3C"/>
    <w:rsid w:val="003B6DE9"/>
    <w:rsid w:val="003B7204"/>
    <w:rsid w:val="003B7501"/>
    <w:rsid w:val="003B781B"/>
    <w:rsid w:val="003B78A4"/>
    <w:rsid w:val="003B7DEA"/>
    <w:rsid w:val="003C01D7"/>
    <w:rsid w:val="003C0B61"/>
    <w:rsid w:val="003C0DA1"/>
    <w:rsid w:val="003C103F"/>
    <w:rsid w:val="003C1057"/>
    <w:rsid w:val="003C1475"/>
    <w:rsid w:val="003C163B"/>
    <w:rsid w:val="003C1ACA"/>
    <w:rsid w:val="003C1C5E"/>
    <w:rsid w:val="003C1F90"/>
    <w:rsid w:val="003C2418"/>
    <w:rsid w:val="003C2487"/>
    <w:rsid w:val="003C256D"/>
    <w:rsid w:val="003C2715"/>
    <w:rsid w:val="003C2B00"/>
    <w:rsid w:val="003C3140"/>
    <w:rsid w:val="003C35E5"/>
    <w:rsid w:val="003C36A6"/>
    <w:rsid w:val="003C3C43"/>
    <w:rsid w:val="003C3C71"/>
    <w:rsid w:val="003C3D32"/>
    <w:rsid w:val="003C3D47"/>
    <w:rsid w:val="003C47E4"/>
    <w:rsid w:val="003C5050"/>
    <w:rsid w:val="003C5416"/>
    <w:rsid w:val="003C56DE"/>
    <w:rsid w:val="003C594C"/>
    <w:rsid w:val="003C5B41"/>
    <w:rsid w:val="003C5BB1"/>
    <w:rsid w:val="003C64D6"/>
    <w:rsid w:val="003C651F"/>
    <w:rsid w:val="003C6A50"/>
    <w:rsid w:val="003C6A5A"/>
    <w:rsid w:val="003C6B56"/>
    <w:rsid w:val="003C6F46"/>
    <w:rsid w:val="003C7116"/>
    <w:rsid w:val="003C71BA"/>
    <w:rsid w:val="003C78EB"/>
    <w:rsid w:val="003C7A9A"/>
    <w:rsid w:val="003C7AB6"/>
    <w:rsid w:val="003C7AC0"/>
    <w:rsid w:val="003D075B"/>
    <w:rsid w:val="003D0900"/>
    <w:rsid w:val="003D0D99"/>
    <w:rsid w:val="003D0F6C"/>
    <w:rsid w:val="003D0F89"/>
    <w:rsid w:val="003D18D9"/>
    <w:rsid w:val="003D18EE"/>
    <w:rsid w:val="003D2212"/>
    <w:rsid w:val="003D2A73"/>
    <w:rsid w:val="003D2FD7"/>
    <w:rsid w:val="003D33FD"/>
    <w:rsid w:val="003D377A"/>
    <w:rsid w:val="003D3D4A"/>
    <w:rsid w:val="003D404C"/>
    <w:rsid w:val="003D412A"/>
    <w:rsid w:val="003D4BD8"/>
    <w:rsid w:val="003D4C60"/>
    <w:rsid w:val="003D4DE4"/>
    <w:rsid w:val="003D4EA3"/>
    <w:rsid w:val="003D52A8"/>
    <w:rsid w:val="003D58C2"/>
    <w:rsid w:val="003D58FF"/>
    <w:rsid w:val="003D5B8E"/>
    <w:rsid w:val="003D6A2D"/>
    <w:rsid w:val="003D6AAA"/>
    <w:rsid w:val="003D6F7E"/>
    <w:rsid w:val="003D79A1"/>
    <w:rsid w:val="003D7CBB"/>
    <w:rsid w:val="003D7D07"/>
    <w:rsid w:val="003D7DC0"/>
    <w:rsid w:val="003E0EDB"/>
    <w:rsid w:val="003E1955"/>
    <w:rsid w:val="003E1BFA"/>
    <w:rsid w:val="003E1F18"/>
    <w:rsid w:val="003E29EA"/>
    <w:rsid w:val="003E2D5F"/>
    <w:rsid w:val="003E31DE"/>
    <w:rsid w:val="003E33BE"/>
    <w:rsid w:val="003E35E0"/>
    <w:rsid w:val="003E3B06"/>
    <w:rsid w:val="003E4545"/>
    <w:rsid w:val="003E4593"/>
    <w:rsid w:val="003E473D"/>
    <w:rsid w:val="003E490D"/>
    <w:rsid w:val="003E4A00"/>
    <w:rsid w:val="003E4AAC"/>
    <w:rsid w:val="003E4DC9"/>
    <w:rsid w:val="003E5B63"/>
    <w:rsid w:val="003E65AE"/>
    <w:rsid w:val="003E70CE"/>
    <w:rsid w:val="003E7D53"/>
    <w:rsid w:val="003E7D59"/>
    <w:rsid w:val="003E7E1D"/>
    <w:rsid w:val="003F082D"/>
    <w:rsid w:val="003F0B48"/>
    <w:rsid w:val="003F1131"/>
    <w:rsid w:val="003F1522"/>
    <w:rsid w:val="003F1DC2"/>
    <w:rsid w:val="003F1EEB"/>
    <w:rsid w:val="003F23A3"/>
    <w:rsid w:val="003F23A8"/>
    <w:rsid w:val="003F23C8"/>
    <w:rsid w:val="003F25B6"/>
    <w:rsid w:val="003F25CA"/>
    <w:rsid w:val="003F25F5"/>
    <w:rsid w:val="003F2A1B"/>
    <w:rsid w:val="003F2A34"/>
    <w:rsid w:val="003F2F4B"/>
    <w:rsid w:val="003F3673"/>
    <w:rsid w:val="003F3AE1"/>
    <w:rsid w:val="003F3B0B"/>
    <w:rsid w:val="003F3C97"/>
    <w:rsid w:val="003F40B7"/>
    <w:rsid w:val="003F4516"/>
    <w:rsid w:val="003F4995"/>
    <w:rsid w:val="003F4AFC"/>
    <w:rsid w:val="003F4FA6"/>
    <w:rsid w:val="003F50FF"/>
    <w:rsid w:val="003F5493"/>
    <w:rsid w:val="003F550A"/>
    <w:rsid w:val="003F5570"/>
    <w:rsid w:val="003F5619"/>
    <w:rsid w:val="003F561E"/>
    <w:rsid w:val="003F6227"/>
    <w:rsid w:val="003F66A3"/>
    <w:rsid w:val="003F66EF"/>
    <w:rsid w:val="003F6757"/>
    <w:rsid w:val="003F6966"/>
    <w:rsid w:val="003F6DC3"/>
    <w:rsid w:val="003F6E2D"/>
    <w:rsid w:val="003F77C5"/>
    <w:rsid w:val="003F7807"/>
    <w:rsid w:val="003F7ADC"/>
    <w:rsid w:val="003F7CDB"/>
    <w:rsid w:val="004001B1"/>
    <w:rsid w:val="004008EB"/>
    <w:rsid w:val="00400D82"/>
    <w:rsid w:val="00400F16"/>
    <w:rsid w:val="00401089"/>
    <w:rsid w:val="00401525"/>
    <w:rsid w:val="004016D1"/>
    <w:rsid w:val="0040184A"/>
    <w:rsid w:val="004021C5"/>
    <w:rsid w:val="00402223"/>
    <w:rsid w:val="00402516"/>
    <w:rsid w:val="004026A4"/>
    <w:rsid w:val="004027EF"/>
    <w:rsid w:val="00402809"/>
    <w:rsid w:val="00402C59"/>
    <w:rsid w:val="00402D67"/>
    <w:rsid w:val="00402DCA"/>
    <w:rsid w:val="00402EEF"/>
    <w:rsid w:val="00403035"/>
    <w:rsid w:val="004030B4"/>
    <w:rsid w:val="004032DD"/>
    <w:rsid w:val="004035FE"/>
    <w:rsid w:val="004048B4"/>
    <w:rsid w:val="00404942"/>
    <w:rsid w:val="00404FD2"/>
    <w:rsid w:val="00404FD7"/>
    <w:rsid w:val="00405297"/>
    <w:rsid w:val="00405B57"/>
    <w:rsid w:val="0040638D"/>
    <w:rsid w:val="0040690E"/>
    <w:rsid w:val="00406C95"/>
    <w:rsid w:val="00406CD7"/>
    <w:rsid w:val="00406DC3"/>
    <w:rsid w:val="004077BF"/>
    <w:rsid w:val="00407E12"/>
    <w:rsid w:val="00407E7B"/>
    <w:rsid w:val="00410300"/>
    <w:rsid w:val="004103E8"/>
    <w:rsid w:val="004105FB"/>
    <w:rsid w:val="00410787"/>
    <w:rsid w:val="00410A7B"/>
    <w:rsid w:val="0041191F"/>
    <w:rsid w:val="00411B9C"/>
    <w:rsid w:val="00411DE4"/>
    <w:rsid w:val="00412725"/>
    <w:rsid w:val="00412BD3"/>
    <w:rsid w:val="00412CD3"/>
    <w:rsid w:val="00412E3C"/>
    <w:rsid w:val="0041311A"/>
    <w:rsid w:val="00413449"/>
    <w:rsid w:val="00413BF5"/>
    <w:rsid w:val="00413E56"/>
    <w:rsid w:val="00413E6E"/>
    <w:rsid w:val="0041419D"/>
    <w:rsid w:val="004141AC"/>
    <w:rsid w:val="00414839"/>
    <w:rsid w:val="00414988"/>
    <w:rsid w:val="00414B6B"/>
    <w:rsid w:val="00414C57"/>
    <w:rsid w:val="00414D2C"/>
    <w:rsid w:val="00414F22"/>
    <w:rsid w:val="004153B4"/>
    <w:rsid w:val="00415426"/>
    <w:rsid w:val="0041553B"/>
    <w:rsid w:val="0041599C"/>
    <w:rsid w:val="00415A28"/>
    <w:rsid w:val="00415B0A"/>
    <w:rsid w:val="00415B0F"/>
    <w:rsid w:val="00415BAA"/>
    <w:rsid w:val="00415C15"/>
    <w:rsid w:val="00415E71"/>
    <w:rsid w:val="00416191"/>
    <w:rsid w:val="00416505"/>
    <w:rsid w:val="00416818"/>
    <w:rsid w:val="0041798A"/>
    <w:rsid w:val="00417FBE"/>
    <w:rsid w:val="004202C4"/>
    <w:rsid w:val="004205AF"/>
    <w:rsid w:val="0042099B"/>
    <w:rsid w:val="00420E48"/>
    <w:rsid w:val="00421147"/>
    <w:rsid w:val="0042125D"/>
    <w:rsid w:val="004212BC"/>
    <w:rsid w:val="00421531"/>
    <w:rsid w:val="004217A0"/>
    <w:rsid w:val="004217CF"/>
    <w:rsid w:val="00421840"/>
    <w:rsid w:val="00421981"/>
    <w:rsid w:val="00421B9E"/>
    <w:rsid w:val="00422775"/>
    <w:rsid w:val="00422817"/>
    <w:rsid w:val="00422837"/>
    <w:rsid w:val="004229E8"/>
    <w:rsid w:val="00423077"/>
    <w:rsid w:val="00423097"/>
    <w:rsid w:val="00424A31"/>
    <w:rsid w:val="004250D9"/>
    <w:rsid w:val="00425246"/>
    <w:rsid w:val="004254AF"/>
    <w:rsid w:val="00425B1B"/>
    <w:rsid w:val="00426039"/>
    <w:rsid w:val="0042621B"/>
    <w:rsid w:val="00426C33"/>
    <w:rsid w:val="00426E2C"/>
    <w:rsid w:val="00427562"/>
    <w:rsid w:val="0042783D"/>
    <w:rsid w:val="004278CD"/>
    <w:rsid w:val="00427C1A"/>
    <w:rsid w:val="00427C20"/>
    <w:rsid w:val="00427CA8"/>
    <w:rsid w:val="00427DAD"/>
    <w:rsid w:val="004304C2"/>
    <w:rsid w:val="00430B59"/>
    <w:rsid w:val="00430BBA"/>
    <w:rsid w:val="00430C31"/>
    <w:rsid w:val="00430EB1"/>
    <w:rsid w:val="00431111"/>
    <w:rsid w:val="004312CF"/>
    <w:rsid w:val="00431654"/>
    <w:rsid w:val="00431846"/>
    <w:rsid w:val="0043199A"/>
    <w:rsid w:val="00431A02"/>
    <w:rsid w:val="00431E06"/>
    <w:rsid w:val="00431F31"/>
    <w:rsid w:val="00432426"/>
    <w:rsid w:val="004325C2"/>
    <w:rsid w:val="004325D7"/>
    <w:rsid w:val="0043306E"/>
    <w:rsid w:val="0043389C"/>
    <w:rsid w:val="00433B40"/>
    <w:rsid w:val="00433B4E"/>
    <w:rsid w:val="00433FAA"/>
    <w:rsid w:val="004343ED"/>
    <w:rsid w:val="00434530"/>
    <w:rsid w:val="00434E85"/>
    <w:rsid w:val="00434FB0"/>
    <w:rsid w:val="0043519E"/>
    <w:rsid w:val="004355CC"/>
    <w:rsid w:val="00436174"/>
    <w:rsid w:val="0043676F"/>
    <w:rsid w:val="0043696B"/>
    <w:rsid w:val="004369BA"/>
    <w:rsid w:val="00436A73"/>
    <w:rsid w:val="00436BB4"/>
    <w:rsid w:val="00436C88"/>
    <w:rsid w:val="00436D93"/>
    <w:rsid w:val="0043726C"/>
    <w:rsid w:val="00437543"/>
    <w:rsid w:val="0043769B"/>
    <w:rsid w:val="00437C42"/>
    <w:rsid w:val="00437D2D"/>
    <w:rsid w:val="00437F8A"/>
    <w:rsid w:val="00440188"/>
    <w:rsid w:val="0044031B"/>
    <w:rsid w:val="00440461"/>
    <w:rsid w:val="00440487"/>
    <w:rsid w:val="004406CC"/>
    <w:rsid w:val="00440767"/>
    <w:rsid w:val="00441904"/>
    <w:rsid w:val="00441CD1"/>
    <w:rsid w:val="00442141"/>
    <w:rsid w:val="00442313"/>
    <w:rsid w:val="004423DA"/>
    <w:rsid w:val="004423EA"/>
    <w:rsid w:val="004426A7"/>
    <w:rsid w:val="004426D3"/>
    <w:rsid w:val="00442AA4"/>
    <w:rsid w:val="00442AF7"/>
    <w:rsid w:val="00442BEE"/>
    <w:rsid w:val="00443264"/>
    <w:rsid w:val="004433FF"/>
    <w:rsid w:val="004437E2"/>
    <w:rsid w:val="00443BB9"/>
    <w:rsid w:val="00443CDD"/>
    <w:rsid w:val="00443E94"/>
    <w:rsid w:val="004443E2"/>
    <w:rsid w:val="00444A01"/>
    <w:rsid w:val="00444E78"/>
    <w:rsid w:val="0044563F"/>
    <w:rsid w:val="00445768"/>
    <w:rsid w:val="004459C1"/>
    <w:rsid w:val="004466A3"/>
    <w:rsid w:val="00446B98"/>
    <w:rsid w:val="00447798"/>
    <w:rsid w:val="00447FF2"/>
    <w:rsid w:val="00450901"/>
    <w:rsid w:val="0045097B"/>
    <w:rsid w:val="00450DEE"/>
    <w:rsid w:val="004511D1"/>
    <w:rsid w:val="00451460"/>
    <w:rsid w:val="00451540"/>
    <w:rsid w:val="004515A6"/>
    <w:rsid w:val="00451A06"/>
    <w:rsid w:val="00451C62"/>
    <w:rsid w:val="00452191"/>
    <w:rsid w:val="00452302"/>
    <w:rsid w:val="004525B4"/>
    <w:rsid w:val="004525C0"/>
    <w:rsid w:val="0045263A"/>
    <w:rsid w:val="00452849"/>
    <w:rsid w:val="00452BA5"/>
    <w:rsid w:val="0045335F"/>
    <w:rsid w:val="004535AD"/>
    <w:rsid w:val="00453C49"/>
    <w:rsid w:val="00453C94"/>
    <w:rsid w:val="00453F08"/>
    <w:rsid w:val="004544FC"/>
    <w:rsid w:val="00454560"/>
    <w:rsid w:val="00454711"/>
    <w:rsid w:val="00454820"/>
    <w:rsid w:val="00454B72"/>
    <w:rsid w:val="00454EC1"/>
    <w:rsid w:val="004550B6"/>
    <w:rsid w:val="00455214"/>
    <w:rsid w:val="00455267"/>
    <w:rsid w:val="004552F1"/>
    <w:rsid w:val="00455562"/>
    <w:rsid w:val="00455582"/>
    <w:rsid w:val="00455784"/>
    <w:rsid w:val="004557D4"/>
    <w:rsid w:val="004558F8"/>
    <w:rsid w:val="00455916"/>
    <w:rsid w:val="00455B91"/>
    <w:rsid w:val="00455DBA"/>
    <w:rsid w:val="0045639A"/>
    <w:rsid w:val="00456D95"/>
    <w:rsid w:val="00456E35"/>
    <w:rsid w:val="00457204"/>
    <w:rsid w:val="00457305"/>
    <w:rsid w:val="00457B6F"/>
    <w:rsid w:val="00457C9F"/>
    <w:rsid w:val="00457DB6"/>
    <w:rsid w:val="00460046"/>
    <w:rsid w:val="0046057A"/>
    <w:rsid w:val="00460842"/>
    <w:rsid w:val="00460B2A"/>
    <w:rsid w:val="00460F01"/>
    <w:rsid w:val="00460F6E"/>
    <w:rsid w:val="00461115"/>
    <w:rsid w:val="0046112B"/>
    <w:rsid w:val="00461BC8"/>
    <w:rsid w:val="00461E92"/>
    <w:rsid w:val="00461F51"/>
    <w:rsid w:val="004620BC"/>
    <w:rsid w:val="0046264E"/>
    <w:rsid w:val="004626A2"/>
    <w:rsid w:val="00462801"/>
    <w:rsid w:val="00462F13"/>
    <w:rsid w:val="00463298"/>
    <w:rsid w:val="0046347C"/>
    <w:rsid w:val="0046397D"/>
    <w:rsid w:val="004639A0"/>
    <w:rsid w:val="004642E3"/>
    <w:rsid w:val="00464826"/>
    <w:rsid w:val="004656F5"/>
    <w:rsid w:val="00465B45"/>
    <w:rsid w:val="00465F05"/>
    <w:rsid w:val="0046658A"/>
    <w:rsid w:val="00467036"/>
    <w:rsid w:val="00467217"/>
    <w:rsid w:val="00467269"/>
    <w:rsid w:val="004673FC"/>
    <w:rsid w:val="00467588"/>
    <w:rsid w:val="00467FB1"/>
    <w:rsid w:val="004702EB"/>
    <w:rsid w:val="00470688"/>
    <w:rsid w:val="004708A5"/>
    <w:rsid w:val="00470A2F"/>
    <w:rsid w:val="00470C4B"/>
    <w:rsid w:val="00470CFF"/>
    <w:rsid w:val="00470D40"/>
    <w:rsid w:val="00470F83"/>
    <w:rsid w:val="00471380"/>
    <w:rsid w:val="0047140E"/>
    <w:rsid w:val="004714DC"/>
    <w:rsid w:val="004716FD"/>
    <w:rsid w:val="00471F0C"/>
    <w:rsid w:val="004721C8"/>
    <w:rsid w:val="00472373"/>
    <w:rsid w:val="00472795"/>
    <w:rsid w:val="00472AEA"/>
    <w:rsid w:val="00472CDE"/>
    <w:rsid w:val="00472DD4"/>
    <w:rsid w:val="0047359B"/>
    <w:rsid w:val="004738E7"/>
    <w:rsid w:val="00473D84"/>
    <w:rsid w:val="00473E5A"/>
    <w:rsid w:val="004741CB"/>
    <w:rsid w:val="00474460"/>
    <w:rsid w:val="00474490"/>
    <w:rsid w:val="00474DBC"/>
    <w:rsid w:val="00475309"/>
    <w:rsid w:val="004755C7"/>
    <w:rsid w:val="00475EFE"/>
    <w:rsid w:val="0047664E"/>
    <w:rsid w:val="00476759"/>
    <w:rsid w:val="00476AFB"/>
    <w:rsid w:val="00476D92"/>
    <w:rsid w:val="00476EDE"/>
    <w:rsid w:val="00477576"/>
    <w:rsid w:val="00477C9D"/>
    <w:rsid w:val="00477CDB"/>
    <w:rsid w:val="00477D1F"/>
    <w:rsid w:val="00480145"/>
    <w:rsid w:val="0048085F"/>
    <w:rsid w:val="00480CCB"/>
    <w:rsid w:val="00480E6B"/>
    <w:rsid w:val="00480F44"/>
    <w:rsid w:val="00480FBB"/>
    <w:rsid w:val="004818CD"/>
    <w:rsid w:val="00481F3A"/>
    <w:rsid w:val="004820AB"/>
    <w:rsid w:val="00482F5C"/>
    <w:rsid w:val="0048302C"/>
    <w:rsid w:val="0048395F"/>
    <w:rsid w:val="004839F5"/>
    <w:rsid w:val="00483D55"/>
    <w:rsid w:val="00483FB9"/>
    <w:rsid w:val="0048433E"/>
    <w:rsid w:val="00484352"/>
    <w:rsid w:val="004843AB"/>
    <w:rsid w:val="00484CD2"/>
    <w:rsid w:val="004853BB"/>
    <w:rsid w:val="00485727"/>
    <w:rsid w:val="0048595C"/>
    <w:rsid w:val="00485964"/>
    <w:rsid w:val="00485A61"/>
    <w:rsid w:val="00485EFA"/>
    <w:rsid w:val="00486091"/>
    <w:rsid w:val="00486636"/>
    <w:rsid w:val="004866B3"/>
    <w:rsid w:val="004869AC"/>
    <w:rsid w:val="0048735B"/>
    <w:rsid w:val="004873A3"/>
    <w:rsid w:val="004875F1"/>
    <w:rsid w:val="0049063E"/>
    <w:rsid w:val="00490842"/>
    <w:rsid w:val="00490B23"/>
    <w:rsid w:val="0049122B"/>
    <w:rsid w:val="004912B6"/>
    <w:rsid w:val="004912C0"/>
    <w:rsid w:val="004918C6"/>
    <w:rsid w:val="00491A43"/>
    <w:rsid w:val="00492200"/>
    <w:rsid w:val="00492660"/>
    <w:rsid w:val="0049270F"/>
    <w:rsid w:val="004929E1"/>
    <w:rsid w:val="004931F4"/>
    <w:rsid w:val="00493460"/>
    <w:rsid w:val="0049381A"/>
    <w:rsid w:val="00493A9A"/>
    <w:rsid w:val="00493C47"/>
    <w:rsid w:val="00493DFF"/>
    <w:rsid w:val="00493F3C"/>
    <w:rsid w:val="004943C7"/>
    <w:rsid w:val="0049455C"/>
    <w:rsid w:val="004947F9"/>
    <w:rsid w:val="00495115"/>
    <w:rsid w:val="004958CB"/>
    <w:rsid w:val="0049634A"/>
    <w:rsid w:val="004963CD"/>
    <w:rsid w:val="00496941"/>
    <w:rsid w:val="00496E02"/>
    <w:rsid w:val="0049708E"/>
    <w:rsid w:val="004974EA"/>
    <w:rsid w:val="00497666"/>
    <w:rsid w:val="00497D7F"/>
    <w:rsid w:val="004A01DF"/>
    <w:rsid w:val="004A059C"/>
    <w:rsid w:val="004A06E3"/>
    <w:rsid w:val="004A09CE"/>
    <w:rsid w:val="004A0A1B"/>
    <w:rsid w:val="004A0B00"/>
    <w:rsid w:val="004A13E5"/>
    <w:rsid w:val="004A174D"/>
    <w:rsid w:val="004A1D27"/>
    <w:rsid w:val="004A271E"/>
    <w:rsid w:val="004A310B"/>
    <w:rsid w:val="004A339A"/>
    <w:rsid w:val="004A352F"/>
    <w:rsid w:val="004A3A7A"/>
    <w:rsid w:val="004A421D"/>
    <w:rsid w:val="004A4573"/>
    <w:rsid w:val="004A4718"/>
    <w:rsid w:val="004A51FF"/>
    <w:rsid w:val="004A565D"/>
    <w:rsid w:val="004A5753"/>
    <w:rsid w:val="004A58AF"/>
    <w:rsid w:val="004A6036"/>
    <w:rsid w:val="004A6359"/>
    <w:rsid w:val="004A646F"/>
    <w:rsid w:val="004A6DA6"/>
    <w:rsid w:val="004A712F"/>
    <w:rsid w:val="004A7BAC"/>
    <w:rsid w:val="004A7BC2"/>
    <w:rsid w:val="004A7C48"/>
    <w:rsid w:val="004B0349"/>
    <w:rsid w:val="004B0A4B"/>
    <w:rsid w:val="004B0C98"/>
    <w:rsid w:val="004B1301"/>
    <w:rsid w:val="004B181C"/>
    <w:rsid w:val="004B1A8E"/>
    <w:rsid w:val="004B1C67"/>
    <w:rsid w:val="004B1E06"/>
    <w:rsid w:val="004B243A"/>
    <w:rsid w:val="004B2B54"/>
    <w:rsid w:val="004B2C3B"/>
    <w:rsid w:val="004B2E4A"/>
    <w:rsid w:val="004B3504"/>
    <w:rsid w:val="004B36C4"/>
    <w:rsid w:val="004B3721"/>
    <w:rsid w:val="004B386F"/>
    <w:rsid w:val="004B3CC3"/>
    <w:rsid w:val="004B406B"/>
    <w:rsid w:val="004B417F"/>
    <w:rsid w:val="004B42D6"/>
    <w:rsid w:val="004B45AA"/>
    <w:rsid w:val="004B47E6"/>
    <w:rsid w:val="004B56B4"/>
    <w:rsid w:val="004B5E7B"/>
    <w:rsid w:val="004B6222"/>
    <w:rsid w:val="004B67F9"/>
    <w:rsid w:val="004B6C99"/>
    <w:rsid w:val="004B797A"/>
    <w:rsid w:val="004B7F2A"/>
    <w:rsid w:val="004C0183"/>
    <w:rsid w:val="004C0C40"/>
    <w:rsid w:val="004C1198"/>
    <w:rsid w:val="004C1395"/>
    <w:rsid w:val="004C14C2"/>
    <w:rsid w:val="004C1AF2"/>
    <w:rsid w:val="004C2386"/>
    <w:rsid w:val="004C2407"/>
    <w:rsid w:val="004C36AA"/>
    <w:rsid w:val="004C3822"/>
    <w:rsid w:val="004C3AA3"/>
    <w:rsid w:val="004C46DB"/>
    <w:rsid w:val="004C46EC"/>
    <w:rsid w:val="004C4DAA"/>
    <w:rsid w:val="004C4ED8"/>
    <w:rsid w:val="004C4FCC"/>
    <w:rsid w:val="004C58A5"/>
    <w:rsid w:val="004C5BD4"/>
    <w:rsid w:val="004C5C9A"/>
    <w:rsid w:val="004C6084"/>
    <w:rsid w:val="004C63BD"/>
    <w:rsid w:val="004C65DE"/>
    <w:rsid w:val="004C67B5"/>
    <w:rsid w:val="004C6B1A"/>
    <w:rsid w:val="004C6CEF"/>
    <w:rsid w:val="004C6E43"/>
    <w:rsid w:val="004C7425"/>
    <w:rsid w:val="004C7573"/>
    <w:rsid w:val="004C7820"/>
    <w:rsid w:val="004C7A2C"/>
    <w:rsid w:val="004C7AEE"/>
    <w:rsid w:val="004C7B79"/>
    <w:rsid w:val="004C7EC2"/>
    <w:rsid w:val="004D01CF"/>
    <w:rsid w:val="004D02C1"/>
    <w:rsid w:val="004D049E"/>
    <w:rsid w:val="004D05CB"/>
    <w:rsid w:val="004D0E66"/>
    <w:rsid w:val="004D0F95"/>
    <w:rsid w:val="004D0FC1"/>
    <w:rsid w:val="004D113D"/>
    <w:rsid w:val="004D1177"/>
    <w:rsid w:val="004D13FE"/>
    <w:rsid w:val="004D15A4"/>
    <w:rsid w:val="004D1F5A"/>
    <w:rsid w:val="004D2632"/>
    <w:rsid w:val="004D2DD0"/>
    <w:rsid w:val="004D3023"/>
    <w:rsid w:val="004D325D"/>
    <w:rsid w:val="004D359C"/>
    <w:rsid w:val="004D386B"/>
    <w:rsid w:val="004D4098"/>
    <w:rsid w:val="004D41E9"/>
    <w:rsid w:val="004D474B"/>
    <w:rsid w:val="004D4919"/>
    <w:rsid w:val="004D4C84"/>
    <w:rsid w:val="004D4CAE"/>
    <w:rsid w:val="004D5DC4"/>
    <w:rsid w:val="004D61FF"/>
    <w:rsid w:val="004D631C"/>
    <w:rsid w:val="004D6536"/>
    <w:rsid w:val="004D699A"/>
    <w:rsid w:val="004D6AF9"/>
    <w:rsid w:val="004D6BE2"/>
    <w:rsid w:val="004D6CD9"/>
    <w:rsid w:val="004D6CED"/>
    <w:rsid w:val="004D6FCB"/>
    <w:rsid w:val="004D7127"/>
    <w:rsid w:val="004D717E"/>
    <w:rsid w:val="004D7187"/>
    <w:rsid w:val="004D721A"/>
    <w:rsid w:val="004D74B2"/>
    <w:rsid w:val="004D77E4"/>
    <w:rsid w:val="004D77E7"/>
    <w:rsid w:val="004D7AFC"/>
    <w:rsid w:val="004E062D"/>
    <w:rsid w:val="004E09EA"/>
    <w:rsid w:val="004E0D09"/>
    <w:rsid w:val="004E10D7"/>
    <w:rsid w:val="004E14D7"/>
    <w:rsid w:val="004E1584"/>
    <w:rsid w:val="004E18D4"/>
    <w:rsid w:val="004E2215"/>
    <w:rsid w:val="004E2596"/>
    <w:rsid w:val="004E2788"/>
    <w:rsid w:val="004E2C2C"/>
    <w:rsid w:val="004E2D52"/>
    <w:rsid w:val="004E2EEC"/>
    <w:rsid w:val="004E35F9"/>
    <w:rsid w:val="004E3F2C"/>
    <w:rsid w:val="004E40E8"/>
    <w:rsid w:val="004E4120"/>
    <w:rsid w:val="004E476C"/>
    <w:rsid w:val="004E4C9F"/>
    <w:rsid w:val="004E4F1A"/>
    <w:rsid w:val="004E512E"/>
    <w:rsid w:val="004E5294"/>
    <w:rsid w:val="004E5634"/>
    <w:rsid w:val="004E56CB"/>
    <w:rsid w:val="004E56D9"/>
    <w:rsid w:val="004E58DF"/>
    <w:rsid w:val="004E5987"/>
    <w:rsid w:val="004E5BC8"/>
    <w:rsid w:val="004E5BF8"/>
    <w:rsid w:val="004E5DC8"/>
    <w:rsid w:val="004E5E06"/>
    <w:rsid w:val="004E5E67"/>
    <w:rsid w:val="004E5F42"/>
    <w:rsid w:val="004E6568"/>
    <w:rsid w:val="004E668D"/>
    <w:rsid w:val="004E68B2"/>
    <w:rsid w:val="004E6AE9"/>
    <w:rsid w:val="004E6CC1"/>
    <w:rsid w:val="004E7154"/>
    <w:rsid w:val="004E73F8"/>
    <w:rsid w:val="004E7435"/>
    <w:rsid w:val="004E7AF7"/>
    <w:rsid w:val="004F0403"/>
    <w:rsid w:val="004F069B"/>
    <w:rsid w:val="004F0F4A"/>
    <w:rsid w:val="004F1111"/>
    <w:rsid w:val="004F1669"/>
    <w:rsid w:val="004F1BC6"/>
    <w:rsid w:val="004F1E47"/>
    <w:rsid w:val="004F2105"/>
    <w:rsid w:val="004F228E"/>
    <w:rsid w:val="004F2B5A"/>
    <w:rsid w:val="004F30CA"/>
    <w:rsid w:val="004F33AA"/>
    <w:rsid w:val="004F35D7"/>
    <w:rsid w:val="004F364A"/>
    <w:rsid w:val="004F3923"/>
    <w:rsid w:val="004F3ABC"/>
    <w:rsid w:val="004F3C0A"/>
    <w:rsid w:val="004F417C"/>
    <w:rsid w:val="004F4576"/>
    <w:rsid w:val="004F4674"/>
    <w:rsid w:val="004F50F4"/>
    <w:rsid w:val="004F5F06"/>
    <w:rsid w:val="004F66AC"/>
    <w:rsid w:val="004F682E"/>
    <w:rsid w:val="004F6930"/>
    <w:rsid w:val="004F6BB8"/>
    <w:rsid w:val="004F6D6A"/>
    <w:rsid w:val="004F6DA6"/>
    <w:rsid w:val="004F6E5E"/>
    <w:rsid w:val="004F7A14"/>
    <w:rsid w:val="004F7BCB"/>
    <w:rsid w:val="004F7E84"/>
    <w:rsid w:val="00500163"/>
    <w:rsid w:val="00500B54"/>
    <w:rsid w:val="00500F60"/>
    <w:rsid w:val="005011A3"/>
    <w:rsid w:val="0050153B"/>
    <w:rsid w:val="00501578"/>
    <w:rsid w:val="00501856"/>
    <w:rsid w:val="00501AAF"/>
    <w:rsid w:val="00501CB8"/>
    <w:rsid w:val="00502764"/>
    <w:rsid w:val="005027DA"/>
    <w:rsid w:val="00502849"/>
    <w:rsid w:val="00502955"/>
    <w:rsid w:val="00502DC6"/>
    <w:rsid w:val="00502E42"/>
    <w:rsid w:val="00502EDF"/>
    <w:rsid w:val="00502F0F"/>
    <w:rsid w:val="00503387"/>
    <w:rsid w:val="00503423"/>
    <w:rsid w:val="0050365B"/>
    <w:rsid w:val="00503742"/>
    <w:rsid w:val="0050374A"/>
    <w:rsid w:val="0050374F"/>
    <w:rsid w:val="0050393B"/>
    <w:rsid w:val="00503A8C"/>
    <w:rsid w:val="00503A9F"/>
    <w:rsid w:val="00503BA6"/>
    <w:rsid w:val="00504345"/>
    <w:rsid w:val="005043B6"/>
    <w:rsid w:val="00504534"/>
    <w:rsid w:val="00504717"/>
    <w:rsid w:val="005047CF"/>
    <w:rsid w:val="00504922"/>
    <w:rsid w:val="00504BA0"/>
    <w:rsid w:val="005053DE"/>
    <w:rsid w:val="00505467"/>
    <w:rsid w:val="005055ED"/>
    <w:rsid w:val="0050564D"/>
    <w:rsid w:val="005056B1"/>
    <w:rsid w:val="0050570B"/>
    <w:rsid w:val="00505C4F"/>
    <w:rsid w:val="0050603A"/>
    <w:rsid w:val="005064CD"/>
    <w:rsid w:val="005068A0"/>
    <w:rsid w:val="005068B4"/>
    <w:rsid w:val="00506C81"/>
    <w:rsid w:val="0050739E"/>
    <w:rsid w:val="005079F6"/>
    <w:rsid w:val="00507A36"/>
    <w:rsid w:val="00507BE1"/>
    <w:rsid w:val="005105DE"/>
    <w:rsid w:val="005109C8"/>
    <w:rsid w:val="005110FC"/>
    <w:rsid w:val="00511F8F"/>
    <w:rsid w:val="005124BA"/>
    <w:rsid w:val="00512558"/>
    <w:rsid w:val="00513556"/>
    <w:rsid w:val="00513681"/>
    <w:rsid w:val="00513802"/>
    <w:rsid w:val="00513C71"/>
    <w:rsid w:val="00514302"/>
    <w:rsid w:val="00514323"/>
    <w:rsid w:val="00514637"/>
    <w:rsid w:val="00514703"/>
    <w:rsid w:val="00514F01"/>
    <w:rsid w:val="0051530B"/>
    <w:rsid w:val="005153F6"/>
    <w:rsid w:val="005157E3"/>
    <w:rsid w:val="00515CCE"/>
    <w:rsid w:val="00516284"/>
    <w:rsid w:val="0051656A"/>
    <w:rsid w:val="00516EC9"/>
    <w:rsid w:val="00516FAF"/>
    <w:rsid w:val="00517252"/>
    <w:rsid w:val="00517272"/>
    <w:rsid w:val="00517803"/>
    <w:rsid w:val="00517A0B"/>
    <w:rsid w:val="00520368"/>
    <w:rsid w:val="0052048C"/>
    <w:rsid w:val="00520625"/>
    <w:rsid w:val="00520DD7"/>
    <w:rsid w:val="00521153"/>
    <w:rsid w:val="005215CC"/>
    <w:rsid w:val="00521EE4"/>
    <w:rsid w:val="00521F68"/>
    <w:rsid w:val="005221E0"/>
    <w:rsid w:val="00522AB6"/>
    <w:rsid w:val="00523151"/>
    <w:rsid w:val="00523F99"/>
    <w:rsid w:val="005256B0"/>
    <w:rsid w:val="005257B6"/>
    <w:rsid w:val="0052582B"/>
    <w:rsid w:val="005259DC"/>
    <w:rsid w:val="00525D91"/>
    <w:rsid w:val="00525F2F"/>
    <w:rsid w:val="005262E5"/>
    <w:rsid w:val="005264FE"/>
    <w:rsid w:val="00526972"/>
    <w:rsid w:val="00526D79"/>
    <w:rsid w:val="00526E84"/>
    <w:rsid w:val="005277C7"/>
    <w:rsid w:val="00527CF4"/>
    <w:rsid w:val="005301B0"/>
    <w:rsid w:val="00530334"/>
    <w:rsid w:val="005309BC"/>
    <w:rsid w:val="00530FCD"/>
    <w:rsid w:val="0053167B"/>
    <w:rsid w:val="00531953"/>
    <w:rsid w:val="005319D5"/>
    <w:rsid w:val="00531AD2"/>
    <w:rsid w:val="00531C17"/>
    <w:rsid w:val="00531F31"/>
    <w:rsid w:val="00532314"/>
    <w:rsid w:val="005323A6"/>
    <w:rsid w:val="005327FB"/>
    <w:rsid w:val="005328E7"/>
    <w:rsid w:val="005329CA"/>
    <w:rsid w:val="00532EFD"/>
    <w:rsid w:val="0053302D"/>
    <w:rsid w:val="005334D5"/>
    <w:rsid w:val="00533C9F"/>
    <w:rsid w:val="005344D5"/>
    <w:rsid w:val="0053454E"/>
    <w:rsid w:val="00534CC0"/>
    <w:rsid w:val="00535116"/>
    <w:rsid w:val="00535220"/>
    <w:rsid w:val="005354AF"/>
    <w:rsid w:val="00535532"/>
    <w:rsid w:val="00535576"/>
    <w:rsid w:val="0053573B"/>
    <w:rsid w:val="00535AEC"/>
    <w:rsid w:val="00535BA7"/>
    <w:rsid w:val="00535CD1"/>
    <w:rsid w:val="00535E63"/>
    <w:rsid w:val="005365ED"/>
    <w:rsid w:val="00536AFF"/>
    <w:rsid w:val="00536E6D"/>
    <w:rsid w:val="00536FED"/>
    <w:rsid w:val="00537605"/>
    <w:rsid w:val="0053773C"/>
    <w:rsid w:val="00537900"/>
    <w:rsid w:val="0054050C"/>
    <w:rsid w:val="0054095A"/>
    <w:rsid w:val="00540A87"/>
    <w:rsid w:val="00540BD3"/>
    <w:rsid w:val="0054132B"/>
    <w:rsid w:val="005413C5"/>
    <w:rsid w:val="005416C7"/>
    <w:rsid w:val="005416E3"/>
    <w:rsid w:val="005418D8"/>
    <w:rsid w:val="00541B44"/>
    <w:rsid w:val="00541D21"/>
    <w:rsid w:val="0054209F"/>
    <w:rsid w:val="00542140"/>
    <w:rsid w:val="0054289F"/>
    <w:rsid w:val="005429EC"/>
    <w:rsid w:val="00542B2C"/>
    <w:rsid w:val="00542ED2"/>
    <w:rsid w:val="005430C1"/>
    <w:rsid w:val="005430E9"/>
    <w:rsid w:val="005436F6"/>
    <w:rsid w:val="0054377A"/>
    <w:rsid w:val="005443D1"/>
    <w:rsid w:val="005446AD"/>
    <w:rsid w:val="005448B5"/>
    <w:rsid w:val="00544C68"/>
    <w:rsid w:val="00544C86"/>
    <w:rsid w:val="00544E46"/>
    <w:rsid w:val="00545533"/>
    <w:rsid w:val="0054555F"/>
    <w:rsid w:val="0054556B"/>
    <w:rsid w:val="0054582B"/>
    <w:rsid w:val="00545A31"/>
    <w:rsid w:val="00545E28"/>
    <w:rsid w:val="00545E7B"/>
    <w:rsid w:val="00546044"/>
    <w:rsid w:val="00546F21"/>
    <w:rsid w:val="005470F6"/>
    <w:rsid w:val="0054746B"/>
    <w:rsid w:val="00547CCA"/>
    <w:rsid w:val="00547D3D"/>
    <w:rsid w:val="00547D6B"/>
    <w:rsid w:val="00547F25"/>
    <w:rsid w:val="005506E5"/>
    <w:rsid w:val="00550B41"/>
    <w:rsid w:val="00550BC5"/>
    <w:rsid w:val="00550F44"/>
    <w:rsid w:val="00551324"/>
    <w:rsid w:val="0055148C"/>
    <w:rsid w:val="005515C8"/>
    <w:rsid w:val="00551B92"/>
    <w:rsid w:val="005522B5"/>
    <w:rsid w:val="00552569"/>
    <w:rsid w:val="00552C58"/>
    <w:rsid w:val="00552D79"/>
    <w:rsid w:val="00553369"/>
    <w:rsid w:val="005535E5"/>
    <w:rsid w:val="00553ACC"/>
    <w:rsid w:val="00553C1C"/>
    <w:rsid w:val="00553E26"/>
    <w:rsid w:val="00553F99"/>
    <w:rsid w:val="00554051"/>
    <w:rsid w:val="005543F8"/>
    <w:rsid w:val="00554430"/>
    <w:rsid w:val="00554ADC"/>
    <w:rsid w:val="00554C1E"/>
    <w:rsid w:val="00555747"/>
    <w:rsid w:val="005558EB"/>
    <w:rsid w:val="0055594C"/>
    <w:rsid w:val="00555D34"/>
    <w:rsid w:val="00556564"/>
    <w:rsid w:val="00556926"/>
    <w:rsid w:val="00556FEC"/>
    <w:rsid w:val="0055737A"/>
    <w:rsid w:val="00557CA3"/>
    <w:rsid w:val="00557D79"/>
    <w:rsid w:val="005604C2"/>
    <w:rsid w:val="00560560"/>
    <w:rsid w:val="00560833"/>
    <w:rsid w:val="00560A0A"/>
    <w:rsid w:val="00560B2C"/>
    <w:rsid w:val="00560CA5"/>
    <w:rsid w:val="00560CB6"/>
    <w:rsid w:val="00561630"/>
    <w:rsid w:val="00561969"/>
    <w:rsid w:val="00561A42"/>
    <w:rsid w:val="00561BCD"/>
    <w:rsid w:val="00561E8E"/>
    <w:rsid w:val="0056244D"/>
    <w:rsid w:val="005626A1"/>
    <w:rsid w:val="005626A8"/>
    <w:rsid w:val="00562759"/>
    <w:rsid w:val="00562B6F"/>
    <w:rsid w:val="00562D10"/>
    <w:rsid w:val="005632EF"/>
    <w:rsid w:val="005633F4"/>
    <w:rsid w:val="00563551"/>
    <w:rsid w:val="005637C5"/>
    <w:rsid w:val="0056398E"/>
    <w:rsid w:val="00563AA5"/>
    <w:rsid w:val="005643BC"/>
    <w:rsid w:val="00564438"/>
    <w:rsid w:val="00564729"/>
    <w:rsid w:val="00564B5C"/>
    <w:rsid w:val="00564B80"/>
    <w:rsid w:val="00564BDF"/>
    <w:rsid w:val="00564EF8"/>
    <w:rsid w:val="00564F62"/>
    <w:rsid w:val="00564FF3"/>
    <w:rsid w:val="005652A1"/>
    <w:rsid w:val="0056545C"/>
    <w:rsid w:val="00565AC5"/>
    <w:rsid w:val="00565B6A"/>
    <w:rsid w:val="00565CC0"/>
    <w:rsid w:val="00565E9B"/>
    <w:rsid w:val="005664FD"/>
    <w:rsid w:val="00566787"/>
    <w:rsid w:val="00566A67"/>
    <w:rsid w:val="00566AA2"/>
    <w:rsid w:val="00566C0E"/>
    <w:rsid w:val="0056775B"/>
    <w:rsid w:val="00567A17"/>
    <w:rsid w:val="0057048F"/>
    <w:rsid w:val="00570957"/>
    <w:rsid w:val="00570A4D"/>
    <w:rsid w:val="00570ACC"/>
    <w:rsid w:val="00570B7B"/>
    <w:rsid w:val="005713C1"/>
    <w:rsid w:val="0057164A"/>
    <w:rsid w:val="00572272"/>
    <w:rsid w:val="005722A3"/>
    <w:rsid w:val="00572AB5"/>
    <w:rsid w:val="00572B94"/>
    <w:rsid w:val="00572F01"/>
    <w:rsid w:val="005731C4"/>
    <w:rsid w:val="00573F4D"/>
    <w:rsid w:val="00573FF7"/>
    <w:rsid w:val="0057452E"/>
    <w:rsid w:val="005746B3"/>
    <w:rsid w:val="00575039"/>
    <w:rsid w:val="005758CB"/>
    <w:rsid w:val="00576295"/>
    <w:rsid w:val="005766E0"/>
    <w:rsid w:val="0057677F"/>
    <w:rsid w:val="0057690A"/>
    <w:rsid w:val="0057696A"/>
    <w:rsid w:val="005769F1"/>
    <w:rsid w:val="00577252"/>
    <w:rsid w:val="005773A3"/>
    <w:rsid w:val="005773EE"/>
    <w:rsid w:val="0057771D"/>
    <w:rsid w:val="00580162"/>
    <w:rsid w:val="0058089B"/>
    <w:rsid w:val="00580CD0"/>
    <w:rsid w:val="00580D5D"/>
    <w:rsid w:val="00580E8E"/>
    <w:rsid w:val="00580F3E"/>
    <w:rsid w:val="00581461"/>
    <w:rsid w:val="005814A8"/>
    <w:rsid w:val="005817F9"/>
    <w:rsid w:val="005819F7"/>
    <w:rsid w:val="00581D9F"/>
    <w:rsid w:val="005821C8"/>
    <w:rsid w:val="005821FC"/>
    <w:rsid w:val="0058221B"/>
    <w:rsid w:val="00582493"/>
    <w:rsid w:val="00582505"/>
    <w:rsid w:val="0058261B"/>
    <w:rsid w:val="00582BA2"/>
    <w:rsid w:val="00583B04"/>
    <w:rsid w:val="00583B81"/>
    <w:rsid w:val="00583FD4"/>
    <w:rsid w:val="005849BE"/>
    <w:rsid w:val="00584C72"/>
    <w:rsid w:val="00584CBB"/>
    <w:rsid w:val="00585058"/>
    <w:rsid w:val="00585109"/>
    <w:rsid w:val="005854D7"/>
    <w:rsid w:val="00585774"/>
    <w:rsid w:val="00585995"/>
    <w:rsid w:val="00585B9A"/>
    <w:rsid w:val="00585CF0"/>
    <w:rsid w:val="00586BB4"/>
    <w:rsid w:val="00587280"/>
    <w:rsid w:val="00587441"/>
    <w:rsid w:val="00587791"/>
    <w:rsid w:val="00587AC4"/>
    <w:rsid w:val="0059005B"/>
    <w:rsid w:val="00591847"/>
    <w:rsid w:val="00591953"/>
    <w:rsid w:val="00591E78"/>
    <w:rsid w:val="00592638"/>
    <w:rsid w:val="0059278F"/>
    <w:rsid w:val="00592974"/>
    <w:rsid w:val="00592B36"/>
    <w:rsid w:val="00592CCB"/>
    <w:rsid w:val="00592D2B"/>
    <w:rsid w:val="00593368"/>
    <w:rsid w:val="005936AC"/>
    <w:rsid w:val="00593A64"/>
    <w:rsid w:val="00593BCA"/>
    <w:rsid w:val="00593DAA"/>
    <w:rsid w:val="00593F25"/>
    <w:rsid w:val="00594309"/>
    <w:rsid w:val="00594C49"/>
    <w:rsid w:val="00594EA5"/>
    <w:rsid w:val="00595489"/>
    <w:rsid w:val="00595A62"/>
    <w:rsid w:val="0059649D"/>
    <w:rsid w:val="00596700"/>
    <w:rsid w:val="00596B1A"/>
    <w:rsid w:val="00596B71"/>
    <w:rsid w:val="005972B3"/>
    <w:rsid w:val="005973C7"/>
    <w:rsid w:val="00597988"/>
    <w:rsid w:val="00597E50"/>
    <w:rsid w:val="005A004F"/>
    <w:rsid w:val="005A0066"/>
    <w:rsid w:val="005A024D"/>
    <w:rsid w:val="005A026E"/>
    <w:rsid w:val="005A0A92"/>
    <w:rsid w:val="005A0FEF"/>
    <w:rsid w:val="005A1280"/>
    <w:rsid w:val="005A176C"/>
    <w:rsid w:val="005A1BD6"/>
    <w:rsid w:val="005A1EF3"/>
    <w:rsid w:val="005A24CF"/>
    <w:rsid w:val="005A29AD"/>
    <w:rsid w:val="005A2E30"/>
    <w:rsid w:val="005A35A4"/>
    <w:rsid w:val="005A3605"/>
    <w:rsid w:val="005A36AB"/>
    <w:rsid w:val="005A3ACC"/>
    <w:rsid w:val="005A3C91"/>
    <w:rsid w:val="005A3E44"/>
    <w:rsid w:val="005A3F15"/>
    <w:rsid w:val="005A3F55"/>
    <w:rsid w:val="005A42CA"/>
    <w:rsid w:val="005A463A"/>
    <w:rsid w:val="005A48F4"/>
    <w:rsid w:val="005A48FE"/>
    <w:rsid w:val="005A4B66"/>
    <w:rsid w:val="005A4C99"/>
    <w:rsid w:val="005A4D66"/>
    <w:rsid w:val="005A572E"/>
    <w:rsid w:val="005A61C1"/>
    <w:rsid w:val="005A63AC"/>
    <w:rsid w:val="005A67B4"/>
    <w:rsid w:val="005A68DC"/>
    <w:rsid w:val="005A69FA"/>
    <w:rsid w:val="005A6AB9"/>
    <w:rsid w:val="005A6C51"/>
    <w:rsid w:val="005A6DB6"/>
    <w:rsid w:val="005A7187"/>
    <w:rsid w:val="005A74A4"/>
    <w:rsid w:val="005A7631"/>
    <w:rsid w:val="005B0131"/>
    <w:rsid w:val="005B09C7"/>
    <w:rsid w:val="005B1A0D"/>
    <w:rsid w:val="005B251D"/>
    <w:rsid w:val="005B2574"/>
    <w:rsid w:val="005B25FA"/>
    <w:rsid w:val="005B28B3"/>
    <w:rsid w:val="005B2913"/>
    <w:rsid w:val="005B2982"/>
    <w:rsid w:val="005B2A13"/>
    <w:rsid w:val="005B2A95"/>
    <w:rsid w:val="005B2B03"/>
    <w:rsid w:val="005B3188"/>
    <w:rsid w:val="005B3335"/>
    <w:rsid w:val="005B35A3"/>
    <w:rsid w:val="005B36CE"/>
    <w:rsid w:val="005B3F1E"/>
    <w:rsid w:val="005B40BD"/>
    <w:rsid w:val="005B4257"/>
    <w:rsid w:val="005B45F0"/>
    <w:rsid w:val="005B4793"/>
    <w:rsid w:val="005B4AD5"/>
    <w:rsid w:val="005B5396"/>
    <w:rsid w:val="005B53E8"/>
    <w:rsid w:val="005B56D1"/>
    <w:rsid w:val="005B6260"/>
    <w:rsid w:val="005B6363"/>
    <w:rsid w:val="005B636B"/>
    <w:rsid w:val="005B68D0"/>
    <w:rsid w:val="005B6C18"/>
    <w:rsid w:val="005B71DA"/>
    <w:rsid w:val="005B731F"/>
    <w:rsid w:val="005B745B"/>
    <w:rsid w:val="005B7840"/>
    <w:rsid w:val="005B7BF7"/>
    <w:rsid w:val="005B7C43"/>
    <w:rsid w:val="005C02FB"/>
    <w:rsid w:val="005C076F"/>
    <w:rsid w:val="005C0811"/>
    <w:rsid w:val="005C08BB"/>
    <w:rsid w:val="005C13A9"/>
    <w:rsid w:val="005C18CE"/>
    <w:rsid w:val="005C21DB"/>
    <w:rsid w:val="005C24F1"/>
    <w:rsid w:val="005C25E1"/>
    <w:rsid w:val="005C2ECA"/>
    <w:rsid w:val="005C322E"/>
    <w:rsid w:val="005C360B"/>
    <w:rsid w:val="005C3765"/>
    <w:rsid w:val="005C3803"/>
    <w:rsid w:val="005C385F"/>
    <w:rsid w:val="005C38F5"/>
    <w:rsid w:val="005C3A38"/>
    <w:rsid w:val="005C3EAA"/>
    <w:rsid w:val="005C41B2"/>
    <w:rsid w:val="005C435B"/>
    <w:rsid w:val="005C45CF"/>
    <w:rsid w:val="005C4863"/>
    <w:rsid w:val="005C4A37"/>
    <w:rsid w:val="005C4FC5"/>
    <w:rsid w:val="005C50ED"/>
    <w:rsid w:val="005C537F"/>
    <w:rsid w:val="005C53B5"/>
    <w:rsid w:val="005C556D"/>
    <w:rsid w:val="005C58B4"/>
    <w:rsid w:val="005C58E1"/>
    <w:rsid w:val="005C5C3E"/>
    <w:rsid w:val="005C5D62"/>
    <w:rsid w:val="005C5F6E"/>
    <w:rsid w:val="005C60CA"/>
    <w:rsid w:val="005C6310"/>
    <w:rsid w:val="005C6724"/>
    <w:rsid w:val="005C6D05"/>
    <w:rsid w:val="005C76D2"/>
    <w:rsid w:val="005C7D3D"/>
    <w:rsid w:val="005D03C1"/>
    <w:rsid w:val="005D08EF"/>
    <w:rsid w:val="005D0C9C"/>
    <w:rsid w:val="005D0DD2"/>
    <w:rsid w:val="005D0EF8"/>
    <w:rsid w:val="005D133B"/>
    <w:rsid w:val="005D1691"/>
    <w:rsid w:val="005D199D"/>
    <w:rsid w:val="005D1DDC"/>
    <w:rsid w:val="005D29BD"/>
    <w:rsid w:val="005D2E28"/>
    <w:rsid w:val="005D2FCA"/>
    <w:rsid w:val="005D3155"/>
    <w:rsid w:val="005D31C2"/>
    <w:rsid w:val="005D325A"/>
    <w:rsid w:val="005D36A2"/>
    <w:rsid w:val="005D3770"/>
    <w:rsid w:val="005D43F4"/>
    <w:rsid w:val="005D4BC2"/>
    <w:rsid w:val="005D5317"/>
    <w:rsid w:val="005D54B2"/>
    <w:rsid w:val="005D557E"/>
    <w:rsid w:val="005D584E"/>
    <w:rsid w:val="005D5E84"/>
    <w:rsid w:val="005D6043"/>
    <w:rsid w:val="005D62E9"/>
    <w:rsid w:val="005D6362"/>
    <w:rsid w:val="005D63F0"/>
    <w:rsid w:val="005D67A2"/>
    <w:rsid w:val="005D6962"/>
    <w:rsid w:val="005D7106"/>
    <w:rsid w:val="005D756D"/>
    <w:rsid w:val="005D763C"/>
    <w:rsid w:val="005D78C8"/>
    <w:rsid w:val="005D78F1"/>
    <w:rsid w:val="005E00A1"/>
    <w:rsid w:val="005E00F9"/>
    <w:rsid w:val="005E07E8"/>
    <w:rsid w:val="005E0D93"/>
    <w:rsid w:val="005E0ECC"/>
    <w:rsid w:val="005E1076"/>
    <w:rsid w:val="005E10C1"/>
    <w:rsid w:val="005E1DE4"/>
    <w:rsid w:val="005E1E53"/>
    <w:rsid w:val="005E3094"/>
    <w:rsid w:val="005E3356"/>
    <w:rsid w:val="005E348B"/>
    <w:rsid w:val="005E3581"/>
    <w:rsid w:val="005E3838"/>
    <w:rsid w:val="005E3882"/>
    <w:rsid w:val="005E38CE"/>
    <w:rsid w:val="005E391A"/>
    <w:rsid w:val="005E3D33"/>
    <w:rsid w:val="005E3FA0"/>
    <w:rsid w:val="005E4132"/>
    <w:rsid w:val="005E4456"/>
    <w:rsid w:val="005E4D17"/>
    <w:rsid w:val="005E4F8E"/>
    <w:rsid w:val="005E5050"/>
    <w:rsid w:val="005E51A6"/>
    <w:rsid w:val="005E53D5"/>
    <w:rsid w:val="005E5A35"/>
    <w:rsid w:val="005E5AA4"/>
    <w:rsid w:val="005E5CB9"/>
    <w:rsid w:val="005E5E8A"/>
    <w:rsid w:val="005E64B2"/>
    <w:rsid w:val="005E6501"/>
    <w:rsid w:val="005E66D1"/>
    <w:rsid w:val="005E69BB"/>
    <w:rsid w:val="005E69E9"/>
    <w:rsid w:val="005E6A12"/>
    <w:rsid w:val="005E77A9"/>
    <w:rsid w:val="005E79BD"/>
    <w:rsid w:val="005F0044"/>
    <w:rsid w:val="005F0517"/>
    <w:rsid w:val="005F071E"/>
    <w:rsid w:val="005F07C1"/>
    <w:rsid w:val="005F091A"/>
    <w:rsid w:val="005F0996"/>
    <w:rsid w:val="005F0EC5"/>
    <w:rsid w:val="005F19D8"/>
    <w:rsid w:val="005F1BE5"/>
    <w:rsid w:val="005F1F71"/>
    <w:rsid w:val="005F22A5"/>
    <w:rsid w:val="005F2641"/>
    <w:rsid w:val="005F2660"/>
    <w:rsid w:val="005F2759"/>
    <w:rsid w:val="005F27FE"/>
    <w:rsid w:val="005F297F"/>
    <w:rsid w:val="005F2A9E"/>
    <w:rsid w:val="005F2BD2"/>
    <w:rsid w:val="005F2E68"/>
    <w:rsid w:val="005F3172"/>
    <w:rsid w:val="005F348F"/>
    <w:rsid w:val="005F35FE"/>
    <w:rsid w:val="005F3647"/>
    <w:rsid w:val="005F37C5"/>
    <w:rsid w:val="005F3B0E"/>
    <w:rsid w:val="005F3C30"/>
    <w:rsid w:val="005F3CC3"/>
    <w:rsid w:val="005F3CD2"/>
    <w:rsid w:val="005F3D6D"/>
    <w:rsid w:val="005F402E"/>
    <w:rsid w:val="005F455F"/>
    <w:rsid w:val="005F4600"/>
    <w:rsid w:val="005F491C"/>
    <w:rsid w:val="005F4EE1"/>
    <w:rsid w:val="005F5022"/>
    <w:rsid w:val="005F528E"/>
    <w:rsid w:val="005F5E18"/>
    <w:rsid w:val="005F6454"/>
    <w:rsid w:val="005F6BDA"/>
    <w:rsid w:val="005F7318"/>
    <w:rsid w:val="005F7574"/>
    <w:rsid w:val="005F774C"/>
    <w:rsid w:val="005F7CF8"/>
    <w:rsid w:val="005F7D35"/>
    <w:rsid w:val="00600519"/>
    <w:rsid w:val="006010FA"/>
    <w:rsid w:val="006014C9"/>
    <w:rsid w:val="0060163B"/>
    <w:rsid w:val="00601743"/>
    <w:rsid w:val="00602266"/>
    <w:rsid w:val="0060279C"/>
    <w:rsid w:val="00603312"/>
    <w:rsid w:val="00603435"/>
    <w:rsid w:val="006036A1"/>
    <w:rsid w:val="006037E6"/>
    <w:rsid w:val="00603884"/>
    <w:rsid w:val="00603916"/>
    <w:rsid w:val="00603AF7"/>
    <w:rsid w:val="00603BC6"/>
    <w:rsid w:val="00603C05"/>
    <w:rsid w:val="00603C49"/>
    <w:rsid w:val="00604106"/>
    <w:rsid w:val="00604192"/>
    <w:rsid w:val="0060476E"/>
    <w:rsid w:val="0060488F"/>
    <w:rsid w:val="00604C03"/>
    <w:rsid w:val="00604C91"/>
    <w:rsid w:val="00605399"/>
    <w:rsid w:val="006054AC"/>
    <w:rsid w:val="006054B4"/>
    <w:rsid w:val="006056E6"/>
    <w:rsid w:val="006059E9"/>
    <w:rsid w:val="00606368"/>
    <w:rsid w:val="006069C0"/>
    <w:rsid w:val="00606D87"/>
    <w:rsid w:val="006070FD"/>
    <w:rsid w:val="0060719F"/>
    <w:rsid w:val="006074A4"/>
    <w:rsid w:val="006075D3"/>
    <w:rsid w:val="00607637"/>
    <w:rsid w:val="0061095F"/>
    <w:rsid w:val="00610CA9"/>
    <w:rsid w:val="00611171"/>
    <w:rsid w:val="006114E9"/>
    <w:rsid w:val="00611594"/>
    <w:rsid w:val="00611866"/>
    <w:rsid w:val="006123AC"/>
    <w:rsid w:val="006126EA"/>
    <w:rsid w:val="00612B9A"/>
    <w:rsid w:val="00612C77"/>
    <w:rsid w:val="00612FE1"/>
    <w:rsid w:val="0061328C"/>
    <w:rsid w:val="006132D4"/>
    <w:rsid w:val="006134EC"/>
    <w:rsid w:val="006135D3"/>
    <w:rsid w:val="006135F8"/>
    <w:rsid w:val="00613FEF"/>
    <w:rsid w:val="00614583"/>
    <w:rsid w:val="00614BC3"/>
    <w:rsid w:val="00615053"/>
    <w:rsid w:val="00615501"/>
    <w:rsid w:val="00615548"/>
    <w:rsid w:val="00615743"/>
    <w:rsid w:val="00615974"/>
    <w:rsid w:val="006159B5"/>
    <w:rsid w:val="00615AB1"/>
    <w:rsid w:val="00615E1A"/>
    <w:rsid w:val="0061657F"/>
    <w:rsid w:val="00616A24"/>
    <w:rsid w:val="00616DF1"/>
    <w:rsid w:val="00616F60"/>
    <w:rsid w:val="00617310"/>
    <w:rsid w:val="00617A8C"/>
    <w:rsid w:val="00617ADB"/>
    <w:rsid w:val="00617B01"/>
    <w:rsid w:val="00617B44"/>
    <w:rsid w:val="00617EE3"/>
    <w:rsid w:val="00620300"/>
    <w:rsid w:val="00620576"/>
    <w:rsid w:val="0062063C"/>
    <w:rsid w:val="006207E2"/>
    <w:rsid w:val="00620A9B"/>
    <w:rsid w:val="00620CBB"/>
    <w:rsid w:val="00620F8C"/>
    <w:rsid w:val="00621091"/>
    <w:rsid w:val="0062147B"/>
    <w:rsid w:val="00621A8E"/>
    <w:rsid w:val="00621AB0"/>
    <w:rsid w:val="0062268F"/>
    <w:rsid w:val="00622C36"/>
    <w:rsid w:val="00622EFE"/>
    <w:rsid w:val="0062329E"/>
    <w:rsid w:val="0062334A"/>
    <w:rsid w:val="00623CA0"/>
    <w:rsid w:val="0062437F"/>
    <w:rsid w:val="006244DD"/>
    <w:rsid w:val="0062463A"/>
    <w:rsid w:val="00624968"/>
    <w:rsid w:val="00624B31"/>
    <w:rsid w:val="00624E38"/>
    <w:rsid w:val="00624F09"/>
    <w:rsid w:val="00625D3B"/>
    <w:rsid w:val="00625E10"/>
    <w:rsid w:val="00626379"/>
    <w:rsid w:val="006268AC"/>
    <w:rsid w:val="006269EC"/>
    <w:rsid w:val="006270ED"/>
    <w:rsid w:val="00627225"/>
    <w:rsid w:val="006273D7"/>
    <w:rsid w:val="00627F2A"/>
    <w:rsid w:val="0063026B"/>
    <w:rsid w:val="00630CDF"/>
    <w:rsid w:val="00630D16"/>
    <w:rsid w:val="00630DBC"/>
    <w:rsid w:val="0063175D"/>
    <w:rsid w:val="00631D60"/>
    <w:rsid w:val="00631DAF"/>
    <w:rsid w:val="00632190"/>
    <w:rsid w:val="006322FA"/>
    <w:rsid w:val="0063266B"/>
    <w:rsid w:val="00632AC9"/>
    <w:rsid w:val="00632B5D"/>
    <w:rsid w:val="006333BB"/>
    <w:rsid w:val="006337E1"/>
    <w:rsid w:val="00633E6E"/>
    <w:rsid w:val="00633E8C"/>
    <w:rsid w:val="006341F2"/>
    <w:rsid w:val="00634472"/>
    <w:rsid w:val="00634677"/>
    <w:rsid w:val="00635267"/>
    <w:rsid w:val="0063546F"/>
    <w:rsid w:val="00635CBF"/>
    <w:rsid w:val="006365CB"/>
    <w:rsid w:val="00636684"/>
    <w:rsid w:val="00636770"/>
    <w:rsid w:val="006368E4"/>
    <w:rsid w:val="006370D6"/>
    <w:rsid w:val="0063747A"/>
    <w:rsid w:val="006374C9"/>
    <w:rsid w:val="006376F7"/>
    <w:rsid w:val="0063790F"/>
    <w:rsid w:val="00637AA5"/>
    <w:rsid w:val="00637C84"/>
    <w:rsid w:val="00640333"/>
    <w:rsid w:val="00640373"/>
    <w:rsid w:val="00640495"/>
    <w:rsid w:val="006406E7"/>
    <w:rsid w:val="00640BE9"/>
    <w:rsid w:val="00640CA9"/>
    <w:rsid w:val="00640DE6"/>
    <w:rsid w:val="006417C2"/>
    <w:rsid w:val="00642B67"/>
    <w:rsid w:val="00642C96"/>
    <w:rsid w:val="00642CCE"/>
    <w:rsid w:val="00642DA9"/>
    <w:rsid w:val="00642F52"/>
    <w:rsid w:val="00642F72"/>
    <w:rsid w:val="00643290"/>
    <w:rsid w:val="006434BB"/>
    <w:rsid w:val="0064352F"/>
    <w:rsid w:val="00643984"/>
    <w:rsid w:val="00644154"/>
    <w:rsid w:val="006442A1"/>
    <w:rsid w:val="00644548"/>
    <w:rsid w:val="00644616"/>
    <w:rsid w:val="00644B23"/>
    <w:rsid w:val="00644F49"/>
    <w:rsid w:val="00645458"/>
    <w:rsid w:val="00645468"/>
    <w:rsid w:val="006454FE"/>
    <w:rsid w:val="00645552"/>
    <w:rsid w:val="0064567E"/>
    <w:rsid w:val="00645705"/>
    <w:rsid w:val="0064587C"/>
    <w:rsid w:val="006458FE"/>
    <w:rsid w:val="00645D57"/>
    <w:rsid w:val="00645F1A"/>
    <w:rsid w:val="00646032"/>
    <w:rsid w:val="00646187"/>
    <w:rsid w:val="00646473"/>
    <w:rsid w:val="00646A6B"/>
    <w:rsid w:val="00646B4A"/>
    <w:rsid w:val="00646BA7"/>
    <w:rsid w:val="00646D6F"/>
    <w:rsid w:val="00647097"/>
    <w:rsid w:val="0064735F"/>
    <w:rsid w:val="00647558"/>
    <w:rsid w:val="00647B2B"/>
    <w:rsid w:val="00650EA9"/>
    <w:rsid w:val="00651714"/>
    <w:rsid w:val="00651BCC"/>
    <w:rsid w:val="00652392"/>
    <w:rsid w:val="00652602"/>
    <w:rsid w:val="00652973"/>
    <w:rsid w:val="00653717"/>
    <w:rsid w:val="00653B0C"/>
    <w:rsid w:val="00653C55"/>
    <w:rsid w:val="00654686"/>
    <w:rsid w:val="00654A46"/>
    <w:rsid w:val="00654A6F"/>
    <w:rsid w:val="00654D4A"/>
    <w:rsid w:val="00654E29"/>
    <w:rsid w:val="00655301"/>
    <w:rsid w:val="006558F2"/>
    <w:rsid w:val="00655BCE"/>
    <w:rsid w:val="00655CD1"/>
    <w:rsid w:val="00655DB0"/>
    <w:rsid w:val="00655E58"/>
    <w:rsid w:val="0065600B"/>
    <w:rsid w:val="00656042"/>
    <w:rsid w:val="00656586"/>
    <w:rsid w:val="00656B67"/>
    <w:rsid w:val="00656C96"/>
    <w:rsid w:val="00657053"/>
    <w:rsid w:val="006570CF"/>
    <w:rsid w:val="0065760A"/>
    <w:rsid w:val="006578E6"/>
    <w:rsid w:val="00657D2D"/>
    <w:rsid w:val="0066050D"/>
    <w:rsid w:val="00660991"/>
    <w:rsid w:val="00660BE2"/>
    <w:rsid w:val="00660F0B"/>
    <w:rsid w:val="00661034"/>
    <w:rsid w:val="00661C1A"/>
    <w:rsid w:val="00662437"/>
    <w:rsid w:val="006624D8"/>
    <w:rsid w:val="006625AC"/>
    <w:rsid w:val="00662786"/>
    <w:rsid w:val="00662D86"/>
    <w:rsid w:val="00663456"/>
    <w:rsid w:val="00663498"/>
    <w:rsid w:val="00663621"/>
    <w:rsid w:val="00663627"/>
    <w:rsid w:val="00663F0F"/>
    <w:rsid w:val="0066403B"/>
    <w:rsid w:val="00664388"/>
    <w:rsid w:val="00664441"/>
    <w:rsid w:val="00664853"/>
    <w:rsid w:val="00664CB1"/>
    <w:rsid w:val="00665103"/>
    <w:rsid w:val="0066512A"/>
    <w:rsid w:val="006668B2"/>
    <w:rsid w:val="006669F8"/>
    <w:rsid w:val="00666B2B"/>
    <w:rsid w:val="00667022"/>
    <w:rsid w:val="00667397"/>
    <w:rsid w:val="0067034E"/>
    <w:rsid w:val="00670A0F"/>
    <w:rsid w:val="00670A66"/>
    <w:rsid w:val="00671052"/>
    <w:rsid w:val="006717C1"/>
    <w:rsid w:val="00671D4F"/>
    <w:rsid w:val="006720EA"/>
    <w:rsid w:val="006721A6"/>
    <w:rsid w:val="006723D7"/>
    <w:rsid w:val="0067270F"/>
    <w:rsid w:val="00672F44"/>
    <w:rsid w:val="00673145"/>
    <w:rsid w:val="00673665"/>
    <w:rsid w:val="00673AE4"/>
    <w:rsid w:val="00673BA6"/>
    <w:rsid w:val="00673FFD"/>
    <w:rsid w:val="00674737"/>
    <w:rsid w:val="00674B60"/>
    <w:rsid w:val="00674BD0"/>
    <w:rsid w:val="00674CA8"/>
    <w:rsid w:val="00674CDE"/>
    <w:rsid w:val="006753EA"/>
    <w:rsid w:val="00675420"/>
    <w:rsid w:val="0067576C"/>
    <w:rsid w:val="00675BB7"/>
    <w:rsid w:val="00675D34"/>
    <w:rsid w:val="00676371"/>
    <w:rsid w:val="006763A5"/>
    <w:rsid w:val="006764AF"/>
    <w:rsid w:val="00676C59"/>
    <w:rsid w:val="00677150"/>
    <w:rsid w:val="00677511"/>
    <w:rsid w:val="006776B2"/>
    <w:rsid w:val="00677A55"/>
    <w:rsid w:val="006800F4"/>
    <w:rsid w:val="006801C7"/>
    <w:rsid w:val="00680419"/>
    <w:rsid w:val="00680708"/>
    <w:rsid w:val="00680789"/>
    <w:rsid w:val="00680962"/>
    <w:rsid w:val="00680D42"/>
    <w:rsid w:val="006815FF"/>
    <w:rsid w:val="00681736"/>
    <w:rsid w:val="0068181E"/>
    <w:rsid w:val="00681962"/>
    <w:rsid w:val="00681E51"/>
    <w:rsid w:val="00681E62"/>
    <w:rsid w:val="00681FB0"/>
    <w:rsid w:val="00682018"/>
    <w:rsid w:val="0068217C"/>
    <w:rsid w:val="006823CF"/>
    <w:rsid w:val="00682A3A"/>
    <w:rsid w:val="00682E34"/>
    <w:rsid w:val="00682F01"/>
    <w:rsid w:val="006832F7"/>
    <w:rsid w:val="00683935"/>
    <w:rsid w:val="00683A5A"/>
    <w:rsid w:val="00683D68"/>
    <w:rsid w:val="00683E52"/>
    <w:rsid w:val="00683E90"/>
    <w:rsid w:val="00683EE4"/>
    <w:rsid w:val="00683FB8"/>
    <w:rsid w:val="00684071"/>
    <w:rsid w:val="006840B0"/>
    <w:rsid w:val="006841FB"/>
    <w:rsid w:val="006843C9"/>
    <w:rsid w:val="00684AD2"/>
    <w:rsid w:val="00685730"/>
    <w:rsid w:val="00685752"/>
    <w:rsid w:val="00685AEE"/>
    <w:rsid w:val="00686353"/>
    <w:rsid w:val="00686BDD"/>
    <w:rsid w:val="00686EB7"/>
    <w:rsid w:val="00687010"/>
    <w:rsid w:val="00687475"/>
    <w:rsid w:val="00687684"/>
    <w:rsid w:val="00687BDB"/>
    <w:rsid w:val="0069044B"/>
    <w:rsid w:val="0069074A"/>
    <w:rsid w:val="00690F3E"/>
    <w:rsid w:val="0069138E"/>
    <w:rsid w:val="006913C3"/>
    <w:rsid w:val="006913C4"/>
    <w:rsid w:val="00691CCC"/>
    <w:rsid w:val="006921C3"/>
    <w:rsid w:val="006921D7"/>
    <w:rsid w:val="006923AC"/>
    <w:rsid w:val="00692401"/>
    <w:rsid w:val="006926AE"/>
    <w:rsid w:val="00692A95"/>
    <w:rsid w:val="00692AE5"/>
    <w:rsid w:val="00692EA9"/>
    <w:rsid w:val="006931DC"/>
    <w:rsid w:val="00693379"/>
    <w:rsid w:val="006935A9"/>
    <w:rsid w:val="0069366E"/>
    <w:rsid w:val="006937FB"/>
    <w:rsid w:val="00693D1A"/>
    <w:rsid w:val="00693E4F"/>
    <w:rsid w:val="00694276"/>
    <w:rsid w:val="006944F4"/>
    <w:rsid w:val="00694526"/>
    <w:rsid w:val="00694731"/>
    <w:rsid w:val="00694A9F"/>
    <w:rsid w:val="00694AA3"/>
    <w:rsid w:val="00694B76"/>
    <w:rsid w:val="00694F11"/>
    <w:rsid w:val="006953DF"/>
    <w:rsid w:val="006958A4"/>
    <w:rsid w:val="00695B0D"/>
    <w:rsid w:val="00695B54"/>
    <w:rsid w:val="00695BC5"/>
    <w:rsid w:val="00695D66"/>
    <w:rsid w:val="006963B2"/>
    <w:rsid w:val="0069650B"/>
    <w:rsid w:val="00696A55"/>
    <w:rsid w:val="00696DB5"/>
    <w:rsid w:val="00696EBE"/>
    <w:rsid w:val="00697484"/>
    <w:rsid w:val="006974C7"/>
    <w:rsid w:val="006977DE"/>
    <w:rsid w:val="00697A9F"/>
    <w:rsid w:val="006A01D4"/>
    <w:rsid w:val="006A027C"/>
    <w:rsid w:val="006A0456"/>
    <w:rsid w:val="006A04D0"/>
    <w:rsid w:val="006A091F"/>
    <w:rsid w:val="006A0D0E"/>
    <w:rsid w:val="006A127D"/>
    <w:rsid w:val="006A12A2"/>
    <w:rsid w:val="006A1F00"/>
    <w:rsid w:val="006A1FF1"/>
    <w:rsid w:val="006A2635"/>
    <w:rsid w:val="006A265F"/>
    <w:rsid w:val="006A283E"/>
    <w:rsid w:val="006A29A1"/>
    <w:rsid w:val="006A2DF9"/>
    <w:rsid w:val="006A2F34"/>
    <w:rsid w:val="006A2F8E"/>
    <w:rsid w:val="006A333B"/>
    <w:rsid w:val="006A4320"/>
    <w:rsid w:val="006A4333"/>
    <w:rsid w:val="006A458C"/>
    <w:rsid w:val="006A474F"/>
    <w:rsid w:val="006A48F3"/>
    <w:rsid w:val="006A4F94"/>
    <w:rsid w:val="006A514F"/>
    <w:rsid w:val="006A5317"/>
    <w:rsid w:val="006A5A10"/>
    <w:rsid w:val="006A5A35"/>
    <w:rsid w:val="006A65DC"/>
    <w:rsid w:val="006A6B07"/>
    <w:rsid w:val="006A6B7F"/>
    <w:rsid w:val="006A6F59"/>
    <w:rsid w:val="006A7210"/>
    <w:rsid w:val="006A7325"/>
    <w:rsid w:val="006A739A"/>
    <w:rsid w:val="006A744E"/>
    <w:rsid w:val="006B07CE"/>
    <w:rsid w:val="006B09F7"/>
    <w:rsid w:val="006B0A47"/>
    <w:rsid w:val="006B0E3A"/>
    <w:rsid w:val="006B0F4C"/>
    <w:rsid w:val="006B10FB"/>
    <w:rsid w:val="006B12C5"/>
    <w:rsid w:val="006B139D"/>
    <w:rsid w:val="006B1773"/>
    <w:rsid w:val="006B197C"/>
    <w:rsid w:val="006B1F1D"/>
    <w:rsid w:val="006B2102"/>
    <w:rsid w:val="006B2305"/>
    <w:rsid w:val="006B2CBC"/>
    <w:rsid w:val="006B2DEA"/>
    <w:rsid w:val="006B2FF5"/>
    <w:rsid w:val="006B3276"/>
    <w:rsid w:val="006B3C54"/>
    <w:rsid w:val="006B4008"/>
    <w:rsid w:val="006B4138"/>
    <w:rsid w:val="006B426A"/>
    <w:rsid w:val="006B492D"/>
    <w:rsid w:val="006B49DB"/>
    <w:rsid w:val="006B4E00"/>
    <w:rsid w:val="006B4EB1"/>
    <w:rsid w:val="006B50BB"/>
    <w:rsid w:val="006B56FA"/>
    <w:rsid w:val="006B63CD"/>
    <w:rsid w:val="006B6DFF"/>
    <w:rsid w:val="006B7036"/>
    <w:rsid w:val="006B7163"/>
    <w:rsid w:val="006B763A"/>
    <w:rsid w:val="006B7696"/>
    <w:rsid w:val="006B7945"/>
    <w:rsid w:val="006B7AB4"/>
    <w:rsid w:val="006B7BD0"/>
    <w:rsid w:val="006B7C8A"/>
    <w:rsid w:val="006B7D3C"/>
    <w:rsid w:val="006C0171"/>
    <w:rsid w:val="006C0554"/>
    <w:rsid w:val="006C0619"/>
    <w:rsid w:val="006C0870"/>
    <w:rsid w:val="006C1282"/>
    <w:rsid w:val="006C17B2"/>
    <w:rsid w:val="006C1A5D"/>
    <w:rsid w:val="006C215F"/>
    <w:rsid w:val="006C22DE"/>
    <w:rsid w:val="006C273B"/>
    <w:rsid w:val="006C2836"/>
    <w:rsid w:val="006C2C73"/>
    <w:rsid w:val="006C2F1A"/>
    <w:rsid w:val="006C33C0"/>
    <w:rsid w:val="006C370B"/>
    <w:rsid w:val="006C3BAA"/>
    <w:rsid w:val="006C4404"/>
    <w:rsid w:val="006C4509"/>
    <w:rsid w:val="006C4A54"/>
    <w:rsid w:val="006C4C1D"/>
    <w:rsid w:val="006C57F8"/>
    <w:rsid w:val="006C5863"/>
    <w:rsid w:val="006C5D47"/>
    <w:rsid w:val="006C5F7B"/>
    <w:rsid w:val="006C63AC"/>
    <w:rsid w:val="006C6EBD"/>
    <w:rsid w:val="006C738E"/>
    <w:rsid w:val="006C7588"/>
    <w:rsid w:val="006C76CB"/>
    <w:rsid w:val="006C7884"/>
    <w:rsid w:val="006C788F"/>
    <w:rsid w:val="006D020C"/>
    <w:rsid w:val="006D0668"/>
    <w:rsid w:val="006D078E"/>
    <w:rsid w:val="006D0BA5"/>
    <w:rsid w:val="006D0CA4"/>
    <w:rsid w:val="006D135E"/>
    <w:rsid w:val="006D14CC"/>
    <w:rsid w:val="006D1610"/>
    <w:rsid w:val="006D1655"/>
    <w:rsid w:val="006D16E2"/>
    <w:rsid w:val="006D1794"/>
    <w:rsid w:val="006D1966"/>
    <w:rsid w:val="006D215D"/>
    <w:rsid w:val="006D228B"/>
    <w:rsid w:val="006D22F3"/>
    <w:rsid w:val="006D2310"/>
    <w:rsid w:val="006D2C36"/>
    <w:rsid w:val="006D3816"/>
    <w:rsid w:val="006D3B14"/>
    <w:rsid w:val="006D40F2"/>
    <w:rsid w:val="006D410F"/>
    <w:rsid w:val="006D4451"/>
    <w:rsid w:val="006D4522"/>
    <w:rsid w:val="006D4572"/>
    <w:rsid w:val="006D4703"/>
    <w:rsid w:val="006D4BF7"/>
    <w:rsid w:val="006D5274"/>
    <w:rsid w:val="006D58C3"/>
    <w:rsid w:val="006D5E77"/>
    <w:rsid w:val="006D6280"/>
    <w:rsid w:val="006D6417"/>
    <w:rsid w:val="006D69AE"/>
    <w:rsid w:val="006D6E85"/>
    <w:rsid w:val="006D6FB0"/>
    <w:rsid w:val="006D7145"/>
    <w:rsid w:val="006D7220"/>
    <w:rsid w:val="006D728A"/>
    <w:rsid w:val="006D75B1"/>
    <w:rsid w:val="006D7C03"/>
    <w:rsid w:val="006E0133"/>
    <w:rsid w:val="006E0406"/>
    <w:rsid w:val="006E0BA3"/>
    <w:rsid w:val="006E0D7E"/>
    <w:rsid w:val="006E0FEA"/>
    <w:rsid w:val="006E147D"/>
    <w:rsid w:val="006E15D7"/>
    <w:rsid w:val="006E162A"/>
    <w:rsid w:val="006E17AF"/>
    <w:rsid w:val="006E1CD0"/>
    <w:rsid w:val="006E1F01"/>
    <w:rsid w:val="006E1FEE"/>
    <w:rsid w:val="006E211F"/>
    <w:rsid w:val="006E28CB"/>
    <w:rsid w:val="006E2AAB"/>
    <w:rsid w:val="006E2AAE"/>
    <w:rsid w:val="006E2FC5"/>
    <w:rsid w:val="006E3019"/>
    <w:rsid w:val="006E30D3"/>
    <w:rsid w:val="006E31A3"/>
    <w:rsid w:val="006E3523"/>
    <w:rsid w:val="006E37F3"/>
    <w:rsid w:val="006E4042"/>
    <w:rsid w:val="006E45F6"/>
    <w:rsid w:val="006E4724"/>
    <w:rsid w:val="006E479E"/>
    <w:rsid w:val="006E4E74"/>
    <w:rsid w:val="006E50DA"/>
    <w:rsid w:val="006E5698"/>
    <w:rsid w:val="006E5A79"/>
    <w:rsid w:val="006E5B41"/>
    <w:rsid w:val="006E6707"/>
    <w:rsid w:val="006E698C"/>
    <w:rsid w:val="006E6BEC"/>
    <w:rsid w:val="006E6D64"/>
    <w:rsid w:val="006E705B"/>
    <w:rsid w:val="006E7976"/>
    <w:rsid w:val="006E7D1F"/>
    <w:rsid w:val="006F0A5B"/>
    <w:rsid w:val="006F106D"/>
    <w:rsid w:val="006F1632"/>
    <w:rsid w:val="006F1645"/>
    <w:rsid w:val="006F18BD"/>
    <w:rsid w:val="006F1967"/>
    <w:rsid w:val="006F1B33"/>
    <w:rsid w:val="006F1B61"/>
    <w:rsid w:val="006F1DCD"/>
    <w:rsid w:val="006F2004"/>
    <w:rsid w:val="006F2A2D"/>
    <w:rsid w:val="006F2BEA"/>
    <w:rsid w:val="006F2D2E"/>
    <w:rsid w:val="006F36DB"/>
    <w:rsid w:val="006F371E"/>
    <w:rsid w:val="006F3B6C"/>
    <w:rsid w:val="006F3CD9"/>
    <w:rsid w:val="006F47B3"/>
    <w:rsid w:val="006F483B"/>
    <w:rsid w:val="006F53B3"/>
    <w:rsid w:val="006F5B0C"/>
    <w:rsid w:val="006F5B9D"/>
    <w:rsid w:val="006F5D0D"/>
    <w:rsid w:val="006F5DD6"/>
    <w:rsid w:val="006F5E31"/>
    <w:rsid w:val="006F6226"/>
    <w:rsid w:val="006F6513"/>
    <w:rsid w:val="006F6701"/>
    <w:rsid w:val="006F68F7"/>
    <w:rsid w:val="006F6921"/>
    <w:rsid w:val="006F69C2"/>
    <w:rsid w:val="006F69DA"/>
    <w:rsid w:val="006F6B0F"/>
    <w:rsid w:val="006F6B3E"/>
    <w:rsid w:val="006F7017"/>
    <w:rsid w:val="006F747F"/>
    <w:rsid w:val="006F7749"/>
    <w:rsid w:val="006F7AAD"/>
    <w:rsid w:val="006F7C6D"/>
    <w:rsid w:val="006F7E97"/>
    <w:rsid w:val="006F7F25"/>
    <w:rsid w:val="00700232"/>
    <w:rsid w:val="007004B0"/>
    <w:rsid w:val="0070059A"/>
    <w:rsid w:val="007009BE"/>
    <w:rsid w:val="00700C23"/>
    <w:rsid w:val="00700CAB"/>
    <w:rsid w:val="00700EA1"/>
    <w:rsid w:val="007012DD"/>
    <w:rsid w:val="00701522"/>
    <w:rsid w:val="0070235F"/>
    <w:rsid w:val="00702ACE"/>
    <w:rsid w:val="00702AD6"/>
    <w:rsid w:val="00702D55"/>
    <w:rsid w:val="00702EE0"/>
    <w:rsid w:val="0070342D"/>
    <w:rsid w:val="00703A04"/>
    <w:rsid w:val="00703AC6"/>
    <w:rsid w:val="00704171"/>
    <w:rsid w:val="007041A6"/>
    <w:rsid w:val="007046DE"/>
    <w:rsid w:val="00705121"/>
    <w:rsid w:val="0070583F"/>
    <w:rsid w:val="007063D0"/>
    <w:rsid w:val="00706541"/>
    <w:rsid w:val="0070657A"/>
    <w:rsid w:val="00706AC4"/>
    <w:rsid w:val="00706B14"/>
    <w:rsid w:val="00706C4E"/>
    <w:rsid w:val="00707282"/>
    <w:rsid w:val="00707796"/>
    <w:rsid w:val="00707C58"/>
    <w:rsid w:val="007102A0"/>
    <w:rsid w:val="00710A50"/>
    <w:rsid w:val="00710F03"/>
    <w:rsid w:val="00710FE5"/>
    <w:rsid w:val="00711019"/>
    <w:rsid w:val="00711065"/>
    <w:rsid w:val="007113AC"/>
    <w:rsid w:val="00711450"/>
    <w:rsid w:val="00711454"/>
    <w:rsid w:val="007120F4"/>
    <w:rsid w:val="00712525"/>
    <w:rsid w:val="00712950"/>
    <w:rsid w:val="00712E7D"/>
    <w:rsid w:val="00713401"/>
    <w:rsid w:val="0071365A"/>
    <w:rsid w:val="007138FA"/>
    <w:rsid w:val="00713B06"/>
    <w:rsid w:val="007145CA"/>
    <w:rsid w:val="00714AD1"/>
    <w:rsid w:val="00714BFA"/>
    <w:rsid w:val="00714E83"/>
    <w:rsid w:val="00715843"/>
    <w:rsid w:val="00715F82"/>
    <w:rsid w:val="00716239"/>
    <w:rsid w:val="00716BCF"/>
    <w:rsid w:val="007170AD"/>
    <w:rsid w:val="007170E8"/>
    <w:rsid w:val="007173D6"/>
    <w:rsid w:val="00717B05"/>
    <w:rsid w:val="00717BEE"/>
    <w:rsid w:val="0072005D"/>
    <w:rsid w:val="00720225"/>
    <w:rsid w:val="00720768"/>
    <w:rsid w:val="00720BFA"/>
    <w:rsid w:val="00720D45"/>
    <w:rsid w:val="007211CA"/>
    <w:rsid w:val="007211D4"/>
    <w:rsid w:val="00721550"/>
    <w:rsid w:val="00721A64"/>
    <w:rsid w:val="00721B52"/>
    <w:rsid w:val="007222C7"/>
    <w:rsid w:val="007228E6"/>
    <w:rsid w:val="00722974"/>
    <w:rsid w:val="00722FAA"/>
    <w:rsid w:val="00723186"/>
    <w:rsid w:val="00723956"/>
    <w:rsid w:val="00723B30"/>
    <w:rsid w:val="00723B46"/>
    <w:rsid w:val="007241A7"/>
    <w:rsid w:val="007243D1"/>
    <w:rsid w:val="0072457B"/>
    <w:rsid w:val="0072481E"/>
    <w:rsid w:val="00724FAA"/>
    <w:rsid w:val="0072502F"/>
    <w:rsid w:val="007252FA"/>
    <w:rsid w:val="00725E1B"/>
    <w:rsid w:val="00725F97"/>
    <w:rsid w:val="0072611C"/>
    <w:rsid w:val="00726232"/>
    <w:rsid w:val="007262D6"/>
    <w:rsid w:val="007262DC"/>
    <w:rsid w:val="00726443"/>
    <w:rsid w:val="00726628"/>
    <w:rsid w:val="007268B7"/>
    <w:rsid w:val="00726B3C"/>
    <w:rsid w:val="00726B4D"/>
    <w:rsid w:val="00726E35"/>
    <w:rsid w:val="007271B1"/>
    <w:rsid w:val="0072731D"/>
    <w:rsid w:val="0072746B"/>
    <w:rsid w:val="007276E3"/>
    <w:rsid w:val="00727C90"/>
    <w:rsid w:val="00727E5A"/>
    <w:rsid w:val="00730A2B"/>
    <w:rsid w:val="00730D71"/>
    <w:rsid w:val="00730E74"/>
    <w:rsid w:val="00730E7A"/>
    <w:rsid w:val="00730E82"/>
    <w:rsid w:val="00730EF5"/>
    <w:rsid w:val="0073128C"/>
    <w:rsid w:val="007319B4"/>
    <w:rsid w:val="00732339"/>
    <w:rsid w:val="007324F3"/>
    <w:rsid w:val="00732781"/>
    <w:rsid w:val="00732A18"/>
    <w:rsid w:val="00732C78"/>
    <w:rsid w:val="00732CB8"/>
    <w:rsid w:val="00732D0F"/>
    <w:rsid w:val="00732FA9"/>
    <w:rsid w:val="0073303B"/>
    <w:rsid w:val="007331A9"/>
    <w:rsid w:val="0073322D"/>
    <w:rsid w:val="007333B1"/>
    <w:rsid w:val="00733745"/>
    <w:rsid w:val="00733AF4"/>
    <w:rsid w:val="007345AE"/>
    <w:rsid w:val="00734A72"/>
    <w:rsid w:val="00734EB4"/>
    <w:rsid w:val="00734FFB"/>
    <w:rsid w:val="00735697"/>
    <w:rsid w:val="00735BF2"/>
    <w:rsid w:val="0073621B"/>
    <w:rsid w:val="0073636F"/>
    <w:rsid w:val="0073652E"/>
    <w:rsid w:val="00736EE8"/>
    <w:rsid w:val="0073721F"/>
    <w:rsid w:val="00737220"/>
    <w:rsid w:val="0073722C"/>
    <w:rsid w:val="00737253"/>
    <w:rsid w:val="0073744E"/>
    <w:rsid w:val="007400DF"/>
    <w:rsid w:val="007406F7"/>
    <w:rsid w:val="0074078D"/>
    <w:rsid w:val="0074130F"/>
    <w:rsid w:val="00741538"/>
    <w:rsid w:val="00741839"/>
    <w:rsid w:val="007425E4"/>
    <w:rsid w:val="00742B21"/>
    <w:rsid w:val="00742B7A"/>
    <w:rsid w:val="00742C81"/>
    <w:rsid w:val="00742DD9"/>
    <w:rsid w:val="00743167"/>
    <w:rsid w:val="00743A1A"/>
    <w:rsid w:val="00743C48"/>
    <w:rsid w:val="00743E33"/>
    <w:rsid w:val="0074414F"/>
    <w:rsid w:val="0074426A"/>
    <w:rsid w:val="00744277"/>
    <w:rsid w:val="007444AA"/>
    <w:rsid w:val="0074483F"/>
    <w:rsid w:val="007458CF"/>
    <w:rsid w:val="00745985"/>
    <w:rsid w:val="00745CFB"/>
    <w:rsid w:val="0074666B"/>
    <w:rsid w:val="00746F88"/>
    <w:rsid w:val="0074720D"/>
    <w:rsid w:val="00747316"/>
    <w:rsid w:val="0074748A"/>
    <w:rsid w:val="0074751F"/>
    <w:rsid w:val="0074786E"/>
    <w:rsid w:val="0074795C"/>
    <w:rsid w:val="00747C29"/>
    <w:rsid w:val="007506E3"/>
    <w:rsid w:val="00750717"/>
    <w:rsid w:val="00750805"/>
    <w:rsid w:val="00750E16"/>
    <w:rsid w:val="007510AB"/>
    <w:rsid w:val="00751187"/>
    <w:rsid w:val="00751B3B"/>
    <w:rsid w:val="00752180"/>
    <w:rsid w:val="007521B5"/>
    <w:rsid w:val="00752423"/>
    <w:rsid w:val="00752720"/>
    <w:rsid w:val="00752BFB"/>
    <w:rsid w:val="00752F5A"/>
    <w:rsid w:val="00753138"/>
    <w:rsid w:val="0075349F"/>
    <w:rsid w:val="0075377F"/>
    <w:rsid w:val="00753929"/>
    <w:rsid w:val="00753FEA"/>
    <w:rsid w:val="00754048"/>
    <w:rsid w:val="0075490C"/>
    <w:rsid w:val="00754924"/>
    <w:rsid w:val="00754AF5"/>
    <w:rsid w:val="007557D7"/>
    <w:rsid w:val="00755A62"/>
    <w:rsid w:val="00755B5B"/>
    <w:rsid w:val="007561A2"/>
    <w:rsid w:val="00756284"/>
    <w:rsid w:val="00756F23"/>
    <w:rsid w:val="00756F81"/>
    <w:rsid w:val="00757082"/>
    <w:rsid w:val="007571BD"/>
    <w:rsid w:val="00757576"/>
    <w:rsid w:val="00757655"/>
    <w:rsid w:val="0075781E"/>
    <w:rsid w:val="007602BC"/>
    <w:rsid w:val="00760651"/>
    <w:rsid w:val="007606E3"/>
    <w:rsid w:val="0076074E"/>
    <w:rsid w:val="00760D20"/>
    <w:rsid w:val="00761428"/>
    <w:rsid w:val="0076151F"/>
    <w:rsid w:val="0076171D"/>
    <w:rsid w:val="007617A8"/>
    <w:rsid w:val="00761AB5"/>
    <w:rsid w:val="007620F5"/>
    <w:rsid w:val="00762250"/>
    <w:rsid w:val="007625D5"/>
    <w:rsid w:val="00762710"/>
    <w:rsid w:val="007628ED"/>
    <w:rsid w:val="00762F91"/>
    <w:rsid w:val="00762F92"/>
    <w:rsid w:val="007634B5"/>
    <w:rsid w:val="00763FD4"/>
    <w:rsid w:val="007640B6"/>
    <w:rsid w:val="007647A8"/>
    <w:rsid w:val="00764AC0"/>
    <w:rsid w:val="00765054"/>
    <w:rsid w:val="00765279"/>
    <w:rsid w:val="00765856"/>
    <w:rsid w:val="00765F71"/>
    <w:rsid w:val="00766091"/>
    <w:rsid w:val="0076645A"/>
    <w:rsid w:val="00766628"/>
    <w:rsid w:val="00766689"/>
    <w:rsid w:val="00766902"/>
    <w:rsid w:val="00766967"/>
    <w:rsid w:val="00766B8C"/>
    <w:rsid w:val="00766C00"/>
    <w:rsid w:val="00766EDD"/>
    <w:rsid w:val="00766F96"/>
    <w:rsid w:val="0076722B"/>
    <w:rsid w:val="007678DC"/>
    <w:rsid w:val="007701D2"/>
    <w:rsid w:val="00770595"/>
    <w:rsid w:val="00770702"/>
    <w:rsid w:val="00770831"/>
    <w:rsid w:val="00770EEA"/>
    <w:rsid w:val="00770F0F"/>
    <w:rsid w:val="0077130F"/>
    <w:rsid w:val="00771389"/>
    <w:rsid w:val="007717FF"/>
    <w:rsid w:val="00771B95"/>
    <w:rsid w:val="00771D63"/>
    <w:rsid w:val="0077247A"/>
    <w:rsid w:val="00772890"/>
    <w:rsid w:val="00773282"/>
    <w:rsid w:val="007733D2"/>
    <w:rsid w:val="00773530"/>
    <w:rsid w:val="00773734"/>
    <w:rsid w:val="0077386D"/>
    <w:rsid w:val="00773919"/>
    <w:rsid w:val="00773E49"/>
    <w:rsid w:val="00773EFD"/>
    <w:rsid w:val="00773FBE"/>
    <w:rsid w:val="0077413A"/>
    <w:rsid w:val="007742C4"/>
    <w:rsid w:val="0077434B"/>
    <w:rsid w:val="007749D8"/>
    <w:rsid w:val="00774F3A"/>
    <w:rsid w:val="007753BF"/>
    <w:rsid w:val="00775532"/>
    <w:rsid w:val="007758BF"/>
    <w:rsid w:val="00775992"/>
    <w:rsid w:val="007761E9"/>
    <w:rsid w:val="00776C4C"/>
    <w:rsid w:val="00776D51"/>
    <w:rsid w:val="00776DAA"/>
    <w:rsid w:val="007777EF"/>
    <w:rsid w:val="00777844"/>
    <w:rsid w:val="00777D73"/>
    <w:rsid w:val="00777F15"/>
    <w:rsid w:val="007802EA"/>
    <w:rsid w:val="007808CA"/>
    <w:rsid w:val="007808FC"/>
    <w:rsid w:val="00780998"/>
    <w:rsid w:val="00780E3E"/>
    <w:rsid w:val="00780E45"/>
    <w:rsid w:val="00780F6D"/>
    <w:rsid w:val="0078105E"/>
    <w:rsid w:val="007811BD"/>
    <w:rsid w:val="007811CE"/>
    <w:rsid w:val="00781842"/>
    <w:rsid w:val="007818F2"/>
    <w:rsid w:val="00781A59"/>
    <w:rsid w:val="00781BA5"/>
    <w:rsid w:val="00781CA1"/>
    <w:rsid w:val="00781FC9"/>
    <w:rsid w:val="007824A8"/>
    <w:rsid w:val="00782E23"/>
    <w:rsid w:val="007830D3"/>
    <w:rsid w:val="00783A5D"/>
    <w:rsid w:val="00783CD3"/>
    <w:rsid w:val="00783E8E"/>
    <w:rsid w:val="0078428C"/>
    <w:rsid w:val="007849E6"/>
    <w:rsid w:val="00784B37"/>
    <w:rsid w:val="00784D2F"/>
    <w:rsid w:val="00784F3C"/>
    <w:rsid w:val="007850B8"/>
    <w:rsid w:val="007852FB"/>
    <w:rsid w:val="007853D9"/>
    <w:rsid w:val="0078590D"/>
    <w:rsid w:val="0078596A"/>
    <w:rsid w:val="00785E31"/>
    <w:rsid w:val="00786288"/>
    <w:rsid w:val="007862F7"/>
    <w:rsid w:val="007862FC"/>
    <w:rsid w:val="007864D2"/>
    <w:rsid w:val="00786AF2"/>
    <w:rsid w:val="00787232"/>
    <w:rsid w:val="0078744E"/>
    <w:rsid w:val="007877AC"/>
    <w:rsid w:val="007879B5"/>
    <w:rsid w:val="00787BF2"/>
    <w:rsid w:val="00787DB9"/>
    <w:rsid w:val="0079030B"/>
    <w:rsid w:val="007905FA"/>
    <w:rsid w:val="007906FF"/>
    <w:rsid w:val="00791527"/>
    <w:rsid w:val="007916F8"/>
    <w:rsid w:val="0079199F"/>
    <w:rsid w:val="00791F0C"/>
    <w:rsid w:val="00792204"/>
    <w:rsid w:val="0079260B"/>
    <w:rsid w:val="00792659"/>
    <w:rsid w:val="0079265A"/>
    <w:rsid w:val="007927D8"/>
    <w:rsid w:val="00792B19"/>
    <w:rsid w:val="00792C0F"/>
    <w:rsid w:val="00792E61"/>
    <w:rsid w:val="00792F5E"/>
    <w:rsid w:val="00793AD9"/>
    <w:rsid w:val="00793CAA"/>
    <w:rsid w:val="00793E65"/>
    <w:rsid w:val="00793F80"/>
    <w:rsid w:val="00793FE9"/>
    <w:rsid w:val="00794464"/>
    <w:rsid w:val="007944E7"/>
    <w:rsid w:val="007948C1"/>
    <w:rsid w:val="00795743"/>
    <w:rsid w:val="0079579B"/>
    <w:rsid w:val="007957B4"/>
    <w:rsid w:val="00795DB2"/>
    <w:rsid w:val="00795FFB"/>
    <w:rsid w:val="007960FD"/>
    <w:rsid w:val="00796671"/>
    <w:rsid w:val="00796CD2"/>
    <w:rsid w:val="00796D0A"/>
    <w:rsid w:val="00796FBD"/>
    <w:rsid w:val="00797048"/>
    <w:rsid w:val="0079754F"/>
    <w:rsid w:val="0079763D"/>
    <w:rsid w:val="00797B38"/>
    <w:rsid w:val="00797D30"/>
    <w:rsid w:val="00797EFB"/>
    <w:rsid w:val="007A00C0"/>
    <w:rsid w:val="007A015B"/>
    <w:rsid w:val="007A03F8"/>
    <w:rsid w:val="007A0525"/>
    <w:rsid w:val="007A0620"/>
    <w:rsid w:val="007A0E7A"/>
    <w:rsid w:val="007A0EE3"/>
    <w:rsid w:val="007A0FA0"/>
    <w:rsid w:val="007A11D6"/>
    <w:rsid w:val="007A1553"/>
    <w:rsid w:val="007A1849"/>
    <w:rsid w:val="007A1992"/>
    <w:rsid w:val="007A1A7C"/>
    <w:rsid w:val="007A1B6B"/>
    <w:rsid w:val="007A229A"/>
    <w:rsid w:val="007A3E9F"/>
    <w:rsid w:val="007A4384"/>
    <w:rsid w:val="007A4587"/>
    <w:rsid w:val="007A45B3"/>
    <w:rsid w:val="007A4A62"/>
    <w:rsid w:val="007A4B24"/>
    <w:rsid w:val="007A4C46"/>
    <w:rsid w:val="007A5285"/>
    <w:rsid w:val="007A5287"/>
    <w:rsid w:val="007A5292"/>
    <w:rsid w:val="007A5452"/>
    <w:rsid w:val="007A5A63"/>
    <w:rsid w:val="007A5F64"/>
    <w:rsid w:val="007A665F"/>
    <w:rsid w:val="007B0FAC"/>
    <w:rsid w:val="007B12EC"/>
    <w:rsid w:val="007B1A2B"/>
    <w:rsid w:val="007B1E4D"/>
    <w:rsid w:val="007B1FD7"/>
    <w:rsid w:val="007B2461"/>
    <w:rsid w:val="007B2529"/>
    <w:rsid w:val="007B2536"/>
    <w:rsid w:val="007B25A4"/>
    <w:rsid w:val="007B2776"/>
    <w:rsid w:val="007B2BDF"/>
    <w:rsid w:val="007B2D1D"/>
    <w:rsid w:val="007B37FD"/>
    <w:rsid w:val="007B38D9"/>
    <w:rsid w:val="007B39E1"/>
    <w:rsid w:val="007B40E7"/>
    <w:rsid w:val="007B46FE"/>
    <w:rsid w:val="007B48A1"/>
    <w:rsid w:val="007B4B60"/>
    <w:rsid w:val="007B50B4"/>
    <w:rsid w:val="007B553A"/>
    <w:rsid w:val="007B5CF4"/>
    <w:rsid w:val="007B5D39"/>
    <w:rsid w:val="007B61B6"/>
    <w:rsid w:val="007B61E0"/>
    <w:rsid w:val="007B69F7"/>
    <w:rsid w:val="007B7328"/>
    <w:rsid w:val="007B757F"/>
    <w:rsid w:val="007C039C"/>
    <w:rsid w:val="007C0503"/>
    <w:rsid w:val="007C0517"/>
    <w:rsid w:val="007C0592"/>
    <w:rsid w:val="007C05B5"/>
    <w:rsid w:val="007C0FB7"/>
    <w:rsid w:val="007C1034"/>
    <w:rsid w:val="007C1A12"/>
    <w:rsid w:val="007C1AD0"/>
    <w:rsid w:val="007C1F8F"/>
    <w:rsid w:val="007C243F"/>
    <w:rsid w:val="007C25A9"/>
    <w:rsid w:val="007C2B06"/>
    <w:rsid w:val="007C2B54"/>
    <w:rsid w:val="007C3108"/>
    <w:rsid w:val="007C3310"/>
    <w:rsid w:val="007C3313"/>
    <w:rsid w:val="007C38AF"/>
    <w:rsid w:val="007C3A9A"/>
    <w:rsid w:val="007C3ACD"/>
    <w:rsid w:val="007C3C64"/>
    <w:rsid w:val="007C3EC9"/>
    <w:rsid w:val="007C3EEF"/>
    <w:rsid w:val="007C3F47"/>
    <w:rsid w:val="007C41B7"/>
    <w:rsid w:val="007C44DC"/>
    <w:rsid w:val="007C4773"/>
    <w:rsid w:val="007C4965"/>
    <w:rsid w:val="007C5355"/>
    <w:rsid w:val="007C5420"/>
    <w:rsid w:val="007C543A"/>
    <w:rsid w:val="007C5484"/>
    <w:rsid w:val="007C570E"/>
    <w:rsid w:val="007C5B5D"/>
    <w:rsid w:val="007C5D52"/>
    <w:rsid w:val="007C6288"/>
    <w:rsid w:val="007C63B4"/>
    <w:rsid w:val="007C641E"/>
    <w:rsid w:val="007C6452"/>
    <w:rsid w:val="007C64C9"/>
    <w:rsid w:val="007C6D84"/>
    <w:rsid w:val="007C738A"/>
    <w:rsid w:val="007C7AAB"/>
    <w:rsid w:val="007C7FD7"/>
    <w:rsid w:val="007D014C"/>
    <w:rsid w:val="007D0471"/>
    <w:rsid w:val="007D0479"/>
    <w:rsid w:val="007D0813"/>
    <w:rsid w:val="007D1100"/>
    <w:rsid w:val="007D1834"/>
    <w:rsid w:val="007D1BC5"/>
    <w:rsid w:val="007D21F8"/>
    <w:rsid w:val="007D2381"/>
    <w:rsid w:val="007D24E0"/>
    <w:rsid w:val="007D275A"/>
    <w:rsid w:val="007D2B1E"/>
    <w:rsid w:val="007D2CD3"/>
    <w:rsid w:val="007D2FC8"/>
    <w:rsid w:val="007D35E6"/>
    <w:rsid w:val="007D39AF"/>
    <w:rsid w:val="007D3B37"/>
    <w:rsid w:val="007D3EAE"/>
    <w:rsid w:val="007D3EE1"/>
    <w:rsid w:val="007D4320"/>
    <w:rsid w:val="007D45AE"/>
    <w:rsid w:val="007D4737"/>
    <w:rsid w:val="007D4764"/>
    <w:rsid w:val="007D4CE3"/>
    <w:rsid w:val="007D4D79"/>
    <w:rsid w:val="007D4E40"/>
    <w:rsid w:val="007D54DE"/>
    <w:rsid w:val="007D596D"/>
    <w:rsid w:val="007D635D"/>
    <w:rsid w:val="007D7E8D"/>
    <w:rsid w:val="007E009F"/>
    <w:rsid w:val="007E0187"/>
    <w:rsid w:val="007E0701"/>
    <w:rsid w:val="007E0B3B"/>
    <w:rsid w:val="007E0E32"/>
    <w:rsid w:val="007E1175"/>
    <w:rsid w:val="007E17B7"/>
    <w:rsid w:val="007E18BD"/>
    <w:rsid w:val="007E2098"/>
    <w:rsid w:val="007E2351"/>
    <w:rsid w:val="007E24C1"/>
    <w:rsid w:val="007E24D1"/>
    <w:rsid w:val="007E25FC"/>
    <w:rsid w:val="007E2681"/>
    <w:rsid w:val="007E2750"/>
    <w:rsid w:val="007E2886"/>
    <w:rsid w:val="007E28B0"/>
    <w:rsid w:val="007E2A5C"/>
    <w:rsid w:val="007E2C07"/>
    <w:rsid w:val="007E2C2C"/>
    <w:rsid w:val="007E2C3B"/>
    <w:rsid w:val="007E2D2D"/>
    <w:rsid w:val="007E3121"/>
    <w:rsid w:val="007E31C2"/>
    <w:rsid w:val="007E3376"/>
    <w:rsid w:val="007E36F4"/>
    <w:rsid w:val="007E37B8"/>
    <w:rsid w:val="007E4160"/>
    <w:rsid w:val="007E4199"/>
    <w:rsid w:val="007E5447"/>
    <w:rsid w:val="007E554A"/>
    <w:rsid w:val="007E5E51"/>
    <w:rsid w:val="007E5F3A"/>
    <w:rsid w:val="007E61A3"/>
    <w:rsid w:val="007E63C5"/>
    <w:rsid w:val="007E66B6"/>
    <w:rsid w:val="007E6CC1"/>
    <w:rsid w:val="007E7171"/>
    <w:rsid w:val="007E751F"/>
    <w:rsid w:val="007E77C3"/>
    <w:rsid w:val="007E7F52"/>
    <w:rsid w:val="007F0490"/>
    <w:rsid w:val="007F0B2E"/>
    <w:rsid w:val="007F12B0"/>
    <w:rsid w:val="007F17D7"/>
    <w:rsid w:val="007F18FD"/>
    <w:rsid w:val="007F1CED"/>
    <w:rsid w:val="007F218C"/>
    <w:rsid w:val="007F220B"/>
    <w:rsid w:val="007F22FF"/>
    <w:rsid w:val="007F2993"/>
    <w:rsid w:val="007F2F93"/>
    <w:rsid w:val="007F38AB"/>
    <w:rsid w:val="007F38E6"/>
    <w:rsid w:val="007F3BF1"/>
    <w:rsid w:val="007F3BFC"/>
    <w:rsid w:val="007F3C9D"/>
    <w:rsid w:val="007F41FB"/>
    <w:rsid w:val="007F43F1"/>
    <w:rsid w:val="007F45BC"/>
    <w:rsid w:val="007F487B"/>
    <w:rsid w:val="007F4FCD"/>
    <w:rsid w:val="007F5580"/>
    <w:rsid w:val="007F5898"/>
    <w:rsid w:val="007F5D68"/>
    <w:rsid w:val="007F5FFF"/>
    <w:rsid w:val="007F6169"/>
    <w:rsid w:val="007F61E4"/>
    <w:rsid w:val="007F61F0"/>
    <w:rsid w:val="007F76EA"/>
    <w:rsid w:val="007F7A5E"/>
    <w:rsid w:val="007F7AE5"/>
    <w:rsid w:val="008000FC"/>
    <w:rsid w:val="00800613"/>
    <w:rsid w:val="0080083B"/>
    <w:rsid w:val="00801110"/>
    <w:rsid w:val="008011A7"/>
    <w:rsid w:val="00801318"/>
    <w:rsid w:val="0080165C"/>
    <w:rsid w:val="00801DCC"/>
    <w:rsid w:val="008025A7"/>
    <w:rsid w:val="0080275A"/>
    <w:rsid w:val="00802C5A"/>
    <w:rsid w:val="00802CF5"/>
    <w:rsid w:val="00802CF6"/>
    <w:rsid w:val="00802D39"/>
    <w:rsid w:val="00802DF2"/>
    <w:rsid w:val="008034A7"/>
    <w:rsid w:val="00803707"/>
    <w:rsid w:val="00803CB8"/>
    <w:rsid w:val="00804222"/>
    <w:rsid w:val="00804258"/>
    <w:rsid w:val="0080470D"/>
    <w:rsid w:val="00804C27"/>
    <w:rsid w:val="00805189"/>
    <w:rsid w:val="0080556C"/>
    <w:rsid w:val="008057E4"/>
    <w:rsid w:val="00805872"/>
    <w:rsid w:val="00805F41"/>
    <w:rsid w:val="008061DD"/>
    <w:rsid w:val="00806233"/>
    <w:rsid w:val="00806A88"/>
    <w:rsid w:val="00806ABE"/>
    <w:rsid w:val="00806D4C"/>
    <w:rsid w:val="00806D79"/>
    <w:rsid w:val="008071E1"/>
    <w:rsid w:val="00807203"/>
    <w:rsid w:val="0080724B"/>
    <w:rsid w:val="008075B7"/>
    <w:rsid w:val="00807840"/>
    <w:rsid w:val="00807886"/>
    <w:rsid w:val="00807DDD"/>
    <w:rsid w:val="0081059F"/>
    <w:rsid w:val="008105D4"/>
    <w:rsid w:val="00810950"/>
    <w:rsid w:val="00810A01"/>
    <w:rsid w:val="00810E27"/>
    <w:rsid w:val="00810E41"/>
    <w:rsid w:val="00810FC0"/>
    <w:rsid w:val="00811BAE"/>
    <w:rsid w:val="0081218A"/>
    <w:rsid w:val="00812544"/>
    <w:rsid w:val="0081265B"/>
    <w:rsid w:val="00812D3D"/>
    <w:rsid w:val="00813106"/>
    <w:rsid w:val="008131B8"/>
    <w:rsid w:val="0081359B"/>
    <w:rsid w:val="00814259"/>
    <w:rsid w:val="00814AC2"/>
    <w:rsid w:val="00814BF0"/>
    <w:rsid w:val="00814EC5"/>
    <w:rsid w:val="00815045"/>
    <w:rsid w:val="0081515C"/>
    <w:rsid w:val="00815447"/>
    <w:rsid w:val="0081590D"/>
    <w:rsid w:val="00815CD2"/>
    <w:rsid w:val="008161D9"/>
    <w:rsid w:val="0081622A"/>
    <w:rsid w:val="008162CA"/>
    <w:rsid w:val="00816FCF"/>
    <w:rsid w:val="00817406"/>
    <w:rsid w:val="00817A72"/>
    <w:rsid w:val="008200B7"/>
    <w:rsid w:val="008201DA"/>
    <w:rsid w:val="0082066A"/>
    <w:rsid w:val="00820838"/>
    <w:rsid w:val="008208D8"/>
    <w:rsid w:val="00820A8B"/>
    <w:rsid w:val="00820B9B"/>
    <w:rsid w:val="00820C63"/>
    <w:rsid w:val="00821477"/>
    <w:rsid w:val="008224EA"/>
    <w:rsid w:val="008225F1"/>
    <w:rsid w:val="008226BD"/>
    <w:rsid w:val="00823085"/>
    <w:rsid w:val="00823159"/>
    <w:rsid w:val="00823364"/>
    <w:rsid w:val="00823398"/>
    <w:rsid w:val="00823817"/>
    <w:rsid w:val="008238B3"/>
    <w:rsid w:val="00823DA8"/>
    <w:rsid w:val="00824889"/>
    <w:rsid w:val="00825139"/>
    <w:rsid w:val="008254A2"/>
    <w:rsid w:val="00825843"/>
    <w:rsid w:val="0082589B"/>
    <w:rsid w:val="008258A1"/>
    <w:rsid w:val="00825D8B"/>
    <w:rsid w:val="00825F1C"/>
    <w:rsid w:val="00825F47"/>
    <w:rsid w:val="0082632D"/>
    <w:rsid w:val="0082688B"/>
    <w:rsid w:val="0082696A"/>
    <w:rsid w:val="008275EC"/>
    <w:rsid w:val="008279B3"/>
    <w:rsid w:val="008279D7"/>
    <w:rsid w:val="00827CEE"/>
    <w:rsid w:val="008301B3"/>
    <w:rsid w:val="008302A0"/>
    <w:rsid w:val="00830830"/>
    <w:rsid w:val="00830B52"/>
    <w:rsid w:val="00830D07"/>
    <w:rsid w:val="0083116C"/>
    <w:rsid w:val="00831241"/>
    <w:rsid w:val="00831B90"/>
    <w:rsid w:val="00832A97"/>
    <w:rsid w:val="00832D82"/>
    <w:rsid w:val="00832F4C"/>
    <w:rsid w:val="008330AC"/>
    <w:rsid w:val="008330CE"/>
    <w:rsid w:val="0083339A"/>
    <w:rsid w:val="008334EF"/>
    <w:rsid w:val="0083363D"/>
    <w:rsid w:val="00833893"/>
    <w:rsid w:val="00833FF5"/>
    <w:rsid w:val="008340BE"/>
    <w:rsid w:val="00834CDC"/>
    <w:rsid w:val="00834CE7"/>
    <w:rsid w:val="00834F4F"/>
    <w:rsid w:val="00835B46"/>
    <w:rsid w:val="00835B86"/>
    <w:rsid w:val="00836197"/>
    <w:rsid w:val="0083672C"/>
    <w:rsid w:val="008376C8"/>
    <w:rsid w:val="00837BC3"/>
    <w:rsid w:val="008400A0"/>
    <w:rsid w:val="0084037F"/>
    <w:rsid w:val="008403D1"/>
    <w:rsid w:val="00840EE6"/>
    <w:rsid w:val="00840F8F"/>
    <w:rsid w:val="00841E52"/>
    <w:rsid w:val="0084211D"/>
    <w:rsid w:val="00842F44"/>
    <w:rsid w:val="00843594"/>
    <w:rsid w:val="0084378F"/>
    <w:rsid w:val="00843945"/>
    <w:rsid w:val="00843D59"/>
    <w:rsid w:val="00843F4B"/>
    <w:rsid w:val="00843FD1"/>
    <w:rsid w:val="008441B7"/>
    <w:rsid w:val="00844B6F"/>
    <w:rsid w:val="00844DF9"/>
    <w:rsid w:val="008453C6"/>
    <w:rsid w:val="00845BEF"/>
    <w:rsid w:val="00845D88"/>
    <w:rsid w:val="00846186"/>
    <w:rsid w:val="008463E4"/>
    <w:rsid w:val="00846464"/>
    <w:rsid w:val="00846474"/>
    <w:rsid w:val="00846625"/>
    <w:rsid w:val="00846719"/>
    <w:rsid w:val="00846BEC"/>
    <w:rsid w:val="00846F43"/>
    <w:rsid w:val="00846FA8"/>
    <w:rsid w:val="00847627"/>
    <w:rsid w:val="0084789C"/>
    <w:rsid w:val="00847A6B"/>
    <w:rsid w:val="00847ACC"/>
    <w:rsid w:val="00847B07"/>
    <w:rsid w:val="00847EA1"/>
    <w:rsid w:val="00847F9A"/>
    <w:rsid w:val="00850300"/>
    <w:rsid w:val="0085062F"/>
    <w:rsid w:val="008509EA"/>
    <w:rsid w:val="00851639"/>
    <w:rsid w:val="008516B0"/>
    <w:rsid w:val="008519C9"/>
    <w:rsid w:val="00851E51"/>
    <w:rsid w:val="00851ECB"/>
    <w:rsid w:val="00852406"/>
    <w:rsid w:val="00852BF4"/>
    <w:rsid w:val="00852CF1"/>
    <w:rsid w:val="00852E05"/>
    <w:rsid w:val="00852F4B"/>
    <w:rsid w:val="00853595"/>
    <w:rsid w:val="00853ACA"/>
    <w:rsid w:val="00853CB2"/>
    <w:rsid w:val="008542AD"/>
    <w:rsid w:val="008542B4"/>
    <w:rsid w:val="0085455A"/>
    <w:rsid w:val="00854B0A"/>
    <w:rsid w:val="0085518D"/>
    <w:rsid w:val="008559AA"/>
    <w:rsid w:val="00855C9B"/>
    <w:rsid w:val="00855D0D"/>
    <w:rsid w:val="0085612D"/>
    <w:rsid w:val="008568B9"/>
    <w:rsid w:val="00856A2C"/>
    <w:rsid w:val="00856BDB"/>
    <w:rsid w:val="00857DC2"/>
    <w:rsid w:val="0086054C"/>
    <w:rsid w:val="00860679"/>
    <w:rsid w:val="008607D0"/>
    <w:rsid w:val="008608E0"/>
    <w:rsid w:val="00860989"/>
    <w:rsid w:val="00860E25"/>
    <w:rsid w:val="00860E7F"/>
    <w:rsid w:val="0086148C"/>
    <w:rsid w:val="0086162B"/>
    <w:rsid w:val="00861BE5"/>
    <w:rsid w:val="0086218A"/>
    <w:rsid w:val="0086249A"/>
    <w:rsid w:val="008625F2"/>
    <w:rsid w:val="008625F9"/>
    <w:rsid w:val="0086268A"/>
    <w:rsid w:val="00862BB6"/>
    <w:rsid w:val="008636E0"/>
    <w:rsid w:val="00863C1E"/>
    <w:rsid w:val="00863E27"/>
    <w:rsid w:val="0086434E"/>
    <w:rsid w:val="00864514"/>
    <w:rsid w:val="00864715"/>
    <w:rsid w:val="00865530"/>
    <w:rsid w:val="00866644"/>
    <w:rsid w:val="00866768"/>
    <w:rsid w:val="0086696C"/>
    <w:rsid w:val="00866AE4"/>
    <w:rsid w:val="00866D48"/>
    <w:rsid w:val="00867A5C"/>
    <w:rsid w:val="00867AAB"/>
    <w:rsid w:val="00867D01"/>
    <w:rsid w:val="008703F4"/>
    <w:rsid w:val="00870B54"/>
    <w:rsid w:val="00870D56"/>
    <w:rsid w:val="00870F05"/>
    <w:rsid w:val="00871AF8"/>
    <w:rsid w:val="00871F9D"/>
    <w:rsid w:val="0087237F"/>
    <w:rsid w:val="0087251F"/>
    <w:rsid w:val="008727B8"/>
    <w:rsid w:val="00872B96"/>
    <w:rsid w:val="0087308E"/>
    <w:rsid w:val="008733B1"/>
    <w:rsid w:val="00873460"/>
    <w:rsid w:val="00873EA6"/>
    <w:rsid w:val="00874302"/>
    <w:rsid w:val="00874533"/>
    <w:rsid w:val="008748CA"/>
    <w:rsid w:val="00874AA2"/>
    <w:rsid w:val="00874B5D"/>
    <w:rsid w:val="00874BB4"/>
    <w:rsid w:val="00875037"/>
    <w:rsid w:val="00875930"/>
    <w:rsid w:val="00875E80"/>
    <w:rsid w:val="00875F9B"/>
    <w:rsid w:val="008760E0"/>
    <w:rsid w:val="008761AE"/>
    <w:rsid w:val="0087622C"/>
    <w:rsid w:val="00876820"/>
    <w:rsid w:val="008768F6"/>
    <w:rsid w:val="00876D5B"/>
    <w:rsid w:val="0087761D"/>
    <w:rsid w:val="0087780E"/>
    <w:rsid w:val="00877893"/>
    <w:rsid w:val="0088037C"/>
    <w:rsid w:val="0088038C"/>
    <w:rsid w:val="008803C5"/>
    <w:rsid w:val="00880661"/>
    <w:rsid w:val="00881174"/>
    <w:rsid w:val="00881693"/>
    <w:rsid w:val="00881BA6"/>
    <w:rsid w:val="00881CDC"/>
    <w:rsid w:val="008821D3"/>
    <w:rsid w:val="008824A5"/>
    <w:rsid w:val="00883724"/>
    <w:rsid w:val="00883D0C"/>
    <w:rsid w:val="00883D91"/>
    <w:rsid w:val="00883FDE"/>
    <w:rsid w:val="00883FFA"/>
    <w:rsid w:val="0088404C"/>
    <w:rsid w:val="0088438A"/>
    <w:rsid w:val="0088444C"/>
    <w:rsid w:val="00884CCC"/>
    <w:rsid w:val="00884D0F"/>
    <w:rsid w:val="00884E67"/>
    <w:rsid w:val="008850F2"/>
    <w:rsid w:val="0088554E"/>
    <w:rsid w:val="00885A25"/>
    <w:rsid w:val="00885B87"/>
    <w:rsid w:val="00885BAF"/>
    <w:rsid w:val="00885F52"/>
    <w:rsid w:val="008862EF"/>
    <w:rsid w:val="008864D8"/>
    <w:rsid w:val="00886754"/>
    <w:rsid w:val="00886851"/>
    <w:rsid w:val="00886B50"/>
    <w:rsid w:val="00886CA4"/>
    <w:rsid w:val="00886ED6"/>
    <w:rsid w:val="0088716F"/>
    <w:rsid w:val="00887CAA"/>
    <w:rsid w:val="00887DA6"/>
    <w:rsid w:val="00887DE0"/>
    <w:rsid w:val="008900E2"/>
    <w:rsid w:val="00890196"/>
    <w:rsid w:val="0089029E"/>
    <w:rsid w:val="008903FC"/>
    <w:rsid w:val="00890965"/>
    <w:rsid w:val="008911F5"/>
    <w:rsid w:val="0089174F"/>
    <w:rsid w:val="008918E5"/>
    <w:rsid w:val="00891A30"/>
    <w:rsid w:val="00892A05"/>
    <w:rsid w:val="00892F80"/>
    <w:rsid w:val="0089300C"/>
    <w:rsid w:val="00893033"/>
    <w:rsid w:val="008933BA"/>
    <w:rsid w:val="0089360A"/>
    <w:rsid w:val="0089373E"/>
    <w:rsid w:val="008939A4"/>
    <w:rsid w:val="00893C47"/>
    <w:rsid w:val="00893EF3"/>
    <w:rsid w:val="00894BA0"/>
    <w:rsid w:val="00894CA4"/>
    <w:rsid w:val="008951C0"/>
    <w:rsid w:val="0089572A"/>
    <w:rsid w:val="008960AC"/>
    <w:rsid w:val="008960AD"/>
    <w:rsid w:val="008966CB"/>
    <w:rsid w:val="00896A24"/>
    <w:rsid w:val="00896C15"/>
    <w:rsid w:val="00896C43"/>
    <w:rsid w:val="00896FF0"/>
    <w:rsid w:val="0089706F"/>
    <w:rsid w:val="008973EC"/>
    <w:rsid w:val="0089770C"/>
    <w:rsid w:val="00897742"/>
    <w:rsid w:val="00897D13"/>
    <w:rsid w:val="00897F13"/>
    <w:rsid w:val="008A024C"/>
    <w:rsid w:val="008A02FD"/>
    <w:rsid w:val="008A0409"/>
    <w:rsid w:val="008A0AA0"/>
    <w:rsid w:val="008A0CED"/>
    <w:rsid w:val="008A0D40"/>
    <w:rsid w:val="008A0DAB"/>
    <w:rsid w:val="008A14D4"/>
    <w:rsid w:val="008A1668"/>
    <w:rsid w:val="008A17DA"/>
    <w:rsid w:val="008A1945"/>
    <w:rsid w:val="008A1AF2"/>
    <w:rsid w:val="008A1DE9"/>
    <w:rsid w:val="008A230E"/>
    <w:rsid w:val="008A248F"/>
    <w:rsid w:val="008A2681"/>
    <w:rsid w:val="008A2757"/>
    <w:rsid w:val="008A2EF4"/>
    <w:rsid w:val="008A33F4"/>
    <w:rsid w:val="008A3B5B"/>
    <w:rsid w:val="008A42FA"/>
    <w:rsid w:val="008A476D"/>
    <w:rsid w:val="008A47BB"/>
    <w:rsid w:val="008A48C1"/>
    <w:rsid w:val="008A4B2E"/>
    <w:rsid w:val="008A4F00"/>
    <w:rsid w:val="008A4FAA"/>
    <w:rsid w:val="008A5866"/>
    <w:rsid w:val="008A58E3"/>
    <w:rsid w:val="008A5AAF"/>
    <w:rsid w:val="008A5D0A"/>
    <w:rsid w:val="008A5E8A"/>
    <w:rsid w:val="008A5EE6"/>
    <w:rsid w:val="008A5FA4"/>
    <w:rsid w:val="008A607A"/>
    <w:rsid w:val="008A6254"/>
    <w:rsid w:val="008A6255"/>
    <w:rsid w:val="008A6816"/>
    <w:rsid w:val="008A6CAD"/>
    <w:rsid w:val="008A7064"/>
    <w:rsid w:val="008A718A"/>
    <w:rsid w:val="008A769B"/>
    <w:rsid w:val="008A7FFD"/>
    <w:rsid w:val="008B0273"/>
    <w:rsid w:val="008B0629"/>
    <w:rsid w:val="008B07BD"/>
    <w:rsid w:val="008B08A7"/>
    <w:rsid w:val="008B19EC"/>
    <w:rsid w:val="008B1C33"/>
    <w:rsid w:val="008B2850"/>
    <w:rsid w:val="008B2C59"/>
    <w:rsid w:val="008B2E23"/>
    <w:rsid w:val="008B39B6"/>
    <w:rsid w:val="008B40B3"/>
    <w:rsid w:val="008B4304"/>
    <w:rsid w:val="008B46CC"/>
    <w:rsid w:val="008B48CF"/>
    <w:rsid w:val="008B4AB6"/>
    <w:rsid w:val="008B4DBD"/>
    <w:rsid w:val="008B50AA"/>
    <w:rsid w:val="008B54E7"/>
    <w:rsid w:val="008B5967"/>
    <w:rsid w:val="008B5AA3"/>
    <w:rsid w:val="008B5C62"/>
    <w:rsid w:val="008B5C7A"/>
    <w:rsid w:val="008B60C7"/>
    <w:rsid w:val="008B62F9"/>
    <w:rsid w:val="008B6958"/>
    <w:rsid w:val="008B6B13"/>
    <w:rsid w:val="008B6DF8"/>
    <w:rsid w:val="008B77E0"/>
    <w:rsid w:val="008B7AA0"/>
    <w:rsid w:val="008C047A"/>
    <w:rsid w:val="008C0624"/>
    <w:rsid w:val="008C062A"/>
    <w:rsid w:val="008C0C34"/>
    <w:rsid w:val="008C0F29"/>
    <w:rsid w:val="008C1817"/>
    <w:rsid w:val="008C1A2E"/>
    <w:rsid w:val="008C1BDC"/>
    <w:rsid w:val="008C2547"/>
    <w:rsid w:val="008C2855"/>
    <w:rsid w:val="008C2AD4"/>
    <w:rsid w:val="008C2BAF"/>
    <w:rsid w:val="008C2FBA"/>
    <w:rsid w:val="008C30C4"/>
    <w:rsid w:val="008C33A2"/>
    <w:rsid w:val="008C3942"/>
    <w:rsid w:val="008C39FF"/>
    <w:rsid w:val="008C4499"/>
    <w:rsid w:val="008C46F5"/>
    <w:rsid w:val="008C47BA"/>
    <w:rsid w:val="008C5302"/>
    <w:rsid w:val="008C560E"/>
    <w:rsid w:val="008C5739"/>
    <w:rsid w:val="008C573E"/>
    <w:rsid w:val="008C5B87"/>
    <w:rsid w:val="008C5ED3"/>
    <w:rsid w:val="008C5F2E"/>
    <w:rsid w:val="008C6561"/>
    <w:rsid w:val="008C6756"/>
    <w:rsid w:val="008C6792"/>
    <w:rsid w:val="008C67E0"/>
    <w:rsid w:val="008C6FDA"/>
    <w:rsid w:val="008C7533"/>
    <w:rsid w:val="008C7E3E"/>
    <w:rsid w:val="008D002B"/>
    <w:rsid w:val="008D0495"/>
    <w:rsid w:val="008D0D88"/>
    <w:rsid w:val="008D1307"/>
    <w:rsid w:val="008D159B"/>
    <w:rsid w:val="008D1E3B"/>
    <w:rsid w:val="008D1F2A"/>
    <w:rsid w:val="008D216C"/>
    <w:rsid w:val="008D2575"/>
    <w:rsid w:val="008D2EC3"/>
    <w:rsid w:val="008D2FFA"/>
    <w:rsid w:val="008D3123"/>
    <w:rsid w:val="008D32C3"/>
    <w:rsid w:val="008D33F8"/>
    <w:rsid w:val="008D3821"/>
    <w:rsid w:val="008D42C8"/>
    <w:rsid w:val="008D4549"/>
    <w:rsid w:val="008D4685"/>
    <w:rsid w:val="008D47E2"/>
    <w:rsid w:val="008D4B3E"/>
    <w:rsid w:val="008D4C18"/>
    <w:rsid w:val="008D4C30"/>
    <w:rsid w:val="008D4E51"/>
    <w:rsid w:val="008D5089"/>
    <w:rsid w:val="008D58EE"/>
    <w:rsid w:val="008D5B31"/>
    <w:rsid w:val="008D678E"/>
    <w:rsid w:val="008D69B8"/>
    <w:rsid w:val="008D6FBF"/>
    <w:rsid w:val="008D7712"/>
    <w:rsid w:val="008D773E"/>
    <w:rsid w:val="008D787A"/>
    <w:rsid w:val="008D79C8"/>
    <w:rsid w:val="008D7D5E"/>
    <w:rsid w:val="008E02D1"/>
    <w:rsid w:val="008E02D4"/>
    <w:rsid w:val="008E0367"/>
    <w:rsid w:val="008E0430"/>
    <w:rsid w:val="008E09C3"/>
    <w:rsid w:val="008E0C08"/>
    <w:rsid w:val="008E0ECB"/>
    <w:rsid w:val="008E0EDD"/>
    <w:rsid w:val="008E140C"/>
    <w:rsid w:val="008E1B05"/>
    <w:rsid w:val="008E1DEA"/>
    <w:rsid w:val="008E1FEB"/>
    <w:rsid w:val="008E2228"/>
    <w:rsid w:val="008E278B"/>
    <w:rsid w:val="008E2B05"/>
    <w:rsid w:val="008E2F12"/>
    <w:rsid w:val="008E39D7"/>
    <w:rsid w:val="008E400C"/>
    <w:rsid w:val="008E402F"/>
    <w:rsid w:val="008E4468"/>
    <w:rsid w:val="008E4693"/>
    <w:rsid w:val="008E484A"/>
    <w:rsid w:val="008E4C42"/>
    <w:rsid w:val="008E4F45"/>
    <w:rsid w:val="008E5218"/>
    <w:rsid w:val="008E5895"/>
    <w:rsid w:val="008E5B13"/>
    <w:rsid w:val="008E5B17"/>
    <w:rsid w:val="008E5BD5"/>
    <w:rsid w:val="008E5F56"/>
    <w:rsid w:val="008E621C"/>
    <w:rsid w:val="008E6332"/>
    <w:rsid w:val="008E6793"/>
    <w:rsid w:val="008E6BA9"/>
    <w:rsid w:val="008E7075"/>
    <w:rsid w:val="008E7A24"/>
    <w:rsid w:val="008E7C6B"/>
    <w:rsid w:val="008F0205"/>
    <w:rsid w:val="008F060C"/>
    <w:rsid w:val="008F07B1"/>
    <w:rsid w:val="008F10E0"/>
    <w:rsid w:val="008F1162"/>
    <w:rsid w:val="008F1164"/>
    <w:rsid w:val="008F1623"/>
    <w:rsid w:val="008F17CF"/>
    <w:rsid w:val="008F182D"/>
    <w:rsid w:val="008F18C1"/>
    <w:rsid w:val="008F1AFA"/>
    <w:rsid w:val="008F1E17"/>
    <w:rsid w:val="008F1E56"/>
    <w:rsid w:val="008F1F25"/>
    <w:rsid w:val="008F2359"/>
    <w:rsid w:val="008F2496"/>
    <w:rsid w:val="008F28F9"/>
    <w:rsid w:val="008F2DDD"/>
    <w:rsid w:val="008F30F9"/>
    <w:rsid w:val="008F3126"/>
    <w:rsid w:val="008F33CC"/>
    <w:rsid w:val="008F34AB"/>
    <w:rsid w:val="008F36F6"/>
    <w:rsid w:val="008F37C6"/>
    <w:rsid w:val="008F3894"/>
    <w:rsid w:val="008F3BC2"/>
    <w:rsid w:val="008F3CD3"/>
    <w:rsid w:val="008F3D4F"/>
    <w:rsid w:val="008F418A"/>
    <w:rsid w:val="008F43D3"/>
    <w:rsid w:val="008F4E37"/>
    <w:rsid w:val="008F4E69"/>
    <w:rsid w:val="008F4F1D"/>
    <w:rsid w:val="008F4F5B"/>
    <w:rsid w:val="008F554F"/>
    <w:rsid w:val="008F5736"/>
    <w:rsid w:val="008F58A6"/>
    <w:rsid w:val="008F5C91"/>
    <w:rsid w:val="008F6292"/>
    <w:rsid w:val="008F6C27"/>
    <w:rsid w:val="008F6E3E"/>
    <w:rsid w:val="008F7A15"/>
    <w:rsid w:val="008F7A73"/>
    <w:rsid w:val="008F7E92"/>
    <w:rsid w:val="00900288"/>
    <w:rsid w:val="00900709"/>
    <w:rsid w:val="00901744"/>
    <w:rsid w:val="009017DA"/>
    <w:rsid w:val="009020FB"/>
    <w:rsid w:val="009022F5"/>
    <w:rsid w:val="00902A39"/>
    <w:rsid w:val="00902C54"/>
    <w:rsid w:val="00902CC4"/>
    <w:rsid w:val="00902DA1"/>
    <w:rsid w:val="009031C3"/>
    <w:rsid w:val="009032D6"/>
    <w:rsid w:val="0090366F"/>
    <w:rsid w:val="009039DE"/>
    <w:rsid w:val="00903BD2"/>
    <w:rsid w:val="00903D43"/>
    <w:rsid w:val="0090408B"/>
    <w:rsid w:val="00904322"/>
    <w:rsid w:val="009043EB"/>
    <w:rsid w:val="00904888"/>
    <w:rsid w:val="0090502E"/>
    <w:rsid w:val="00905E54"/>
    <w:rsid w:val="00906247"/>
    <w:rsid w:val="00906582"/>
    <w:rsid w:val="00906B3C"/>
    <w:rsid w:val="00906BD6"/>
    <w:rsid w:val="00906C6E"/>
    <w:rsid w:val="00906D45"/>
    <w:rsid w:val="00906DC4"/>
    <w:rsid w:val="00907A1C"/>
    <w:rsid w:val="00907D49"/>
    <w:rsid w:val="00907DA8"/>
    <w:rsid w:val="00907F97"/>
    <w:rsid w:val="0091077A"/>
    <w:rsid w:val="0091078F"/>
    <w:rsid w:val="00910ACE"/>
    <w:rsid w:val="0091113E"/>
    <w:rsid w:val="009118B1"/>
    <w:rsid w:val="00912036"/>
    <w:rsid w:val="009121CF"/>
    <w:rsid w:val="0091235C"/>
    <w:rsid w:val="00912454"/>
    <w:rsid w:val="00912CDF"/>
    <w:rsid w:val="009139AA"/>
    <w:rsid w:val="00913A35"/>
    <w:rsid w:val="00913D3C"/>
    <w:rsid w:val="00913DB1"/>
    <w:rsid w:val="00913E09"/>
    <w:rsid w:val="00914238"/>
    <w:rsid w:val="00914606"/>
    <w:rsid w:val="00914919"/>
    <w:rsid w:val="009149A9"/>
    <w:rsid w:val="00914D47"/>
    <w:rsid w:val="00915039"/>
    <w:rsid w:val="009152F6"/>
    <w:rsid w:val="00915BEB"/>
    <w:rsid w:val="009166DE"/>
    <w:rsid w:val="00916992"/>
    <w:rsid w:val="00916D89"/>
    <w:rsid w:val="009172F8"/>
    <w:rsid w:val="00917687"/>
    <w:rsid w:val="00917BCB"/>
    <w:rsid w:val="009201BC"/>
    <w:rsid w:val="00920B74"/>
    <w:rsid w:val="00920E79"/>
    <w:rsid w:val="00921240"/>
    <w:rsid w:val="0092125F"/>
    <w:rsid w:val="00921358"/>
    <w:rsid w:val="00921C5E"/>
    <w:rsid w:val="00921E91"/>
    <w:rsid w:val="0092256A"/>
    <w:rsid w:val="00922B94"/>
    <w:rsid w:val="00922C0F"/>
    <w:rsid w:val="00922D8F"/>
    <w:rsid w:val="00923149"/>
    <w:rsid w:val="00923222"/>
    <w:rsid w:val="0092339E"/>
    <w:rsid w:val="00923824"/>
    <w:rsid w:val="00923906"/>
    <w:rsid w:val="00924298"/>
    <w:rsid w:val="009246C9"/>
    <w:rsid w:val="009247EF"/>
    <w:rsid w:val="00924851"/>
    <w:rsid w:val="009249AA"/>
    <w:rsid w:val="00924BC7"/>
    <w:rsid w:val="009251A2"/>
    <w:rsid w:val="009253B7"/>
    <w:rsid w:val="00925510"/>
    <w:rsid w:val="009256B1"/>
    <w:rsid w:val="00925708"/>
    <w:rsid w:val="00925CA4"/>
    <w:rsid w:val="00925D4A"/>
    <w:rsid w:val="00925D97"/>
    <w:rsid w:val="00925F99"/>
    <w:rsid w:val="00926456"/>
    <w:rsid w:val="0092664C"/>
    <w:rsid w:val="009267A6"/>
    <w:rsid w:val="00926FB2"/>
    <w:rsid w:val="00927057"/>
    <w:rsid w:val="009274DB"/>
    <w:rsid w:val="009274DC"/>
    <w:rsid w:val="00927C86"/>
    <w:rsid w:val="00927F2C"/>
    <w:rsid w:val="00927F94"/>
    <w:rsid w:val="00930010"/>
    <w:rsid w:val="009305C1"/>
    <w:rsid w:val="00930617"/>
    <w:rsid w:val="0093084E"/>
    <w:rsid w:val="00930D43"/>
    <w:rsid w:val="00930F1D"/>
    <w:rsid w:val="009314BA"/>
    <w:rsid w:val="009319FF"/>
    <w:rsid w:val="00931A53"/>
    <w:rsid w:val="00931C2D"/>
    <w:rsid w:val="00931C7E"/>
    <w:rsid w:val="00931E84"/>
    <w:rsid w:val="00931EAD"/>
    <w:rsid w:val="009320BB"/>
    <w:rsid w:val="00932172"/>
    <w:rsid w:val="00932706"/>
    <w:rsid w:val="009328F8"/>
    <w:rsid w:val="00933480"/>
    <w:rsid w:val="009334DE"/>
    <w:rsid w:val="00933B60"/>
    <w:rsid w:val="00933DFC"/>
    <w:rsid w:val="00933EA1"/>
    <w:rsid w:val="00934613"/>
    <w:rsid w:val="00935072"/>
    <w:rsid w:val="00935209"/>
    <w:rsid w:val="00935229"/>
    <w:rsid w:val="0093549A"/>
    <w:rsid w:val="009356DF"/>
    <w:rsid w:val="009357F3"/>
    <w:rsid w:val="0093609F"/>
    <w:rsid w:val="00936329"/>
    <w:rsid w:val="009365F7"/>
    <w:rsid w:val="009369FC"/>
    <w:rsid w:val="00937532"/>
    <w:rsid w:val="00937724"/>
    <w:rsid w:val="0093778B"/>
    <w:rsid w:val="009401BC"/>
    <w:rsid w:val="00940486"/>
    <w:rsid w:val="00940761"/>
    <w:rsid w:val="00940794"/>
    <w:rsid w:val="00940B9C"/>
    <w:rsid w:val="00940D8C"/>
    <w:rsid w:val="009410AE"/>
    <w:rsid w:val="009415C7"/>
    <w:rsid w:val="009415D8"/>
    <w:rsid w:val="00941C45"/>
    <w:rsid w:val="00942009"/>
    <w:rsid w:val="0094282B"/>
    <w:rsid w:val="00942D22"/>
    <w:rsid w:val="00943139"/>
    <w:rsid w:val="00943197"/>
    <w:rsid w:val="00943759"/>
    <w:rsid w:val="00943A11"/>
    <w:rsid w:val="00943A35"/>
    <w:rsid w:val="00943C1B"/>
    <w:rsid w:val="00943F5D"/>
    <w:rsid w:val="00944384"/>
    <w:rsid w:val="0094451B"/>
    <w:rsid w:val="00944D6D"/>
    <w:rsid w:val="00944DCE"/>
    <w:rsid w:val="00945072"/>
    <w:rsid w:val="009456EC"/>
    <w:rsid w:val="00945E18"/>
    <w:rsid w:val="009461CA"/>
    <w:rsid w:val="009465C9"/>
    <w:rsid w:val="00946604"/>
    <w:rsid w:val="0094661B"/>
    <w:rsid w:val="0094679F"/>
    <w:rsid w:val="009468A7"/>
    <w:rsid w:val="00946D83"/>
    <w:rsid w:val="00946D9C"/>
    <w:rsid w:val="00950614"/>
    <w:rsid w:val="009506C2"/>
    <w:rsid w:val="00951125"/>
    <w:rsid w:val="00951176"/>
    <w:rsid w:val="0095122F"/>
    <w:rsid w:val="00951885"/>
    <w:rsid w:val="009518BB"/>
    <w:rsid w:val="00951AA9"/>
    <w:rsid w:val="00951F69"/>
    <w:rsid w:val="00952E5B"/>
    <w:rsid w:val="00952F72"/>
    <w:rsid w:val="0095366B"/>
    <w:rsid w:val="00953895"/>
    <w:rsid w:val="009538E7"/>
    <w:rsid w:val="00953AAB"/>
    <w:rsid w:val="00953CE2"/>
    <w:rsid w:val="009542D1"/>
    <w:rsid w:val="009543D5"/>
    <w:rsid w:val="0095483C"/>
    <w:rsid w:val="00954A21"/>
    <w:rsid w:val="00954A30"/>
    <w:rsid w:val="00954B07"/>
    <w:rsid w:val="00954E59"/>
    <w:rsid w:val="00955D1A"/>
    <w:rsid w:val="00955F53"/>
    <w:rsid w:val="00956232"/>
    <w:rsid w:val="0095641F"/>
    <w:rsid w:val="00956753"/>
    <w:rsid w:val="00956B5C"/>
    <w:rsid w:val="00956CA3"/>
    <w:rsid w:val="009602F7"/>
    <w:rsid w:val="00960383"/>
    <w:rsid w:val="0096109F"/>
    <w:rsid w:val="009610EF"/>
    <w:rsid w:val="00961470"/>
    <w:rsid w:val="00961694"/>
    <w:rsid w:val="00961976"/>
    <w:rsid w:val="00961AB8"/>
    <w:rsid w:val="00961D24"/>
    <w:rsid w:val="00961D93"/>
    <w:rsid w:val="00961ECE"/>
    <w:rsid w:val="00961F71"/>
    <w:rsid w:val="00962951"/>
    <w:rsid w:val="00962F1B"/>
    <w:rsid w:val="00963219"/>
    <w:rsid w:val="009634D7"/>
    <w:rsid w:val="0096393D"/>
    <w:rsid w:val="00963BB3"/>
    <w:rsid w:val="00964020"/>
    <w:rsid w:val="009642BC"/>
    <w:rsid w:val="00964383"/>
    <w:rsid w:val="0096531B"/>
    <w:rsid w:val="00965421"/>
    <w:rsid w:val="009657D1"/>
    <w:rsid w:val="00965AC8"/>
    <w:rsid w:val="00966002"/>
    <w:rsid w:val="00966432"/>
    <w:rsid w:val="00966804"/>
    <w:rsid w:val="009669B2"/>
    <w:rsid w:val="00966E3E"/>
    <w:rsid w:val="00966EC6"/>
    <w:rsid w:val="00966F7B"/>
    <w:rsid w:val="00967A56"/>
    <w:rsid w:val="00967D51"/>
    <w:rsid w:val="00967D70"/>
    <w:rsid w:val="00967F5E"/>
    <w:rsid w:val="009705E8"/>
    <w:rsid w:val="00970858"/>
    <w:rsid w:val="00970E7A"/>
    <w:rsid w:val="0097172E"/>
    <w:rsid w:val="009717D2"/>
    <w:rsid w:val="00971888"/>
    <w:rsid w:val="00971CC0"/>
    <w:rsid w:val="009721E1"/>
    <w:rsid w:val="00972200"/>
    <w:rsid w:val="00972B0F"/>
    <w:rsid w:val="00972D5E"/>
    <w:rsid w:val="00972DD7"/>
    <w:rsid w:val="00972ED7"/>
    <w:rsid w:val="009730B7"/>
    <w:rsid w:val="00973289"/>
    <w:rsid w:val="0097337C"/>
    <w:rsid w:val="009733E2"/>
    <w:rsid w:val="00973B0E"/>
    <w:rsid w:val="00973B80"/>
    <w:rsid w:val="00973C14"/>
    <w:rsid w:val="00973D49"/>
    <w:rsid w:val="00973D8B"/>
    <w:rsid w:val="00973E46"/>
    <w:rsid w:val="00973ED6"/>
    <w:rsid w:val="00974076"/>
    <w:rsid w:val="0097428C"/>
    <w:rsid w:val="0097474F"/>
    <w:rsid w:val="00974893"/>
    <w:rsid w:val="009748C4"/>
    <w:rsid w:val="00974D36"/>
    <w:rsid w:val="00975347"/>
    <w:rsid w:val="009754F6"/>
    <w:rsid w:val="00975544"/>
    <w:rsid w:val="00975FA2"/>
    <w:rsid w:val="00976545"/>
    <w:rsid w:val="00977241"/>
    <w:rsid w:val="00977315"/>
    <w:rsid w:val="009779CC"/>
    <w:rsid w:val="00977E2B"/>
    <w:rsid w:val="00980099"/>
    <w:rsid w:val="0098059D"/>
    <w:rsid w:val="009805B9"/>
    <w:rsid w:val="00980C26"/>
    <w:rsid w:val="00981A29"/>
    <w:rsid w:val="00981C3A"/>
    <w:rsid w:val="00981EDF"/>
    <w:rsid w:val="00982558"/>
    <w:rsid w:val="009827FC"/>
    <w:rsid w:val="00982B97"/>
    <w:rsid w:val="00982FE7"/>
    <w:rsid w:val="009830FB"/>
    <w:rsid w:val="00983112"/>
    <w:rsid w:val="009839D9"/>
    <w:rsid w:val="00983E3A"/>
    <w:rsid w:val="00983EC4"/>
    <w:rsid w:val="009840E8"/>
    <w:rsid w:val="009841C3"/>
    <w:rsid w:val="009841D5"/>
    <w:rsid w:val="009843B0"/>
    <w:rsid w:val="00984693"/>
    <w:rsid w:val="00984818"/>
    <w:rsid w:val="00984B93"/>
    <w:rsid w:val="00985825"/>
    <w:rsid w:val="009859DB"/>
    <w:rsid w:val="00985BCC"/>
    <w:rsid w:val="00985C02"/>
    <w:rsid w:val="00985CA1"/>
    <w:rsid w:val="00986208"/>
    <w:rsid w:val="009863A8"/>
    <w:rsid w:val="009866F5"/>
    <w:rsid w:val="00986AA4"/>
    <w:rsid w:val="00986D74"/>
    <w:rsid w:val="00986F16"/>
    <w:rsid w:val="00987116"/>
    <w:rsid w:val="009871E2"/>
    <w:rsid w:val="00987324"/>
    <w:rsid w:val="00987DBB"/>
    <w:rsid w:val="00990634"/>
    <w:rsid w:val="00990910"/>
    <w:rsid w:val="0099096A"/>
    <w:rsid w:val="00990A40"/>
    <w:rsid w:val="00990BC4"/>
    <w:rsid w:val="00991050"/>
    <w:rsid w:val="0099186C"/>
    <w:rsid w:val="00991950"/>
    <w:rsid w:val="00992074"/>
    <w:rsid w:val="00992331"/>
    <w:rsid w:val="0099296E"/>
    <w:rsid w:val="00992EA1"/>
    <w:rsid w:val="009930D5"/>
    <w:rsid w:val="00993158"/>
    <w:rsid w:val="00993515"/>
    <w:rsid w:val="00993540"/>
    <w:rsid w:val="00993E6D"/>
    <w:rsid w:val="009940EF"/>
    <w:rsid w:val="0099437A"/>
    <w:rsid w:val="00994639"/>
    <w:rsid w:val="00994742"/>
    <w:rsid w:val="00995210"/>
    <w:rsid w:val="00995302"/>
    <w:rsid w:val="0099554E"/>
    <w:rsid w:val="009956C0"/>
    <w:rsid w:val="009957C5"/>
    <w:rsid w:val="00995850"/>
    <w:rsid w:val="00995ABD"/>
    <w:rsid w:val="00995C06"/>
    <w:rsid w:val="00995D0F"/>
    <w:rsid w:val="00996106"/>
    <w:rsid w:val="00996BFB"/>
    <w:rsid w:val="00996D45"/>
    <w:rsid w:val="00997548"/>
    <w:rsid w:val="009979B3"/>
    <w:rsid w:val="00997DA3"/>
    <w:rsid w:val="009A00E4"/>
    <w:rsid w:val="009A021E"/>
    <w:rsid w:val="009A0346"/>
    <w:rsid w:val="009A0529"/>
    <w:rsid w:val="009A0A85"/>
    <w:rsid w:val="009A0B94"/>
    <w:rsid w:val="009A0C01"/>
    <w:rsid w:val="009A0C21"/>
    <w:rsid w:val="009A0E14"/>
    <w:rsid w:val="009A0F46"/>
    <w:rsid w:val="009A1661"/>
    <w:rsid w:val="009A171D"/>
    <w:rsid w:val="009A1C20"/>
    <w:rsid w:val="009A2333"/>
    <w:rsid w:val="009A25BD"/>
    <w:rsid w:val="009A265D"/>
    <w:rsid w:val="009A2F3E"/>
    <w:rsid w:val="009A3350"/>
    <w:rsid w:val="009A351E"/>
    <w:rsid w:val="009A3AB6"/>
    <w:rsid w:val="009A3AD5"/>
    <w:rsid w:val="009A46BA"/>
    <w:rsid w:val="009A476D"/>
    <w:rsid w:val="009A48E1"/>
    <w:rsid w:val="009A4D6A"/>
    <w:rsid w:val="009A4EAE"/>
    <w:rsid w:val="009A52D9"/>
    <w:rsid w:val="009A569D"/>
    <w:rsid w:val="009A5A8A"/>
    <w:rsid w:val="009A5D8E"/>
    <w:rsid w:val="009A5DAB"/>
    <w:rsid w:val="009A5EC8"/>
    <w:rsid w:val="009A607C"/>
    <w:rsid w:val="009A64C8"/>
    <w:rsid w:val="009A6554"/>
    <w:rsid w:val="009A675F"/>
    <w:rsid w:val="009A6A39"/>
    <w:rsid w:val="009A6BDE"/>
    <w:rsid w:val="009A6D66"/>
    <w:rsid w:val="009A6F0C"/>
    <w:rsid w:val="009A7201"/>
    <w:rsid w:val="009A7676"/>
    <w:rsid w:val="009A7A23"/>
    <w:rsid w:val="009B052B"/>
    <w:rsid w:val="009B066A"/>
    <w:rsid w:val="009B128A"/>
    <w:rsid w:val="009B12B3"/>
    <w:rsid w:val="009B141F"/>
    <w:rsid w:val="009B1DBF"/>
    <w:rsid w:val="009B1E08"/>
    <w:rsid w:val="009B2270"/>
    <w:rsid w:val="009B2484"/>
    <w:rsid w:val="009B24B5"/>
    <w:rsid w:val="009B2586"/>
    <w:rsid w:val="009B2872"/>
    <w:rsid w:val="009B2B48"/>
    <w:rsid w:val="009B2CA4"/>
    <w:rsid w:val="009B2DC9"/>
    <w:rsid w:val="009B35D7"/>
    <w:rsid w:val="009B3C92"/>
    <w:rsid w:val="009B3DFD"/>
    <w:rsid w:val="009B4298"/>
    <w:rsid w:val="009B45DC"/>
    <w:rsid w:val="009B471B"/>
    <w:rsid w:val="009B4BA4"/>
    <w:rsid w:val="009B4BA5"/>
    <w:rsid w:val="009B52E3"/>
    <w:rsid w:val="009B541A"/>
    <w:rsid w:val="009B548F"/>
    <w:rsid w:val="009B56C2"/>
    <w:rsid w:val="009B5D2C"/>
    <w:rsid w:val="009B646A"/>
    <w:rsid w:val="009B6825"/>
    <w:rsid w:val="009B6D8F"/>
    <w:rsid w:val="009B710E"/>
    <w:rsid w:val="009B716B"/>
    <w:rsid w:val="009B7317"/>
    <w:rsid w:val="009B732C"/>
    <w:rsid w:val="009B7334"/>
    <w:rsid w:val="009B748F"/>
    <w:rsid w:val="009B7A3B"/>
    <w:rsid w:val="009B7ACD"/>
    <w:rsid w:val="009C0526"/>
    <w:rsid w:val="009C078D"/>
    <w:rsid w:val="009C09CA"/>
    <w:rsid w:val="009C0C85"/>
    <w:rsid w:val="009C0D1A"/>
    <w:rsid w:val="009C157A"/>
    <w:rsid w:val="009C1772"/>
    <w:rsid w:val="009C1925"/>
    <w:rsid w:val="009C1C32"/>
    <w:rsid w:val="009C1C50"/>
    <w:rsid w:val="009C1DD8"/>
    <w:rsid w:val="009C1EAC"/>
    <w:rsid w:val="009C203F"/>
    <w:rsid w:val="009C23B9"/>
    <w:rsid w:val="009C2417"/>
    <w:rsid w:val="009C26D7"/>
    <w:rsid w:val="009C2750"/>
    <w:rsid w:val="009C2D44"/>
    <w:rsid w:val="009C2E4F"/>
    <w:rsid w:val="009C30EE"/>
    <w:rsid w:val="009C394F"/>
    <w:rsid w:val="009C3D0D"/>
    <w:rsid w:val="009C3FC1"/>
    <w:rsid w:val="009C48CF"/>
    <w:rsid w:val="009C48F6"/>
    <w:rsid w:val="009C4989"/>
    <w:rsid w:val="009C4B0B"/>
    <w:rsid w:val="009C4DB9"/>
    <w:rsid w:val="009C537C"/>
    <w:rsid w:val="009C5572"/>
    <w:rsid w:val="009C5CDD"/>
    <w:rsid w:val="009C62B4"/>
    <w:rsid w:val="009C68FA"/>
    <w:rsid w:val="009C7039"/>
    <w:rsid w:val="009C711C"/>
    <w:rsid w:val="009C746E"/>
    <w:rsid w:val="009C7DD1"/>
    <w:rsid w:val="009C7DF0"/>
    <w:rsid w:val="009D05DD"/>
    <w:rsid w:val="009D09FC"/>
    <w:rsid w:val="009D0E90"/>
    <w:rsid w:val="009D11F3"/>
    <w:rsid w:val="009D1273"/>
    <w:rsid w:val="009D160A"/>
    <w:rsid w:val="009D18D8"/>
    <w:rsid w:val="009D199E"/>
    <w:rsid w:val="009D19DC"/>
    <w:rsid w:val="009D1D98"/>
    <w:rsid w:val="009D1F24"/>
    <w:rsid w:val="009D1FC0"/>
    <w:rsid w:val="009D204E"/>
    <w:rsid w:val="009D2457"/>
    <w:rsid w:val="009D2A6F"/>
    <w:rsid w:val="009D2E80"/>
    <w:rsid w:val="009D3415"/>
    <w:rsid w:val="009D4030"/>
    <w:rsid w:val="009D42BF"/>
    <w:rsid w:val="009D500F"/>
    <w:rsid w:val="009D5702"/>
    <w:rsid w:val="009D5BBA"/>
    <w:rsid w:val="009D61D5"/>
    <w:rsid w:val="009D6324"/>
    <w:rsid w:val="009D6562"/>
    <w:rsid w:val="009D6819"/>
    <w:rsid w:val="009D6925"/>
    <w:rsid w:val="009D7643"/>
    <w:rsid w:val="009D76D7"/>
    <w:rsid w:val="009D77CA"/>
    <w:rsid w:val="009D788E"/>
    <w:rsid w:val="009D7A2D"/>
    <w:rsid w:val="009D7F56"/>
    <w:rsid w:val="009E0113"/>
    <w:rsid w:val="009E0705"/>
    <w:rsid w:val="009E0BA2"/>
    <w:rsid w:val="009E0C02"/>
    <w:rsid w:val="009E0E73"/>
    <w:rsid w:val="009E115D"/>
    <w:rsid w:val="009E12CD"/>
    <w:rsid w:val="009E1588"/>
    <w:rsid w:val="009E188D"/>
    <w:rsid w:val="009E1BF8"/>
    <w:rsid w:val="009E1D5B"/>
    <w:rsid w:val="009E206F"/>
    <w:rsid w:val="009E2334"/>
    <w:rsid w:val="009E2807"/>
    <w:rsid w:val="009E2CEC"/>
    <w:rsid w:val="009E2CF4"/>
    <w:rsid w:val="009E2E79"/>
    <w:rsid w:val="009E3391"/>
    <w:rsid w:val="009E3493"/>
    <w:rsid w:val="009E35D5"/>
    <w:rsid w:val="009E37E3"/>
    <w:rsid w:val="009E3A60"/>
    <w:rsid w:val="009E3BA0"/>
    <w:rsid w:val="009E3C0D"/>
    <w:rsid w:val="009E4385"/>
    <w:rsid w:val="009E453C"/>
    <w:rsid w:val="009E496F"/>
    <w:rsid w:val="009E5476"/>
    <w:rsid w:val="009E54BA"/>
    <w:rsid w:val="009E5737"/>
    <w:rsid w:val="009E5C3E"/>
    <w:rsid w:val="009E62A1"/>
    <w:rsid w:val="009E6332"/>
    <w:rsid w:val="009E6432"/>
    <w:rsid w:val="009E6799"/>
    <w:rsid w:val="009E689A"/>
    <w:rsid w:val="009E6D58"/>
    <w:rsid w:val="009E6DE3"/>
    <w:rsid w:val="009E6FB4"/>
    <w:rsid w:val="009E77DB"/>
    <w:rsid w:val="009E7A28"/>
    <w:rsid w:val="009E7D7B"/>
    <w:rsid w:val="009F0613"/>
    <w:rsid w:val="009F0755"/>
    <w:rsid w:val="009F0B7D"/>
    <w:rsid w:val="009F0D84"/>
    <w:rsid w:val="009F11A3"/>
    <w:rsid w:val="009F1738"/>
    <w:rsid w:val="009F2212"/>
    <w:rsid w:val="009F2273"/>
    <w:rsid w:val="009F237E"/>
    <w:rsid w:val="009F25F4"/>
    <w:rsid w:val="009F2BBA"/>
    <w:rsid w:val="009F2C26"/>
    <w:rsid w:val="009F2D32"/>
    <w:rsid w:val="009F2F78"/>
    <w:rsid w:val="009F31F4"/>
    <w:rsid w:val="009F355D"/>
    <w:rsid w:val="009F368E"/>
    <w:rsid w:val="009F3A26"/>
    <w:rsid w:val="009F3C56"/>
    <w:rsid w:val="009F3F97"/>
    <w:rsid w:val="009F4472"/>
    <w:rsid w:val="009F4763"/>
    <w:rsid w:val="009F477B"/>
    <w:rsid w:val="009F57C6"/>
    <w:rsid w:val="009F5995"/>
    <w:rsid w:val="009F5AE5"/>
    <w:rsid w:val="009F5BDE"/>
    <w:rsid w:val="009F71A2"/>
    <w:rsid w:val="009F79DC"/>
    <w:rsid w:val="009F7E63"/>
    <w:rsid w:val="00A00450"/>
    <w:rsid w:val="00A007C9"/>
    <w:rsid w:val="00A008A8"/>
    <w:rsid w:val="00A00FA0"/>
    <w:rsid w:val="00A00FBA"/>
    <w:rsid w:val="00A01245"/>
    <w:rsid w:val="00A01304"/>
    <w:rsid w:val="00A01813"/>
    <w:rsid w:val="00A01FB3"/>
    <w:rsid w:val="00A0259C"/>
    <w:rsid w:val="00A02624"/>
    <w:rsid w:val="00A0267D"/>
    <w:rsid w:val="00A027F5"/>
    <w:rsid w:val="00A02A3A"/>
    <w:rsid w:val="00A02A91"/>
    <w:rsid w:val="00A02EC3"/>
    <w:rsid w:val="00A03499"/>
    <w:rsid w:val="00A035B4"/>
    <w:rsid w:val="00A036E7"/>
    <w:rsid w:val="00A038F0"/>
    <w:rsid w:val="00A03C20"/>
    <w:rsid w:val="00A03EB5"/>
    <w:rsid w:val="00A03EF1"/>
    <w:rsid w:val="00A0425E"/>
    <w:rsid w:val="00A04475"/>
    <w:rsid w:val="00A046B4"/>
    <w:rsid w:val="00A046ED"/>
    <w:rsid w:val="00A04827"/>
    <w:rsid w:val="00A04AB0"/>
    <w:rsid w:val="00A04DC6"/>
    <w:rsid w:val="00A04DFC"/>
    <w:rsid w:val="00A05207"/>
    <w:rsid w:val="00A053DD"/>
    <w:rsid w:val="00A05718"/>
    <w:rsid w:val="00A057E4"/>
    <w:rsid w:val="00A05BD1"/>
    <w:rsid w:val="00A05D79"/>
    <w:rsid w:val="00A0618D"/>
    <w:rsid w:val="00A0658D"/>
    <w:rsid w:val="00A0660B"/>
    <w:rsid w:val="00A0665B"/>
    <w:rsid w:val="00A06C89"/>
    <w:rsid w:val="00A07094"/>
    <w:rsid w:val="00A0714C"/>
    <w:rsid w:val="00A072DF"/>
    <w:rsid w:val="00A07D5E"/>
    <w:rsid w:val="00A07FAF"/>
    <w:rsid w:val="00A100BE"/>
    <w:rsid w:val="00A1026E"/>
    <w:rsid w:val="00A105D7"/>
    <w:rsid w:val="00A10A73"/>
    <w:rsid w:val="00A10D9F"/>
    <w:rsid w:val="00A11D84"/>
    <w:rsid w:val="00A1201E"/>
    <w:rsid w:val="00A1213F"/>
    <w:rsid w:val="00A12A19"/>
    <w:rsid w:val="00A12B71"/>
    <w:rsid w:val="00A12BF7"/>
    <w:rsid w:val="00A12C05"/>
    <w:rsid w:val="00A12C9E"/>
    <w:rsid w:val="00A13194"/>
    <w:rsid w:val="00A1343C"/>
    <w:rsid w:val="00A13699"/>
    <w:rsid w:val="00A13A0D"/>
    <w:rsid w:val="00A13E64"/>
    <w:rsid w:val="00A14072"/>
    <w:rsid w:val="00A14333"/>
    <w:rsid w:val="00A14431"/>
    <w:rsid w:val="00A144A2"/>
    <w:rsid w:val="00A14D2A"/>
    <w:rsid w:val="00A14EDC"/>
    <w:rsid w:val="00A152B6"/>
    <w:rsid w:val="00A15D98"/>
    <w:rsid w:val="00A164FF"/>
    <w:rsid w:val="00A165C6"/>
    <w:rsid w:val="00A167E5"/>
    <w:rsid w:val="00A16F44"/>
    <w:rsid w:val="00A1720C"/>
    <w:rsid w:val="00A17573"/>
    <w:rsid w:val="00A17671"/>
    <w:rsid w:val="00A17816"/>
    <w:rsid w:val="00A17846"/>
    <w:rsid w:val="00A205EF"/>
    <w:rsid w:val="00A206B4"/>
    <w:rsid w:val="00A20C31"/>
    <w:rsid w:val="00A20DC9"/>
    <w:rsid w:val="00A219F4"/>
    <w:rsid w:val="00A21DE7"/>
    <w:rsid w:val="00A22595"/>
    <w:rsid w:val="00A228E0"/>
    <w:rsid w:val="00A22C77"/>
    <w:rsid w:val="00A22C83"/>
    <w:rsid w:val="00A22D03"/>
    <w:rsid w:val="00A234E3"/>
    <w:rsid w:val="00A235F8"/>
    <w:rsid w:val="00A23728"/>
    <w:rsid w:val="00A23A45"/>
    <w:rsid w:val="00A23EC2"/>
    <w:rsid w:val="00A23F85"/>
    <w:rsid w:val="00A24133"/>
    <w:rsid w:val="00A2439A"/>
    <w:rsid w:val="00A24595"/>
    <w:rsid w:val="00A245DF"/>
    <w:rsid w:val="00A245F4"/>
    <w:rsid w:val="00A24831"/>
    <w:rsid w:val="00A24AAB"/>
    <w:rsid w:val="00A24B7B"/>
    <w:rsid w:val="00A24E40"/>
    <w:rsid w:val="00A2551B"/>
    <w:rsid w:val="00A25AEE"/>
    <w:rsid w:val="00A25E1C"/>
    <w:rsid w:val="00A261EE"/>
    <w:rsid w:val="00A2621E"/>
    <w:rsid w:val="00A26796"/>
    <w:rsid w:val="00A2693D"/>
    <w:rsid w:val="00A26A6B"/>
    <w:rsid w:val="00A270FA"/>
    <w:rsid w:val="00A27870"/>
    <w:rsid w:val="00A27A98"/>
    <w:rsid w:val="00A30539"/>
    <w:rsid w:val="00A305AC"/>
    <w:rsid w:val="00A3099F"/>
    <w:rsid w:val="00A30ED0"/>
    <w:rsid w:val="00A311AD"/>
    <w:rsid w:val="00A313C3"/>
    <w:rsid w:val="00A3144C"/>
    <w:rsid w:val="00A31542"/>
    <w:rsid w:val="00A316A9"/>
    <w:rsid w:val="00A319AD"/>
    <w:rsid w:val="00A31B51"/>
    <w:rsid w:val="00A31D61"/>
    <w:rsid w:val="00A3342D"/>
    <w:rsid w:val="00A338AC"/>
    <w:rsid w:val="00A3422A"/>
    <w:rsid w:val="00A34551"/>
    <w:rsid w:val="00A354DA"/>
    <w:rsid w:val="00A3569C"/>
    <w:rsid w:val="00A357C4"/>
    <w:rsid w:val="00A358A2"/>
    <w:rsid w:val="00A35DA8"/>
    <w:rsid w:val="00A35F64"/>
    <w:rsid w:val="00A36360"/>
    <w:rsid w:val="00A3711D"/>
    <w:rsid w:val="00A37177"/>
    <w:rsid w:val="00A37352"/>
    <w:rsid w:val="00A373FC"/>
    <w:rsid w:val="00A37630"/>
    <w:rsid w:val="00A37D7B"/>
    <w:rsid w:val="00A40540"/>
    <w:rsid w:val="00A406DE"/>
    <w:rsid w:val="00A40888"/>
    <w:rsid w:val="00A40AC2"/>
    <w:rsid w:val="00A40CEF"/>
    <w:rsid w:val="00A40EC0"/>
    <w:rsid w:val="00A40F70"/>
    <w:rsid w:val="00A4114E"/>
    <w:rsid w:val="00A412D6"/>
    <w:rsid w:val="00A4190F"/>
    <w:rsid w:val="00A42120"/>
    <w:rsid w:val="00A4248E"/>
    <w:rsid w:val="00A429C4"/>
    <w:rsid w:val="00A42DFF"/>
    <w:rsid w:val="00A4300F"/>
    <w:rsid w:val="00A4321F"/>
    <w:rsid w:val="00A432E3"/>
    <w:rsid w:val="00A43363"/>
    <w:rsid w:val="00A43DDF"/>
    <w:rsid w:val="00A44057"/>
    <w:rsid w:val="00A44372"/>
    <w:rsid w:val="00A44440"/>
    <w:rsid w:val="00A44605"/>
    <w:rsid w:val="00A44675"/>
    <w:rsid w:val="00A4480E"/>
    <w:rsid w:val="00A44F1E"/>
    <w:rsid w:val="00A44F99"/>
    <w:rsid w:val="00A45123"/>
    <w:rsid w:val="00A45228"/>
    <w:rsid w:val="00A4524A"/>
    <w:rsid w:val="00A4558F"/>
    <w:rsid w:val="00A45FFC"/>
    <w:rsid w:val="00A46090"/>
    <w:rsid w:val="00A462AC"/>
    <w:rsid w:val="00A46966"/>
    <w:rsid w:val="00A46A71"/>
    <w:rsid w:val="00A46BDB"/>
    <w:rsid w:val="00A46BFE"/>
    <w:rsid w:val="00A46D35"/>
    <w:rsid w:val="00A46D4F"/>
    <w:rsid w:val="00A46FF3"/>
    <w:rsid w:val="00A47384"/>
    <w:rsid w:val="00A475E1"/>
    <w:rsid w:val="00A47B14"/>
    <w:rsid w:val="00A47D13"/>
    <w:rsid w:val="00A47FCE"/>
    <w:rsid w:val="00A50259"/>
    <w:rsid w:val="00A50761"/>
    <w:rsid w:val="00A509B6"/>
    <w:rsid w:val="00A516B4"/>
    <w:rsid w:val="00A517EE"/>
    <w:rsid w:val="00A51BE7"/>
    <w:rsid w:val="00A51E85"/>
    <w:rsid w:val="00A51F49"/>
    <w:rsid w:val="00A521BA"/>
    <w:rsid w:val="00A522C0"/>
    <w:rsid w:val="00A523F1"/>
    <w:rsid w:val="00A52900"/>
    <w:rsid w:val="00A52943"/>
    <w:rsid w:val="00A52DF6"/>
    <w:rsid w:val="00A53585"/>
    <w:rsid w:val="00A53750"/>
    <w:rsid w:val="00A538F9"/>
    <w:rsid w:val="00A5393D"/>
    <w:rsid w:val="00A53E19"/>
    <w:rsid w:val="00A53E35"/>
    <w:rsid w:val="00A53EBE"/>
    <w:rsid w:val="00A5453C"/>
    <w:rsid w:val="00A5491F"/>
    <w:rsid w:val="00A54934"/>
    <w:rsid w:val="00A54A9A"/>
    <w:rsid w:val="00A54D32"/>
    <w:rsid w:val="00A54E5D"/>
    <w:rsid w:val="00A5509A"/>
    <w:rsid w:val="00A550BA"/>
    <w:rsid w:val="00A55630"/>
    <w:rsid w:val="00A5569C"/>
    <w:rsid w:val="00A556F5"/>
    <w:rsid w:val="00A5608D"/>
    <w:rsid w:val="00A56E0D"/>
    <w:rsid w:val="00A56EA7"/>
    <w:rsid w:val="00A57243"/>
    <w:rsid w:val="00A57789"/>
    <w:rsid w:val="00A57D2E"/>
    <w:rsid w:val="00A60119"/>
    <w:rsid w:val="00A604CA"/>
    <w:rsid w:val="00A608EA"/>
    <w:rsid w:val="00A60A94"/>
    <w:rsid w:val="00A60C8F"/>
    <w:rsid w:val="00A60E91"/>
    <w:rsid w:val="00A60EB8"/>
    <w:rsid w:val="00A61016"/>
    <w:rsid w:val="00A610EF"/>
    <w:rsid w:val="00A6112A"/>
    <w:rsid w:val="00A61293"/>
    <w:rsid w:val="00A6147C"/>
    <w:rsid w:val="00A6167C"/>
    <w:rsid w:val="00A617A6"/>
    <w:rsid w:val="00A617DB"/>
    <w:rsid w:val="00A61A0D"/>
    <w:rsid w:val="00A61E00"/>
    <w:rsid w:val="00A623C5"/>
    <w:rsid w:val="00A6329A"/>
    <w:rsid w:val="00A637DB"/>
    <w:rsid w:val="00A6389A"/>
    <w:rsid w:val="00A63E03"/>
    <w:rsid w:val="00A63E12"/>
    <w:rsid w:val="00A63FFA"/>
    <w:rsid w:val="00A64081"/>
    <w:rsid w:val="00A642E7"/>
    <w:rsid w:val="00A647D7"/>
    <w:rsid w:val="00A648DF"/>
    <w:rsid w:val="00A648E2"/>
    <w:rsid w:val="00A64CC8"/>
    <w:rsid w:val="00A65674"/>
    <w:rsid w:val="00A65815"/>
    <w:rsid w:val="00A65ECB"/>
    <w:rsid w:val="00A66097"/>
    <w:rsid w:val="00A66479"/>
    <w:rsid w:val="00A66B81"/>
    <w:rsid w:val="00A66E0B"/>
    <w:rsid w:val="00A67589"/>
    <w:rsid w:val="00A677B5"/>
    <w:rsid w:val="00A7023E"/>
    <w:rsid w:val="00A7059B"/>
    <w:rsid w:val="00A70AE7"/>
    <w:rsid w:val="00A70FD7"/>
    <w:rsid w:val="00A71095"/>
    <w:rsid w:val="00A71113"/>
    <w:rsid w:val="00A713FB"/>
    <w:rsid w:val="00A71585"/>
    <w:rsid w:val="00A715B5"/>
    <w:rsid w:val="00A71694"/>
    <w:rsid w:val="00A716E5"/>
    <w:rsid w:val="00A71778"/>
    <w:rsid w:val="00A71908"/>
    <w:rsid w:val="00A71B67"/>
    <w:rsid w:val="00A71C1E"/>
    <w:rsid w:val="00A71F53"/>
    <w:rsid w:val="00A72326"/>
    <w:rsid w:val="00A72EE5"/>
    <w:rsid w:val="00A73A90"/>
    <w:rsid w:val="00A74114"/>
    <w:rsid w:val="00A741A3"/>
    <w:rsid w:val="00A741B8"/>
    <w:rsid w:val="00A74248"/>
    <w:rsid w:val="00A74571"/>
    <w:rsid w:val="00A7556C"/>
    <w:rsid w:val="00A75674"/>
    <w:rsid w:val="00A7574C"/>
    <w:rsid w:val="00A75AED"/>
    <w:rsid w:val="00A7637C"/>
    <w:rsid w:val="00A76DD5"/>
    <w:rsid w:val="00A76E51"/>
    <w:rsid w:val="00A77109"/>
    <w:rsid w:val="00A771E7"/>
    <w:rsid w:val="00A77784"/>
    <w:rsid w:val="00A777D2"/>
    <w:rsid w:val="00A77A55"/>
    <w:rsid w:val="00A80206"/>
    <w:rsid w:val="00A807B7"/>
    <w:rsid w:val="00A82118"/>
    <w:rsid w:val="00A8218F"/>
    <w:rsid w:val="00A8237D"/>
    <w:rsid w:val="00A825CD"/>
    <w:rsid w:val="00A82B6B"/>
    <w:rsid w:val="00A82C1D"/>
    <w:rsid w:val="00A82E63"/>
    <w:rsid w:val="00A83192"/>
    <w:rsid w:val="00A8324C"/>
    <w:rsid w:val="00A8372B"/>
    <w:rsid w:val="00A83AB2"/>
    <w:rsid w:val="00A83D0A"/>
    <w:rsid w:val="00A8445F"/>
    <w:rsid w:val="00A8446A"/>
    <w:rsid w:val="00A84556"/>
    <w:rsid w:val="00A8498B"/>
    <w:rsid w:val="00A84CBE"/>
    <w:rsid w:val="00A8575D"/>
    <w:rsid w:val="00A85A2A"/>
    <w:rsid w:val="00A85D8C"/>
    <w:rsid w:val="00A85E5C"/>
    <w:rsid w:val="00A85FA2"/>
    <w:rsid w:val="00A861EE"/>
    <w:rsid w:val="00A86335"/>
    <w:rsid w:val="00A86373"/>
    <w:rsid w:val="00A86683"/>
    <w:rsid w:val="00A86BD7"/>
    <w:rsid w:val="00A86C86"/>
    <w:rsid w:val="00A872C0"/>
    <w:rsid w:val="00A874CB"/>
    <w:rsid w:val="00A87508"/>
    <w:rsid w:val="00A879F2"/>
    <w:rsid w:val="00A902A4"/>
    <w:rsid w:val="00A9035D"/>
    <w:rsid w:val="00A90410"/>
    <w:rsid w:val="00A904D5"/>
    <w:rsid w:val="00A90576"/>
    <w:rsid w:val="00A905C2"/>
    <w:rsid w:val="00A90C83"/>
    <w:rsid w:val="00A90D39"/>
    <w:rsid w:val="00A914F9"/>
    <w:rsid w:val="00A9162E"/>
    <w:rsid w:val="00A9194B"/>
    <w:rsid w:val="00A9206C"/>
    <w:rsid w:val="00A9209C"/>
    <w:rsid w:val="00A92A22"/>
    <w:rsid w:val="00A92EE1"/>
    <w:rsid w:val="00A92FBF"/>
    <w:rsid w:val="00A93048"/>
    <w:rsid w:val="00A930CF"/>
    <w:rsid w:val="00A931EC"/>
    <w:rsid w:val="00A932A0"/>
    <w:rsid w:val="00A93BC4"/>
    <w:rsid w:val="00A93C15"/>
    <w:rsid w:val="00A94083"/>
    <w:rsid w:val="00A94646"/>
    <w:rsid w:val="00A94933"/>
    <w:rsid w:val="00A94965"/>
    <w:rsid w:val="00A94EE4"/>
    <w:rsid w:val="00A9515C"/>
    <w:rsid w:val="00A95475"/>
    <w:rsid w:val="00A956E3"/>
    <w:rsid w:val="00A95972"/>
    <w:rsid w:val="00A95C2B"/>
    <w:rsid w:val="00A95C91"/>
    <w:rsid w:val="00A964A0"/>
    <w:rsid w:val="00A9689E"/>
    <w:rsid w:val="00A96D42"/>
    <w:rsid w:val="00A9740D"/>
    <w:rsid w:val="00A977B6"/>
    <w:rsid w:val="00AA060B"/>
    <w:rsid w:val="00AA069F"/>
    <w:rsid w:val="00AA09FD"/>
    <w:rsid w:val="00AA09FF"/>
    <w:rsid w:val="00AA20FC"/>
    <w:rsid w:val="00AA241B"/>
    <w:rsid w:val="00AA293E"/>
    <w:rsid w:val="00AA2B03"/>
    <w:rsid w:val="00AA3089"/>
    <w:rsid w:val="00AA334E"/>
    <w:rsid w:val="00AA338D"/>
    <w:rsid w:val="00AA33A4"/>
    <w:rsid w:val="00AA37D7"/>
    <w:rsid w:val="00AA389A"/>
    <w:rsid w:val="00AA3E5B"/>
    <w:rsid w:val="00AA3F05"/>
    <w:rsid w:val="00AA484F"/>
    <w:rsid w:val="00AA4AD2"/>
    <w:rsid w:val="00AA4E60"/>
    <w:rsid w:val="00AA4EE3"/>
    <w:rsid w:val="00AA5622"/>
    <w:rsid w:val="00AA5F56"/>
    <w:rsid w:val="00AA604D"/>
    <w:rsid w:val="00AA66F4"/>
    <w:rsid w:val="00AA68DE"/>
    <w:rsid w:val="00AA6EBD"/>
    <w:rsid w:val="00AA7067"/>
    <w:rsid w:val="00AA722F"/>
    <w:rsid w:val="00AA7413"/>
    <w:rsid w:val="00AA7466"/>
    <w:rsid w:val="00AA74FA"/>
    <w:rsid w:val="00AA7B63"/>
    <w:rsid w:val="00AA7F9A"/>
    <w:rsid w:val="00AB04EA"/>
    <w:rsid w:val="00AB0583"/>
    <w:rsid w:val="00AB08CA"/>
    <w:rsid w:val="00AB0A05"/>
    <w:rsid w:val="00AB0CCC"/>
    <w:rsid w:val="00AB0D78"/>
    <w:rsid w:val="00AB12BA"/>
    <w:rsid w:val="00AB17E6"/>
    <w:rsid w:val="00AB1ACB"/>
    <w:rsid w:val="00AB1DB8"/>
    <w:rsid w:val="00AB1F7A"/>
    <w:rsid w:val="00AB1F91"/>
    <w:rsid w:val="00AB2229"/>
    <w:rsid w:val="00AB2A54"/>
    <w:rsid w:val="00AB2ACB"/>
    <w:rsid w:val="00AB2B8F"/>
    <w:rsid w:val="00AB2CE1"/>
    <w:rsid w:val="00AB3119"/>
    <w:rsid w:val="00AB33B4"/>
    <w:rsid w:val="00AB34D2"/>
    <w:rsid w:val="00AB357D"/>
    <w:rsid w:val="00AB358C"/>
    <w:rsid w:val="00AB397F"/>
    <w:rsid w:val="00AB4067"/>
    <w:rsid w:val="00AB4238"/>
    <w:rsid w:val="00AB517A"/>
    <w:rsid w:val="00AB5190"/>
    <w:rsid w:val="00AB56EE"/>
    <w:rsid w:val="00AB571B"/>
    <w:rsid w:val="00AB5FCD"/>
    <w:rsid w:val="00AB633A"/>
    <w:rsid w:val="00AB6999"/>
    <w:rsid w:val="00AB7769"/>
    <w:rsid w:val="00AB7AE6"/>
    <w:rsid w:val="00AB7CF2"/>
    <w:rsid w:val="00AC0CAB"/>
    <w:rsid w:val="00AC0F77"/>
    <w:rsid w:val="00AC1EDE"/>
    <w:rsid w:val="00AC220E"/>
    <w:rsid w:val="00AC228A"/>
    <w:rsid w:val="00AC252C"/>
    <w:rsid w:val="00AC26E7"/>
    <w:rsid w:val="00AC270E"/>
    <w:rsid w:val="00AC2CD7"/>
    <w:rsid w:val="00AC30D1"/>
    <w:rsid w:val="00AC30E3"/>
    <w:rsid w:val="00AC31D2"/>
    <w:rsid w:val="00AC37B2"/>
    <w:rsid w:val="00AC3974"/>
    <w:rsid w:val="00AC3B10"/>
    <w:rsid w:val="00AC4265"/>
    <w:rsid w:val="00AC43D4"/>
    <w:rsid w:val="00AC4805"/>
    <w:rsid w:val="00AC4BE7"/>
    <w:rsid w:val="00AC4CCC"/>
    <w:rsid w:val="00AC5125"/>
    <w:rsid w:val="00AC5170"/>
    <w:rsid w:val="00AC525D"/>
    <w:rsid w:val="00AC5688"/>
    <w:rsid w:val="00AC5BBC"/>
    <w:rsid w:val="00AC5ED3"/>
    <w:rsid w:val="00AC654F"/>
    <w:rsid w:val="00AC673A"/>
    <w:rsid w:val="00AC6A74"/>
    <w:rsid w:val="00AC6AF5"/>
    <w:rsid w:val="00AC7195"/>
    <w:rsid w:val="00AC75F2"/>
    <w:rsid w:val="00AC7A91"/>
    <w:rsid w:val="00AC7E13"/>
    <w:rsid w:val="00AD0EFF"/>
    <w:rsid w:val="00AD12B4"/>
    <w:rsid w:val="00AD16D0"/>
    <w:rsid w:val="00AD193B"/>
    <w:rsid w:val="00AD1963"/>
    <w:rsid w:val="00AD1A30"/>
    <w:rsid w:val="00AD1D24"/>
    <w:rsid w:val="00AD1DEB"/>
    <w:rsid w:val="00AD253B"/>
    <w:rsid w:val="00AD25BC"/>
    <w:rsid w:val="00AD27C4"/>
    <w:rsid w:val="00AD2A75"/>
    <w:rsid w:val="00AD314A"/>
    <w:rsid w:val="00AD39E7"/>
    <w:rsid w:val="00AD3ABD"/>
    <w:rsid w:val="00AD47CC"/>
    <w:rsid w:val="00AD4917"/>
    <w:rsid w:val="00AD518F"/>
    <w:rsid w:val="00AD5216"/>
    <w:rsid w:val="00AD52D8"/>
    <w:rsid w:val="00AD5355"/>
    <w:rsid w:val="00AD59A8"/>
    <w:rsid w:val="00AD5BCF"/>
    <w:rsid w:val="00AD5BDD"/>
    <w:rsid w:val="00AD5F02"/>
    <w:rsid w:val="00AD6218"/>
    <w:rsid w:val="00AD6261"/>
    <w:rsid w:val="00AD657D"/>
    <w:rsid w:val="00AD6624"/>
    <w:rsid w:val="00AD6CF3"/>
    <w:rsid w:val="00AD7289"/>
    <w:rsid w:val="00AD743F"/>
    <w:rsid w:val="00AE0569"/>
    <w:rsid w:val="00AE0608"/>
    <w:rsid w:val="00AE0935"/>
    <w:rsid w:val="00AE1684"/>
    <w:rsid w:val="00AE1732"/>
    <w:rsid w:val="00AE17A4"/>
    <w:rsid w:val="00AE1D9B"/>
    <w:rsid w:val="00AE28F3"/>
    <w:rsid w:val="00AE2E38"/>
    <w:rsid w:val="00AE34F9"/>
    <w:rsid w:val="00AE385C"/>
    <w:rsid w:val="00AE39E5"/>
    <w:rsid w:val="00AE3B03"/>
    <w:rsid w:val="00AE3F30"/>
    <w:rsid w:val="00AE4050"/>
    <w:rsid w:val="00AE5329"/>
    <w:rsid w:val="00AE5790"/>
    <w:rsid w:val="00AE59EA"/>
    <w:rsid w:val="00AE5A8F"/>
    <w:rsid w:val="00AE6275"/>
    <w:rsid w:val="00AE6474"/>
    <w:rsid w:val="00AE68A7"/>
    <w:rsid w:val="00AE6DD9"/>
    <w:rsid w:val="00AE6E71"/>
    <w:rsid w:val="00AE6F93"/>
    <w:rsid w:val="00AE7168"/>
    <w:rsid w:val="00AE72B1"/>
    <w:rsid w:val="00AE77C6"/>
    <w:rsid w:val="00AE7B96"/>
    <w:rsid w:val="00AF028D"/>
    <w:rsid w:val="00AF0E0D"/>
    <w:rsid w:val="00AF1929"/>
    <w:rsid w:val="00AF205F"/>
    <w:rsid w:val="00AF2631"/>
    <w:rsid w:val="00AF26D9"/>
    <w:rsid w:val="00AF378C"/>
    <w:rsid w:val="00AF3D15"/>
    <w:rsid w:val="00AF3E62"/>
    <w:rsid w:val="00AF4310"/>
    <w:rsid w:val="00AF473A"/>
    <w:rsid w:val="00AF4754"/>
    <w:rsid w:val="00AF49C4"/>
    <w:rsid w:val="00AF49CC"/>
    <w:rsid w:val="00AF54B9"/>
    <w:rsid w:val="00AF562B"/>
    <w:rsid w:val="00AF5B5C"/>
    <w:rsid w:val="00AF60E8"/>
    <w:rsid w:val="00AF6FD4"/>
    <w:rsid w:val="00AF75B5"/>
    <w:rsid w:val="00AF765A"/>
    <w:rsid w:val="00AF77C9"/>
    <w:rsid w:val="00B003E3"/>
    <w:rsid w:val="00B00517"/>
    <w:rsid w:val="00B00BA6"/>
    <w:rsid w:val="00B01056"/>
    <w:rsid w:val="00B010F6"/>
    <w:rsid w:val="00B012C6"/>
    <w:rsid w:val="00B013C3"/>
    <w:rsid w:val="00B01A5C"/>
    <w:rsid w:val="00B021C9"/>
    <w:rsid w:val="00B02F46"/>
    <w:rsid w:val="00B031C2"/>
    <w:rsid w:val="00B0353D"/>
    <w:rsid w:val="00B03595"/>
    <w:rsid w:val="00B036FF"/>
    <w:rsid w:val="00B0397B"/>
    <w:rsid w:val="00B03E68"/>
    <w:rsid w:val="00B03FEB"/>
    <w:rsid w:val="00B04430"/>
    <w:rsid w:val="00B045DA"/>
    <w:rsid w:val="00B045E3"/>
    <w:rsid w:val="00B04832"/>
    <w:rsid w:val="00B049EE"/>
    <w:rsid w:val="00B04BD6"/>
    <w:rsid w:val="00B04C57"/>
    <w:rsid w:val="00B0505E"/>
    <w:rsid w:val="00B05136"/>
    <w:rsid w:val="00B05A2E"/>
    <w:rsid w:val="00B05AD5"/>
    <w:rsid w:val="00B05F1D"/>
    <w:rsid w:val="00B0601B"/>
    <w:rsid w:val="00B06481"/>
    <w:rsid w:val="00B067F9"/>
    <w:rsid w:val="00B069D0"/>
    <w:rsid w:val="00B06D62"/>
    <w:rsid w:val="00B07197"/>
    <w:rsid w:val="00B07819"/>
    <w:rsid w:val="00B07942"/>
    <w:rsid w:val="00B07A74"/>
    <w:rsid w:val="00B07D48"/>
    <w:rsid w:val="00B07DAD"/>
    <w:rsid w:val="00B104A7"/>
    <w:rsid w:val="00B10720"/>
    <w:rsid w:val="00B107D7"/>
    <w:rsid w:val="00B10E34"/>
    <w:rsid w:val="00B1103D"/>
    <w:rsid w:val="00B11274"/>
    <w:rsid w:val="00B11796"/>
    <w:rsid w:val="00B1180C"/>
    <w:rsid w:val="00B1183C"/>
    <w:rsid w:val="00B11FBB"/>
    <w:rsid w:val="00B121AD"/>
    <w:rsid w:val="00B12BC8"/>
    <w:rsid w:val="00B12E12"/>
    <w:rsid w:val="00B13710"/>
    <w:rsid w:val="00B1393B"/>
    <w:rsid w:val="00B139FD"/>
    <w:rsid w:val="00B13DF3"/>
    <w:rsid w:val="00B14867"/>
    <w:rsid w:val="00B149A7"/>
    <w:rsid w:val="00B15258"/>
    <w:rsid w:val="00B15AEF"/>
    <w:rsid w:val="00B15D8A"/>
    <w:rsid w:val="00B168B3"/>
    <w:rsid w:val="00B16A17"/>
    <w:rsid w:val="00B172FC"/>
    <w:rsid w:val="00B17320"/>
    <w:rsid w:val="00B17C39"/>
    <w:rsid w:val="00B2027C"/>
    <w:rsid w:val="00B20444"/>
    <w:rsid w:val="00B2089B"/>
    <w:rsid w:val="00B20C3E"/>
    <w:rsid w:val="00B21B22"/>
    <w:rsid w:val="00B21E31"/>
    <w:rsid w:val="00B2202C"/>
    <w:rsid w:val="00B22394"/>
    <w:rsid w:val="00B2285D"/>
    <w:rsid w:val="00B2289F"/>
    <w:rsid w:val="00B22EB1"/>
    <w:rsid w:val="00B23682"/>
    <w:rsid w:val="00B236B2"/>
    <w:rsid w:val="00B23D92"/>
    <w:rsid w:val="00B23E6E"/>
    <w:rsid w:val="00B242BD"/>
    <w:rsid w:val="00B24723"/>
    <w:rsid w:val="00B24B48"/>
    <w:rsid w:val="00B25290"/>
    <w:rsid w:val="00B256E8"/>
    <w:rsid w:val="00B25D03"/>
    <w:rsid w:val="00B25D41"/>
    <w:rsid w:val="00B25D4C"/>
    <w:rsid w:val="00B25EB5"/>
    <w:rsid w:val="00B262B4"/>
    <w:rsid w:val="00B26AB1"/>
    <w:rsid w:val="00B26CFA"/>
    <w:rsid w:val="00B26D16"/>
    <w:rsid w:val="00B27096"/>
    <w:rsid w:val="00B275F3"/>
    <w:rsid w:val="00B276A9"/>
    <w:rsid w:val="00B27897"/>
    <w:rsid w:val="00B278D2"/>
    <w:rsid w:val="00B27B7B"/>
    <w:rsid w:val="00B27BC9"/>
    <w:rsid w:val="00B27F73"/>
    <w:rsid w:val="00B27FEA"/>
    <w:rsid w:val="00B3031C"/>
    <w:rsid w:val="00B306D1"/>
    <w:rsid w:val="00B30710"/>
    <w:rsid w:val="00B3094D"/>
    <w:rsid w:val="00B30E38"/>
    <w:rsid w:val="00B31A70"/>
    <w:rsid w:val="00B31AD9"/>
    <w:rsid w:val="00B3228E"/>
    <w:rsid w:val="00B3229B"/>
    <w:rsid w:val="00B32631"/>
    <w:rsid w:val="00B330D3"/>
    <w:rsid w:val="00B330E9"/>
    <w:rsid w:val="00B338A2"/>
    <w:rsid w:val="00B33B7E"/>
    <w:rsid w:val="00B33DA1"/>
    <w:rsid w:val="00B34299"/>
    <w:rsid w:val="00B35626"/>
    <w:rsid w:val="00B356B4"/>
    <w:rsid w:val="00B364E0"/>
    <w:rsid w:val="00B365CD"/>
    <w:rsid w:val="00B3684B"/>
    <w:rsid w:val="00B36947"/>
    <w:rsid w:val="00B36BA3"/>
    <w:rsid w:val="00B36C46"/>
    <w:rsid w:val="00B36EA6"/>
    <w:rsid w:val="00B36F0D"/>
    <w:rsid w:val="00B36F20"/>
    <w:rsid w:val="00B37AF7"/>
    <w:rsid w:val="00B37BF2"/>
    <w:rsid w:val="00B37FB9"/>
    <w:rsid w:val="00B37FEF"/>
    <w:rsid w:val="00B4027F"/>
    <w:rsid w:val="00B40908"/>
    <w:rsid w:val="00B409EA"/>
    <w:rsid w:val="00B40E0E"/>
    <w:rsid w:val="00B40ED1"/>
    <w:rsid w:val="00B41116"/>
    <w:rsid w:val="00B41123"/>
    <w:rsid w:val="00B414EE"/>
    <w:rsid w:val="00B41831"/>
    <w:rsid w:val="00B41860"/>
    <w:rsid w:val="00B421CC"/>
    <w:rsid w:val="00B424AD"/>
    <w:rsid w:val="00B4269A"/>
    <w:rsid w:val="00B42867"/>
    <w:rsid w:val="00B42876"/>
    <w:rsid w:val="00B428DA"/>
    <w:rsid w:val="00B42B42"/>
    <w:rsid w:val="00B42CF4"/>
    <w:rsid w:val="00B431D2"/>
    <w:rsid w:val="00B432B5"/>
    <w:rsid w:val="00B43357"/>
    <w:rsid w:val="00B434A1"/>
    <w:rsid w:val="00B43A06"/>
    <w:rsid w:val="00B43A14"/>
    <w:rsid w:val="00B43E98"/>
    <w:rsid w:val="00B43F92"/>
    <w:rsid w:val="00B4426F"/>
    <w:rsid w:val="00B4478D"/>
    <w:rsid w:val="00B453C7"/>
    <w:rsid w:val="00B453D4"/>
    <w:rsid w:val="00B454AD"/>
    <w:rsid w:val="00B456F2"/>
    <w:rsid w:val="00B4618C"/>
    <w:rsid w:val="00B464B5"/>
    <w:rsid w:val="00B465B6"/>
    <w:rsid w:val="00B46647"/>
    <w:rsid w:val="00B469F7"/>
    <w:rsid w:val="00B46E47"/>
    <w:rsid w:val="00B46F85"/>
    <w:rsid w:val="00B4702A"/>
    <w:rsid w:val="00B475E9"/>
    <w:rsid w:val="00B4779A"/>
    <w:rsid w:val="00B501D6"/>
    <w:rsid w:val="00B50788"/>
    <w:rsid w:val="00B50920"/>
    <w:rsid w:val="00B50A3C"/>
    <w:rsid w:val="00B51043"/>
    <w:rsid w:val="00B51104"/>
    <w:rsid w:val="00B5138F"/>
    <w:rsid w:val="00B513F5"/>
    <w:rsid w:val="00B51A14"/>
    <w:rsid w:val="00B51AAD"/>
    <w:rsid w:val="00B520E2"/>
    <w:rsid w:val="00B530D5"/>
    <w:rsid w:val="00B53EFC"/>
    <w:rsid w:val="00B54639"/>
    <w:rsid w:val="00B54674"/>
    <w:rsid w:val="00B546D8"/>
    <w:rsid w:val="00B54BA9"/>
    <w:rsid w:val="00B55280"/>
    <w:rsid w:val="00B55816"/>
    <w:rsid w:val="00B55CA3"/>
    <w:rsid w:val="00B55F80"/>
    <w:rsid w:val="00B567D3"/>
    <w:rsid w:val="00B56F97"/>
    <w:rsid w:val="00B56F9E"/>
    <w:rsid w:val="00B57067"/>
    <w:rsid w:val="00B57347"/>
    <w:rsid w:val="00B57394"/>
    <w:rsid w:val="00B57601"/>
    <w:rsid w:val="00B57739"/>
    <w:rsid w:val="00B57FF1"/>
    <w:rsid w:val="00B60545"/>
    <w:rsid w:val="00B60603"/>
    <w:rsid w:val="00B609B0"/>
    <w:rsid w:val="00B60AF6"/>
    <w:rsid w:val="00B61074"/>
    <w:rsid w:val="00B612CC"/>
    <w:rsid w:val="00B6141A"/>
    <w:rsid w:val="00B617D1"/>
    <w:rsid w:val="00B61821"/>
    <w:rsid w:val="00B61A6E"/>
    <w:rsid w:val="00B61C1F"/>
    <w:rsid w:val="00B61C3F"/>
    <w:rsid w:val="00B61D91"/>
    <w:rsid w:val="00B622A9"/>
    <w:rsid w:val="00B623F8"/>
    <w:rsid w:val="00B62866"/>
    <w:rsid w:val="00B62CA7"/>
    <w:rsid w:val="00B62ED0"/>
    <w:rsid w:val="00B62F08"/>
    <w:rsid w:val="00B62F23"/>
    <w:rsid w:val="00B630F5"/>
    <w:rsid w:val="00B6361C"/>
    <w:rsid w:val="00B63B43"/>
    <w:rsid w:val="00B63E92"/>
    <w:rsid w:val="00B643F5"/>
    <w:rsid w:val="00B646EE"/>
    <w:rsid w:val="00B6494A"/>
    <w:rsid w:val="00B6510C"/>
    <w:rsid w:val="00B651DB"/>
    <w:rsid w:val="00B654D1"/>
    <w:rsid w:val="00B6555B"/>
    <w:rsid w:val="00B65C25"/>
    <w:rsid w:val="00B65EB4"/>
    <w:rsid w:val="00B669FB"/>
    <w:rsid w:val="00B66A60"/>
    <w:rsid w:val="00B670B7"/>
    <w:rsid w:val="00B6785D"/>
    <w:rsid w:val="00B67B46"/>
    <w:rsid w:val="00B67B4A"/>
    <w:rsid w:val="00B67BB3"/>
    <w:rsid w:val="00B70275"/>
    <w:rsid w:val="00B702ED"/>
    <w:rsid w:val="00B70521"/>
    <w:rsid w:val="00B70670"/>
    <w:rsid w:val="00B7067F"/>
    <w:rsid w:val="00B70A41"/>
    <w:rsid w:val="00B712CB"/>
    <w:rsid w:val="00B719D6"/>
    <w:rsid w:val="00B7226F"/>
    <w:rsid w:val="00B72C3B"/>
    <w:rsid w:val="00B72D51"/>
    <w:rsid w:val="00B73395"/>
    <w:rsid w:val="00B737C8"/>
    <w:rsid w:val="00B74139"/>
    <w:rsid w:val="00B745F6"/>
    <w:rsid w:val="00B74638"/>
    <w:rsid w:val="00B74A9E"/>
    <w:rsid w:val="00B74C22"/>
    <w:rsid w:val="00B74CFB"/>
    <w:rsid w:val="00B74F11"/>
    <w:rsid w:val="00B75222"/>
    <w:rsid w:val="00B75381"/>
    <w:rsid w:val="00B7576C"/>
    <w:rsid w:val="00B75E6C"/>
    <w:rsid w:val="00B75EAD"/>
    <w:rsid w:val="00B76325"/>
    <w:rsid w:val="00B765C7"/>
    <w:rsid w:val="00B766CF"/>
    <w:rsid w:val="00B76949"/>
    <w:rsid w:val="00B771F2"/>
    <w:rsid w:val="00B776AD"/>
    <w:rsid w:val="00B7792D"/>
    <w:rsid w:val="00B77D70"/>
    <w:rsid w:val="00B77E24"/>
    <w:rsid w:val="00B806A2"/>
    <w:rsid w:val="00B808FA"/>
    <w:rsid w:val="00B80B9C"/>
    <w:rsid w:val="00B80CF1"/>
    <w:rsid w:val="00B80D0A"/>
    <w:rsid w:val="00B8100E"/>
    <w:rsid w:val="00B8194C"/>
    <w:rsid w:val="00B81D9B"/>
    <w:rsid w:val="00B82014"/>
    <w:rsid w:val="00B82046"/>
    <w:rsid w:val="00B82358"/>
    <w:rsid w:val="00B82B96"/>
    <w:rsid w:val="00B82BB1"/>
    <w:rsid w:val="00B8320E"/>
    <w:rsid w:val="00B838D6"/>
    <w:rsid w:val="00B83B65"/>
    <w:rsid w:val="00B83D80"/>
    <w:rsid w:val="00B83E89"/>
    <w:rsid w:val="00B847A7"/>
    <w:rsid w:val="00B84F63"/>
    <w:rsid w:val="00B85B27"/>
    <w:rsid w:val="00B86981"/>
    <w:rsid w:val="00B86C3A"/>
    <w:rsid w:val="00B86D89"/>
    <w:rsid w:val="00B872B1"/>
    <w:rsid w:val="00B90098"/>
    <w:rsid w:val="00B9013E"/>
    <w:rsid w:val="00B906C4"/>
    <w:rsid w:val="00B90727"/>
    <w:rsid w:val="00B909F4"/>
    <w:rsid w:val="00B920D1"/>
    <w:rsid w:val="00B921F8"/>
    <w:rsid w:val="00B92420"/>
    <w:rsid w:val="00B9255E"/>
    <w:rsid w:val="00B92720"/>
    <w:rsid w:val="00B92BE1"/>
    <w:rsid w:val="00B92C64"/>
    <w:rsid w:val="00B93246"/>
    <w:rsid w:val="00B9389D"/>
    <w:rsid w:val="00B93D41"/>
    <w:rsid w:val="00B94056"/>
    <w:rsid w:val="00B94B74"/>
    <w:rsid w:val="00B94B8B"/>
    <w:rsid w:val="00B9504D"/>
    <w:rsid w:val="00B95472"/>
    <w:rsid w:val="00B9587B"/>
    <w:rsid w:val="00B95983"/>
    <w:rsid w:val="00B96402"/>
    <w:rsid w:val="00B96C8E"/>
    <w:rsid w:val="00B975A8"/>
    <w:rsid w:val="00B9798C"/>
    <w:rsid w:val="00B97D40"/>
    <w:rsid w:val="00BA00FF"/>
    <w:rsid w:val="00BA0145"/>
    <w:rsid w:val="00BA0948"/>
    <w:rsid w:val="00BA09CF"/>
    <w:rsid w:val="00BA0F5C"/>
    <w:rsid w:val="00BA18C4"/>
    <w:rsid w:val="00BA1C69"/>
    <w:rsid w:val="00BA1D18"/>
    <w:rsid w:val="00BA21F8"/>
    <w:rsid w:val="00BA27EB"/>
    <w:rsid w:val="00BA28AD"/>
    <w:rsid w:val="00BA29F3"/>
    <w:rsid w:val="00BA2D8F"/>
    <w:rsid w:val="00BA2F69"/>
    <w:rsid w:val="00BA3345"/>
    <w:rsid w:val="00BA3582"/>
    <w:rsid w:val="00BA366B"/>
    <w:rsid w:val="00BA3893"/>
    <w:rsid w:val="00BA3AE0"/>
    <w:rsid w:val="00BA3C3B"/>
    <w:rsid w:val="00BA3CEA"/>
    <w:rsid w:val="00BA3D32"/>
    <w:rsid w:val="00BA45A9"/>
    <w:rsid w:val="00BA46DF"/>
    <w:rsid w:val="00BA4DB3"/>
    <w:rsid w:val="00BA4F14"/>
    <w:rsid w:val="00BA51EB"/>
    <w:rsid w:val="00BA58BF"/>
    <w:rsid w:val="00BA5AD1"/>
    <w:rsid w:val="00BA5B78"/>
    <w:rsid w:val="00BA6308"/>
    <w:rsid w:val="00BA638F"/>
    <w:rsid w:val="00BA663C"/>
    <w:rsid w:val="00BA66DC"/>
    <w:rsid w:val="00BA67CD"/>
    <w:rsid w:val="00BA70FF"/>
    <w:rsid w:val="00BA7531"/>
    <w:rsid w:val="00BA7572"/>
    <w:rsid w:val="00BA7778"/>
    <w:rsid w:val="00BA77F5"/>
    <w:rsid w:val="00BA7ADC"/>
    <w:rsid w:val="00BA7E7F"/>
    <w:rsid w:val="00BB01A6"/>
    <w:rsid w:val="00BB01CE"/>
    <w:rsid w:val="00BB072A"/>
    <w:rsid w:val="00BB0C75"/>
    <w:rsid w:val="00BB0F5C"/>
    <w:rsid w:val="00BB128D"/>
    <w:rsid w:val="00BB15DA"/>
    <w:rsid w:val="00BB16DE"/>
    <w:rsid w:val="00BB2463"/>
    <w:rsid w:val="00BB248B"/>
    <w:rsid w:val="00BB2C81"/>
    <w:rsid w:val="00BB2CBB"/>
    <w:rsid w:val="00BB2FBF"/>
    <w:rsid w:val="00BB3267"/>
    <w:rsid w:val="00BB33F7"/>
    <w:rsid w:val="00BB3E71"/>
    <w:rsid w:val="00BB4297"/>
    <w:rsid w:val="00BB45DD"/>
    <w:rsid w:val="00BB4C1B"/>
    <w:rsid w:val="00BB518D"/>
    <w:rsid w:val="00BB5549"/>
    <w:rsid w:val="00BB5F7B"/>
    <w:rsid w:val="00BB5F93"/>
    <w:rsid w:val="00BB60F2"/>
    <w:rsid w:val="00BB6E4E"/>
    <w:rsid w:val="00BB722C"/>
    <w:rsid w:val="00BB76AD"/>
    <w:rsid w:val="00BB7A78"/>
    <w:rsid w:val="00BB7C0E"/>
    <w:rsid w:val="00BC0245"/>
    <w:rsid w:val="00BC029D"/>
    <w:rsid w:val="00BC06F4"/>
    <w:rsid w:val="00BC0750"/>
    <w:rsid w:val="00BC07C3"/>
    <w:rsid w:val="00BC099A"/>
    <w:rsid w:val="00BC0E21"/>
    <w:rsid w:val="00BC0EA7"/>
    <w:rsid w:val="00BC200E"/>
    <w:rsid w:val="00BC289E"/>
    <w:rsid w:val="00BC2A17"/>
    <w:rsid w:val="00BC2BED"/>
    <w:rsid w:val="00BC3170"/>
    <w:rsid w:val="00BC3315"/>
    <w:rsid w:val="00BC3706"/>
    <w:rsid w:val="00BC3ACB"/>
    <w:rsid w:val="00BC3D3D"/>
    <w:rsid w:val="00BC3DD1"/>
    <w:rsid w:val="00BC3FAB"/>
    <w:rsid w:val="00BC453C"/>
    <w:rsid w:val="00BC4541"/>
    <w:rsid w:val="00BC4CF0"/>
    <w:rsid w:val="00BC51A9"/>
    <w:rsid w:val="00BC5565"/>
    <w:rsid w:val="00BC557E"/>
    <w:rsid w:val="00BC59F0"/>
    <w:rsid w:val="00BC5CFD"/>
    <w:rsid w:val="00BC5E8E"/>
    <w:rsid w:val="00BC5EF5"/>
    <w:rsid w:val="00BC632D"/>
    <w:rsid w:val="00BC647E"/>
    <w:rsid w:val="00BC652B"/>
    <w:rsid w:val="00BC6657"/>
    <w:rsid w:val="00BC69B7"/>
    <w:rsid w:val="00BC6F20"/>
    <w:rsid w:val="00BC76ED"/>
    <w:rsid w:val="00BC77CB"/>
    <w:rsid w:val="00BC79F3"/>
    <w:rsid w:val="00BC7E34"/>
    <w:rsid w:val="00BC7ED0"/>
    <w:rsid w:val="00BD0331"/>
    <w:rsid w:val="00BD04A9"/>
    <w:rsid w:val="00BD04F1"/>
    <w:rsid w:val="00BD09D3"/>
    <w:rsid w:val="00BD0D38"/>
    <w:rsid w:val="00BD0E6B"/>
    <w:rsid w:val="00BD11C7"/>
    <w:rsid w:val="00BD2040"/>
    <w:rsid w:val="00BD2272"/>
    <w:rsid w:val="00BD23DE"/>
    <w:rsid w:val="00BD2668"/>
    <w:rsid w:val="00BD3615"/>
    <w:rsid w:val="00BD37CE"/>
    <w:rsid w:val="00BD40DE"/>
    <w:rsid w:val="00BD40F8"/>
    <w:rsid w:val="00BD422B"/>
    <w:rsid w:val="00BD43C1"/>
    <w:rsid w:val="00BD448D"/>
    <w:rsid w:val="00BD4D20"/>
    <w:rsid w:val="00BD4D8C"/>
    <w:rsid w:val="00BD50C4"/>
    <w:rsid w:val="00BD5C66"/>
    <w:rsid w:val="00BD65B6"/>
    <w:rsid w:val="00BD65DC"/>
    <w:rsid w:val="00BD66D1"/>
    <w:rsid w:val="00BD6732"/>
    <w:rsid w:val="00BD6A14"/>
    <w:rsid w:val="00BD733F"/>
    <w:rsid w:val="00BD7572"/>
    <w:rsid w:val="00BD772F"/>
    <w:rsid w:val="00BD7BD5"/>
    <w:rsid w:val="00BD7BF8"/>
    <w:rsid w:val="00BE0214"/>
    <w:rsid w:val="00BE02A2"/>
    <w:rsid w:val="00BE073C"/>
    <w:rsid w:val="00BE08DD"/>
    <w:rsid w:val="00BE1034"/>
    <w:rsid w:val="00BE110F"/>
    <w:rsid w:val="00BE1415"/>
    <w:rsid w:val="00BE20B6"/>
    <w:rsid w:val="00BE2158"/>
    <w:rsid w:val="00BE2415"/>
    <w:rsid w:val="00BE24EA"/>
    <w:rsid w:val="00BE2C0C"/>
    <w:rsid w:val="00BE2F07"/>
    <w:rsid w:val="00BE36F4"/>
    <w:rsid w:val="00BE3808"/>
    <w:rsid w:val="00BE3B15"/>
    <w:rsid w:val="00BE4C90"/>
    <w:rsid w:val="00BE4D55"/>
    <w:rsid w:val="00BE4EFB"/>
    <w:rsid w:val="00BE4FE7"/>
    <w:rsid w:val="00BE503C"/>
    <w:rsid w:val="00BE53E3"/>
    <w:rsid w:val="00BE5960"/>
    <w:rsid w:val="00BE5A1B"/>
    <w:rsid w:val="00BE6006"/>
    <w:rsid w:val="00BE63F0"/>
    <w:rsid w:val="00BE6461"/>
    <w:rsid w:val="00BE6A33"/>
    <w:rsid w:val="00BE6B30"/>
    <w:rsid w:val="00BE7418"/>
    <w:rsid w:val="00BE766F"/>
    <w:rsid w:val="00BE7932"/>
    <w:rsid w:val="00BE7BF4"/>
    <w:rsid w:val="00BF027F"/>
    <w:rsid w:val="00BF0465"/>
    <w:rsid w:val="00BF05FC"/>
    <w:rsid w:val="00BF08A6"/>
    <w:rsid w:val="00BF0C4F"/>
    <w:rsid w:val="00BF0EDD"/>
    <w:rsid w:val="00BF1324"/>
    <w:rsid w:val="00BF1C42"/>
    <w:rsid w:val="00BF219E"/>
    <w:rsid w:val="00BF293F"/>
    <w:rsid w:val="00BF2DC8"/>
    <w:rsid w:val="00BF2F14"/>
    <w:rsid w:val="00BF3633"/>
    <w:rsid w:val="00BF3857"/>
    <w:rsid w:val="00BF39F7"/>
    <w:rsid w:val="00BF3C8F"/>
    <w:rsid w:val="00BF3D5A"/>
    <w:rsid w:val="00BF3EBF"/>
    <w:rsid w:val="00BF467B"/>
    <w:rsid w:val="00BF4A7C"/>
    <w:rsid w:val="00BF4BA6"/>
    <w:rsid w:val="00BF4BD4"/>
    <w:rsid w:val="00BF4C51"/>
    <w:rsid w:val="00BF4D92"/>
    <w:rsid w:val="00BF5633"/>
    <w:rsid w:val="00BF57D9"/>
    <w:rsid w:val="00BF57DF"/>
    <w:rsid w:val="00BF5ABA"/>
    <w:rsid w:val="00BF5EB8"/>
    <w:rsid w:val="00BF60FA"/>
    <w:rsid w:val="00BF6396"/>
    <w:rsid w:val="00BF7779"/>
    <w:rsid w:val="00BF7824"/>
    <w:rsid w:val="00BF789E"/>
    <w:rsid w:val="00BF7F35"/>
    <w:rsid w:val="00C000E1"/>
    <w:rsid w:val="00C01240"/>
    <w:rsid w:val="00C0167E"/>
    <w:rsid w:val="00C01954"/>
    <w:rsid w:val="00C01DFB"/>
    <w:rsid w:val="00C01E09"/>
    <w:rsid w:val="00C02AFA"/>
    <w:rsid w:val="00C02BA0"/>
    <w:rsid w:val="00C02EB7"/>
    <w:rsid w:val="00C02F7A"/>
    <w:rsid w:val="00C02FEA"/>
    <w:rsid w:val="00C03367"/>
    <w:rsid w:val="00C03490"/>
    <w:rsid w:val="00C039C0"/>
    <w:rsid w:val="00C03CA2"/>
    <w:rsid w:val="00C03DFF"/>
    <w:rsid w:val="00C03E15"/>
    <w:rsid w:val="00C042E3"/>
    <w:rsid w:val="00C04804"/>
    <w:rsid w:val="00C048D5"/>
    <w:rsid w:val="00C0514A"/>
    <w:rsid w:val="00C05E20"/>
    <w:rsid w:val="00C06132"/>
    <w:rsid w:val="00C06263"/>
    <w:rsid w:val="00C0634F"/>
    <w:rsid w:val="00C06366"/>
    <w:rsid w:val="00C0659F"/>
    <w:rsid w:val="00C06664"/>
    <w:rsid w:val="00C06B03"/>
    <w:rsid w:val="00C06B74"/>
    <w:rsid w:val="00C07159"/>
    <w:rsid w:val="00C076A7"/>
    <w:rsid w:val="00C07AE6"/>
    <w:rsid w:val="00C106E4"/>
    <w:rsid w:val="00C10C54"/>
    <w:rsid w:val="00C10E64"/>
    <w:rsid w:val="00C10F2F"/>
    <w:rsid w:val="00C11416"/>
    <w:rsid w:val="00C115F2"/>
    <w:rsid w:val="00C117E3"/>
    <w:rsid w:val="00C1189C"/>
    <w:rsid w:val="00C11AD1"/>
    <w:rsid w:val="00C11B25"/>
    <w:rsid w:val="00C11CC1"/>
    <w:rsid w:val="00C12415"/>
    <w:rsid w:val="00C126DD"/>
    <w:rsid w:val="00C12A55"/>
    <w:rsid w:val="00C12BCD"/>
    <w:rsid w:val="00C13141"/>
    <w:rsid w:val="00C138ED"/>
    <w:rsid w:val="00C13BBD"/>
    <w:rsid w:val="00C13BF9"/>
    <w:rsid w:val="00C13EFA"/>
    <w:rsid w:val="00C13F40"/>
    <w:rsid w:val="00C1494C"/>
    <w:rsid w:val="00C14B3D"/>
    <w:rsid w:val="00C14BCC"/>
    <w:rsid w:val="00C14DE9"/>
    <w:rsid w:val="00C15640"/>
    <w:rsid w:val="00C15669"/>
    <w:rsid w:val="00C15C68"/>
    <w:rsid w:val="00C15DF3"/>
    <w:rsid w:val="00C16596"/>
    <w:rsid w:val="00C1675D"/>
    <w:rsid w:val="00C167B9"/>
    <w:rsid w:val="00C16A8C"/>
    <w:rsid w:val="00C16E13"/>
    <w:rsid w:val="00C178B3"/>
    <w:rsid w:val="00C17EF0"/>
    <w:rsid w:val="00C2012E"/>
    <w:rsid w:val="00C20BDF"/>
    <w:rsid w:val="00C20D15"/>
    <w:rsid w:val="00C20F6F"/>
    <w:rsid w:val="00C212E9"/>
    <w:rsid w:val="00C2167A"/>
    <w:rsid w:val="00C21706"/>
    <w:rsid w:val="00C21D0C"/>
    <w:rsid w:val="00C221F7"/>
    <w:rsid w:val="00C22871"/>
    <w:rsid w:val="00C228BD"/>
    <w:rsid w:val="00C22C94"/>
    <w:rsid w:val="00C22D4D"/>
    <w:rsid w:val="00C22E70"/>
    <w:rsid w:val="00C23015"/>
    <w:rsid w:val="00C23BED"/>
    <w:rsid w:val="00C242D1"/>
    <w:rsid w:val="00C24520"/>
    <w:rsid w:val="00C24539"/>
    <w:rsid w:val="00C24673"/>
    <w:rsid w:val="00C24CBF"/>
    <w:rsid w:val="00C24E66"/>
    <w:rsid w:val="00C24F0C"/>
    <w:rsid w:val="00C2506E"/>
    <w:rsid w:val="00C25470"/>
    <w:rsid w:val="00C25900"/>
    <w:rsid w:val="00C25B11"/>
    <w:rsid w:val="00C25C08"/>
    <w:rsid w:val="00C25D0A"/>
    <w:rsid w:val="00C2638E"/>
    <w:rsid w:val="00C264EC"/>
    <w:rsid w:val="00C26584"/>
    <w:rsid w:val="00C26591"/>
    <w:rsid w:val="00C2678D"/>
    <w:rsid w:val="00C2736D"/>
    <w:rsid w:val="00C274B8"/>
    <w:rsid w:val="00C27683"/>
    <w:rsid w:val="00C27757"/>
    <w:rsid w:val="00C30356"/>
    <w:rsid w:val="00C304D5"/>
    <w:rsid w:val="00C30871"/>
    <w:rsid w:val="00C30A8E"/>
    <w:rsid w:val="00C30D8C"/>
    <w:rsid w:val="00C30F5D"/>
    <w:rsid w:val="00C3129E"/>
    <w:rsid w:val="00C31B8F"/>
    <w:rsid w:val="00C327AA"/>
    <w:rsid w:val="00C32C31"/>
    <w:rsid w:val="00C3316C"/>
    <w:rsid w:val="00C336AC"/>
    <w:rsid w:val="00C33964"/>
    <w:rsid w:val="00C3415D"/>
    <w:rsid w:val="00C3434C"/>
    <w:rsid w:val="00C3470B"/>
    <w:rsid w:val="00C348D2"/>
    <w:rsid w:val="00C34966"/>
    <w:rsid w:val="00C34D5A"/>
    <w:rsid w:val="00C34D75"/>
    <w:rsid w:val="00C34D95"/>
    <w:rsid w:val="00C34F98"/>
    <w:rsid w:val="00C3572B"/>
    <w:rsid w:val="00C35794"/>
    <w:rsid w:val="00C35DF4"/>
    <w:rsid w:val="00C35E0B"/>
    <w:rsid w:val="00C36321"/>
    <w:rsid w:val="00C36AA1"/>
    <w:rsid w:val="00C36E35"/>
    <w:rsid w:val="00C36F02"/>
    <w:rsid w:val="00C36F79"/>
    <w:rsid w:val="00C37210"/>
    <w:rsid w:val="00C376F8"/>
    <w:rsid w:val="00C37C10"/>
    <w:rsid w:val="00C37F75"/>
    <w:rsid w:val="00C4022D"/>
    <w:rsid w:val="00C4037E"/>
    <w:rsid w:val="00C408A5"/>
    <w:rsid w:val="00C40A8A"/>
    <w:rsid w:val="00C40B41"/>
    <w:rsid w:val="00C40F5E"/>
    <w:rsid w:val="00C41498"/>
    <w:rsid w:val="00C41884"/>
    <w:rsid w:val="00C41E1E"/>
    <w:rsid w:val="00C42117"/>
    <w:rsid w:val="00C4263D"/>
    <w:rsid w:val="00C4273F"/>
    <w:rsid w:val="00C429A3"/>
    <w:rsid w:val="00C42BDA"/>
    <w:rsid w:val="00C42BDC"/>
    <w:rsid w:val="00C42C0E"/>
    <w:rsid w:val="00C42C86"/>
    <w:rsid w:val="00C42E11"/>
    <w:rsid w:val="00C43004"/>
    <w:rsid w:val="00C43A04"/>
    <w:rsid w:val="00C43A1A"/>
    <w:rsid w:val="00C43BED"/>
    <w:rsid w:val="00C43C05"/>
    <w:rsid w:val="00C43DB3"/>
    <w:rsid w:val="00C43EA4"/>
    <w:rsid w:val="00C44A27"/>
    <w:rsid w:val="00C44F35"/>
    <w:rsid w:val="00C453FE"/>
    <w:rsid w:val="00C45555"/>
    <w:rsid w:val="00C45582"/>
    <w:rsid w:val="00C4564A"/>
    <w:rsid w:val="00C45BC3"/>
    <w:rsid w:val="00C4607B"/>
    <w:rsid w:val="00C460BD"/>
    <w:rsid w:val="00C4639E"/>
    <w:rsid w:val="00C4643D"/>
    <w:rsid w:val="00C465A6"/>
    <w:rsid w:val="00C468C1"/>
    <w:rsid w:val="00C47423"/>
    <w:rsid w:val="00C4776B"/>
    <w:rsid w:val="00C47E37"/>
    <w:rsid w:val="00C47F75"/>
    <w:rsid w:val="00C500B2"/>
    <w:rsid w:val="00C507B2"/>
    <w:rsid w:val="00C5083E"/>
    <w:rsid w:val="00C50AE8"/>
    <w:rsid w:val="00C50D73"/>
    <w:rsid w:val="00C51000"/>
    <w:rsid w:val="00C5133C"/>
    <w:rsid w:val="00C51751"/>
    <w:rsid w:val="00C51D16"/>
    <w:rsid w:val="00C52522"/>
    <w:rsid w:val="00C52649"/>
    <w:rsid w:val="00C52BBE"/>
    <w:rsid w:val="00C53206"/>
    <w:rsid w:val="00C53215"/>
    <w:rsid w:val="00C5335A"/>
    <w:rsid w:val="00C53507"/>
    <w:rsid w:val="00C53D49"/>
    <w:rsid w:val="00C53D8B"/>
    <w:rsid w:val="00C53DE8"/>
    <w:rsid w:val="00C54919"/>
    <w:rsid w:val="00C54923"/>
    <w:rsid w:val="00C54BEF"/>
    <w:rsid w:val="00C557BB"/>
    <w:rsid w:val="00C55869"/>
    <w:rsid w:val="00C5587D"/>
    <w:rsid w:val="00C55AE9"/>
    <w:rsid w:val="00C55E48"/>
    <w:rsid w:val="00C560FD"/>
    <w:rsid w:val="00C5619D"/>
    <w:rsid w:val="00C561B9"/>
    <w:rsid w:val="00C566F5"/>
    <w:rsid w:val="00C5713C"/>
    <w:rsid w:val="00C57152"/>
    <w:rsid w:val="00C57394"/>
    <w:rsid w:val="00C575BF"/>
    <w:rsid w:val="00C5792F"/>
    <w:rsid w:val="00C60100"/>
    <w:rsid w:val="00C6047B"/>
    <w:rsid w:val="00C6069C"/>
    <w:rsid w:val="00C61172"/>
    <w:rsid w:val="00C61471"/>
    <w:rsid w:val="00C616E3"/>
    <w:rsid w:val="00C61835"/>
    <w:rsid w:val="00C61846"/>
    <w:rsid w:val="00C6198C"/>
    <w:rsid w:val="00C620D7"/>
    <w:rsid w:val="00C62169"/>
    <w:rsid w:val="00C62BAB"/>
    <w:rsid w:val="00C62C3B"/>
    <w:rsid w:val="00C62CAE"/>
    <w:rsid w:val="00C63087"/>
    <w:rsid w:val="00C6343A"/>
    <w:rsid w:val="00C63480"/>
    <w:rsid w:val="00C634DA"/>
    <w:rsid w:val="00C63916"/>
    <w:rsid w:val="00C63F0A"/>
    <w:rsid w:val="00C6435D"/>
    <w:rsid w:val="00C643A1"/>
    <w:rsid w:val="00C64F55"/>
    <w:rsid w:val="00C655A1"/>
    <w:rsid w:val="00C65B8B"/>
    <w:rsid w:val="00C65BEF"/>
    <w:rsid w:val="00C65C07"/>
    <w:rsid w:val="00C65CEA"/>
    <w:rsid w:val="00C65D12"/>
    <w:rsid w:val="00C65F08"/>
    <w:rsid w:val="00C65F53"/>
    <w:rsid w:val="00C66205"/>
    <w:rsid w:val="00C66B73"/>
    <w:rsid w:val="00C66BDB"/>
    <w:rsid w:val="00C66EFB"/>
    <w:rsid w:val="00C67072"/>
    <w:rsid w:val="00C671C2"/>
    <w:rsid w:val="00C67267"/>
    <w:rsid w:val="00C67341"/>
    <w:rsid w:val="00C6760F"/>
    <w:rsid w:val="00C67692"/>
    <w:rsid w:val="00C67A97"/>
    <w:rsid w:val="00C704AC"/>
    <w:rsid w:val="00C70797"/>
    <w:rsid w:val="00C70E3A"/>
    <w:rsid w:val="00C71002"/>
    <w:rsid w:val="00C71158"/>
    <w:rsid w:val="00C71180"/>
    <w:rsid w:val="00C71C19"/>
    <w:rsid w:val="00C71C5E"/>
    <w:rsid w:val="00C7290C"/>
    <w:rsid w:val="00C72D1E"/>
    <w:rsid w:val="00C72D5A"/>
    <w:rsid w:val="00C7321A"/>
    <w:rsid w:val="00C7332B"/>
    <w:rsid w:val="00C736B1"/>
    <w:rsid w:val="00C73A43"/>
    <w:rsid w:val="00C74016"/>
    <w:rsid w:val="00C7427A"/>
    <w:rsid w:val="00C74723"/>
    <w:rsid w:val="00C753C6"/>
    <w:rsid w:val="00C754A1"/>
    <w:rsid w:val="00C7592E"/>
    <w:rsid w:val="00C75934"/>
    <w:rsid w:val="00C7672C"/>
    <w:rsid w:val="00C76D81"/>
    <w:rsid w:val="00C777A5"/>
    <w:rsid w:val="00C77AC9"/>
    <w:rsid w:val="00C77FA5"/>
    <w:rsid w:val="00C803C1"/>
    <w:rsid w:val="00C809B0"/>
    <w:rsid w:val="00C80D73"/>
    <w:rsid w:val="00C813AC"/>
    <w:rsid w:val="00C817EB"/>
    <w:rsid w:val="00C82241"/>
    <w:rsid w:val="00C822A1"/>
    <w:rsid w:val="00C822ED"/>
    <w:rsid w:val="00C8255F"/>
    <w:rsid w:val="00C827D2"/>
    <w:rsid w:val="00C82BCF"/>
    <w:rsid w:val="00C83497"/>
    <w:rsid w:val="00C83718"/>
    <w:rsid w:val="00C83811"/>
    <w:rsid w:val="00C83AE1"/>
    <w:rsid w:val="00C83AFD"/>
    <w:rsid w:val="00C83E90"/>
    <w:rsid w:val="00C85023"/>
    <w:rsid w:val="00C85108"/>
    <w:rsid w:val="00C85568"/>
    <w:rsid w:val="00C85D77"/>
    <w:rsid w:val="00C85F52"/>
    <w:rsid w:val="00C86477"/>
    <w:rsid w:val="00C86A63"/>
    <w:rsid w:val="00C86E01"/>
    <w:rsid w:val="00C86EA6"/>
    <w:rsid w:val="00C870FF"/>
    <w:rsid w:val="00C87346"/>
    <w:rsid w:val="00C876C1"/>
    <w:rsid w:val="00C9019B"/>
    <w:rsid w:val="00C90236"/>
    <w:rsid w:val="00C9044A"/>
    <w:rsid w:val="00C91D76"/>
    <w:rsid w:val="00C91FC7"/>
    <w:rsid w:val="00C92094"/>
    <w:rsid w:val="00C922D4"/>
    <w:rsid w:val="00C92511"/>
    <w:rsid w:val="00C925DB"/>
    <w:rsid w:val="00C92CA8"/>
    <w:rsid w:val="00C92E9E"/>
    <w:rsid w:val="00C92F8C"/>
    <w:rsid w:val="00C9364D"/>
    <w:rsid w:val="00C93683"/>
    <w:rsid w:val="00C936C7"/>
    <w:rsid w:val="00C93DBA"/>
    <w:rsid w:val="00C942E3"/>
    <w:rsid w:val="00C94F2D"/>
    <w:rsid w:val="00C9557D"/>
    <w:rsid w:val="00C95760"/>
    <w:rsid w:val="00C958D8"/>
    <w:rsid w:val="00C959C5"/>
    <w:rsid w:val="00C9692D"/>
    <w:rsid w:val="00C96A95"/>
    <w:rsid w:val="00C96B13"/>
    <w:rsid w:val="00C96B2F"/>
    <w:rsid w:val="00C971BE"/>
    <w:rsid w:val="00C97F2D"/>
    <w:rsid w:val="00CA0052"/>
    <w:rsid w:val="00CA05B6"/>
    <w:rsid w:val="00CA069A"/>
    <w:rsid w:val="00CA0C0A"/>
    <w:rsid w:val="00CA0E31"/>
    <w:rsid w:val="00CA1124"/>
    <w:rsid w:val="00CA12F8"/>
    <w:rsid w:val="00CA141D"/>
    <w:rsid w:val="00CA1964"/>
    <w:rsid w:val="00CA19DB"/>
    <w:rsid w:val="00CA1D10"/>
    <w:rsid w:val="00CA22B7"/>
    <w:rsid w:val="00CA2384"/>
    <w:rsid w:val="00CA2A7F"/>
    <w:rsid w:val="00CA3108"/>
    <w:rsid w:val="00CA3DA8"/>
    <w:rsid w:val="00CA3E58"/>
    <w:rsid w:val="00CA414B"/>
    <w:rsid w:val="00CA42AA"/>
    <w:rsid w:val="00CA4F0C"/>
    <w:rsid w:val="00CA582F"/>
    <w:rsid w:val="00CA5EA7"/>
    <w:rsid w:val="00CA6348"/>
    <w:rsid w:val="00CA64C7"/>
    <w:rsid w:val="00CA673F"/>
    <w:rsid w:val="00CA6DA8"/>
    <w:rsid w:val="00CA715D"/>
    <w:rsid w:val="00CA78A1"/>
    <w:rsid w:val="00CA7D93"/>
    <w:rsid w:val="00CA7E94"/>
    <w:rsid w:val="00CB0647"/>
    <w:rsid w:val="00CB099D"/>
    <w:rsid w:val="00CB09C3"/>
    <w:rsid w:val="00CB178B"/>
    <w:rsid w:val="00CB1B50"/>
    <w:rsid w:val="00CB1EE5"/>
    <w:rsid w:val="00CB21A1"/>
    <w:rsid w:val="00CB22EC"/>
    <w:rsid w:val="00CB2766"/>
    <w:rsid w:val="00CB2F7D"/>
    <w:rsid w:val="00CB3786"/>
    <w:rsid w:val="00CB390F"/>
    <w:rsid w:val="00CB3C73"/>
    <w:rsid w:val="00CB3CCF"/>
    <w:rsid w:val="00CB4519"/>
    <w:rsid w:val="00CB481D"/>
    <w:rsid w:val="00CB49F8"/>
    <w:rsid w:val="00CB4B56"/>
    <w:rsid w:val="00CB4C58"/>
    <w:rsid w:val="00CB5190"/>
    <w:rsid w:val="00CB53B1"/>
    <w:rsid w:val="00CB57E0"/>
    <w:rsid w:val="00CB5814"/>
    <w:rsid w:val="00CB5CDC"/>
    <w:rsid w:val="00CB602B"/>
    <w:rsid w:val="00CB63DC"/>
    <w:rsid w:val="00CB68C7"/>
    <w:rsid w:val="00CB6B0A"/>
    <w:rsid w:val="00CB6BF5"/>
    <w:rsid w:val="00CB6E85"/>
    <w:rsid w:val="00CB70AE"/>
    <w:rsid w:val="00CB7627"/>
    <w:rsid w:val="00CB7937"/>
    <w:rsid w:val="00CC0162"/>
    <w:rsid w:val="00CC0578"/>
    <w:rsid w:val="00CC0640"/>
    <w:rsid w:val="00CC0772"/>
    <w:rsid w:val="00CC0891"/>
    <w:rsid w:val="00CC0C56"/>
    <w:rsid w:val="00CC0CA1"/>
    <w:rsid w:val="00CC0DD0"/>
    <w:rsid w:val="00CC0E5B"/>
    <w:rsid w:val="00CC1408"/>
    <w:rsid w:val="00CC1E8B"/>
    <w:rsid w:val="00CC2052"/>
    <w:rsid w:val="00CC2082"/>
    <w:rsid w:val="00CC2691"/>
    <w:rsid w:val="00CC2AD2"/>
    <w:rsid w:val="00CC3081"/>
    <w:rsid w:val="00CC3380"/>
    <w:rsid w:val="00CC355A"/>
    <w:rsid w:val="00CC3AD9"/>
    <w:rsid w:val="00CC3E8A"/>
    <w:rsid w:val="00CC3F3C"/>
    <w:rsid w:val="00CC4009"/>
    <w:rsid w:val="00CC4A01"/>
    <w:rsid w:val="00CC4AEB"/>
    <w:rsid w:val="00CC545C"/>
    <w:rsid w:val="00CC5693"/>
    <w:rsid w:val="00CC5863"/>
    <w:rsid w:val="00CC6C22"/>
    <w:rsid w:val="00CC6D64"/>
    <w:rsid w:val="00CC7635"/>
    <w:rsid w:val="00CC764A"/>
    <w:rsid w:val="00CC7919"/>
    <w:rsid w:val="00CC7B24"/>
    <w:rsid w:val="00CC7B63"/>
    <w:rsid w:val="00CC7BF7"/>
    <w:rsid w:val="00CD0110"/>
    <w:rsid w:val="00CD0477"/>
    <w:rsid w:val="00CD04AF"/>
    <w:rsid w:val="00CD0D6B"/>
    <w:rsid w:val="00CD0ED4"/>
    <w:rsid w:val="00CD0F7A"/>
    <w:rsid w:val="00CD0FD2"/>
    <w:rsid w:val="00CD0FE8"/>
    <w:rsid w:val="00CD1C3A"/>
    <w:rsid w:val="00CD285D"/>
    <w:rsid w:val="00CD2DC2"/>
    <w:rsid w:val="00CD309E"/>
    <w:rsid w:val="00CD364E"/>
    <w:rsid w:val="00CD365F"/>
    <w:rsid w:val="00CD3D2F"/>
    <w:rsid w:val="00CD400B"/>
    <w:rsid w:val="00CD41D0"/>
    <w:rsid w:val="00CD4261"/>
    <w:rsid w:val="00CD4770"/>
    <w:rsid w:val="00CD49B6"/>
    <w:rsid w:val="00CD4B0F"/>
    <w:rsid w:val="00CD4FE3"/>
    <w:rsid w:val="00CD5304"/>
    <w:rsid w:val="00CD54DC"/>
    <w:rsid w:val="00CD5615"/>
    <w:rsid w:val="00CD5656"/>
    <w:rsid w:val="00CD598F"/>
    <w:rsid w:val="00CD5BAE"/>
    <w:rsid w:val="00CD5F34"/>
    <w:rsid w:val="00CD5F79"/>
    <w:rsid w:val="00CD6113"/>
    <w:rsid w:val="00CD61D8"/>
    <w:rsid w:val="00CD655B"/>
    <w:rsid w:val="00CD685C"/>
    <w:rsid w:val="00CD6B0F"/>
    <w:rsid w:val="00CD6CB2"/>
    <w:rsid w:val="00CD75D8"/>
    <w:rsid w:val="00CE01D9"/>
    <w:rsid w:val="00CE0219"/>
    <w:rsid w:val="00CE0232"/>
    <w:rsid w:val="00CE0496"/>
    <w:rsid w:val="00CE0680"/>
    <w:rsid w:val="00CE0DBF"/>
    <w:rsid w:val="00CE1454"/>
    <w:rsid w:val="00CE157E"/>
    <w:rsid w:val="00CE1745"/>
    <w:rsid w:val="00CE17FB"/>
    <w:rsid w:val="00CE1938"/>
    <w:rsid w:val="00CE1A7A"/>
    <w:rsid w:val="00CE1D94"/>
    <w:rsid w:val="00CE217B"/>
    <w:rsid w:val="00CE292D"/>
    <w:rsid w:val="00CE2AD9"/>
    <w:rsid w:val="00CE2C5C"/>
    <w:rsid w:val="00CE2D97"/>
    <w:rsid w:val="00CE3010"/>
    <w:rsid w:val="00CE32D9"/>
    <w:rsid w:val="00CE3483"/>
    <w:rsid w:val="00CE3524"/>
    <w:rsid w:val="00CE3555"/>
    <w:rsid w:val="00CE374D"/>
    <w:rsid w:val="00CE3D8E"/>
    <w:rsid w:val="00CE3DD2"/>
    <w:rsid w:val="00CE45F1"/>
    <w:rsid w:val="00CE530D"/>
    <w:rsid w:val="00CE552F"/>
    <w:rsid w:val="00CE59BB"/>
    <w:rsid w:val="00CE5C46"/>
    <w:rsid w:val="00CE5CA6"/>
    <w:rsid w:val="00CE6289"/>
    <w:rsid w:val="00CE657C"/>
    <w:rsid w:val="00CE6E5D"/>
    <w:rsid w:val="00CE71DA"/>
    <w:rsid w:val="00CE77CB"/>
    <w:rsid w:val="00CE796B"/>
    <w:rsid w:val="00CE7A01"/>
    <w:rsid w:val="00CE7AFB"/>
    <w:rsid w:val="00CE7BCD"/>
    <w:rsid w:val="00CE7D0E"/>
    <w:rsid w:val="00CF00D0"/>
    <w:rsid w:val="00CF019A"/>
    <w:rsid w:val="00CF030E"/>
    <w:rsid w:val="00CF0533"/>
    <w:rsid w:val="00CF09CB"/>
    <w:rsid w:val="00CF0A48"/>
    <w:rsid w:val="00CF0EA0"/>
    <w:rsid w:val="00CF14DF"/>
    <w:rsid w:val="00CF1595"/>
    <w:rsid w:val="00CF15F1"/>
    <w:rsid w:val="00CF17AB"/>
    <w:rsid w:val="00CF17E6"/>
    <w:rsid w:val="00CF1CDE"/>
    <w:rsid w:val="00CF1FD9"/>
    <w:rsid w:val="00CF2B0E"/>
    <w:rsid w:val="00CF3EBD"/>
    <w:rsid w:val="00CF4134"/>
    <w:rsid w:val="00CF4499"/>
    <w:rsid w:val="00CF44ED"/>
    <w:rsid w:val="00CF45F3"/>
    <w:rsid w:val="00CF4F2B"/>
    <w:rsid w:val="00CF5499"/>
    <w:rsid w:val="00CF5972"/>
    <w:rsid w:val="00CF5F9C"/>
    <w:rsid w:val="00CF61F7"/>
    <w:rsid w:val="00CF6447"/>
    <w:rsid w:val="00CF645E"/>
    <w:rsid w:val="00CF6776"/>
    <w:rsid w:val="00CF6D16"/>
    <w:rsid w:val="00CF6F99"/>
    <w:rsid w:val="00CF756F"/>
    <w:rsid w:val="00D007EB"/>
    <w:rsid w:val="00D00E14"/>
    <w:rsid w:val="00D0137B"/>
    <w:rsid w:val="00D017CC"/>
    <w:rsid w:val="00D019B4"/>
    <w:rsid w:val="00D01DAC"/>
    <w:rsid w:val="00D01FFF"/>
    <w:rsid w:val="00D02080"/>
    <w:rsid w:val="00D027B5"/>
    <w:rsid w:val="00D029B5"/>
    <w:rsid w:val="00D02AEC"/>
    <w:rsid w:val="00D02DAE"/>
    <w:rsid w:val="00D02F80"/>
    <w:rsid w:val="00D032CA"/>
    <w:rsid w:val="00D0379C"/>
    <w:rsid w:val="00D03A47"/>
    <w:rsid w:val="00D03AFA"/>
    <w:rsid w:val="00D03B51"/>
    <w:rsid w:val="00D03B6A"/>
    <w:rsid w:val="00D03C8A"/>
    <w:rsid w:val="00D045D6"/>
    <w:rsid w:val="00D046DA"/>
    <w:rsid w:val="00D04924"/>
    <w:rsid w:val="00D04C39"/>
    <w:rsid w:val="00D04E9C"/>
    <w:rsid w:val="00D05351"/>
    <w:rsid w:val="00D054D3"/>
    <w:rsid w:val="00D05AF0"/>
    <w:rsid w:val="00D05ED6"/>
    <w:rsid w:val="00D065F0"/>
    <w:rsid w:val="00D06703"/>
    <w:rsid w:val="00D06B27"/>
    <w:rsid w:val="00D06BA7"/>
    <w:rsid w:val="00D07472"/>
    <w:rsid w:val="00D07663"/>
    <w:rsid w:val="00D07ADA"/>
    <w:rsid w:val="00D07D50"/>
    <w:rsid w:val="00D10526"/>
    <w:rsid w:val="00D11128"/>
    <w:rsid w:val="00D1119E"/>
    <w:rsid w:val="00D117CA"/>
    <w:rsid w:val="00D11AE6"/>
    <w:rsid w:val="00D11AF6"/>
    <w:rsid w:val="00D11BB3"/>
    <w:rsid w:val="00D11C37"/>
    <w:rsid w:val="00D1216E"/>
    <w:rsid w:val="00D121FB"/>
    <w:rsid w:val="00D124F6"/>
    <w:rsid w:val="00D1259E"/>
    <w:rsid w:val="00D12C52"/>
    <w:rsid w:val="00D12EDA"/>
    <w:rsid w:val="00D1325D"/>
    <w:rsid w:val="00D136B2"/>
    <w:rsid w:val="00D13EE3"/>
    <w:rsid w:val="00D14046"/>
    <w:rsid w:val="00D143A3"/>
    <w:rsid w:val="00D14537"/>
    <w:rsid w:val="00D14845"/>
    <w:rsid w:val="00D14AD8"/>
    <w:rsid w:val="00D150F6"/>
    <w:rsid w:val="00D15418"/>
    <w:rsid w:val="00D1576A"/>
    <w:rsid w:val="00D16440"/>
    <w:rsid w:val="00D1650A"/>
    <w:rsid w:val="00D16535"/>
    <w:rsid w:val="00D16796"/>
    <w:rsid w:val="00D1696F"/>
    <w:rsid w:val="00D16A15"/>
    <w:rsid w:val="00D16BE4"/>
    <w:rsid w:val="00D16CEE"/>
    <w:rsid w:val="00D16D8E"/>
    <w:rsid w:val="00D16F1F"/>
    <w:rsid w:val="00D1775B"/>
    <w:rsid w:val="00D20318"/>
    <w:rsid w:val="00D209B5"/>
    <w:rsid w:val="00D20A67"/>
    <w:rsid w:val="00D20ED3"/>
    <w:rsid w:val="00D210E3"/>
    <w:rsid w:val="00D21121"/>
    <w:rsid w:val="00D21443"/>
    <w:rsid w:val="00D21959"/>
    <w:rsid w:val="00D21BBC"/>
    <w:rsid w:val="00D21BF4"/>
    <w:rsid w:val="00D21C8E"/>
    <w:rsid w:val="00D21D15"/>
    <w:rsid w:val="00D2228C"/>
    <w:rsid w:val="00D23070"/>
    <w:rsid w:val="00D23122"/>
    <w:rsid w:val="00D233DB"/>
    <w:rsid w:val="00D233EA"/>
    <w:rsid w:val="00D23884"/>
    <w:rsid w:val="00D23C4F"/>
    <w:rsid w:val="00D23D44"/>
    <w:rsid w:val="00D242DC"/>
    <w:rsid w:val="00D24345"/>
    <w:rsid w:val="00D24486"/>
    <w:rsid w:val="00D24935"/>
    <w:rsid w:val="00D24AB2"/>
    <w:rsid w:val="00D24D1C"/>
    <w:rsid w:val="00D25358"/>
    <w:rsid w:val="00D259DF"/>
    <w:rsid w:val="00D259F6"/>
    <w:rsid w:val="00D25FE9"/>
    <w:rsid w:val="00D261BF"/>
    <w:rsid w:val="00D263AE"/>
    <w:rsid w:val="00D26D1E"/>
    <w:rsid w:val="00D27078"/>
    <w:rsid w:val="00D272A8"/>
    <w:rsid w:val="00D27326"/>
    <w:rsid w:val="00D273A9"/>
    <w:rsid w:val="00D27B2E"/>
    <w:rsid w:val="00D27D95"/>
    <w:rsid w:val="00D27F20"/>
    <w:rsid w:val="00D30319"/>
    <w:rsid w:val="00D308B6"/>
    <w:rsid w:val="00D308C8"/>
    <w:rsid w:val="00D30BA7"/>
    <w:rsid w:val="00D30E4E"/>
    <w:rsid w:val="00D30FFC"/>
    <w:rsid w:val="00D31350"/>
    <w:rsid w:val="00D31397"/>
    <w:rsid w:val="00D31CF1"/>
    <w:rsid w:val="00D32022"/>
    <w:rsid w:val="00D324C4"/>
    <w:rsid w:val="00D3288D"/>
    <w:rsid w:val="00D32AD2"/>
    <w:rsid w:val="00D32E89"/>
    <w:rsid w:val="00D33394"/>
    <w:rsid w:val="00D33C6F"/>
    <w:rsid w:val="00D33E23"/>
    <w:rsid w:val="00D33F17"/>
    <w:rsid w:val="00D341ED"/>
    <w:rsid w:val="00D3420F"/>
    <w:rsid w:val="00D34FA9"/>
    <w:rsid w:val="00D350BA"/>
    <w:rsid w:val="00D35135"/>
    <w:rsid w:val="00D35926"/>
    <w:rsid w:val="00D35977"/>
    <w:rsid w:val="00D35C18"/>
    <w:rsid w:val="00D35F35"/>
    <w:rsid w:val="00D36012"/>
    <w:rsid w:val="00D361CB"/>
    <w:rsid w:val="00D365BC"/>
    <w:rsid w:val="00D3665D"/>
    <w:rsid w:val="00D368C8"/>
    <w:rsid w:val="00D36BC1"/>
    <w:rsid w:val="00D36C08"/>
    <w:rsid w:val="00D36CAC"/>
    <w:rsid w:val="00D37400"/>
    <w:rsid w:val="00D37855"/>
    <w:rsid w:val="00D37861"/>
    <w:rsid w:val="00D378B2"/>
    <w:rsid w:val="00D37BA7"/>
    <w:rsid w:val="00D4076F"/>
    <w:rsid w:val="00D40F4E"/>
    <w:rsid w:val="00D41081"/>
    <w:rsid w:val="00D412D6"/>
    <w:rsid w:val="00D41344"/>
    <w:rsid w:val="00D417E8"/>
    <w:rsid w:val="00D41CB5"/>
    <w:rsid w:val="00D42592"/>
    <w:rsid w:val="00D426C2"/>
    <w:rsid w:val="00D42DC2"/>
    <w:rsid w:val="00D4359F"/>
    <w:rsid w:val="00D4366D"/>
    <w:rsid w:val="00D44195"/>
    <w:rsid w:val="00D44834"/>
    <w:rsid w:val="00D44931"/>
    <w:rsid w:val="00D4494E"/>
    <w:rsid w:val="00D44D16"/>
    <w:rsid w:val="00D4504A"/>
    <w:rsid w:val="00D45913"/>
    <w:rsid w:val="00D45D25"/>
    <w:rsid w:val="00D45D5B"/>
    <w:rsid w:val="00D46462"/>
    <w:rsid w:val="00D465AF"/>
    <w:rsid w:val="00D465E4"/>
    <w:rsid w:val="00D4665E"/>
    <w:rsid w:val="00D467D1"/>
    <w:rsid w:val="00D46998"/>
    <w:rsid w:val="00D46B96"/>
    <w:rsid w:val="00D46C21"/>
    <w:rsid w:val="00D46CF5"/>
    <w:rsid w:val="00D47643"/>
    <w:rsid w:val="00D47746"/>
    <w:rsid w:val="00D47AFA"/>
    <w:rsid w:val="00D47D94"/>
    <w:rsid w:val="00D47F00"/>
    <w:rsid w:val="00D50234"/>
    <w:rsid w:val="00D5086F"/>
    <w:rsid w:val="00D50F75"/>
    <w:rsid w:val="00D51460"/>
    <w:rsid w:val="00D51601"/>
    <w:rsid w:val="00D51B64"/>
    <w:rsid w:val="00D51DB8"/>
    <w:rsid w:val="00D52822"/>
    <w:rsid w:val="00D52ACC"/>
    <w:rsid w:val="00D52B2F"/>
    <w:rsid w:val="00D532F0"/>
    <w:rsid w:val="00D53328"/>
    <w:rsid w:val="00D54624"/>
    <w:rsid w:val="00D54717"/>
    <w:rsid w:val="00D54DCF"/>
    <w:rsid w:val="00D54E16"/>
    <w:rsid w:val="00D550BD"/>
    <w:rsid w:val="00D5512E"/>
    <w:rsid w:val="00D553BE"/>
    <w:rsid w:val="00D55596"/>
    <w:rsid w:val="00D56C7C"/>
    <w:rsid w:val="00D56F19"/>
    <w:rsid w:val="00D57ED2"/>
    <w:rsid w:val="00D57F30"/>
    <w:rsid w:val="00D60193"/>
    <w:rsid w:val="00D6032F"/>
    <w:rsid w:val="00D61353"/>
    <w:rsid w:val="00D613FA"/>
    <w:rsid w:val="00D61476"/>
    <w:rsid w:val="00D61743"/>
    <w:rsid w:val="00D61A5D"/>
    <w:rsid w:val="00D61D67"/>
    <w:rsid w:val="00D61F8F"/>
    <w:rsid w:val="00D62028"/>
    <w:rsid w:val="00D62320"/>
    <w:rsid w:val="00D627CF"/>
    <w:rsid w:val="00D62B88"/>
    <w:rsid w:val="00D62D36"/>
    <w:rsid w:val="00D62F45"/>
    <w:rsid w:val="00D630E3"/>
    <w:rsid w:val="00D637BE"/>
    <w:rsid w:val="00D63B72"/>
    <w:rsid w:val="00D640F4"/>
    <w:rsid w:val="00D6422C"/>
    <w:rsid w:val="00D64388"/>
    <w:rsid w:val="00D644E7"/>
    <w:rsid w:val="00D646FF"/>
    <w:rsid w:val="00D6492B"/>
    <w:rsid w:val="00D64B1D"/>
    <w:rsid w:val="00D64CEB"/>
    <w:rsid w:val="00D64DF8"/>
    <w:rsid w:val="00D651F5"/>
    <w:rsid w:val="00D655A0"/>
    <w:rsid w:val="00D658E6"/>
    <w:rsid w:val="00D6614A"/>
    <w:rsid w:val="00D6635D"/>
    <w:rsid w:val="00D66386"/>
    <w:rsid w:val="00D66E04"/>
    <w:rsid w:val="00D6764A"/>
    <w:rsid w:val="00D700D6"/>
    <w:rsid w:val="00D70120"/>
    <w:rsid w:val="00D7019E"/>
    <w:rsid w:val="00D708DD"/>
    <w:rsid w:val="00D70FA8"/>
    <w:rsid w:val="00D711F1"/>
    <w:rsid w:val="00D712C4"/>
    <w:rsid w:val="00D71370"/>
    <w:rsid w:val="00D71859"/>
    <w:rsid w:val="00D719A3"/>
    <w:rsid w:val="00D71AB5"/>
    <w:rsid w:val="00D71F74"/>
    <w:rsid w:val="00D7238D"/>
    <w:rsid w:val="00D72856"/>
    <w:rsid w:val="00D72A33"/>
    <w:rsid w:val="00D7303C"/>
    <w:rsid w:val="00D73369"/>
    <w:rsid w:val="00D73524"/>
    <w:rsid w:val="00D739B7"/>
    <w:rsid w:val="00D73AD7"/>
    <w:rsid w:val="00D73B39"/>
    <w:rsid w:val="00D73BA3"/>
    <w:rsid w:val="00D7404F"/>
    <w:rsid w:val="00D7475F"/>
    <w:rsid w:val="00D74AB3"/>
    <w:rsid w:val="00D74C35"/>
    <w:rsid w:val="00D7543B"/>
    <w:rsid w:val="00D75A05"/>
    <w:rsid w:val="00D75BDB"/>
    <w:rsid w:val="00D762C0"/>
    <w:rsid w:val="00D76717"/>
    <w:rsid w:val="00D770FC"/>
    <w:rsid w:val="00D774E2"/>
    <w:rsid w:val="00D77669"/>
    <w:rsid w:val="00D777DE"/>
    <w:rsid w:val="00D77A01"/>
    <w:rsid w:val="00D80236"/>
    <w:rsid w:val="00D803D4"/>
    <w:rsid w:val="00D80ADB"/>
    <w:rsid w:val="00D80B20"/>
    <w:rsid w:val="00D811ED"/>
    <w:rsid w:val="00D816D2"/>
    <w:rsid w:val="00D817BA"/>
    <w:rsid w:val="00D82268"/>
    <w:rsid w:val="00D8259C"/>
    <w:rsid w:val="00D82A6C"/>
    <w:rsid w:val="00D82D37"/>
    <w:rsid w:val="00D82EB7"/>
    <w:rsid w:val="00D83427"/>
    <w:rsid w:val="00D83CE5"/>
    <w:rsid w:val="00D8450B"/>
    <w:rsid w:val="00D8488A"/>
    <w:rsid w:val="00D84945"/>
    <w:rsid w:val="00D849B7"/>
    <w:rsid w:val="00D84BDA"/>
    <w:rsid w:val="00D84D34"/>
    <w:rsid w:val="00D84D38"/>
    <w:rsid w:val="00D84DD8"/>
    <w:rsid w:val="00D852EF"/>
    <w:rsid w:val="00D85A88"/>
    <w:rsid w:val="00D85CFA"/>
    <w:rsid w:val="00D86125"/>
    <w:rsid w:val="00D86183"/>
    <w:rsid w:val="00D86CA1"/>
    <w:rsid w:val="00D87066"/>
    <w:rsid w:val="00D879EC"/>
    <w:rsid w:val="00D87C03"/>
    <w:rsid w:val="00D87DC3"/>
    <w:rsid w:val="00D87ED6"/>
    <w:rsid w:val="00D87F40"/>
    <w:rsid w:val="00D9066F"/>
    <w:rsid w:val="00D90A58"/>
    <w:rsid w:val="00D90CA9"/>
    <w:rsid w:val="00D90FD0"/>
    <w:rsid w:val="00D9164B"/>
    <w:rsid w:val="00D91B92"/>
    <w:rsid w:val="00D920BF"/>
    <w:rsid w:val="00D923C5"/>
    <w:rsid w:val="00D92A44"/>
    <w:rsid w:val="00D932DB"/>
    <w:rsid w:val="00D93A7D"/>
    <w:rsid w:val="00D93F55"/>
    <w:rsid w:val="00D94472"/>
    <w:rsid w:val="00D945EE"/>
    <w:rsid w:val="00D947B8"/>
    <w:rsid w:val="00D94818"/>
    <w:rsid w:val="00D94974"/>
    <w:rsid w:val="00D94AEB"/>
    <w:rsid w:val="00D94C03"/>
    <w:rsid w:val="00D94F12"/>
    <w:rsid w:val="00D950FE"/>
    <w:rsid w:val="00D95173"/>
    <w:rsid w:val="00D95288"/>
    <w:rsid w:val="00D9593C"/>
    <w:rsid w:val="00D96408"/>
    <w:rsid w:val="00D96C54"/>
    <w:rsid w:val="00D975BC"/>
    <w:rsid w:val="00D9770D"/>
    <w:rsid w:val="00D9791F"/>
    <w:rsid w:val="00D97C7D"/>
    <w:rsid w:val="00DA0449"/>
    <w:rsid w:val="00DA05F4"/>
    <w:rsid w:val="00DA076F"/>
    <w:rsid w:val="00DA08E9"/>
    <w:rsid w:val="00DA0B1D"/>
    <w:rsid w:val="00DA1392"/>
    <w:rsid w:val="00DA154D"/>
    <w:rsid w:val="00DA1618"/>
    <w:rsid w:val="00DA1623"/>
    <w:rsid w:val="00DA1B12"/>
    <w:rsid w:val="00DA1E4D"/>
    <w:rsid w:val="00DA226F"/>
    <w:rsid w:val="00DA267D"/>
    <w:rsid w:val="00DA26EE"/>
    <w:rsid w:val="00DA27E2"/>
    <w:rsid w:val="00DA35EE"/>
    <w:rsid w:val="00DA37A1"/>
    <w:rsid w:val="00DA3AC5"/>
    <w:rsid w:val="00DA3FAD"/>
    <w:rsid w:val="00DA4309"/>
    <w:rsid w:val="00DA45E3"/>
    <w:rsid w:val="00DA4888"/>
    <w:rsid w:val="00DA4A2E"/>
    <w:rsid w:val="00DA50B7"/>
    <w:rsid w:val="00DA50CE"/>
    <w:rsid w:val="00DA511E"/>
    <w:rsid w:val="00DA51E5"/>
    <w:rsid w:val="00DA5535"/>
    <w:rsid w:val="00DA5D30"/>
    <w:rsid w:val="00DA5D62"/>
    <w:rsid w:val="00DA6457"/>
    <w:rsid w:val="00DA6963"/>
    <w:rsid w:val="00DA6BEE"/>
    <w:rsid w:val="00DA79D1"/>
    <w:rsid w:val="00DA7C4F"/>
    <w:rsid w:val="00DB0093"/>
    <w:rsid w:val="00DB0769"/>
    <w:rsid w:val="00DB0A98"/>
    <w:rsid w:val="00DB0B7C"/>
    <w:rsid w:val="00DB0BA0"/>
    <w:rsid w:val="00DB0E8D"/>
    <w:rsid w:val="00DB1063"/>
    <w:rsid w:val="00DB15C2"/>
    <w:rsid w:val="00DB1FBD"/>
    <w:rsid w:val="00DB201E"/>
    <w:rsid w:val="00DB2065"/>
    <w:rsid w:val="00DB2515"/>
    <w:rsid w:val="00DB2877"/>
    <w:rsid w:val="00DB2E8F"/>
    <w:rsid w:val="00DB3369"/>
    <w:rsid w:val="00DB41E8"/>
    <w:rsid w:val="00DB45B0"/>
    <w:rsid w:val="00DB46FA"/>
    <w:rsid w:val="00DB49C5"/>
    <w:rsid w:val="00DB534D"/>
    <w:rsid w:val="00DB5491"/>
    <w:rsid w:val="00DB56DC"/>
    <w:rsid w:val="00DB57FA"/>
    <w:rsid w:val="00DB5C18"/>
    <w:rsid w:val="00DB5CDA"/>
    <w:rsid w:val="00DB5EC1"/>
    <w:rsid w:val="00DB602C"/>
    <w:rsid w:val="00DB61F6"/>
    <w:rsid w:val="00DB6B99"/>
    <w:rsid w:val="00DB73DC"/>
    <w:rsid w:val="00DB73F1"/>
    <w:rsid w:val="00DB7484"/>
    <w:rsid w:val="00DB78CA"/>
    <w:rsid w:val="00DB79F1"/>
    <w:rsid w:val="00DC012A"/>
    <w:rsid w:val="00DC0D69"/>
    <w:rsid w:val="00DC1046"/>
    <w:rsid w:val="00DC1264"/>
    <w:rsid w:val="00DC1267"/>
    <w:rsid w:val="00DC16DA"/>
    <w:rsid w:val="00DC1901"/>
    <w:rsid w:val="00DC1979"/>
    <w:rsid w:val="00DC2074"/>
    <w:rsid w:val="00DC2A71"/>
    <w:rsid w:val="00DC2AEC"/>
    <w:rsid w:val="00DC2C9D"/>
    <w:rsid w:val="00DC318C"/>
    <w:rsid w:val="00DC322F"/>
    <w:rsid w:val="00DC3230"/>
    <w:rsid w:val="00DC32B5"/>
    <w:rsid w:val="00DC358F"/>
    <w:rsid w:val="00DC3B51"/>
    <w:rsid w:val="00DC3C44"/>
    <w:rsid w:val="00DC42D6"/>
    <w:rsid w:val="00DC46A8"/>
    <w:rsid w:val="00DC4DC3"/>
    <w:rsid w:val="00DC4F13"/>
    <w:rsid w:val="00DC4F5F"/>
    <w:rsid w:val="00DC537C"/>
    <w:rsid w:val="00DC53E5"/>
    <w:rsid w:val="00DC55B4"/>
    <w:rsid w:val="00DC59B7"/>
    <w:rsid w:val="00DC5F88"/>
    <w:rsid w:val="00DC6109"/>
    <w:rsid w:val="00DC6461"/>
    <w:rsid w:val="00DC6C0E"/>
    <w:rsid w:val="00DC7418"/>
    <w:rsid w:val="00DC7F02"/>
    <w:rsid w:val="00DC7F64"/>
    <w:rsid w:val="00DC7F91"/>
    <w:rsid w:val="00DC7FA7"/>
    <w:rsid w:val="00DD06C8"/>
    <w:rsid w:val="00DD0AFB"/>
    <w:rsid w:val="00DD0D04"/>
    <w:rsid w:val="00DD1458"/>
    <w:rsid w:val="00DD16CC"/>
    <w:rsid w:val="00DD193D"/>
    <w:rsid w:val="00DD1D8C"/>
    <w:rsid w:val="00DD1FC1"/>
    <w:rsid w:val="00DD20EA"/>
    <w:rsid w:val="00DD21B8"/>
    <w:rsid w:val="00DD23A7"/>
    <w:rsid w:val="00DD275B"/>
    <w:rsid w:val="00DD29AD"/>
    <w:rsid w:val="00DD2FF3"/>
    <w:rsid w:val="00DD3058"/>
    <w:rsid w:val="00DD33D8"/>
    <w:rsid w:val="00DD3BB9"/>
    <w:rsid w:val="00DD45BF"/>
    <w:rsid w:val="00DD4BB4"/>
    <w:rsid w:val="00DD565C"/>
    <w:rsid w:val="00DD577E"/>
    <w:rsid w:val="00DD5AAA"/>
    <w:rsid w:val="00DD5C95"/>
    <w:rsid w:val="00DD5FE7"/>
    <w:rsid w:val="00DD67D1"/>
    <w:rsid w:val="00DD685B"/>
    <w:rsid w:val="00DD6FED"/>
    <w:rsid w:val="00DD7365"/>
    <w:rsid w:val="00DD789C"/>
    <w:rsid w:val="00DD7C70"/>
    <w:rsid w:val="00DD7E2E"/>
    <w:rsid w:val="00DE04E5"/>
    <w:rsid w:val="00DE0A75"/>
    <w:rsid w:val="00DE141F"/>
    <w:rsid w:val="00DE1677"/>
    <w:rsid w:val="00DE1BEB"/>
    <w:rsid w:val="00DE1D47"/>
    <w:rsid w:val="00DE1EB8"/>
    <w:rsid w:val="00DE21AD"/>
    <w:rsid w:val="00DE26F9"/>
    <w:rsid w:val="00DE2876"/>
    <w:rsid w:val="00DE29AD"/>
    <w:rsid w:val="00DE29AE"/>
    <w:rsid w:val="00DE2CBF"/>
    <w:rsid w:val="00DE2D5C"/>
    <w:rsid w:val="00DE2F3B"/>
    <w:rsid w:val="00DE34AC"/>
    <w:rsid w:val="00DE366F"/>
    <w:rsid w:val="00DE3C5F"/>
    <w:rsid w:val="00DE4141"/>
    <w:rsid w:val="00DE43CF"/>
    <w:rsid w:val="00DE4AEA"/>
    <w:rsid w:val="00DE4E90"/>
    <w:rsid w:val="00DE5AE6"/>
    <w:rsid w:val="00DE6514"/>
    <w:rsid w:val="00DE659C"/>
    <w:rsid w:val="00DE6ABA"/>
    <w:rsid w:val="00DE6C74"/>
    <w:rsid w:val="00DE6DD9"/>
    <w:rsid w:val="00DE6E4A"/>
    <w:rsid w:val="00DE70F7"/>
    <w:rsid w:val="00DE7143"/>
    <w:rsid w:val="00DE719E"/>
    <w:rsid w:val="00DE776E"/>
    <w:rsid w:val="00DF002E"/>
    <w:rsid w:val="00DF0349"/>
    <w:rsid w:val="00DF0823"/>
    <w:rsid w:val="00DF08D7"/>
    <w:rsid w:val="00DF0998"/>
    <w:rsid w:val="00DF0C82"/>
    <w:rsid w:val="00DF0D63"/>
    <w:rsid w:val="00DF0FE4"/>
    <w:rsid w:val="00DF1446"/>
    <w:rsid w:val="00DF172F"/>
    <w:rsid w:val="00DF1740"/>
    <w:rsid w:val="00DF190A"/>
    <w:rsid w:val="00DF1CE8"/>
    <w:rsid w:val="00DF25AE"/>
    <w:rsid w:val="00DF3015"/>
    <w:rsid w:val="00DF30AF"/>
    <w:rsid w:val="00DF31CA"/>
    <w:rsid w:val="00DF34A6"/>
    <w:rsid w:val="00DF35A4"/>
    <w:rsid w:val="00DF4277"/>
    <w:rsid w:val="00DF4749"/>
    <w:rsid w:val="00DF4DBD"/>
    <w:rsid w:val="00DF4E87"/>
    <w:rsid w:val="00DF55EE"/>
    <w:rsid w:val="00DF5E04"/>
    <w:rsid w:val="00DF5E0D"/>
    <w:rsid w:val="00DF5E87"/>
    <w:rsid w:val="00DF624A"/>
    <w:rsid w:val="00DF646A"/>
    <w:rsid w:val="00DF67CB"/>
    <w:rsid w:val="00DF6AC1"/>
    <w:rsid w:val="00DF6BC8"/>
    <w:rsid w:val="00DF6D0F"/>
    <w:rsid w:val="00DF6F17"/>
    <w:rsid w:val="00DF71EC"/>
    <w:rsid w:val="00DF7A46"/>
    <w:rsid w:val="00DF7B10"/>
    <w:rsid w:val="00E0011D"/>
    <w:rsid w:val="00E001CA"/>
    <w:rsid w:val="00E00353"/>
    <w:rsid w:val="00E00797"/>
    <w:rsid w:val="00E00DDD"/>
    <w:rsid w:val="00E01287"/>
    <w:rsid w:val="00E015F6"/>
    <w:rsid w:val="00E018D0"/>
    <w:rsid w:val="00E01BDA"/>
    <w:rsid w:val="00E02027"/>
    <w:rsid w:val="00E0212E"/>
    <w:rsid w:val="00E0237F"/>
    <w:rsid w:val="00E0256B"/>
    <w:rsid w:val="00E02692"/>
    <w:rsid w:val="00E026FC"/>
    <w:rsid w:val="00E0275E"/>
    <w:rsid w:val="00E02CF8"/>
    <w:rsid w:val="00E02E66"/>
    <w:rsid w:val="00E032AB"/>
    <w:rsid w:val="00E032FA"/>
    <w:rsid w:val="00E0335E"/>
    <w:rsid w:val="00E03547"/>
    <w:rsid w:val="00E037DC"/>
    <w:rsid w:val="00E03904"/>
    <w:rsid w:val="00E04177"/>
    <w:rsid w:val="00E0479B"/>
    <w:rsid w:val="00E05432"/>
    <w:rsid w:val="00E0547C"/>
    <w:rsid w:val="00E059D4"/>
    <w:rsid w:val="00E0659E"/>
    <w:rsid w:val="00E065D4"/>
    <w:rsid w:val="00E0669E"/>
    <w:rsid w:val="00E06C88"/>
    <w:rsid w:val="00E06DB0"/>
    <w:rsid w:val="00E07782"/>
    <w:rsid w:val="00E07861"/>
    <w:rsid w:val="00E102FD"/>
    <w:rsid w:val="00E105F3"/>
    <w:rsid w:val="00E107F5"/>
    <w:rsid w:val="00E11217"/>
    <w:rsid w:val="00E1140B"/>
    <w:rsid w:val="00E116E6"/>
    <w:rsid w:val="00E120AD"/>
    <w:rsid w:val="00E12258"/>
    <w:rsid w:val="00E128E6"/>
    <w:rsid w:val="00E12CCB"/>
    <w:rsid w:val="00E12D4E"/>
    <w:rsid w:val="00E12E8C"/>
    <w:rsid w:val="00E12F45"/>
    <w:rsid w:val="00E132F1"/>
    <w:rsid w:val="00E13405"/>
    <w:rsid w:val="00E13AFF"/>
    <w:rsid w:val="00E13EEC"/>
    <w:rsid w:val="00E1434A"/>
    <w:rsid w:val="00E147BE"/>
    <w:rsid w:val="00E147D8"/>
    <w:rsid w:val="00E1496D"/>
    <w:rsid w:val="00E14999"/>
    <w:rsid w:val="00E14B0B"/>
    <w:rsid w:val="00E15AE7"/>
    <w:rsid w:val="00E15F25"/>
    <w:rsid w:val="00E1605D"/>
    <w:rsid w:val="00E160FB"/>
    <w:rsid w:val="00E16592"/>
    <w:rsid w:val="00E16ADF"/>
    <w:rsid w:val="00E16C9E"/>
    <w:rsid w:val="00E172A6"/>
    <w:rsid w:val="00E17320"/>
    <w:rsid w:val="00E1768C"/>
    <w:rsid w:val="00E176FD"/>
    <w:rsid w:val="00E204C9"/>
    <w:rsid w:val="00E20688"/>
    <w:rsid w:val="00E20901"/>
    <w:rsid w:val="00E210F2"/>
    <w:rsid w:val="00E212D3"/>
    <w:rsid w:val="00E215C9"/>
    <w:rsid w:val="00E21AEF"/>
    <w:rsid w:val="00E21F16"/>
    <w:rsid w:val="00E21F38"/>
    <w:rsid w:val="00E2223C"/>
    <w:rsid w:val="00E224A5"/>
    <w:rsid w:val="00E22A3F"/>
    <w:rsid w:val="00E22B6F"/>
    <w:rsid w:val="00E22D90"/>
    <w:rsid w:val="00E231DE"/>
    <w:rsid w:val="00E23C2F"/>
    <w:rsid w:val="00E23E21"/>
    <w:rsid w:val="00E24520"/>
    <w:rsid w:val="00E24547"/>
    <w:rsid w:val="00E24B2B"/>
    <w:rsid w:val="00E24E4D"/>
    <w:rsid w:val="00E24E9C"/>
    <w:rsid w:val="00E2544B"/>
    <w:rsid w:val="00E25C39"/>
    <w:rsid w:val="00E260B5"/>
    <w:rsid w:val="00E264EE"/>
    <w:rsid w:val="00E276A0"/>
    <w:rsid w:val="00E27A5F"/>
    <w:rsid w:val="00E27C28"/>
    <w:rsid w:val="00E304AD"/>
    <w:rsid w:val="00E3076C"/>
    <w:rsid w:val="00E30F1C"/>
    <w:rsid w:val="00E312F8"/>
    <w:rsid w:val="00E31546"/>
    <w:rsid w:val="00E3173F"/>
    <w:rsid w:val="00E31DE1"/>
    <w:rsid w:val="00E323C9"/>
    <w:rsid w:val="00E32469"/>
    <w:rsid w:val="00E329A7"/>
    <w:rsid w:val="00E32D2E"/>
    <w:rsid w:val="00E32D7B"/>
    <w:rsid w:val="00E330CB"/>
    <w:rsid w:val="00E335EC"/>
    <w:rsid w:val="00E33651"/>
    <w:rsid w:val="00E338AA"/>
    <w:rsid w:val="00E33937"/>
    <w:rsid w:val="00E339E0"/>
    <w:rsid w:val="00E33F1D"/>
    <w:rsid w:val="00E345C9"/>
    <w:rsid w:val="00E34625"/>
    <w:rsid w:val="00E3477A"/>
    <w:rsid w:val="00E34B1B"/>
    <w:rsid w:val="00E3516D"/>
    <w:rsid w:val="00E355D7"/>
    <w:rsid w:val="00E3569B"/>
    <w:rsid w:val="00E35C08"/>
    <w:rsid w:val="00E35C56"/>
    <w:rsid w:val="00E35CC8"/>
    <w:rsid w:val="00E362A5"/>
    <w:rsid w:val="00E36389"/>
    <w:rsid w:val="00E365C4"/>
    <w:rsid w:val="00E366C9"/>
    <w:rsid w:val="00E3673F"/>
    <w:rsid w:val="00E36C6D"/>
    <w:rsid w:val="00E36E25"/>
    <w:rsid w:val="00E37005"/>
    <w:rsid w:val="00E374A8"/>
    <w:rsid w:val="00E37D94"/>
    <w:rsid w:val="00E37FDF"/>
    <w:rsid w:val="00E40424"/>
    <w:rsid w:val="00E40D73"/>
    <w:rsid w:val="00E41118"/>
    <w:rsid w:val="00E4153E"/>
    <w:rsid w:val="00E4178F"/>
    <w:rsid w:val="00E41942"/>
    <w:rsid w:val="00E41975"/>
    <w:rsid w:val="00E419DB"/>
    <w:rsid w:val="00E41C40"/>
    <w:rsid w:val="00E41EBE"/>
    <w:rsid w:val="00E420C7"/>
    <w:rsid w:val="00E424F7"/>
    <w:rsid w:val="00E42905"/>
    <w:rsid w:val="00E42D1F"/>
    <w:rsid w:val="00E42E0A"/>
    <w:rsid w:val="00E42EA9"/>
    <w:rsid w:val="00E4321E"/>
    <w:rsid w:val="00E436B2"/>
    <w:rsid w:val="00E436D5"/>
    <w:rsid w:val="00E43B11"/>
    <w:rsid w:val="00E44227"/>
    <w:rsid w:val="00E449CC"/>
    <w:rsid w:val="00E44A27"/>
    <w:rsid w:val="00E44D6D"/>
    <w:rsid w:val="00E44F4F"/>
    <w:rsid w:val="00E450BD"/>
    <w:rsid w:val="00E45567"/>
    <w:rsid w:val="00E455AA"/>
    <w:rsid w:val="00E458F0"/>
    <w:rsid w:val="00E45AC9"/>
    <w:rsid w:val="00E45CE8"/>
    <w:rsid w:val="00E4657A"/>
    <w:rsid w:val="00E46FD4"/>
    <w:rsid w:val="00E471C4"/>
    <w:rsid w:val="00E477BD"/>
    <w:rsid w:val="00E47F78"/>
    <w:rsid w:val="00E50AD6"/>
    <w:rsid w:val="00E5126B"/>
    <w:rsid w:val="00E5163F"/>
    <w:rsid w:val="00E517B2"/>
    <w:rsid w:val="00E51885"/>
    <w:rsid w:val="00E51F93"/>
    <w:rsid w:val="00E521D8"/>
    <w:rsid w:val="00E52250"/>
    <w:rsid w:val="00E52528"/>
    <w:rsid w:val="00E5280F"/>
    <w:rsid w:val="00E52E34"/>
    <w:rsid w:val="00E5334C"/>
    <w:rsid w:val="00E53383"/>
    <w:rsid w:val="00E539A0"/>
    <w:rsid w:val="00E53A6D"/>
    <w:rsid w:val="00E5418E"/>
    <w:rsid w:val="00E54412"/>
    <w:rsid w:val="00E54517"/>
    <w:rsid w:val="00E54838"/>
    <w:rsid w:val="00E548FB"/>
    <w:rsid w:val="00E54F08"/>
    <w:rsid w:val="00E55692"/>
    <w:rsid w:val="00E557D0"/>
    <w:rsid w:val="00E558B1"/>
    <w:rsid w:val="00E55A29"/>
    <w:rsid w:val="00E55C7E"/>
    <w:rsid w:val="00E56444"/>
    <w:rsid w:val="00E568F5"/>
    <w:rsid w:val="00E56A4E"/>
    <w:rsid w:val="00E573B4"/>
    <w:rsid w:val="00E57620"/>
    <w:rsid w:val="00E57AF7"/>
    <w:rsid w:val="00E6034E"/>
    <w:rsid w:val="00E60540"/>
    <w:rsid w:val="00E608DD"/>
    <w:rsid w:val="00E60E56"/>
    <w:rsid w:val="00E6182A"/>
    <w:rsid w:val="00E61C12"/>
    <w:rsid w:val="00E61C9F"/>
    <w:rsid w:val="00E61E05"/>
    <w:rsid w:val="00E6200B"/>
    <w:rsid w:val="00E6212B"/>
    <w:rsid w:val="00E62538"/>
    <w:rsid w:val="00E6293F"/>
    <w:rsid w:val="00E634D6"/>
    <w:rsid w:val="00E6351B"/>
    <w:rsid w:val="00E63531"/>
    <w:rsid w:val="00E63829"/>
    <w:rsid w:val="00E63D6C"/>
    <w:rsid w:val="00E648C5"/>
    <w:rsid w:val="00E64FE1"/>
    <w:rsid w:val="00E6559F"/>
    <w:rsid w:val="00E6564A"/>
    <w:rsid w:val="00E658EE"/>
    <w:rsid w:val="00E65906"/>
    <w:rsid w:val="00E66112"/>
    <w:rsid w:val="00E6637B"/>
    <w:rsid w:val="00E667F1"/>
    <w:rsid w:val="00E669B6"/>
    <w:rsid w:val="00E66E03"/>
    <w:rsid w:val="00E66EF5"/>
    <w:rsid w:val="00E67290"/>
    <w:rsid w:val="00E6750C"/>
    <w:rsid w:val="00E67527"/>
    <w:rsid w:val="00E67820"/>
    <w:rsid w:val="00E679B1"/>
    <w:rsid w:val="00E679EB"/>
    <w:rsid w:val="00E707DB"/>
    <w:rsid w:val="00E70928"/>
    <w:rsid w:val="00E70B8D"/>
    <w:rsid w:val="00E70EB2"/>
    <w:rsid w:val="00E7106B"/>
    <w:rsid w:val="00E71AB3"/>
    <w:rsid w:val="00E71E1F"/>
    <w:rsid w:val="00E720E0"/>
    <w:rsid w:val="00E72265"/>
    <w:rsid w:val="00E7288B"/>
    <w:rsid w:val="00E72DC0"/>
    <w:rsid w:val="00E73234"/>
    <w:rsid w:val="00E7392F"/>
    <w:rsid w:val="00E739C5"/>
    <w:rsid w:val="00E7420C"/>
    <w:rsid w:val="00E744D7"/>
    <w:rsid w:val="00E749D9"/>
    <w:rsid w:val="00E74D4D"/>
    <w:rsid w:val="00E75091"/>
    <w:rsid w:val="00E75169"/>
    <w:rsid w:val="00E753D9"/>
    <w:rsid w:val="00E7542E"/>
    <w:rsid w:val="00E755C9"/>
    <w:rsid w:val="00E75779"/>
    <w:rsid w:val="00E7583B"/>
    <w:rsid w:val="00E75F7B"/>
    <w:rsid w:val="00E75FE4"/>
    <w:rsid w:val="00E75FE9"/>
    <w:rsid w:val="00E762EA"/>
    <w:rsid w:val="00E76B84"/>
    <w:rsid w:val="00E77041"/>
    <w:rsid w:val="00E77621"/>
    <w:rsid w:val="00E77A0D"/>
    <w:rsid w:val="00E77C24"/>
    <w:rsid w:val="00E77CD3"/>
    <w:rsid w:val="00E80C92"/>
    <w:rsid w:val="00E816EF"/>
    <w:rsid w:val="00E81A32"/>
    <w:rsid w:val="00E81EA7"/>
    <w:rsid w:val="00E82137"/>
    <w:rsid w:val="00E82771"/>
    <w:rsid w:val="00E8283D"/>
    <w:rsid w:val="00E82E8C"/>
    <w:rsid w:val="00E83A10"/>
    <w:rsid w:val="00E83F49"/>
    <w:rsid w:val="00E842F4"/>
    <w:rsid w:val="00E8449D"/>
    <w:rsid w:val="00E8492F"/>
    <w:rsid w:val="00E84BAA"/>
    <w:rsid w:val="00E85030"/>
    <w:rsid w:val="00E85252"/>
    <w:rsid w:val="00E8591A"/>
    <w:rsid w:val="00E85DA7"/>
    <w:rsid w:val="00E85E85"/>
    <w:rsid w:val="00E8614B"/>
    <w:rsid w:val="00E86C45"/>
    <w:rsid w:val="00E86CED"/>
    <w:rsid w:val="00E8741A"/>
    <w:rsid w:val="00E87D94"/>
    <w:rsid w:val="00E9023A"/>
    <w:rsid w:val="00E90479"/>
    <w:rsid w:val="00E90A7C"/>
    <w:rsid w:val="00E90CA4"/>
    <w:rsid w:val="00E90D31"/>
    <w:rsid w:val="00E90D8B"/>
    <w:rsid w:val="00E91064"/>
    <w:rsid w:val="00E9142E"/>
    <w:rsid w:val="00E9170D"/>
    <w:rsid w:val="00E91710"/>
    <w:rsid w:val="00E91C1F"/>
    <w:rsid w:val="00E91C61"/>
    <w:rsid w:val="00E91E97"/>
    <w:rsid w:val="00E9210A"/>
    <w:rsid w:val="00E92339"/>
    <w:rsid w:val="00E92382"/>
    <w:rsid w:val="00E923E6"/>
    <w:rsid w:val="00E92786"/>
    <w:rsid w:val="00E929F0"/>
    <w:rsid w:val="00E92A4F"/>
    <w:rsid w:val="00E9398F"/>
    <w:rsid w:val="00E93C6E"/>
    <w:rsid w:val="00E93E92"/>
    <w:rsid w:val="00E94039"/>
    <w:rsid w:val="00E94335"/>
    <w:rsid w:val="00E94D39"/>
    <w:rsid w:val="00E95373"/>
    <w:rsid w:val="00E9549A"/>
    <w:rsid w:val="00E95A4D"/>
    <w:rsid w:val="00E95DEF"/>
    <w:rsid w:val="00E96304"/>
    <w:rsid w:val="00E96A81"/>
    <w:rsid w:val="00E96BC8"/>
    <w:rsid w:val="00E9701E"/>
    <w:rsid w:val="00E975CA"/>
    <w:rsid w:val="00E976FA"/>
    <w:rsid w:val="00E979BF"/>
    <w:rsid w:val="00E97B14"/>
    <w:rsid w:val="00EA098F"/>
    <w:rsid w:val="00EA0DBE"/>
    <w:rsid w:val="00EA0E71"/>
    <w:rsid w:val="00EA1158"/>
    <w:rsid w:val="00EA1285"/>
    <w:rsid w:val="00EA19E2"/>
    <w:rsid w:val="00EA1AA0"/>
    <w:rsid w:val="00EA1D80"/>
    <w:rsid w:val="00EA21A6"/>
    <w:rsid w:val="00EA2227"/>
    <w:rsid w:val="00EA2D27"/>
    <w:rsid w:val="00EA2E29"/>
    <w:rsid w:val="00EA2F3B"/>
    <w:rsid w:val="00EA3D5D"/>
    <w:rsid w:val="00EA3E34"/>
    <w:rsid w:val="00EA3EDC"/>
    <w:rsid w:val="00EA4284"/>
    <w:rsid w:val="00EA45AB"/>
    <w:rsid w:val="00EA46C2"/>
    <w:rsid w:val="00EA4E15"/>
    <w:rsid w:val="00EA4F39"/>
    <w:rsid w:val="00EA4FFF"/>
    <w:rsid w:val="00EA50C3"/>
    <w:rsid w:val="00EA5B40"/>
    <w:rsid w:val="00EA5C68"/>
    <w:rsid w:val="00EA5F2F"/>
    <w:rsid w:val="00EA6649"/>
    <w:rsid w:val="00EA6872"/>
    <w:rsid w:val="00EA6B6F"/>
    <w:rsid w:val="00EA6EBF"/>
    <w:rsid w:val="00EA7414"/>
    <w:rsid w:val="00EA7437"/>
    <w:rsid w:val="00EA79BF"/>
    <w:rsid w:val="00EB04F0"/>
    <w:rsid w:val="00EB1327"/>
    <w:rsid w:val="00EB15CE"/>
    <w:rsid w:val="00EB1AD0"/>
    <w:rsid w:val="00EB1C9A"/>
    <w:rsid w:val="00EB1CC6"/>
    <w:rsid w:val="00EB1D76"/>
    <w:rsid w:val="00EB1DE1"/>
    <w:rsid w:val="00EB1ECD"/>
    <w:rsid w:val="00EB280B"/>
    <w:rsid w:val="00EB2817"/>
    <w:rsid w:val="00EB3725"/>
    <w:rsid w:val="00EB429C"/>
    <w:rsid w:val="00EB42EB"/>
    <w:rsid w:val="00EB46C4"/>
    <w:rsid w:val="00EB4843"/>
    <w:rsid w:val="00EB4848"/>
    <w:rsid w:val="00EB4EB8"/>
    <w:rsid w:val="00EB50EA"/>
    <w:rsid w:val="00EB52D0"/>
    <w:rsid w:val="00EB5F5A"/>
    <w:rsid w:val="00EB60AC"/>
    <w:rsid w:val="00EB63C6"/>
    <w:rsid w:val="00EB658E"/>
    <w:rsid w:val="00EB676B"/>
    <w:rsid w:val="00EB69F2"/>
    <w:rsid w:val="00EB704F"/>
    <w:rsid w:val="00EB7523"/>
    <w:rsid w:val="00EB7711"/>
    <w:rsid w:val="00EB7765"/>
    <w:rsid w:val="00EB7808"/>
    <w:rsid w:val="00EB7B05"/>
    <w:rsid w:val="00EC0E4D"/>
    <w:rsid w:val="00EC1761"/>
    <w:rsid w:val="00EC1AC3"/>
    <w:rsid w:val="00EC1B68"/>
    <w:rsid w:val="00EC1ECA"/>
    <w:rsid w:val="00EC24E3"/>
    <w:rsid w:val="00EC2593"/>
    <w:rsid w:val="00EC2986"/>
    <w:rsid w:val="00EC34F5"/>
    <w:rsid w:val="00EC3F56"/>
    <w:rsid w:val="00EC4AC0"/>
    <w:rsid w:val="00EC5327"/>
    <w:rsid w:val="00EC55D0"/>
    <w:rsid w:val="00EC5A3F"/>
    <w:rsid w:val="00EC5B35"/>
    <w:rsid w:val="00EC5BD5"/>
    <w:rsid w:val="00EC69D9"/>
    <w:rsid w:val="00EC6D48"/>
    <w:rsid w:val="00EC6E0A"/>
    <w:rsid w:val="00EC7256"/>
    <w:rsid w:val="00EC77BC"/>
    <w:rsid w:val="00EC77E9"/>
    <w:rsid w:val="00EC7EB1"/>
    <w:rsid w:val="00EC7F2B"/>
    <w:rsid w:val="00ED0338"/>
    <w:rsid w:val="00ED0A39"/>
    <w:rsid w:val="00ED18CF"/>
    <w:rsid w:val="00ED1EF1"/>
    <w:rsid w:val="00ED231A"/>
    <w:rsid w:val="00ED294B"/>
    <w:rsid w:val="00ED299B"/>
    <w:rsid w:val="00ED2BC9"/>
    <w:rsid w:val="00ED2C96"/>
    <w:rsid w:val="00ED36F8"/>
    <w:rsid w:val="00ED386F"/>
    <w:rsid w:val="00ED38EE"/>
    <w:rsid w:val="00ED3CAC"/>
    <w:rsid w:val="00ED41E1"/>
    <w:rsid w:val="00ED4239"/>
    <w:rsid w:val="00ED439A"/>
    <w:rsid w:val="00ED49DD"/>
    <w:rsid w:val="00ED4BBA"/>
    <w:rsid w:val="00ED4E9E"/>
    <w:rsid w:val="00ED4FFB"/>
    <w:rsid w:val="00ED503B"/>
    <w:rsid w:val="00ED50D2"/>
    <w:rsid w:val="00ED51DB"/>
    <w:rsid w:val="00ED598E"/>
    <w:rsid w:val="00ED5FB4"/>
    <w:rsid w:val="00ED5FE7"/>
    <w:rsid w:val="00ED61F3"/>
    <w:rsid w:val="00ED6C4F"/>
    <w:rsid w:val="00ED6C6A"/>
    <w:rsid w:val="00ED6C77"/>
    <w:rsid w:val="00ED79CD"/>
    <w:rsid w:val="00ED7AB1"/>
    <w:rsid w:val="00ED7C07"/>
    <w:rsid w:val="00ED7D96"/>
    <w:rsid w:val="00ED7DFF"/>
    <w:rsid w:val="00ED7FB3"/>
    <w:rsid w:val="00EE005E"/>
    <w:rsid w:val="00EE06B0"/>
    <w:rsid w:val="00EE0B13"/>
    <w:rsid w:val="00EE0CA5"/>
    <w:rsid w:val="00EE0D07"/>
    <w:rsid w:val="00EE0F2B"/>
    <w:rsid w:val="00EE16B1"/>
    <w:rsid w:val="00EE1811"/>
    <w:rsid w:val="00EE1B32"/>
    <w:rsid w:val="00EE1B60"/>
    <w:rsid w:val="00EE229C"/>
    <w:rsid w:val="00EE22C0"/>
    <w:rsid w:val="00EE22F8"/>
    <w:rsid w:val="00EE305C"/>
    <w:rsid w:val="00EE30C2"/>
    <w:rsid w:val="00EE3159"/>
    <w:rsid w:val="00EE3541"/>
    <w:rsid w:val="00EE377A"/>
    <w:rsid w:val="00EE44E4"/>
    <w:rsid w:val="00EE4BDD"/>
    <w:rsid w:val="00EE4F25"/>
    <w:rsid w:val="00EE533D"/>
    <w:rsid w:val="00EE54D3"/>
    <w:rsid w:val="00EE5677"/>
    <w:rsid w:val="00EE5711"/>
    <w:rsid w:val="00EE5E42"/>
    <w:rsid w:val="00EE669A"/>
    <w:rsid w:val="00EE66DF"/>
    <w:rsid w:val="00EE69F9"/>
    <w:rsid w:val="00EE6CA6"/>
    <w:rsid w:val="00EE7032"/>
    <w:rsid w:val="00EE72A6"/>
    <w:rsid w:val="00EE744D"/>
    <w:rsid w:val="00EE7AC0"/>
    <w:rsid w:val="00EE7BA3"/>
    <w:rsid w:val="00EE7D83"/>
    <w:rsid w:val="00EE7F6E"/>
    <w:rsid w:val="00EF0995"/>
    <w:rsid w:val="00EF0D72"/>
    <w:rsid w:val="00EF0D96"/>
    <w:rsid w:val="00EF0F73"/>
    <w:rsid w:val="00EF1875"/>
    <w:rsid w:val="00EF1B89"/>
    <w:rsid w:val="00EF1C02"/>
    <w:rsid w:val="00EF1D49"/>
    <w:rsid w:val="00EF1DBD"/>
    <w:rsid w:val="00EF21D3"/>
    <w:rsid w:val="00EF2624"/>
    <w:rsid w:val="00EF270E"/>
    <w:rsid w:val="00EF271B"/>
    <w:rsid w:val="00EF2AA8"/>
    <w:rsid w:val="00EF2C7C"/>
    <w:rsid w:val="00EF2D0D"/>
    <w:rsid w:val="00EF2EE0"/>
    <w:rsid w:val="00EF33E3"/>
    <w:rsid w:val="00EF41C7"/>
    <w:rsid w:val="00EF4394"/>
    <w:rsid w:val="00EF440E"/>
    <w:rsid w:val="00EF4431"/>
    <w:rsid w:val="00EF4B67"/>
    <w:rsid w:val="00EF4C02"/>
    <w:rsid w:val="00EF4CC8"/>
    <w:rsid w:val="00EF4CFF"/>
    <w:rsid w:val="00EF50D9"/>
    <w:rsid w:val="00EF5123"/>
    <w:rsid w:val="00EF545E"/>
    <w:rsid w:val="00EF59FB"/>
    <w:rsid w:val="00EF5C53"/>
    <w:rsid w:val="00EF62CE"/>
    <w:rsid w:val="00EF6456"/>
    <w:rsid w:val="00EF65B2"/>
    <w:rsid w:val="00EF67D9"/>
    <w:rsid w:val="00EF6844"/>
    <w:rsid w:val="00EF6B0C"/>
    <w:rsid w:val="00EF6B44"/>
    <w:rsid w:val="00EF6EC8"/>
    <w:rsid w:val="00EF72E9"/>
    <w:rsid w:val="00EF788E"/>
    <w:rsid w:val="00EF798E"/>
    <w:rsid w:val="00EF7B23"/>
    <w:rsid w:val="00EF7B7B"/>
    <w:rsid w:val="00EF7F0A"/>
    <w:rsid w:val="00EF7F8F"/>
    <w:rsid w:val="00F000BF"/>
    <w:rsid w:val="00F00A2D"/>
    <w:rsid w:val="00F00BE5"/>
    <w:rsid w:val="00F00BEA"/>
    <w:rsid w:val="00F00C34"/>
    <w:rsid w:val="00F00DC4"/>
    <w:rsid w:val="00F01048"/>
    <w:rsid w:val="00F01524"/>
    <w:rsid w:val="00F019A5"/>
    <w:rsid w:val="00F01DB8"/>
    <w:rsid w:val="00F02FA5"/>
    <w:rsid w:val="00F03319"/>
    <w:rsid w:val="00F03C09"/>
    <w:rsid w:val="00F03DCB"/>
    <w:rsid w:val="00F03E8D"/>
    <w:rsid w:val="00F0407D"/>
    <w:rsid w:val="00F043C9"/>
    <w:rsid w:val="00F04669"/>
    <w:rsid w:val="00F04C90"/>
    <w:rsid w:val="00F04F17"/>
    <w:rsid w:val="00F05089"/>
    <w:rsid w:val="00F0523D"/>
    <w:rsid w:val="00F056FA"/>
    <w:rsid w:val="00F05705"/>
    <w:rsid w:val="00F057BB"/>
    <w:rsid w:val="00F05B88"/>
    <w:rsid w:val="00F05D27"/>
    <w:rsid w:val="00F06016"/>
    <w:rsid w:val="00F062CF"/>
    <w:rsid w:val="00F063E0"/>
    <w:rsid w:val="00F06E64"/>
    <w:rsid w:val="00F06F47"/>
    <w:rsid w:val="00F0720A"/>
    <w:rsid w:val="00F07248"/>
    <w:rsid w:val="00F07311"/>
    <w:rsid w:val="00F07329"/>
    <w:rsid w:val="00F073FD"/>
    <w:rsid w:val="00F07585"/>
    <w:rsid w:val="00F076D0"/>
    <w:rsid w:val="00F076DA"/>
    <w:rsid w:val="00F0779E"/>
    <w:rsid w:val="00F07FB4"/>
    <w:rsid w:val="00F100C1"/>
    <w:rsid w:val="00F1046B"/>
    <w:rsid w:val="00F105A7"/>
    <w:rsid w:val="00F10CD7"/>
    <w:rsid w:val="00F11026"/>
    <w:rsid w:val="00F1137E"/>
    <w:rsid w:val="00F1172A"/>
    <w:rsid w:val="00F11BCC"/>
    <w:rsid w:val="00F11CA9"/>
    <w:rsid w:val="00F11EEE"/>
    <w:rsid w:val="00F127D1"/>
    <w:rsid w:val="00F12FAA"/>
    <w:rsid w:val="00F132E4"/>
    <w:rsid w:val="00F135A5"/>
    <w:rsid w:val="00F13D19"/>
    <w:rsid w:val="00F140B9"/>
    <w:rsid w:val="00F141A4"/>
    <w:rsid w:val="00F142D0"/>
    <w:rsid w:val="00F147E9"/>
    <w:rsid w:val="00F14BD8"/>
    <w:rsid w:val="00F1565D"/>
    <w:rsid w:val="00F157B1"/>
    <w:rsid w:val="00F157B4"/>
    <w:rsid w:val="00F158D1"/>
    <w:rsid w:val="00F15C6F"/>
    <w:rsid w:val="00F15EC4"/>
    <w:rsid w:val="00F16074"/>
    <w:rsid w:val="00F16B91"/>
    <w:rsid w:val="00F16DD2"/>
    <w:rsid w:val="00F17057"/>
    <w:rsid w:val="00F174EB"/>
    <w:rsid w:val="00F17B41"/>
    <w:rsid w:val="00F17FB8"/>
    <w:rsid w:val="00F20070"/>
    <w:rsid w:val="00F2063F"/>
    <w:rsid w:val="00F20CC7"/>
    <w:rsid w:val="00F20EEC"/>
    <w:rsid w:val="00F2124E"/>
    <w:rsid w:val="00F21789"/>
    <w:rsid w:val="00F21B7C"/>
    <w:rsid w:val="00F223E1"/>
    <w:rsid w:val="00F22851"/>
    <w:rsid w:val="00F22CC9"/>
    <w:rsid w:val="00F22CF1"/>
    <w:rsid w:val="00F230BE"/>
    <w:rsid w:val="00F234D7"/>
    <w:rsid w:val="00F235F9"/>
    <w:rsid w:val="00F23B86"/>
    <w:rsid w:val="00F240A2"/>
    <w:rsid w:val="00F240AF"/>
    <w:rsid w:val="00F240BD"/>
    <w:rsid w:val="00F24371"/>
    <w:rsid w:val="00F244B4"/>
    <w:rsid w:val="00F2460E"/>
    <w:rsid w:val="00F249B1"/>
    <w:rsid w:val="00F24CAF"/>
    <w:rsid w:val="00F2502A"/>
    <w:rsid w:val="00F259AE"/>
    <w:rsid w:val="00F25FCF"/>
    <w:rsid w:val="00F261F7"/>
    <w:rsid w:val="00F26213"/>
    <w:rsid w:val="00F263CB"/>
    <w:rsid w:val="00F266AE"/>
    <w:rsid w:val="00F2688E"/>
    <w:rsid w:val="00F26E6A"/>
    <w:rsid w:val="00F26ED1"/>
    <w:rsid w:val="00F2717F"/>
    <w:rsid w:val="00F273A2"/>
    <w:rsid w:val="00F2744A"/>
    <w:rsid w:val="00F27688"/>
    <w:rsid w:val="00F27DAB"/>
    <w:rsid w:val="00F3031F"/>
    <w:rsid w:val="00F3042E"/>
    <w:rsid w:val="00F30D8D"/>
    <w:rsid w:val="00F31158"/>
    <w:rsid w:val="00F31497"/>
    <w:rsid w:val="00F317E2"/>
    <w:rsid w:val="00F318D6"/>
    <w:rsid w:val="00F31A47"/>
    <w:rsid w:val="00F32079"/>
    <w:rsid w:val="00F32232"/>
    <w:rsid w:val="00F3224A"/>
    <w:rsid w:val="00F32407"/>
    <w:rsid w:val="00F32652"/>
    <w:rsid w:val="00F32A38"/>
    <w:rsid w:val="00F32BE8"/>
    <w:rsid w:val="00F32EC0"/>
    <w:rsid w:val="00F330A9"/>
    <w:rsid w:val="00F3381F"/>
    <w:rsid w:val="00F33E8C"/>
    <w:rsid w:val="00F3416C"/>
    <w:rsid w:val="00F34360"/>
    <w:rsid w:val="00F3456E"/>
    <w:rsid w:val="00F3467F"/>
    <w:rsid w:val="00F3477C"/>
    <w:rsid w:val="00F34D08"/>
    <w:rsid w:val="00F34D1F"/>
    <w:rsid w:val="00F34FCF"/>
    <w:rsid w:val="00F35042"/>
    <w:rsid w:val="00F3506E"/>
    <w:rsid w:val="00F351EC"/>
    <w:rsid w:val="00F35359"/>
    <w:rsid w:val="00F354F5"/>
    <w:rsid w:val="00F3567B"/>
    <w:rsid w:val="00F35A40"/>
    <w:rsid w:val="00F35C18"/>
    <w:rsid w:val="00F3620C"/>
    <w:rsid w:val="00F36641"/>
    <w:rsid w:val="00F366EE"/>
    <w:rsid w:val="00F36983"/>
    <w:rsid w:val="00F36AB3"/>
    <w:rsid w:val="00F36B19"/>
    <w:rsid w:val="00F36BD6"/>
    <w:rsid w:val="00F370E0"/>
    <w:rsid w:val="00F378B4"/>
    <w:rsid w:val="00F37BA4"/>
    <w:rsid w:val="00F37CBE"/>
    <w:rsid w:val="00F37F1F"/>
    <w:rsid w:val="00F40351"/>
    <w:rsid w:val="00F40BC9"/>
    <w:rsid w:val="00F411F9"/>
    <w:rsid w:val="00F41207"/>
    <w:rsid w:val="00F415AD"/>
    <w:rsid w:val="00F416C0"/>
    <w:rsid w:val="00F41C9E"/>
    <w:rsid w:val="00F42058"/>
    <w:rsid w:val="00F422E3"/>
    <w:rsid w:val="00F4254B"/>
    <w:rsid w:val="00F42BE2"/>
    <w:rsid w:val="00F42E87"/>
    <w:rsid w:val="00F42FB2"/>
    <w:rsid w:val="00F439EF"/>
    <w:rsid w:val="00F43D1C"/>
    <w:rsid w:val="00F43F13"/>
    <w:rsid w:val="00F4424E"/>
    <w:rsid w:val="00F443B8"/>
    <w:rsid w:val="00F4483D"/>
    <w:rsid w:val="00F44886"/>
    <w:rsid w:val="00F449F1"/>
    <w:rsid w:val="00F44CBE"/>
    <w:rsid w:val="00F45145"/>
    <w:rsid w:val="00F45980"/>
    <w:rsid w:val="00F459F2"/>
    <w:rsid w:val="00F45B9D"/>
    <w:rsid w:val="00F4635E"/>
    <w:rsid w:val="00F4684A"/>
    <w:rsid w:val="00F4705D"/>
    <w:rsid w:val="00F47253"/>
    <w:rsid w:val="00F472C4"/>
    <w:rsid w:val="00F474BF"/>
    <w:rsid w:val="00F47564"/>
    <w:rsid w:val="00F4791E"/>
    <w:rsid w:val="00F4794C"/>
    <w:rsid w:val="00F47BE4"/>
    <w:rsid w:val="00F47CFF"/>
    <w:rsid w:val="00F505DE"/>
    <w:rsid w:val="00F50AB3"/>
    <w:rsid w:val="00F50CCF"/>
    <w:rsid w:val="00F510A3"/>
    <w:rsid w:val="00F51262"/>
    <w:rsid w:val="00F51356"/>
    <w:rsid w:val="00F5185A"/>
    <w:rsid w:val="00F51B21"/>
    <w:rsid w:val="00F51CB0"/>
    <w:rsid w:val="00F5214B"/>
    <w:rsid w:val="00F52699"/>
    <w:rsid w:val="00F52721"/>
    <w:rsid w:val="00F527B5"/>
    <w:rsid w:val="00F532E2"/>
    <w:rsid w:val="00F5364D"/>
    <w:rsid w:val="00F53A00"/>
    <w:rsid w:val="00F53F08"/>
    <w:rsid w:val="00F54032"/>
    <w:rsid w:val="00F54177"/>
    <w:rsid w:val="00F5448E"/>
    <w:rsid w:val="00F544E2"/>
    <w:rsid w:val="00F5462D"/>
    <w:rsid w:val="00F546E0"/>
    <w:rsid w:val="00F547E7"/>
    <w:rsid w:val="00F54A26"/>
    <w:rsid w:val="00F54BEC"/>
    <w:rsid w:val="00F54FB3"/>
    <w:rsid w:val="00F553DC"/>
    <w:rsid w:val="00F554C9"/>
    <w:rsid w:val="00F55534"/>
    <w:rsid w:val="00F55874"/>
    <w:rsid w:val="00F55C1A"/>
    <w:rsid w:val="00F55C2C"/>
    <w:rsid w:val="00F55D1B"/>
    <w:rsid w:val="00F55F16"/>
    <w:rsid w:val="00F561D3"/>
    <w:rsid w:val="00F562BB"/>
    <w:rsid w:val="00F5694F"/>
    <w:rsid w:val="00F56999"/>
    <w:rsid w:val="00F56E6F"/>
    <w:rsid w:val="00F572DC"/>
    <w:rsid w:val="00F5741A"/>
    <w:rsid w:val="00F575FE"/>
    <w:rsid w:val="00F575FF"/>
    <w:rsid w:val="00F57BC8"/>
    <w:rsid w:val="00F57D75"/>
    <w:rsid w:val="00F60100"/>
    <w:rsid w:val="00F6039E"/>
    <w:rsid w:val="00F604C0"/>
    <w:rsid w:val="00F60D1D"/>
    <w:rsid w:val="00F60DF8"/>
    <w:rsid w:val="00F60FD4"/>
    <w:rsid w:val="00F611DB"/>
    <w:rsid w:val="00F611F5"/>
    <w:rsid w:val="00F61368"/>
    <w:rsid w:val="00F6147A"/>
    <w:rsid w:val="00F618B9"/>
    <w:rsid w:val="00F6196A"/>
    <w:rsid w:val="00F619B9"/>
    <w:rsid w:val="00F61C1B"/>
    <w:rsid w:val="00F62236"/>
    <w:rsid w:val="00F62396"/>
    <w:rsid w:val="00F624EA"/>
    <w:rsid w:val="00F629AE"/>
    <w:rsid w:val="00F62F64"/>
    <w:rsid w:val="00F6313A"/>
    <w:rsid w:val="00F63191"/>
    <w:rsid w:val="00F633DC"/>
    <w:rsid w:val="00F63944"/>
    <w:rsid w:val="00F63FFD"/>
    <w:rsid w:val="00F640A8"/>
    <w:rsid w:val="00F64298"/>
    <w:rsid w:val="00F64998"/>
    <w:rsid w:val="00F64D70"/>
    <w:rsid w:val="00F64F92"/>
    <w:rsid w:val="00F652DD"/>
    <w:rsid w:val="00F65832"/>
    <w:rsid w:val="00F658B3"/>
    <w:rsid w:val="00F65E3E"/>
    <w:rsid w:val="00F662AA"/>
    <w:rsid w:val="00F664CD"/>
    <w:rsid w:val="00F66955"/>
    <w:rsid w:val="00F66EEF"/>
    <w:rsid w:val="00F66FB3"/>
    <w:rsid w:val="00F674E1"/>
    <w:rsid w:val="00F7033D"/>
    <w:rsid w:val="00F7073E"/>
    <w:rsid w:val="00F707BA"/>
    <w:rsid w:val="00F70E26"/>
    <w:rsid w:val="00F70F03"/>
    <w:rsid w:val="00F71185"/>
    <w:rsid w:val="00F71244"/>
    <w:rsid w:val="00F712EC"/>
    <w:rsid w:val="00F71336"/>
    <w:rsid w:val="00F717F8"/>
    <w:rsid w:val="00F719DA"/>
    <w:rsid w:val="00F71A59"/>
    <w:rsid w:val="00F72014"/>
    <w:rsid w:val="00F72042"/>
    <w:rsid w:val="00F7255C"/>
    <w:rsid w:val="00F72772"/>
    <w:rsid w:val="00F7293E"/>
    <w:rsid w:val="00F72994"/>
    <w:rsid w:val="00F73B05"/>
    <w:rsid w:val="00F74017"/>
    <w:rsid w:val="00F7405B"/>
    <w:rsid w:val="00F74115"/>
    <w:rsid w:val="00F74817"/>
    <w:rsid w:val="00F74E1E"/>
    <w:rsid w:val="00F76775"/>
    <w:rsid w:val="00F76DE3"/>
    <w:rsid w:val="00F773C7"/>
    <w:rsid w:val="00F773E0"/>
    <w:rsid w:val="00F77412"/>
    <w:rsid w:val="00F77493"/>
    <w:rsid w:val="00F77538"/>
    <w:rsid w:val="00F77783"/>
    <w:rsid w:val="00F77B91"/>
    <w:rsid w:val="00F77BF3"/>
    <w:rsid w:val="00F77D75"/>
    <w:rsid w:val="00F77D88"/>
    <w:rsid w:val="00F77FCD"/>
    <w:rsid w:val="00F801DD"/>
    <w:rsid w:val="00F80AF8"/>
    <w:rsid w:val="00F80C51"/>
    <w:rsid w:val="00F81037"/>
    <w:rsid w:val="00F81048"/>
    <w:rsid w:val="00F813B4"/>
    <w:rsid w:val="00F819C6"/>
    <w:rsid w:val="00F8201B"/>
    <w:rsid w:val="00F82342"/>
    <w:rsid w:val="00F82B35"/>
    <w:rsid w:val="00F842CA"/>
    <w:rsid w:val="00F84323"/>
    <w:rsid w:val="00F843D3"/>
    <w:rsid w:val="00F84973"/>
    <w:rsid w:val="00F84B35"/>
    <w:rsid w:val="00F85322"/>
    <w:rsid w:val="00F85379"/>
    <w:rsid w:val="00F85A6E"/>
    <w:rsid w:val="00F86043"/>
    <w:rsid w:val="00F86FDB"/>
    <w:rsid w:val="00F8704D"/>
    <w:rsid w:val="00F876EE"/>
    <w:rsid w:val="00F903DA"/>
    <w:rsid w:val="00F90535"/>
    <w:rsid w:val="00F90755"/>
    <w:rsid w:val="00F919AC"/>
    <w:rsid w:val="00F928C0"/>
    <w:rsid w:val="00F92CFA"/>
    <w:rsid w:val="00F93185"/>
    <w:rsid w:val="00F93319"/>
    <w:rsid w:val="00F93DA7"/>
    <w:rsid w:val="00F93FAB"/>
    <w:rsid w:val="00F93FEB"/>
    <w:rsid w:val="00F9406D"/>
    <w:rsid w:val="00F940D9"/>
    <w:rsid w:val="00F94373"/>
    <w:rsid w:val="00F94511"/>
    <w:rsid w:val="00F94EC7"/>
    <w:rsid w:val="00F94EF8"/>
    <w:rsid w:val="00F95B18"/>
    <w:rsid w:val="00F95C7F"/>
    <w:rsid w:val="00F95CC2"/>
    <w:rsid w:val="00F9646A"/>
    <w:rsid w:val="00F964D5"/>
    <w:rsid w:val="00F9718B"/>
    <w:rsid w:val="00F97275"/>
    <w:rsid w:val="00F979C4"/>
    <w:rsid w:val="00F979E8"/>
    <w:rsid w:val="00F97EA3"/>
    <w:rsid w:val="00FA0708"/>
    <w:rsid w:val="00FA0A58"/>
    <w:rsid w:val="00FA0D8B"/>
    <w:rsid w:val="00FA0E89"/>
    <w:rsid w:val="00FA0ED4"/>
    <w:rsid w:val="00FA251D"/>
    <w:rsid w:val="00FA2F55"/>
    <w:rsid w:val="00FA323C"/>
    <w:rsid w:val="00FA3353"/>
    <w:rsid w:val="00FA39F0"/>
    <w:rsid w:val="00FA3D58"/>
    <w:rsid w:val="00FA3FFF"/>
    <w:rsid w:val="00FA4292"/>
    <w:rsid w:val="00FA4664"/>
    <w:rsid w:val="00FA5256"/>
    <w:rsid w:val="00FA5506"/>
    <w:rsid w:val="00FA58FE"/>
    <w:rsid w:val="00FA5A2C"/>
    <w:rsid w:val="00FA5F35"/>
    <w:rsid w:val="00FA610B"/>
    <w:rsid w:val="00FA6278"/>
    <w:rsid w:val="00FA645E"/>
    <w:rsid w:val="00FA65F7"/>
    <w:rsid w:val="00FA6B82"/>
    <w:rsid w:val="00FA6E93"/>
    <w:rsid w:val="00FA71E1"/>
    <w:rsid w:val="00FA72B9"/>
    <w:rsid w:val="00FA74A4"/>
    <w:rsid w:val="00FA7638"/>
    <w:rsid w:val="00FA76AF"/>
    <w:rsid w:val="00FA7B11"/>
    <w:rsid w:val="00FA7BAB"/>
    <w:rsid w:val="00FA7C3A"/>
    <w:rsid w:val="00FA7F32"/>
    <w:rsid w:val="00FA7F73"/>
    <w:rsid w:val="00FB07ED"/>
    <w:rsid w:val="00FB08D3"/>
    <w:rsid w:val="00FB0E33"/>
    <w:rsid w:val="00FB105D"/>
    <w:rsid w:val="00FB1147"/>
    <w:rsid w:val="00FB11B8"/>
    <w:rsid w:val="00FB13BB"/>
    <w:rsid w:val="00FB1664"/>
    <w:rsid w:val="00FB166C"/>
    <w:rsid w:val="00FB1803"/>
    <w:rsid w:val="00FB1DB1"/>
    <w:rsid w:val="00FB2308"/>
    <w:rsid w:val="00FB23B3"/>
    <w:rsid w:val="00FB2794"/>
    <w:rsid w:val="00FB2A31"/>
    <w:rsid w:val="00FB2CDB"/>
    <w:rsid w:val="00FB2E08"/>
    <w:rsid w:val="00FB3991"/>
    <w:rsid w:val="00FB3D9C"/>
    <w:rsid w:val="00FB488A"/>
    <w:rsid w:val="00FB49D0"/>
    <w:rsid w:val="00FB4AFE"/>
    <w:rsid w:val="00FB5374"/>
    <w:rsid w:val="00FB5432"/>
    <w:rsid w:val="00FB5713"/>
    <w:rsid w:val="00FB5843"/>
    <w:rsid w:val="00FB5B8C"/>
    <w:rsid w:val="00FB5CA9"/>
    <w:rsid w:val="00FB6D1D"/>
    <w:rsid w:val="00FB6D79"/>
    <w:rsid w:val="00FB74A4"/>
    <w:rsid w:val="00FB754E"/>
    <w:rsid w:val="00FB765C"/>
    <w:rsid w:val="00FB77DF"/>
    <w:rsid w:val="00FC0130"/>
    <w:rsid w:val="00FC046A"/>
    <w:rsid w:val="00FC0DCB"/>
    <w:rsid w:val="00FC100C"/>
    <w:rsid w:val="00FC10BB"/>
    <w:rsid w:val="00FC1726"/>
    <w:rsid w:val="00FC1B83"/>
    <w:rsid w:val="00FC1B87"/>
    <w:rsid w:val="00FC1BF1"/>
    <w:rsid w:val="00FC1C31"/>
    <w:rsid w:val="00FC1E1A"/>
    <w:rsid w:val="00FC20AD"/>
    <w:rsid w:val="00FC2160"/>
    <w:rsid w:val="00FC23D3"/>
    <w:rsid w:val="00FC266E"/>
    <w:rsid w:val="00FC298D"/>
    <w:rsid w:val="00FC2AA2"/>
    <w:rsid w:val="00FC2AA6"/>
    <w:rsid w:val="00FC2D3B"/>
    <w:rsid w:val="00FC2E6C"/>
    <w:rsid w:val="00FC3300"/>
    <w:rsid w:val="00FC3C29"/>
    <w:rsid w:val="00FC3C4B"/>
    <w:rsid w:val="00FC3E11"/>
    <w:rsid w:val="00FC3FFF"/>
    <w:rsid w:val="00FC424C"/>
    <w:rsid w:val="00FC4C50"/>
    <w:rsid w:val="00FC4D52"/>
    <w:rsid w:val="00FC4EB8"/>
    <w:rsid w:val="00FC5203"/>
    <w:rsid w:val="00FC5402"/>
    <w:rsid w:val="00FC5F6C"/>
    <w:rsid w:val="00FC619C"/>
    <w:rsid w:val="00FC6231"/>
    <w:rsid w:val="00FC6644"/>
    <w:rsid w:val="00FC67B0"/>
    <w:rsid w:val="00FC684D"/>
    <w:rsid w:val="00FC6F0A"/>
    <w:rsid w:val="00FC7394"/>
    <w:rsid w:val="00FC76AF"/>
    <w:rsid w:val="00FC7A1B"/>
    <w:rsid w:val="00FC7A3A"/>
    <w:rsid w:val="00FD0191"/>
    <w:rsid w:val="00FD0839"/>
    <w:rsid w:val="00FD0A29"/>
    <w:rsid w:val="00FD0ED5"/>
    <w:rsid w:val="00FD1122"/>
    <w:rsid w:val="00FD11A1"/>
    <w:rsid w:val="00FD1366"/>
    <w:rsid w:val="00FD1842"/>
    <w:rsid w:val="00FD19AD"/>
    <w:rsid w:val="00FD1A40"/>
    <w:rsid w:val="00FD2291"/>
    <w:rsid w:val="00FD2476"/>
    <w:rsid w:val="00FD2B6A"/>
    <w:rsid w:val="00FD3117"/>
    <w:rsid w:val="00FD31F9"/>
    <w:rsid w:val="00FD3656"/>
    <w:rsid w:val="00FD3866"/>
    <w:rsid w:val="00FD449B"/>
    <w:rsid w:val="00FD4DDB"/>
    <w:rsid w:val="00FD4E1F"/>
    <w:rsid w:val="00FD507F"/>
    <w:rsid w:val="00FD5092"/>
    <w:rsid w:val="00FD5308"/>
    <w:rsid w:val="00FD54E9"/>
    <w:rsid w:val="00FD5614"/>
    <w:rsid w:val="00FD57D9"/>
    <w:rsid w:val="00FD583B"/>
    <w:rsid w:val="00FD5BC3"/>
    <w:rsid w:val="00FD5D3B"/>
    <w:rsid w:val="00FD5EA9"/>
    <w:rsid w:val="00FD5F6C"/>
    <w:rsid w:val="00FD6626"/>
    <w:rsid w:val="00FD6868"/>
    <w:rsid w:val="00FD6A6A"/>
    <w:rsid w:val="00FD6AE0"/>
    <w:rsid w:val="00FD6CA9"/>
    <w:rsid w:val="00FD6FE7"/>
    <w:rsid w:val="00FD74CB"/>
    <w:rsid w:val="00FD7522"/>
    <w:rsid w:val="00FD76AA"/>
    <w:rsid w:val="00FD788C"/>
    <w:rsid w:val="00FD7A14"/>
    <w:rsid w:val="00FD7F43"/>
    <w:rsid w:val="00FE00D7"/>
    <w:rsid w:val="00FE0383"/>
    <w:rsid w:val="00FE056A"/>
    <w:rsid w:val="00FE0625"/>
    <w:rsid w:val="00FE079D"/>
    <w:rsid w:val="00FE0838"/>
    <w:rsid w:val="00FE0EA4"/>
    <w:rsid w:val="00FE0EB9"/>
    <w:rsid w:val="00FE1378"/>
    <w:rsid w:val="00FE14B4"/>
    <w:rsid w:val="00FE1901"/>
    <w:rsid w:val="00FE1B03"/>
    <w:rsid w:val="00FE2146"/>
    <w:rsid w:val="00FE2482"/>
    <w:rsid w:val="00FE26A2"/>
    <w:rsid w:val="00FE2A50"/>
    <w:rsid w:val="00FE306F"/>
    <w:rsid w:val="00FE319D"/>
    <w:rsid w:val="00FE3335"/>
    <w:rsid w:val="00FE37B6"/>
    <w:rsid w:val="00FE3B5E"/>
    <w:rsid w:val="00FE3F4E"/>
    <w:rsid w:val="00FE403A"/>
    <w:rsid w:val="00FE48E4"/>
    <w:rsid w:val="00FE4BA9"/>
    <w:rsid w:val="00FE4F96"/>
    <w:rsid w:val="00FE51E4"/>
    <w:rsid w:val="00FE5340"/>
    <w:rsid w:val="00FE5A10"/>
    <w:rsid w:val="00FE5E22"/>
    <w:rsid w:val="00FE5E70"/>
    <w:rsid w:val="00FE6E9B"/>
    <w:rsid w:val="00FE71EE"/>
    <w:rsid w:val="00FE73D6"/>
    <w:rsid w:val="00FE7E38"/>
    <w:rsid w:val="00FF00D4"/>
    <w:rsid w:val="00FF0121"/>
    <w:rsid w:val="00FF0215"/>
    <w:rsid w:val="00FF049E"/>
    <w:rsid w:val="00FF08FC"/>
    <w:rsid w:val="00FF0EE4"/>
    <w:rsid w:val="00FF1711"/>
    <w:rsid w:val="00FF1736"/>
    <w:rsid w:val="00FF18B1"/>
    <w:rsid w:val="00FF19A0"/>
    <w:rsid w:val="00FF1AEE"/>
    <w:rsid w:val="00FF20A9"/>
    <w:rsid w:val="00FF2831"/>
    <w:rsid w:val="00FF28A6"/>
    <w:rsid w:val="00FF3064"/>
    <w:rsid w:val="00FF3AC0"/>
    <w:rsid w:val="00FF4B4E"/>
    <w:rsid w:val="00FF4E5D"/>
    <w:rsid w:val="00FF5101"/>
    <w:rsid w:val="00FF5388"/>
    <w:rsid w:val="00FF5565"/>
    <w:rsid w:val="00FF5884"/>
    <w:rsid w:val="00FF5A1D"/>
    <w:rsid w:val="00FF5AC0"/>
    <w:rsid w:val="00FF5ADD"/>
    <w:rsid w:val="00FF5C58"/>
    <w:rsid w:val="00FF6335"/>
    <w:rsid w:val="00FF6BF4"/>
    <w:rsid w:val="00FF700C"/>
    <w:rsid w:val="00FF7120"/>
    <w:rsid w:val="00FF759E"/>
    <w:rsid w:val="00FF79C1"/>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775A0"/>
  <w15:docId w15:val="{158211EE-90B2-4004-A7B7-DD1250BF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B1"/>
    <w:pPr>
      <w:tabs>
        <w:tab w:val="left" w:pos="425"/>
      </w:tabs>
      <w:spacing w:after="120" w:line="360" w:lineRule="auto"/>
    </w:pPr>
    <w:rPr>
      <w:sz w:val="24"/>
      <w:szCs w:val="24"/>
      <w:lang w:val="en-AU"/>
    </w:rPr>
  </w:style>
  <w:style w:type="paragraph" w:styleId="Heading1">
    <w:name w:val="heading 1"/>
    <w:basedOn w:val="Normal"/>
    <w:next w:val="Normal"/>
    <w:link w:val="Heading1Char"/>
    <w:qFormat/>
    <w:rsid w:val="00F142D0"/>
    <w:pPr>
      <w:keepNext/>
      <w:spacing w:before="720" w:after="360"/>
      <w:outlineLvl w:val="0"/>
    </w:pPr>
    <w:rPr>
      <w:b/>
      <w:bCs/>
      <w:kern w:val="28"/>
      <w:sz w:val="36"/>
      <w:szCs w:val="36"/>
    </w:rPr>
  </w:style>
  <w:style w:type="paragraph" w:styleId="Heading2">
    <w:name w:val="heading 2"/>
    <w:basedOn w:val="Normal"/>
    <w:next w:val="Normal"/>
    <w:link w:val="Heading2Char"/>
    <w:uiPriority w:val="99"/>
    <w:qFormat/>
    <w:rsid w:val="00F142D0"/>
    <w:pPr>
      <w:keepNext/>
      <w:spacing w:before="360" w:after="360"/>
      <w:outlineLvl w:val="1"/>
    </w:pPr>
    <w:rPr>
      <w:b/>
      <w:bCs/>
      <w:sz w:val="32"/>
      <w:szCs w:val="32"/>
    </w:rPr>
  </w:style>
  <w:style w:type="paragraph" w:styleId="Heading3">
    <w:name w:val="heading 3"/>
    <w:basedOn w:val="Normal"/>
    <w:next w:val="Normal"/>
    <w:link w:val="Heading3Char"/>
    <w:uiPriority w:val="99"/>
    <w:qFormat/>
    <w:rsid w:val="00F142D0"/>
    <w:pPr>
      <w:keepNext/>
      <w:jc w:val="center"/>
      <w:outlineLvl w:val="2"/>
    </w:pPr>
    <w:rPr>
      <w:i/>
      <w:iCs/>
    </w:rPr>
  </w:style>
  <w:style w:type="paragraph" w:styleId="Heading4">
    <w:name w:val="heading 4"/>
    <w:basedOn w:val="Normal"/>
    <w:next w:val="Normal"/>
    <w:link w:val="Heading4Char"/>
    <w:uiPriority w:val="99"/>
    <w:qFormat/>
    <w:rsid w:val="00F142D0"/>
    <w:pPr>
      <w:keepNext/>
      <w:outlineLvl w:val="3"/>
    </w:pPr>
    <w:rPr>
      <w:b/>
      <w:bCs/>
      <w:lang w:val="en-US"/>
    </w:rPr>
  </w:style>
  <w:style w:type="paragraph" w:styleId="Heading5">
    <w:name w:val="heading 5"/>
    <w:basedOn w:val="Normal"/>
    <w:next w:val="Normal"/>
    <w:link w:val="Heading5Char"/>
    <w:uiPriority w:val="99"/>
    <w:qFormat/>
    <w:rsid w:val="00F142D0"/>
    <w:pPr>
      <w:keepNext/>
      <w:jc w:val="center"/>
      <w:outlineLvl w:val="4"/>
    </w:pPr>
    <w:rPr>
      <w:i/>
      <w:iCs/>
    </w:rPr>
  </w:style>
  <w:style w:type="paragraph" w:styleId="Heading6">
    <w:name w:val="heading 6"/>
    <w:basedOn w:val="Normal"/>
    <w:next w:val="Normal"/>
    <w:link w:val="Heading6Char"/>
    <w:uiPriority w:val="99"/>
    <w:qFormat/>
    <w:rsid w:val="00F142D0"/>
    <w:pPr>
      <w:keepNext/>
      <w:outlineLvl w:val="5"/>
    </w:pPr>
    <w:rPr>
      <w:i/>
      <w:iCs/>
      <w:lang w:val="en-US"/>
    </w:rPr>
  </w:style>
  <w:style w:type="paragraph" w:styleId="Heading7">
    <w:name w:val="heading 7"/>
    <w:basedOn w:val="Normal"/>
    <w:next w:val="Normal"/>
    <w:link w:val="Heading7Char"/>
    <w:uiPriority w:val="99"/>
    <w:qFormat/>
    <w:rsid w:val="00F142D0"/>
    <w:pPr>
      <w:keepNext/>
      <w:outlineLvl w:val="6"/>
    </w:pPr>
    <w:rPr>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D4D"/>
    <w:rPr>
      <w:rFonts w:ascii="Cambria" w:hAnsi="Cambria" w:cs="Cambria"/>
      <w:b/>
      <w:bCs/>
      <w:kern w:val="32"/>
      <w:sz w:val="32"/>
      <w:szCs w:val="32"/>
      <w:lang w:val="en-AU"/>
    </w:rPr>
  </w:style>
  <w:style w:type="character" w:customStyle="1" w:styleId="Heading2Char">
    <w:name w:val="Heading 2 Char"/>
    <w:basedOn w:val="DefaultParagraphFont"/>
    <w:link w:val="Heading2"/>
    <w:uiPriority w:val="99"/>
    <w:semiHidden/>
    <w:rsid w:val="00E74D4D"/>
    <w:rPr>
      <w:rFonts w:ascii="Cambria" w:hAnsi="Cambria" w:cs="Cambria"/>
      <w:b/>
      <w:bCs/>
      <w:i/>
      <w:iCs/>
      <w:sz w:val="28"/>
      <w:szCs w:val="28"/>
      <w:lang w:val="en-AU"/>
    </w:rPr>
  </w:style>
  <w:style w:type="character" w:customStyle="1" w:styleId="Heading3Char">
    <w:name w:val="Heading 3 Char"/>
    <w:basedOn w:val="DefaultParagraphFont"/>
    <w:link w:val="Heading3"/>
    <w:uiPriority w:val="99"/>
    <w:semiHidden/>
    <w:rsid w:val="00E74D4D"/>
    <w:rPr>
      <w:rFonts w:ascii="Cambria" w:hAnsi="Cambria" w:cs="Cambria"/>
      <w:b/>
      <w:bCs/>
      <w:sz w:val="26"/>
      <w:szCs w:val="26"/>
      <w:lang w:val="en-AU"/>
    </w:rPr>
  </w:style>
  <w:style w:type="character" w:customStyle="1" w:styleId="Heading4Char">
    <w:name w:val="Heading 4 Char"/>
    <w:basedOn w:val="DefaultParagraphFont"/>
    <w:link w:val="Heading4"/>
    <w:uiPriority w:val="99"/>
    <w:semiHidden/>
    <w:rsid w:val="00E74D4D"/>
    <w:rPr>
      <w:rFonts w:ascii="Calibri" w:hAnsi="Calibri" w:cs="Calibri"/>
      <w:b/>
      <w:bCs/>
      <w:sz w:val="28"/>
      <w:szCs w:val="28"/>
      <w:lang w:val="en-AU"/>
    </w:rPr>
  </w:style>
  <w:style w:type="character" w:customStyle="1" w:styleId="Heading5Char">
    <w:name w:val="Heading 5 Char"/>
    <w:basedOn w:val="DefaultParagraphFont"/>
    <w:link w:val="Heading5"/>
    <w:uiPriority w:val="99"/>
    <w:semiHidden/>
    <w:rsid w:val="00E74D4D"/>
    <w:rPr>
      <w:rFonts w:ascii="Calibri" w:hAnsi="Calibri" w:cs="Calibri"/>
      <w:b/>
      <w:bCs/>
      <w:i/>
      <w:iCs/>
      <w:sz w:val="26"/>
      <w:szCs w:val="26"/>
      <w:lang w:val="en-AU"/>
    </w:rPr>
  </w:style>
  <w:style w:type="character" w:customStyle="1" w:styleId="Heading6Char">
    <w:name w:val="Heading 6 Char"/>
    <w:basedOn w:val="DefaultParagraphFont"/>
    <w:link w:val="Heading6"/>
    <w:uiPriority w:val="99"/>
    <w:semiHidden/>
    <w:rsid w:val="00E74D4D"/>
    <w:rPr>
      <w:rFonts w:ascii="Calibri" w:hAnsi="Calibri" w:cs="Calibri"/>
      <w:b/>
      <w:bCs/>
      <w:lang w:val="en-AU"/>
    </w:rPr>
  </w:style>
  <w:style w:type="character" w:customStyle="1" w:styleId="Heading7Char">
    <w:name w:val="Heading 7 Char"/>
    <w:basedOn w:val="DefaultParagraphFont"/>
    <w:link w:val="Heading7"/>
    <w:uiPriority w:val="99"/>
    <w:semiHidden/>
    <w:rsid w:val="00E74D4D"/>
    <w:rPr>
      <w:rFonts w:ascii="Calibri" w:hAnsi="Calibri" w:cs="Calibri"/>
      <w:sz w:val="24"/>
      <w:szCs w:val="24"/>
      <w:lang w:val="en-AU"/>
    </w:rPr>
  </w:style>
  <w:style w:type="paragraph" w:styleId="Header">
    <w:name w:val="header"/>
    <w:basedOn w:val="Normal"/>
    <w:link w:val="HeaderChar"/>
    <w:uiPriority w:val="99"/>
    <w:rsid w:val="00F142D0"/>
    <w:pPr>
      <w:tabs>
        <w:tab w:val="center" w:pos="4153"/>
        <w:tab w:val="right" w:pos="8306"/>
      </w:tabs>
    </w:pPr>
  </w:style>
  <w:style w:type="character" w:customStyle="1" w:styleId="HeaderChar">
    <w:name w:val="Header Char"/>
    <w:basedOn w:val="DefaultParagraphFont"/>
    <w:link w:val="Header"/>
    <w:uiPriority w:val="99"/>
    <w:rsid w:val="00E345C9"/>
    <w:rPr>
      <w:sz w:val="24"/>
      <w:szCs w:val="24"/>
      <w:lang w:val="en-AU" w:eastAsia="en-US"/>
    </w:rPr>
  </w:style>
  <w:style w:type="character" w:styleId="PageNumber">
    <w:name w:val="page number"/>
    <w:basedOn w:val="DefaultParagraphFont"/>
    <w:rsid w:val="00F142D0"/>
  </w:style>
  <w:style w:type="paragraph" w:styleId="PlainText">
    <w:name w:val="Plain Text"/>
    <w:basedOn w:val="Normal"/>
    <w:link w:val="PlainTextChar"/>
    <w:uiPriority w:val="99"/>
    <w:rsid w:val="00F142D0"/>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ED41E1"/>
    <w:rPr>
      <w:rFonts w:ascii="Courier New" w:hAnsi="Courier New" w:cs="Courier New"/>
      <w:lang w:val="en-AU" w:eastAsia="en-US"/>
    </w:rPr>
  </w:style>
  <w:style w:type="paragraph" w:styleId="Footer">
    <w:name w:val="footer"/>
    <w:basedOn w:val="Normal"/>
    <w:link w:val="FooterChar"/>
    <w:rsid w:val="00F142D0"/>
    <w:pPr>
      <w:tabs>
        <w:tab w:val="clear" w:pos="425"/>
        <w:tab w:val="center" w:pos="4536"/>
        <w:tab w:val="right" w:pos="9072"/>
      </w:tabs>
    </w:pPr>
  </w:style>
  <w:style w:type="character" w:customStyle="1" w:styleId="FooterChar">
    <w:name w:val="Footer Char"/>
    <w:basedOn w:val="DefaultParagraphFont"/>
    <w:link w:val="Footer"/>
    <w:rsid w:val="006406E7"/>
    <w:rPr>
      <w:sz w:val="24"/>
      <w:szCs w:val="24"/>
      <w:lang w:val="en-AU" w:eastAsia="en-US"/>
    </w:rPr>
  </w:style>
  <w:style w:type="paragraph" w:customStyle="1" w:styleId="Formula">
    <w:name w:val="Formula"/>
    <w:basedOn w:val="Normal"/>
    <w:uiPriority w:val="99"/>
    <w:rsid w:val="00F142D0"/>
    <w:pPr>
      <w:tabs>
        <w:tab w:val="clear" w:pos="425"/>
        <w:tab w:val="left" w:pos="426"/>
        <w:tab w:val="left" w:pos="851"/>
        <w:tab w:val="right" w:pos="9072"/>
      </w:tabs>
      <w:spacing w:before="180" w:after="180"/>
    </w:pPr>
    <w:rPr>
      <w:lang w:val="en-US"/>
    </w:rPr>
  </w:style>
  <w:style w:type="paragraph" w:styleId="BodyText">
    <w:name w:val="Body Text"/>
    <w:basedOn w:val="Normal"/>
    <w:link w:val="BodyTextChar"/>
    <w:rsid w:val="00F142D0"/>
    <w:pPr>
      <w:jc w:val="center"/>
    </w:pPr>
    <w:rPr>
      <w:b/>
      <w:bCs/>
      <w:sz w:val="36"/>
      <w:szCs w:val="36"/>
      <w:lang w:val="en-US"/>
    </w:rPr>
  </w:style>
  <w:style w:type="character" w:customStyle="1" w:styleId="BodyTextChar">
    <w:name w:val="Body Text Char"/>
    <w:basedOn w:val="DefaultParagraphFont"/>
    <w:link w:val="BodyText"/>
    <w:semiHidden/>
    <w:rsid w:val="00E74D4D"/>
    <w:rPr>
      <w:sz w:val="20"/>
      <w:szCs w:val="20"/>
      <w:lang w:val="en-AU"/>
    </w:rPr>
  </w:style>
  <w:style w:type="character" w:styleId="Hyperlink">
    <w:name w:val="Hyperlink"/>
    <w:basedOn w:val="DefaultParagraphFont"/>
    <w:rsid w:val="00F142D0"/>
    <w:rPr>
      <w:color w:val="0000FF"/>
      <w:u w:val="single"/>
    </w:rPr>
  </w:style>
  <w:style w:type="character" w:styleId="FollowedHyperlink">
    <w:name w:val="FollowedHyperlink"/>
    <w:basedOn w:val="DefaultParagraphFont"/>
    <w:uiPriority w:val="99"/>
    <w:rsid w:val="00F142D0"/>
    <w:rPr>
      <w:color w:val="800080"/>
      <w:u w:val="single"/>
    </w:rPr>
  </w:style>
  <w:style w:type="paragraph" w:styleId="FootnoteText">
    <w:name w:val="footnote text"/>
    <w:basedOn w:val="Normal"/>
    <w:link w:val="FootnoteTextChar"/>
    <w:rsid w:val="00F142D0"/>
    <w:rPr>
      <w:sz w:val="20"/>
      <w:szCs w:val="20"/>
    </w:rPr>
  </w:style>
  <w:style w:type="character" w:customStyle="1" w:styleId="FootnoteTextChar">
    <w:name w:val="Footnote Text Char"/>
    <w:basedOn w:val="DefaultParagraphFont"/>
    <w:link w:val="FootnoteText"/>
    <w:uiPriority w:val="99"/>
    <w:semiHidden/>
    <w:rsid w:val="002A7F3D"/>
    <w:rPr>
      <w:lang w:val="en-AU" w:eastAsia="en-US"/>
    </w:rPr>
  </w:style>
  <w:style w:type="character" w:styleId="FootnoteReference">
    <w:name w:val="footnote reference"/>
    <w:basedOn w:val="DefaultParagraphFont"/>
    <w:uiPriority w:val="99"/>
    <w:semiHidden/>
    <w:rsid w:val="00F142D0"/>
    <w:rPr>
      <w:vertAlign w:val="superscript"/>
    </w:rPr>
  </w:style>
  <w:style w:type="paragraph" w:customStyle="1" w:styleId="refstyle">
    <w:name w:val="refstyle"/>
    <w:basedOn w:val="BodyTextIndent"/>
    <w:rsid w:val="00F142D0"/>
    <w:pPr>
      <w:tabs>
        <w:tab w:val="clear" w:pos="425"/>
      </w:tabs>
      <w:spacing w:after="0"/>
      <w:ind w:left="426" w:hanging="426"/>
    </w:pPr>
    <w:rPr>
      <w:lang w:val="en-US"/>
    </w:rPr>
  </w:style>
  <w:style w:type="paragraph" w:styleId="BodyTextIndent">
    <w:name w:val="Body Text Indent"/>
    <w:basedOn w:val="Normal"/>
    <w:link w:val="BodyTextIndentChar"/>
    <w:uiPriority w:val="99"/>
    <w:rsid w:val="00F142D0"/>
    <w:pPr>
      <w:ind w:left="283"/>
    </w:pPr>
  </w:style>
  <w:style w:type="character" w:customStyle="1" w:styleId="BodyTextIndentChar">
    <w:name w:val="Body Text Indent Char"/>
    <w:basedOn w:val="DefaultParagraphFont"/>
    <w:link w:val="BodyTextIndent"/>
    <w:uiPriority w:val="99"/>
    <w:semiHidden/>
    <w:rsid w:val="00E74D4D"/>
    <w:rPr>
      <w:sz w:val="20"/>
      <w:szCs w:val="20"/>
      <w:lang w:val="en-AU"/>
    </w:rPr>
  </w:style>
  <w:style w:type="paragraph" w:styleId="ListBullet">
    <w:name w:val="List Bullet"/>
    <w:basedOn w:val="Normal"/>
    <w:autoRedefine/>
    <w:uiPriority w:val="99"/>
    <w:rsid w:val="004B0C98"/>
  </w:style>
  <w:style w:type="character" w:styleId="LineNumber">
    <w:name w:val="line number"/>
    <w:basedOn w:val="DefaultParagraphFont"/>
    <w:uiPriority w:val="99"/>
    <w:rsid w:val="00F142D0"/>
    <w:rPr>
      <w:color w:val="000000"/>
      <w:sz w:val="22"/>
      <w:szCs w:val="22"/>
    </w:rPr>
  </w:style>
  <w:style w:type="character" w:styleId="CommentReference">
    <w:name w:val="annotation reference"/>
    <w:basedOn w:val="DefaultParagraphFont"/>
    <w:uiPriority w:val="99"/>
    <w:semiHidden/>
    <w:rsid w:val="00F142D0"/>
    <w:rPr>
      <w:sz w:val="16"/>
      <w:szCs w:val="16"/>
    </w:rPr>
  </w:style>
  <w:style w:type="paragraph" w:styleId="CommentText">
    <w:name w:val="annotation text"/>
    <w:basedOn w:val="Normal"/>
    <w:link w:val="CommentTextChar"/>
    <w:uiPriority w:val="99"/>
    <w:semiHidden/>
    <w:rsid w:val="00F142D0"/>
    <w:rPr>
      <w:sz w:val="20"/>
      <w:szCs w:val="20"/>
    </w:rPr>
  </w:style>
  <w:style w:type="character" w:customStyle="1" w:styleId="CommentTextChar">
    <w:name w:val="Comment Text Char"/>
    <w:basedOn w:val="DefaultParagraphFont"/>
    <w:link w:val="CommentText"/>
    <w:uiPriority w:val="99"/>
    <w:rsid w:val="006406E7"/>
    <w:rPr>
      <w:lang w:val="en-AU" w:eastAsia="en-US"/>
    </w:rPr>
  </w:style>
  <w:style w:type="paragraph" w:styleId="BodyText2">
    <w:name w:val="Body Text 2"/>
    <w:basedOn w:val="Normal"/>
    <w:link w:val="BodyText2Char"/>
    <w:uiPriority w:val="99"/>
    <w:rsid w:val="00F142D0"/>
    <w:pPr>
      <w:jc w:val="center"/>
    </w:pPr>
    <w:rPr>
      <w:lang w:val="en-US"/>
    </w:rPr>
  </w:style>
  <w:style w:type="character" w:customStyle="1" w:styleId="BodyText2Char">
    <w:name w:val="Body Text 2 Char"/>
    <w:basedOn w:val="DefaultParagraphFont"/>
    <w:link w:val="BodyText2"/>
    <w:uiPriority w:val="99"/>
    <w:semiHidden/>
    <w:rsid w:val="00E74D4D"/>
    <w:rPr>
      <w:sz w:val="20"/>
      <w:szCs w:val="20"/>
      <w:lang w:val="en-AU"/>
    </w:rPr>
  </w:style>
  <w:style w:type="paragraph" w:styleId="BodyText3">
    <w:name w:val="Body Text 3"/>
    <w:basedOn w:val="Normal"/>
    <w:link w:val="BodyText3Char"/>
    <w:uiPriority w:val="99"/>
    <w:rsid w:val="00F142D0"/>
    <w:pPr>
      <w:spacing w:line="240" w:lineRule="auto"/>
    </w:pPr>
    <w:rPr>
      <w:sz w:val="22"/>
      <w:szCs w:val="22"/>
      <w:lang w:val="en-US"/>
    </w:rPr>
  </w:style>
  <w:style w:type="character" w:customStyle="1" w:styleId="BodyText3Char">
    <w:name w:val="Body Text 3 Char"/>
    <w:basedOn w:val="DefaultParagraphFont"/>
    <w:link w:val="BodyText3"/>
    <w:uiPriority w:val="99"/>
    <w:semiHidden/>
    <w:rsid w:val="00E74D4D"/>
    <w:rPr>
      <w:sz w:val="16"/>
      <w:szCs w:val="16"/>
      <w:lang w:val="en-AU"/>
    </w:rPr>
  </w:style>
  <w:style w:type="paragraph" w:styleId="DocumentMap">
    <w:name w:val="Document Map"/>
    <w:basedOn w:val="Normal"/>
    <w:link w:val="DocumentMapChar"/>
    <w:uiPriority w:val="99"/>
    <w:semiHidden/>
    <w:rsid w:val="00F142D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74D4D"/>
    <w:rPr>
      <w:sz w:val="2"/>
      <w:szCs w:val="2"/>
      <w:lang w:val="en-AU"/>
    </w:rPr>
  </w:style>
  <w:style w:type="paragraph" w:styleId="BalloonText">
    <w:name w:val="Balloon Text"/>
    <w:basedOn w:val="Normal"/>
    <w:link w:val="BalloonTextChar"/>
    <w:uiPriority w:val="99"/>
    <w:semiHidden/>
    <w:rsid w:val="00F142D0"/>
    <w:rPr>
      <w:rFonts w:ascii="Tahoma" w:hAnsi="Tahoma" w:cs="Tahoma"/>
      <w:sz w:val="16"/>
      <w:szCs w:val="16"/>
    </w:rPr>
  </w:style>
  <w:style w:type="character" w:customStyle="1" w:styleId="BalloonTextChar">
    <w:name w:val="Balloon Text Char"/>
    <w:basedOn w:val="DefaultParagraphFont"/>
    <w:link w:val="BalloonText"/>
    <w:uiPriority w:val="99"/>
    <w:rsid w:val="006406E7"/>
    <w:rPr>
      <w:rFonts w:ascii="Tahoma" w:hAnsi="Tahoma" w:cs="Tahoma"/>
      <w:sz w:val="16"/>
      <w:szCs w:val="16"/>
      <w:lang w:val="en-AU" w:eastAsia="en-US"/>
    </w:rPr>
  </w:style>
  <w:style w:type="paragraph" w:customStyle="1" w:styleId="styleref">
    <w:name w:val="style.ref"/>
    <w:basedOn w:val="Normal"/>
    <w:uiPriority w:val="99"/>
    <w:rsid w:val="00F142D0"/>
    <w:pPr>
      <w:tabs>
        <w:tab w:val="clear" w:pos="425"/>
      </w:tabs>
      <w:ind w:left="363" w:hanging="340"/>
    </w:pPr>
  </w:style>
  <w:style w:type="paragraph" w:customStyle="1" w:styleId="Authors">
    <w:name w:val="Authors"/>
    <w:basedOn w:val="Header"/>
    <w:uiPriority w:val="99"/>
    <w:rsid w:val="006406E7"/>
    <w:pPr>
      <w:tabs>
        <w:tab w:val="clear" w:pos="4153"/>
        <w:tab w:val="clear" w:pos="8306"/>
      </w:tabs>
      <w:overflowPunct w:val="0"/>
      <w:autoSpaceDE w:val="0"/>
      <w:autoSpaceDN w:val="0"/>
      <w:adjustRightInd w:val="0"/>
      <w:jc w:val="center"/>
      <w:textAlignment w:val="baseline"/>
    </w:pPr>
    <w:rPr>
      <w:lang w:val="nl-NL"/>
    </w:rPr>
  </w:style>
  <w:style w:type="paragraph" w:styleId="CommentSubject">
    <w:name w:val="annotation subject"/>
    <w:basedOn w:val="CommentText"/>
    <w:next w:val="CommentText"/>
    <w:link w:val="CommentSubjectChar"/>
    <w:uiPriority w:val="99"/>
    <w:semiHidden/>
    <w:rsid w:val="006406E7"/>
    <w:pPr>
      <w:tabs>
        <w:tab w:val="clear" w:pos="425"/>
      </w:tabs>
      <w:spacing w:line="240" w:lineRule="auto"/>
    </w:pPr>
    <w:rPr>
      <w:b/>
      <w:bCs/>
      <w:lang w:val="en-GB" w:eastAsia="nl-NL"/>
    </w:rPr>
  </w:style>
  <w:style w:type="character" w:customStyle="1" w:styleId="CommentSubjectChar">
    <w:name w:val="Comment Subject Char"/>
    <w:basedOn w:val="CommentTextChar"/>
    <w:link w:val="CommentSubject"/>
    <w:uiPriority w:val="99"/>
    <w:rsid w:val="006406E7"/>
    <w:rPr>
      <w:b/>
      <w:bCs/>
      <w:lang w:val="en-GB" w:eastAsia="nl-NL"/>
    </w:rPr>
  </w:style>
  <w:style w:type="paragraph" w:styleId="HTMLPreformatted">
    <w:name w:val="HTML Preformatted"/>
    <w:basedOn w:val="Normal"/>
    <w:link w:val="HTMLPreformattedChar"/>
    <w:uiPriority w:val="99"/>
    <w:rsid w:val="006406E7"/>
    <w:p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E74D4D"/>
    <w:rPr>
      <w:rFonts w:ascii="Courier New" w:hAnsi="Courier New" w:cs="Courier New"/>
      <w:sz w:val="20"/>
      <w:szCs w:val="20"/>
      <w:lang w:val="en-AU"/>
    </w:rPr>
  </w:style>
  <w:style w:type="table" w:styleId="TableGrid">
    <w:name w:val="Table Grid"/>
    <w:basedOn w:val="TableNormal"/>
    <w:uiPriority w:val="59"/>
    <w:rsid w:val="003B78A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45DA"/>
    <w:pPr>
      <w:tabs>
        <w:tab w:val="clear" w:pos="425"/>
      </w:tabs>
      <w:spacing w:line="240" w:lineRule="auto"/>
      <w:ind w:left="720"/>
      <w:contextualSpacing/>
    </w:pPr>
    <w:rPr>
      <w:lang w:val="nl-NL" w:eastAsia="nl-NL"/>
    </w:rPr>
  </w:style>
  <w:style w:type="paragraph" w:styleId="EndnoteText">
    <w:name w:val="endnote text"/>
    <w:basedOn w:val="Normal"/>
    <w:link w:val="EndnoteTextChar"/>
    <w:uiPriority w:val="99"/>
    <w:semiHidden/>
    <w:rsid w:val="00025E4A"/>
    <w:pPr>
      <w:spacing w:line="240" w:lineRule="auto"/>
    </w:pPr>
    <w:rPr>
      <w:sz w:val="20"/>
      <w:szCs w:val="20"/>
    </w:rPr>
  </w:style>
  <w:style w:type="character" w:customStyle="1" w:styleId="EndnoteTextChar">
    <w:name w:val="Endnote Text Char"/>
    <w:basedOn w:val="DefaultParagraphFont"/>
    <w:link w:val="EndnoteText"/>
    <w:uiPriority w:val="99"/>
    <w:semiHidden/>
    <w:rsid w:val="00025E4A"/>
    <w:rPr>
      <w:lang w:val="en-AU" w:eastAsia="en-US"/>
    </w:rPr>
  </w:style>
  <w:style w:type="character" w:styleId="EndnoteReference">
    <w:name w:val="endnote reference"/>
    <w:basedOn w:val="DefaultParagraphFont"/>
    <w:uiPriority w:val="99"/>
    <w:semiHidden/>
    <w:rsid w:val="00025E4A"/>
    <w:rPr>
      <w:vertAlign w:val="superscript"/>
    </w:rPr>
  </w:style>
  <w:style w:type="character" w:styleId="PlaceholderText">
    <w:name w:val="Placeholder Text"/>
    <w:basedOn w:val="DefaultParagraphFont"/>
    <w:uiPriority w:val="99"/>
    <w:semiHidden/>
    <w:rsid w:val="00314AF0"/>
    <w:rPr>
      <w:color w:val="808080"/>
    </w:rPr>
  </w:style>
  <w:style w:type="paragraph" w:styleId="NoSpacing">
    <w:name w:val="No Spacing"/>
    <w:uiPriority w:val="1"/>
    <w:qFormat/>
    <w:rsid w:val="00366A64"/>
    <w:rPr>
      <w:rFonts w:ascii="Calibri" w:eastAsia="Calibri" w:hAnsi="Calibri"/>
      <w:lang w:val="de-DE"/>
    </w:rPr>
  </w:style>
  <w:style w:type="paragraph" w:styleId="Caption">
    <w:name w:val="caption"/>
    <w:basedOn w:val="Normal"/>
    <w:next w:val="Normal"/>
    <w:uiPriority w:val="35"/>
    <w:unhideWhenUsed/>
    <w:qFormat/>
    <w:rsid w:val="007D275A"/>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331AE8"/>
    <w:pPr>
      <w:keepLines/>
      <w:tabs>
        <w:tab w:val="clear" w:pos="425"/>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de-DE" w:eastAsia="de-DE"/>
    </w:rPr>
  </w:style>
  <w:style w:type="paragraph" w:styleId="TOC1">
    <w:name w:val="toc 1"/>
    <w:basedOn w:val="Normal"/>
    <w:next w:val="Normal"/>
    <w:autoRedefine/>
    <w:uiPriority w:val="39"/>
    <w:semiHidden/>
    <w:unhideWhenUsed/>
    <w:rsid w:val="00331AE8"/>
    <w:pPr>
      <w:tabs>
        <w:tab w:val="clear" w:pos="425"/>
      </w:tabs>
      <w:spacing w:before="240"/>
    </w:pPr>
    <w:rPr>
      <w:rFonts w:asciiTheme="minorHAnsi" w:hAnsiTheme="minorHAnsi"/>
      <w:b/>
      <w:caps/>
      <w:sz w:val="22"/>
      <w:szCs w:val="22"/>
      <w:u w:val="single"/>
    </w:rPr>
  </w:style>
  <w:style w:type="paragraph" w:styleId="TOC2">
    <w:name w:val="toc 2"/>
    <w:basedOn w:val="Normal"/>
    <w:next w:val="Normal"/>
    <w:autoRedefine/>
    <w:uiPriority w:val="39"/>
    <w:semiHidden/>
    <w:unhideWhenUsed/>
    <w:rsid w:val="00331AE8"/>
    <w:pPr>
      <w:tabs>
        <w:tab w:val="clear" w:pos="425"/>
      </w:tabs>
    </w:pPr>
    <w:rPr>
      <w:rFonts w:asciiTheme="minorHAnsi" w:hAnsiTheme="minorHAnsi"/>
      <w:b/>
      <w:smallCaps/>
      <w:sz w:val="22"/>
      <w:szCs w:val="22"/>
    </w:rPr>
  </w:style>
  <w:style w:type="paragraph" w:styleId="TOC3">
    <w:name w:val="toc 3"/>
    <w:basedOn w:val="Normal"/>
    <w:next w:val="Normal"/>
    <w:autoRedefine/>
    <w:uiPriority w:val="39"/>
    <w:semiHidden/>
    <w:unhideWhenUsed/>
    <w:rsid w:val="00331AE8"/>
    <w:pPr>
      <w:tabs>
        <w:tab w:val="clear" w:pos="425"/>
      </w:tabs>
    </w:pPr>
    <w:rPr>
      <w:rFonts w:asciiTheme="minorHAnsi" w:hAnsiTheme="minorHAnsi"/>
      <w:smallCaps/>
      <w:sz w:val="22"/>
      <w:szCs w:val="22"/>
    </w:rPr>
  </w:style>
  <w:style w:type="paragraph" w:styleId="TOC4">
    <w:name w:val="toc 4"/>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5">
    <w:name w:val="toc 5"/>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6">
    <w:name w:val="toc 6"/>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7">
    <w:name w:val="toc 7"/>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8">
    <w:name w:val="toc 8"/>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9">
    <w:name w:val="toc 9"/>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Revision">
    <w:name w:val="Revision"/>
    <w:hidden/>
    <w:uiPriority w:val="99"/>
    <w:semiHidden/>
    <w:rsid w:val="00514703"/>
    <w:rPr>
      <w:sz w:val="24"/>
      <w:szCs w:val="24"/>
      <w:lang w:val="en-AU"/>
    </w:rPr>
  </w:style>
  <w:style w:type="character" w:styleId="Emphasis">
    <w:name w:val="Emphasis"/>
    <w:basedOn w:val="DefaultParagraphFont"/>
    <w:uiPriority w:val="20"/>
    <w:qFormat/>
    <w:rsid w:val="007E0187"/>
    <w:rPr>
      <w:i/>
      <w:iCs/>
    </w:rPr>
  </w:style>
  <w:style w:type="paragraph" w:customStyle="1" w:styleId="Default">
    <w:name w:val="Default"/>
    <w:rsid w:val="00322784"/>
    <w:pPr>
      <w:autoSpaceDE w:val="0"/>
      <w:autoSpaceDN w:val="0"/>
      <w:adjustRightInd w:val="0"/>
    </w:pPr>
    <w:rPr>
      <w:rFonts w:ascii="Cambria" w:hAnsi="Cambria" w:cs="Cambria"/>
      <w:color w:val="000000"/>
      <w:sz w:val="24"/>
      <w:szCs w:val="24"/>
      <w:lang w:val="de-DE"/>
    </w:rPr>
  </w:style>
  <w:style w:type="character" w:customStyle="1" w:styleId="contribdegrees">
    <w:name w:val="contribdegrees"/>
    <w:basedOn w:val="DefaultParagraphFont"/>
    <w:rsid w:val="00F10CD7"/>
  </w:style>
  <w:style w:type="character" w:customStyle="1" w:styleId="articleinfo">
    <w:name w:val="articleinfo"/>
    <w:basedOn w:val="DefaultParagraphFont"/>
    <w:rsid w:val="00F10CD7"/>
  </w:style>
  <w:style w:type="paragraph" w:customStyle="1" w:styleId="articleinfo1">
    <w:name w:val="articleinfo1"/>
    <w:basedOn w:val="Normal"/>
    <w:rsid w:val="00F10CD7"/>
    <w:pPr>
      <w:tabs>
        <w:tab w:val="clear" w:pos="425"/>
      </w:tabs>
      <w:spacing w:before="100" w:beforeAutospacing="1" w:after="100" w:afterAutospacing="1" w:line="240" w:lineRule="auto"/>
    </w:pPr>
    <w:rPr>
      <w:rFonts w:eastAsia="Times New Roman"/>
      <w:lang w:val="de-DE" w:eastAsia="de-DE"/>
    </w:rPr>
  </w:style>
  <w:style w:type="character" w:customStyle="1" w:styleId="articlevolume">
    <w:name w:val="articlevolume"/>
    <w:basedOn w:val="DefaultParagraphFont"/>
    <w:rsid w:val="00F10CD7"/>
  </w:style>
  <w:style w:type="character" w:customStyle="1" w:styleId="pagerange">
    <w:name w:val="pagerange"/>
    <w:basedOn w:val="DefaultParagraphFont"/>
    <w:rsid w:val="00F10CD7"/>
  </w:style>
  <w:style w:type="paragraph" w:customStyle="1" w:styleId="zfr3q">
    <w:name w:val="zfr3q"/>
    <w:basedOn w:val="Normal"/>
    <w:rsid w:val="000A596D"/>
    <w:pPr>
      <w:tabs>
        <w:tab w:val="clear" w:pos="425"/>
      </w:tabs>
      <w:spacing w:before="100" w:beforeAutospacing="1" w:after="100" w:afterAutospacing="1" w:line="240" w:lineRule="auto"/>
    </w:pPr>
    <w:rPr>
      <w:rFonts w:eastAsia="Times New Roman"/>
      <w:lang w:val="de-DE" w:eastAsia="de-DE"/>
    </w:rPr>
  </w:style>
  <w:style w:type="paragraph" w:customStyle="1" w:styleId="Formatvorlage1">
    <w:name w:val="Formatvorlage1"/>
    <w:basedOn w:val="Normal"/>
    <w:link w:val="Formatvorlage1Zchn"/>
    <w:rsid w:val="00B50A3C"/>
    <w:pPr>
      <w:jc w:val="both"/>
    </w:pPr>
    <w:rPr>
      <w:lang w:val="en-US"/>
    </w:rPr>
  </w:style>
  <w:style w:type="character" w:customStyle="1" w:styleId="Formatvorlage1Zchn">
    <w:name w:val="Formatvorlage1 Zchn"/>
    <w:basedOn w:val="DefaultParagraphFont"/>
    <w:link w:val="Formatvorlage1"/>
    <w:rsid w:val="00B50A3C"/>
    <w:rPr>
      <w:sz w:val="24"/>
      <w:szCs w:val="24"/>
    </w:rPr>
  </w:style>
  <w:style w:type="table" w:customStyle="1" w:styleId="21">
    <w:name w:val="无格式表格 21"/>
    <w:basedOn w:val="TableNormal"/>
    <w:uiPriority w:val="42"/>
    <w:rsid w:val="00E1496D"/>
    <w:rPr>
      <w:rFonts w:asciiTheme="minorHAnsi" w:hAnsiTheme="minorHAnsi" w:cstheme="minorBidi"/>
      <w:lang w:val="de-DE"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Reference">
    <w:name w:val="Intense Reference"/>
    <w:basedOn w:val="DefaultParagraphFont"/>
    <w:uiPriority w:val="32"/>
    <w:qFormat/>
    <w:rsid w:val="00FA6B82"/>
    <w:rPr>
      <w:b/>
      <w:bCs/>
      <w:smallCaps/>
      <w:color w:val="4F81BD" w:themeColor="accent1"/>
      <w:spacing w:val="5"/>
    </w:rPr>
  </w:style>
  <w:style w:type="paragraph" w:styleId="NormalWeb">
    <w:name w:val="Normal (Web)"/>
    <w:basedOn w:val="Normal"/>
    <w:uiPriority w:val="99"/>
    <w:unhideWhenUsed/>
    <w:rsid w:val="00DC7F64"/>
    <w:pPr>
      <w:tabs>
        <w:tab w:val="clear" w:pos="425"/>
      </w:tabs>
      <w:spacing w:before="100" w:beforeAutospacing="1" w:after="100" w:afterAutospacing="1" w:line="240" w:lineRule="auto"/>
    </w:pPr>
    <w:rPr>
      <w:rFonts w:ascii="SimSun" w:eastAsia="SimSun" w:hAnsi="SimSun" w:cs="SimSun"/>
      <w:lang w:val="en-US" w:eastAsia="zh-CN"/>
    </w:rPr>
  </w:style>
  <w:style w:type="table" w:styleId="PlainTable2">
    <w:name w:val="Plain Table 2"/>
    <w:basedOn w:val="TableNormal"/>
    <w:uiPriority w:val="42"/>
    <w:rsid w:val="000A395D"/>
    <w:rPr>
      <w:rFonts w:asciiTheme="minorHAnsi" w:hAnsiTheme="minorHAnsi" w:cstheme="minorBidi"/>
      <w:lang w:val="de-DE"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A76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
    <w:name w:val="未处理的提及1"/>
    <w:basedOn w:val="DefaultParagraphFont"/>
    <w:uiPriority w:val="99"/>
    <w:semiHidden/>
    <w:unhideWhenUsed/>
    <w:rsid w:val="006B7AB4"/>
    <w:rPr>
      <w:color w:val="605E5C"/>
      <w:shd w:val="clear" w:color="auto" w:fill="E1DFDD"/>
    </w:rPr>
  </w:style>
  <w:style w:type="character" w:styleId="UnresolvedMention">
    <w:name w:val="Unresolved Mention"/>
    <w:basedOn w:val="DefaultParagraphFont"/>
    <w:uiPriority w:val="99"/>
    <w:semiHidden/>
    <w:unhideWhenUsed/>
    <w:rsid w:val="002E2D1F"/>
    <w:rPr>
      <w:color w:val="605E5C"/>
      <w:shd w:val="clear" w:color="auto" w:fill="E1DFDD"/>
    </w:rPr>
  </w:style>
  <w:style w:type="numbering" w:customStyle="1" w:styleId="NoList1">
    <w:name w:val="No List1"/>
    <w:next w:val="NoList"/>
    <w:uiPriority w:val="99"/>
    <w:semiHidden/>
    <w:unhideWhenUsed/>
    <w:rsid w:val="00621AB0"/>
  </w:style>
  <w:style w:type="paragraph" w:styleId="Title">
    <w:name w:val="Title"/>
    <w:basedOn w:val="Normal"/>
    <w:link w:val="TitleChar"/>
    <w:qFormat/>
    <w:rsid w:val="00621AB0"/>
    <w:pPr>
      <w:tabs>
        <w:tab w:val="clear" w:pos="425"/>
      </w:tabs>
      <w:spacing w:after="0" w:line="240" w:lineRule="auto"/>
      <w:jc w:val="center"/>
    </w:pPr>
    <w:rPr>
      <w:rFonts w:eastAsia="DengXian"/>
      <w:sz w:val="32"/>
      <w:szCs w:val="32"/>
      <w:lang w:val="en-US" w:eastAsia="zh-CN"/>
    </w:rPr>
  </w:style>
  <w:style w:type="character" w:customStyle="1" w:styleId="TitleChar">
    <w:name w:val="Title Char"/>
    <w:basedOn w:val="DefaultParagraphFont"/>
    <w:link w:val="Title"/>
    <w:rsid w:val="00621AB0"/>
    <w:rPr>
      <w:rFonts w:eastAsia="DengXian"/>
      <w:sz w:val="32"/>
      <w:szCs w:val="32"/>
      <w:lang w:eastAsia="zh-CN"/>
    </w:rPr>
  </w:style>
  <w:style w:type="paragraph" w:styleId="Subtitle">
    <w:name w:val="Subtitle"/>
    <w:basedOn w:val="Normal"/>
    <w:link w:val="SubtitleChar"/>
    <w:qFormat/>
    <w:rsid w:val="00621AB0"/>
    <w:pPr>
      <w:tabs>
        <w:tab w:val="clear" w:pos="425"/>
      </w:tabs>
      <w:overflowPunct w:val="0"/>
      <w:autoSpaceDE w:val="0"/>
      <w:autoSpaceDN w:val="0"/>
      <w:adjustRightInd w:val="0"/>
      <w:spacing w:after="0" w:line="240" w:lineRule="auto"/>
      <w:jc w:val="center"/>
      <w:textAlignment w:val="baseline"/>
    </w:pPr>
    <w:rPr>
      <w:rFonts w:eastAsia="DengXian"/>
      <w:sz w:val="28"/>
      <w:szCs w:val="28"/>
      <w:lang w:val="en-US" w:eastAsia="zh-CN"/>
    </w:rPr>
  </w:style>
  <w:style w:type="character" w:customStyle="1" w:styleId="SubtitleChar">
    <w:name w:val="Subtitle Char"/>
    <w:basedOn w:val="DefaultParagraphFont"/>
    <w:link w:val="Subtitle"/>
    <w:rsid w:val="00621AB0"/>
    <w:rPr>
      <w:rFonts w:eastAsia="DengXian"/>
      <w:sz w:val="28"/>
      <w:szCs w:val="28"/>
      <w:lang w:eastAsia="zh-CN"/>
    </w:rPr>
  </w:style>
  <w:style w:type="paragraph" w:customStyle="1" w:styleId="CM1">
    <w:name w:val="CM1"/>
    <w:basedOn w:val="Default"/>
    <w:next w:val="Default"/>
    <w:rsid w:val="009F71A2"/>
    <w:pPr>
      <w:widowControl w:val="0"/>
      <w:spacing w:line="323" w:lineRule="atLeast"/>
    </w:pPr>
    <w:rPr>
      <w:rFonts w:ascii="Times New Roman" w:eastAsia="Times New Roman" w:hAnsi="Times New Roman" w:cs="Times New Roman"/>
      <w:color w:val="auto"/>
      <w:lang w:val="en-US"/>
    </w:rPr>
  </w:style>
  <w:style w:type="paragraph" w:customStyle="1" w:styleId="CM22">
    <w:name w:val="CM22"/>
    <w:basedOn w:val="Default"/>
    <w:next w:val="Default"/>
    <w:rsid w:val="009F71A2"/>
    <w:pPr>
      <w:widowControl w:val="0"/>
      <w:spacing w:after="65"/>
    </w:pPr>
    <w:rPr>
      <w:rFonts w:ascii="Times New Roman" w:eastAsia="Times New Roman" w:hAnsi="Times New Roman" w:cs="Times New Roman"/>
      <w:color w:val="auto"/>
      <w:lang w:val="en-US"/>
    </w:rPr>
  </w:style>
  <w:style w:type="paragraph" w:customStyle="1" w:styleId="CM4">
    <w:name w:val="CM4"/>
    <w:basedOn w:val="Default"/>
    <w:next w:val="Default"/>
    <w:rsid w:val="009F71A2"/>
    <w:pPr>
      <w:widowControl w:val="0"/>
      <w:spacing w:line="253" w:lineRule="atLeast"/>
    </w:pPr>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738">
      <w:bodyDiv w:val="1"/>
      <w:marLeft w:val="0"/>
      <w:marRight w:val="0"/>
      <w:marTop w:val="0"/>
      <w:marBottom w:val="0"/>
      <w:divBdr>
        <w:top w:val="none" w:sz="0" w:space="0" w:color="auto"/>
        <w:left w:val="none" w:sz="0" w:space="0" w:color="auto"/>
        <w:bottom w:val="none" w:sz="0" w:space="0" w:color="auto"/>
        <w:right w:val="none" w:sz="0" w:space="0" w:color="auto"/>
      </w:divBdr>
    </w:div>
    <w:div w:id="5180401">
      <w:bodyDiv w:val="1"/>
      <w:marLeft w:val="0"/>
      <w:marRight w:val="0"/>
      <w:marTop w:val="0"/>
      <w:marBottom w:val="0"/>
      <w:divBdr>
        <w:top w:val="none" w:sz="0" w:space="0" w:color="auto"/>
        <w:left w:val="none" w:sz="0" w:space="0" w:color="auto"/>
        <w:bottom w:val="none" w:sz="0" w:space="0" w:color="auto"/>
        <w:right w:val="none" w:sz="0" w:space="0" w:color="auto"/>
      </w:divBdr>
    </w:div>
    <w:div w:id="10572750">
      <w:bodyDiv w:val="1"/>
      <w:marLeft w:val="0"/>
      <w:marRight w:val="0"/>
      <w:marTop w:val="0"/>
      <w:marBottom w:val="0"/>
      <w:divBdr>
        <w:top w:val="none" w:sz="0" w:space="0" w:color="auto"/>
        <w:left w:val="none" w:sz="0" w:space="0" w:color="auto"/>
        <w:bottom w:val="none" w:sz="0" w:space="0" w:color="auto"/>
        <w:right w:val="none" w:sz="0" w:space="0" w:color="auto"/>
      </w:divBdr>
    </w:div>
    <w:div w:id="21059369">
      <w:bodyDiv w:val="1"/>
      <w:marLeft w:val="0"/>
      <w:marRight w:val="0"/>
      <w:marTop w:val="0"/>
      <w:marBottom w:val="0"/>
      <w:divBdr>
        <w:top w:val="none" w:sz="0" w:space="0" w:color="auto"/>
        <w:left w:val="none" w:sz="0" w:space="0" w:color="auto"/>
        <w:bottom w:val="none" w:sz="0" w:space="0" w:color="auto"/>
        <w:right w:val="none" w:sz="0" w:space="0" w:color="auto"/>
      </w:divBdr>
      <w:divsChild>
        <w:div w:id="456678063">
          <w:marLeft w:val="0"/>
          <w:marRight w:val="0"/>
          <w:marTop w:val="0"/>
          <w:marBottom w:val="0"/>
          <w:divBdr>
            <w:top w:val="none" w:sz="0" w:space="0" w:color="auto"/>
            <w:left w:val="none" w:sz="0" w:space="0" w:color="auto"/>
            <w:bottom w:val="none" w:sz="0" w:space="0" w:color="auto"/>
            <w:right w:val="none" w:sz="0" w:space="0" w:color="auto"/>
          </w:divBdr>
          <w:divsChild>
            <w:div w:id="332880750">
              <w:marLeft w:val="0"/>
              <w:marRight w:val="0"/>
              <w:marTop w:val="0"/>
              <w:marBottom w:val="0"/>
              <w:divBdr>
                <w:top w:val="none" w:sz="0" w:space="0" w:color="auto"/>
                <w:left w:val="none" w:sz="0" w:space="0" w:color="auto"/>
                <w:bottom w:val="none" w:sz="0" w:space="0" w:color="auto"/>
                <w:right w:val="none" w:sz="0" w:space="0" w:color="auto"/>
              </w:divBdr>
              <w:divsChild>
                <w:div w:id="6029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3625">
      <w:bodyDiv w:val="1"/>
      <w:marLeft w:val="0"/>
      <w:marRight w:val="0"/>
      <w:marTop w:val="0"/>
      <w:marBottom w:val="0"/>
      <w:divBdr>
        <w:top w:val="none" w:sz="0" w:space="0" w:color="auto"/>
        <w:left w:val="none" w:sz="0" w:space="0" w:color="auto"/>
        <w:bottom w:val="none" w:sz="0" w:space="0" w:color="auto"/>
        <w:right w:val="none" w:sz="0" w:space="0" w:color="auto"/>
      </w:divBdr>
      <w:divsChild>
        <w:div w:id="1137068854">
          <w:marLeft w:val="0"/>
          <w:marRight w:val="0"/>
          <w:marTop w:val="0"/>
          <w:marBottom w:val="0"/>
          <w:divBdr>
            <w:top w:val="none" w:sz="0" w:space="0" w:color="auto"/>
            <w:left w:val="none" w:sz="0" w:space="0" w:color="auto"/>
            <w:bottom w:val="none" w:sz="0" w:space="0" w:color="auto"/>
            <w:right w:val="none" w:sz="0" w:space="0" w:color="auto"/>
          </w:divBdr>
        </w:div>
      </w:divsChild>
    </w:div>
    <w:div w:id="58214937">
      <w:bodyDiv w:val="1"/>
      <w:marLeft w:val="0"/>
      <w:marRight w:val="0"/>
      <w:marTop w:val="0"/>
      <w:marBottom w:val="0"/>
      <w:divBdr>
        <w:top w:val="none" w:sz="0" w:space="0" w:color="auto"/>
        <w:left w:val="none" w:sz="0" w:space="0" w:color="auto"/>
        <w:bottom w:val="none" w:sz="0" w:space="0" w:color="auto"/>
        <w:right w:val="none" w:sz="0" w:space="0" w:color="auto"/>
      </w:divBdr>
    </w:div>
    <w:div w:id="62216446">
      <w:bodyDiv w:val="1"/>
      <w:marLeft w:val="0"/>
      <w:marRight w:val="0"/>
      <w:marTop w:val="0"/>
      <w:marBottom w:val="0"/>
      <w:divBdr>
        <w:top w:val="none" w:sz="0" w:space="0" w:color="auto"/>
        <w:left w:val="none" w:sz="0" w:space="0" w:color="auto"/>
        <w:bottom w:val="none" w:sz="0" w:space="0" w:color="auto"/>
        <w:right w:val="none" w:sz="0" w:space="0" w:color="auto"/>
      </w:divBdr>
    </w:div>
    <w:div w:id="64956221">
      <w:bodyDiv w:val="1"/>
      <w:marLeft w:val="0"/>
      <w:marRight w:val="0"/>
      <w:marTop w:val="0"/>
      <w:marBottom w:val="0"/>
      <w:divBdr>
        <w:top w:val="none" w:sz="0" w:space="0" w:color="auto"/>
        <w:left w:val="none" w:sz="0" w:space="0" w:color="auto"/>
        <w:bottom w:val="none" w:sz="0" w:space="0" w:color="auto"/>
        <w:right w:val="none" w:sz="0" w:space="0" w:color="auto"/>
      </w:divBdr>
      <w:divsChild>
        <w:div w:id="121968255">
          <w:marLeft w:val="0"/>
          <w:marRight w:val="0"/>
          <w:marTop w:val="0"/>
          <w:marBottom w:val="0"/>
          <w:divBdr>
            <w:top w:val="none" w:sz="0" w:space="0" w:color="auto"/>
            <w:left w:val="none" w:sz="0" w:space="0" w:color="auto"/>
            <w:bottom w:val="none" w:sz="0" w:space="0" w:color="auto"/>
            <w:right w:val="none" w:sz="0" w:space="0" w:color="auto"/>
          </w:divBdr>
        </w:div>
      </w:divsChild>
    </w:div>
    <w:div w:id="83650733">
      <w:bodyDiv w:val="1"/>
      <w:marLeft w:val="0"/>
      <w:marRight w:val="0"/>
      <w:marTop w:val="0"/>
      <w:marBottom w:val="0"/>
      <w:divBdr>
        <w:top w:val="none" w:sz="0" w:space="0" w:color="auto"/>
        <w:left w:val="none" w:sz="0" w:space="0" w:color="auto"/>
        <w:bottom w:val="none" w:sz="0" w:space="0" w:color="auto"/>
        <w:right w:val="none" w:sz="0" w:space="0" w:color="auto"/>
      </w:divBdr>
    </w:div>
    <w:div w:id="86736735">
      <w:bodyDiv w:val="1"/>
      <w:marLeft w:val="0"/>
      <w:marRight w:val="0"/>
      <w:marTop w:val="0"/>
      <w:marBottom w:val="0"/>
      <w:divBdr>
        <w:top w:val="none" w:sz="0" w:space="0" w:color="auto"/>
        <w:left w:val="none" w:sz="0" w:space="0" w:color="auto"/>
        <w:bottom w:val="none" w:sz="0" w:space="0" w:color="auto"/>
        <w:right w:val="none" w:sz="0" w:space="0" w:color="auto"/>
      </w:divBdr>
    </w:div>
    <w:div w:id="94904918">
      <w:bodyDiv w:val="1"/>
      <w:marLeft w:val="0"/>
      <w:marRight w:val="0"/>
      <w:marTop w:val="0"/>
      <w:marBottom w:val="0"/>
      <w:divBdr>
        <w:top w:val="none" w:sz="0" w:space="0" w:color="auto"/>
        <w:left w:val="none" w:sz="0" w:space="0" w:color="auto"/>
        <w:bottom w:val="none" w:sz="0" w:space="0" w:color="auto"/>
        <w:right w:val="none" w:sz="0" w:space="0" w:color="auto"/>
      </w:divBdr>
    </w:div>
    <w:div w:id="97527149">
      <w:bodyDiv w:val="1"/>
      <w:marLeft w:val="0"/>
      <w:marRight w:val="0"/>
      <w:marTop w:val="0"/>
      <w:marBottom w:val="0"/>
      <w:divBdr>
        <w:top w:val="none" w:sz="0" w:space="0" w:color="auto"/>
        <w:left w:val="none" w:sz="0" w:space="0" w:color="auto"/>
        <w:bottom w:val="none" w:sz="0" w:space="0" w:color="auto"/>
        <w:right w:val="none" w:sz="0" w:space="0" w:color="auto"/>
      </w:divBdr>
    </w:div>
    <w:div w:id="97796536">
      <w:bodyDiv w:val="1"/>
      <w:marLeft w:val="0"/>
      <w:marRight w:val="0"/>
      <w:marTop w:val="0"/>
      <w:marBottom w:val="0"/>
      <w:divBdr>
        <w:top w:val="none" w:sz="0" w:space="0" w:color="auto"/>
        <w:left w:val="none" w:sz="0" w:space="0" w:color="auto"/>
        <w:bottom w:val="none" w:sz="0" w:space="0" w:color="auto"/>
        <w:right w:val="none" w:sz="0" w:space="0" w:color="auto"/>
      </w:divBdr>
    </w:div>
    <w:div w:id="105736180">
      <w:bodyDiv w:val="1"/>
      <w:marLeft w:val="0"/>
      <w:marRight w:val="0"/>
      <w:marTop w:val="0"/>
      <w:marBottom w:val="0"/>
      <w:divBdr>
        <w:top w:val="none" w:sz="0" w:space="0" w:color="auto"/>
        <w:left w:val="none" w:sz="0" w:space="0" w:color="auto"/>
        <w:bottom w:val="none" w:sz="0" w:space="0" w:color="auto"/>
        <w:right w:val="none" w:sz="0" w:space="0" w:color="auto"/>
      </w:divBdr>
    </w:div>
    <w:div w:id="113519512">
      <w:bodyDiv w:val="1"/>
      <w:marLeft w:val="0"/>
      <w:marRight w:val="0"/>
      <w:marTop w:val="0"/>
      <w:marBottom w:val="0"/>
      <w:divBdr>
        <w:top w:val="none" w:sz="0" w:space="0" w:color="auto"/>
        <w:left w:val="none" w:sz="0" w:space="0" w:color="auto"/>
        <w:bottom w:val="none" w:sz="0" w:space="0" w:color="auto"/>
        <w:right w:val="none" w:sz="0" w:space="0" w:color="auto"/>
      </w:divBdr>
    </w:div>
    <w:div w:id="123740598">
      <w:bodyDiv w:val="1"/>
      <w:marLeft w:val="0"/>
      <w:marRight w:val="0"/>
      <w:marTop w:val="0"/>
      <w:marBottom w:val="0"/>
      <w:divBdr>
        <w:top w:val="none" w:sz="0" w:space="0" w:color="auto"/>
        <w:left w:val="none" w:sz="0" w:space="0" w:color="auto"/>
        <w:bottom w:val="none" w:sz="0" w:space="0" w:color="auto"/>
        <w:right w:val="none" w:sz="0" w:space="0" w:color="auto"/>
      </w:divBdr>
    </w:div>
    <w:div w:id="128208999">
      <w:bodyDiv w:val="1"/>
      <w:marLeft w:val="0"/>
      <w:marRight w:val="0"/>
      <w:marTop w:val="0"/>
      <w:marBottom w:val="0"/>
      <w:divBdr>
        <w:top w:val="none" w:sz="0" w:space="0" w:color="auto"/>
        <w:left w:val="none" w:sz="0" w:space="0" w:color="auto"/>
        <w:bottom w:val="none" w:sz="0" w:space="0" w:color="auto"/>
        <w:right w:val="none" w:sz="0" w:space="0" w:color="auto"/>
      </w:divBdr>
    </w:div>
    <w:div w:id="170066476">
      <w:bodyDiv w:val="1"/>
      <w:marLeft w:val="0"/>
      <w:marRight w:val="0"/>
      <w:marTop w:val="0"/>
      <w:marBottom w:val="0"/>
      <w:divBdr>
        <w:top w:val="none" w:sz="0" w:space="0" w:color="auto"/>
        <w:left w:val="none" w:sz="0" w:space="0" w:color="auto"/>
        <w:bottom w:val="none" w:sz="0" w:space="0" w:color="auto"/>
        <w:right w:val="none" w:sz="0" w:space="0" w:color="auto"/>
      </w:divBdr>
      <w:divsChild>
        <w:div w:id="350110828">
          <w:marLeft w:val="0"/>
          <w:marRight w:val="0"/>
          <w:marTop w:val="0"/>
          <w:marBottom w:val="0"/>
          <w:divBdr>
            <w:top w:val="single" w:sz="18" w:space="4" w:color="006FCA"/>
            <w:left w:val="single" w:sz="18" w:space="4" w:color="006FCA"/>
            <w:bottom w:val="single" w:sz="18" w:space="4" w:color="006FCA"/>
            <w:right w:val="single" w:sz="18" w:space="4" w:color="006FCA"/>
          </w:divBdr>
          <w:divsChild>
            <w:div w:id="981157266">
              <w:marLeft w:val="0"/>
              <w:marRight w:val="0"/>
              <w:marTop w:val="0"/>
              <w:marBottom w:val="0"/>
              <w:divBdr>
                <w:top w:val="none" w:sz="0" w:space="0" w:color="auto"/>
                <w:left w:val="none" w:sz="0" w:space="0" w:color="auto"/>
                <w:bottom w:val="none" w:sz="0" w:space="0" w:color="auto"/>
                <w:right w:val="none" w:sz="0" w:space="0" w:color="auto"/>
              </w:divBdr>
              <w:divsChild>
                <w:div w:id="1767992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338522">
      <w:bodyDiv w:val="1"/>
      <w:marLeft w:val="0"/>
      <w:marRight w:val="0"/>
      <w:marTop w:val="0"/>
      <w:marBottom w:val="0"/>
      <w:divBdr>
        <w:top w:val="none" w:sz="0" w:space="0" w:color="auto"/>
        <w:left w:val="none" w:sz="0" w:space="0" w:color="auto"/>
        <w:bottom w:val="none" w:sz="0" w:space="0" w:color="auto"/>
        <w:right w:val="none" w:sz="0" w:space="0" w:color="auto"/>
      </w:divBdr>
    </w:div>
    <w:div w:id="204413555">
      <w:bodyDiv w:val="1"/>
      <w:marLeft w:val="0"/>
      <w:marRight w:val="0"/>
      <w:marTop w:val="0"/>
      <w:marBottom w:val="0"/>
      <w:divBdr>
        <w:top w:val="none" w:sz="0" w:space="0" w:color="auto"/>
        <w:left w:val="none" w:sz="0" w:space="0" w:color="auto"/>
        <w:bottom w:val="none" w:sz="0" w:space="0" w:color="auto"/>
        <w:right w:val="none" w:sz="0" w:space="0" w:color="auto"/>
      </w:divBdr>
      <w:divsChild>
        <w:div w:id="494027894">
          <w:marLeft w:val="0"/>
          <w:marRight w:val="0"/>
          <w:marTop w:val="0"/>
          <w:marBottom w:val="0"/>
          <w:divBdr>
            <w:top w:val="none" w:sz="0" w:space="0" w:color="auto"/>
            <w:left w:val="none" w:sz="0" w:space="0" w:color="auto"/>
            <w:bottom w:val="none" w:sz="0" w:space="0" w:color="auto"/>
            <w:right w:val="none" w:sz="0" w:space="0" w:color="auto"/>
          </w:divBdr>
        </w:div>
      </w:divsChild>
    </w:div>
    <w:div w:id="209418146">
      <w:bodyDiv w:val="1"/>
      <w:marLeft w:val="0"/>
      <w:marRight w:val="0"/>
      <w:marTop w:val="0"/>
      <w:marBottom w:val="0"/>
      <w:divBdr>
        <w:top w:val="none" w:sz="0" w:space="0" w:color="auto"/>
        <w:left w:val="none" w:sz="0" w:space="0" w:color="auto"/>
        <w:bottom w:val="none" w:sz="0" w:space="0" w:color="auto"/>
        <w:right w:val="none" w:sz="0" w:space="0" w:color="auto"/>
      </w:divBdr>
    </w:div>
    <w:div w:id="217476497">
      <w:bodyDiv w:val="1"/>
      <w:marLeft w:val="0"/>
      <w:marRight w:val="0"/>
      <w:marTop w:val="0"/>
      <w:marBottom w:val="0"/>
      <w:divBdr>
        <w:top w:val="none" w:sz="0" w:space="0" w:color="auto"/>
        <w:left w:val="none" w:sz="0" w:space="0" w:color="auto"/>
        <w:bottom w:val="none" w:sz="0" w:space="0" w:color="auto"/>
        <w:right w:val="none" w:sz="0" w:space="0" w:color="auto"/>
      </w:divBdr>
    </w:div>
    <w:div w:id="239560844">
      <w:bodyDiv w:val="1"/>
      <w:marLeft w:val="0"/>
      <w:marRight w:val="0"/>
      <w:marTop w:val="0"/>
      <w:marBottom w:val="0"/>
      <w:divBdr>
        <w:top w:val="none" w:sz="0" w:space="0" w:color="auto"/>
        <w:left w:val="none" w:sz="0" w:space="0" w:color="auto"/>
        <w:bottom w:val="none" w:sz="0" w:space="0" w:color="auto"/>
        <w:right w:val="none" w:sz="0" w:space="0" w:color="auto"/>
      </w:divBdr>
      <w:divsChild>
        <w:div w:id="987169622">
          <w:marLeft w:val="0"/>
          <w:marRight w:val="0"/>
          <w:marTop w:val="0"/>
          <w:marBottom w:val="0"/>
          <w:divBdr>
            <w:top w:val="none" w:sz="0" w:space="0" w:color="auto"/>
            <w:left w:val="none" w:sz="0" w:space="0" w:color="auto"/>
            <w:bottom w:val="none" w:sz="0" w:space="0" w:color="auto"/>
            <w:right w:val="none" w:sz="0" w:space="0" w:color="auto"/>
          </w:divBdr>
          <w:divsChild>
            <w:div w:id="1897665539">
              <w:marLeft w:val="0"/>
              <w:marRight w:val="0"/>
              <w:marTop w:val="0"/>
              <w:marBottom w:val="0"/>
              <w:divBdr>
                <w:top w:val="none" w:sz="0" w:space="0" w:color="auto"/>
                <w:left w:val="none" w:sz="0" w:space="0" w:color="auto"/>
                <w:bottom w:val="none" w:sz="0" w:space="0" w:color="auto"/>
                <w:right w:val="none" w:sz="0" w:space="0" w:color="auto"/>
              </w:divBdr>
              <w:divsChild>
                <w:div w:id="412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0222">
      <w:bodyDiv w:val="1"/>
      <w:marLeft w:val="0"/>
      <w:marRight w:val="0"/>
      <w:marTop w:val="0"/>
      <w:marBottom w:val="0"/>
      <w:divBdr>
        <w:top w:val="none" w:sz="0" w:space="0" w:color="auto"/>
        <w:left w:val="none" w:sz="0" w:space="0" w:color="auto"/>
        <w:bottom w:val="none" w:sz="0" w:space="0" w:color="auto"/>
        <w:right w:val="none" w:sz="0" w:space="0" w:color="auto"/>
      </w:divBdr>
    </w:div>
    <w:div w:id="247471792">
      <w:bodyDiv w:val="1"/>
      <w:marLeft w:val="0"/>
      <w:marRight w:val="0"/>
      <w:marTop w:val="0"/>
      <w:marBottom w:val="0"/>
      <w:divBdr>
        <w:top w:val="none" w:sz="0" w:space="0" w:color="auto"/>
        <w:left w:val="none" w:sz="0" w:space="0" w:color="auto"/>
        <w:bottom w:val="none" w:sz="0" w:space="0" w:color="auto"/>
        <w:right w:val="none" w:sz="0" w:space="0" w:color="auto"/>
      </w:divBdr>
    </w:div>
    <w:div w:id="255947325">
      <w:bodyDiv w:val="1"/>
      <w:marLeft w:val="0"/>
      <w:marRight w:val="0"/>
      <w:marTop w:val="0"/>
      <w:marBottom w:val="0"/>
      <w:divBdr>
        <w:top w:val="none" w:sz="0" w:space="0" w:color="auto"/>
        <w:left w:val="none" w:sz="0" w:space="0" w:color="auto"/>
        <w:bottom w:val="none" w:sz="0" w:space="0" w:color="auto"/>
        <w:right w:val="none" w:sz="0" w:space="0" w:color="auto"/>
      </w:divBdr>
    </w:div>
    <w:div w:id="258761598">
      <w:bodyDiv w:val="1"/>
      <w:marLeft w:val="0"/>
      <w:marRight w:val="0"/>
      <w:marTop w:val="0"/>
      <w:marBottom w:val="0"/>
      <w:divBdr>
        <w:top w:val="none" w:sz="0" w:space="0" w:color="auto"/>
        <w:left w:val="none" w:sz="0" w:space="0" w:color="auto"/>
        <w:bottom w:val="none" w:sz="0" w:space="0" w:color="auto"/>
        <w:right w:val="none" w:sz="0" w:space="0" w:color="auto"/>
      </w:divBdr>
    </w:div>
    <w:div w:id="265429307">
      <w:bodyDiv w:val="1"/>
      <w:marLeft w:val="0"/>
      <w:marRight w:val="0"/>
      <w:marTop w:val="0"/>
      <w:marBottom w:val="0"/>
      <w:divBdr>
        <w:top w:val="none" w:sz="0" w:space="0" w:color="auto"/>
        <w:left w:val="none" w:sz="0" w:space="0" w:color="auto"/>
        <w:bottom w:val="none" w:sz="0" w:space="0" w:color="auto"/>
        <w:right w:val="none" w:sz="0" w:space="0" w:color="auto"/>
      </w:divBdr>
    </w:div>
    <w:div w:id="265503977">
      <w:bodyDiv w:val="1"/>
      <w:marLeft w:val="0"/>
      <w:marRight w:val="0"/>
      <w:marTop w:val="0"/>
      <w:marBottom w:val="0"/>
      <w:divBdr>
        <w:top w:val="none" w:sz="0" w:space="0" w:color="auto"/>
        <w:left w:val="none" w:sz="0" w:space="0" w:color="auto"/>
        <w:bottom w:val="none" w:sz="0" w:space="0" w:color="auto"/>
        <w:right w:val="none" w:sz="0" w:space="0" w:color="auto"/>
      </w:divBdr>
    </w:div>
    <w:div w:id="272203391">
      <w:bodyDiv w:val="1"/>
      <w:marLeft w:val="0"/>
      <w:marRight w:val="0"/>
      <w:marTop w:val="0"/>
      <w:marBottom w:val="0"/>
      <w:divBdr>
        <w:top w:val="none" w:sz="0" w:space="0" w:color="auto"/>
        <w:left w:val="none" w:sz="0" w:space="0" w:color="auto"/>
        <w:bottom w:val="none" w:sz="0" w:space="0" w:color="auto"/>
        <w:right w:val="none" w:sz="0" w:space="0" w:color="auto"/>
      </w:divBdr>
    </w:div>
    <w:div w:id="274412257">
      <w:bodyDiv w:val="1"/>
      <w:marLeft w:val="0"/>
      <w:marRight w:val="0"/>
      <w:marTop w:val="0"/>
      <w:marBottom w:val="0"/>
      <w:divBdr>
        <w:top w:val="none" w:sz="0" w:space="0" w:color="auto"/>
        <w:left w:val="none" w:sz="0" w:space="0" w:color="auto"/>
        <w:bottom w:val="none" w:sz="0" w:space="0" w:color="auto"/>
        <w:right w:val="none" w:sz="0" w:space="0" w:color="auto"/>
      </w:divBdr>
      <w:divsChild>
        <w:div w:id="837504628">
          <w:marLeft w:val="0"/>
          <w:marRight w:val="0"/>
          <w:marTop w:val="0"/>
          <w:marBottom w:val="0"/>
          <w:divBdr>
            <w:top w:val="none" w:sz="0" w:space="0" w:color="auto"/>
            <w:left w:val="none" w:sz="0" w:space="0" w:color="auto"/>
            <w:bottom w:val="none" w:sz="0" w:space="0" w:color="auto"/>
            <w:right w:val="none" w:sz="0" w:space="0" w:color="auto"/>
          </w:divBdr>
        </w:div>
        <w:div w:id="1241449341">
          <w:marLeft w:val="0"/>
          <w:marRight w:val="0"/>
          <w:marTop w:val="0"/>
          <w:marBottom w:val="0"/>
          <w:divBdr>
            <w:top w:val="none" w:sz="0" w:space="0" w:color="auto"/>
            <w:left w:val="none" w:sz="0" w:space="0" w:color="auto"/>
            <w:bottom w:val="none" w:sz="0" w:space="0" w:color="auto"/>
            <w:right w:val="none" w:sz="0" w:space="0" w:color="auto"/>
          </w:divBdr>
        </w:div>
        <w:div w:id="1733578581">
          <w:marLeft w:val="0"/>
          <w:marRight w:val="0"/>
          <w:marTop w:val="0"/>
          <w:marBottom w:val="0"/>
          <w:divBdr>
            <w:top w:val="none" w:sz="0" w:space="0" w:color="auto"/>
            <w:left w:val="none" w:sz="0" w:space="0" w:color="auto"/>
            <w:bottom w:val="none" w:sz="0" w:space="0" w:color="auto"/>
            <w:right w:val="none" w:sz="0" w:space="0" w:color="auto"/>
          </w:divBdr>
        </w:div>
      </w:divsChild>
    </w:div>
    <w:div w:id="281763631">
      <w:bodyDiv w:val="1"/>
      <w:marLeft w:val="0"/>
      <w:marRight w:val="0"/>
      <w:marTop w:val="0"/>
      <w:marBottom w:val="0"/>
      <w:divBdr>
        <w:top w:val="none" w:sz="0" w:space="0" w:color="auto"/>
        <w:left w:val="none" w:sz="0" w:space="0" w:color="auto"/>
        <w:bottom w:val="none" w:sz="0" w:space="0" w:color="auto"/>
        <w:right w:val="none" w:sz="0" w:space="0" w:color="auto"/>
      </w:divBdr>
    </w:div>
    <w:div w:id="281890081">
      <w:bodyDiv w:val="1"/>
      <w:marLeft w:val="0"/>
      <w:marRight w:val="0"/>
      <w:marTop w:val="0"/>
      <w:marBottom w:val="0"/>
      <w:divBdr>
        <w:top w:val="none" w:sz="0" w:space="0" w:color="auto"/>
        <w:left w:val="none" w:sz="0" w:space="0" w:color="auto"/>
        <w:bottom w:val="none" w:sz="0" w:space="0" w:color="auto"/>
        <w:right w:val="none" w:sz="0" w:space="0" w:color="auto"/>
      </w:divBdr>
    </w:div>
    <w:div w:id="283124931">
      <w:bodyDiv w:val="1"/>
      <w:marLeft w:val="0"/>
      <w:marRight w:val="0"/>
      <w:marTop w:val="0"/>
      <w:marBottom w:val="0"/>
      <w:divBdr>
        <w:top w:val="none" w:sz="0" w:space="0" w:color="auto"/>
        <w:left w:val="none" w:sz="0" w:space="0" w:color="auto"/>
        <w:bottom w:val="none" w:sz="0" w:space="0" w:color="auto"/>
        <w:right w:val="none" w:sz="0" w:space="0" w:color="auto"/>
      </w:divBdr>
    </w:div>
    <w:div w:id="288052746">
      <w:bodyDiv w:val="1"/>
      <w:marLeft w:val="0"/>
      <w:marRight w:val="0"/>
      <w:marTop w:val="0"/>
      <w:marBottom w:val="0"/>
      <w:divBdr>
        <w:top w:val="none" w:sz="0" w:space="0" w:color="auto"/>
        <w:left w:val="none" w:sz="0" w:space="0" w:color="auto"/>
        <w:bottom w:val="none" w:sz="0" w:space="0" w:color="auto"/>
        <w:right w:val="none" w:sz="0" w:space="0" w:color="auto"/>
      </w:divBdr>
    </w:div>
    <w:div w:id="302321683">
      <w:bodyDiv w:val="1"/>
      <w:marLeft w:val="0"/>
      <w:marRight w:val="0"/>
      <w:marTop w:val="0"/>
      <w:marBottom w:val="0"/>
      <w:divBdr>
        <w:top w:val="none" w:sz="0" w:space="0" w:color="auto"/>
        <w:left w:val="none" w:sz="0" w:space="0" w:color="auto"/>
        <w:bottom w:val="none" w:sz="0" w:space="0" w:color="auto"/>
        <w:right w:val="none" w:sz="0" w:space="0" w:color="auto"/>
      </w:divBdr>
    </w:div>
    <w:div w:id="305626944">
      <w:bodyDiv w:val="1"/>
      <w:marLeft w:val="0"/>
      <w:marRight w:val="0"/>
      <w:marTop w:val="0"/>
      <w:marBottom w:val="0"/>
      <w:divBdr>
        <w:top w:val="none" w:sz="0" w:space="0" w:color="auto"/>
        <w:left w:val="none" w:sz="0" w:space="0" w:color="auto"/>
        <w:bottom w:val="none" w:sz="0" w:space="0" w:color="auto"/>
        <w:right w:val="none" w:sz="0" w:space="0" w:color="auto"/>
      </w:divBdr>
    </w:div>
    <w:div w:id="311907945">
      <w:bodyDiv w:val="1"/>
      <w:marLeft w:val="0"/>
      <w:marRight w:val="0"/>
      <w:marTop w:val="0"/>
      <w:marBottom w:val="0"/>
      <w:divBdr>
        <w:top w:val="none" w:sz="0" w:space="0" w:color="auto"/>
        <w:left w:val="none" w:sz="0" w:space="0" w:color="auto"/>
        <w:bottom w:val="none" w:sz="0" w:space="0" w:color="auto"/>
        <w:right w:val="none" w:sz="0" w:space="0" w:color="auto"/>
      </w:divBdr>
    </w:div>
    <w:div w:id="323316812">
      <w:bodyDiv w:val="1"/>
      <w:marLeft w:val="0"/>
      <w:marRight w:val="0"/>
      <w:marTop w:val="0"/>
      <w:marBottom w:val="0"/>
      <w:divBdr>
        <w:top w:val="none" w:sz="0" w:space="0" w:color="auto"/>
        <w:left w:val="none" w:sz="0" w:space="0" w:color="auto"/>
        <w:bottom w:val="none" w:sz="0" w:space="0" w:color="auto"/>
        <w:right w:val="none" w:sz="0" w:space="0" w:color="auto"/>
      </w:divBdr>
    </w:div>
    <w:div w:id="327445414">
      <w:bodyDiv w:val="1"/>
      <w:marLeft w:val="0"/>
      <w:marRight w:val="0"/>
      <w:marTop w:val="0"/>
      <w:marBottom w:val="0"/>
      <w:divBdr>
        <w:top w:val="none" w:sz="0" w:space="0" w:color="auto"/>
        <w:left w:val="none" w:sz="0" w:space="0" w:color="auto"/>
        <w:bottom w:val="none" w:sz="0" w:space="0" w:color="auto"/>
        <w:right w:val="none" w:sz="0" w:space="0" w:color="auto"/>
      </w:divBdr>
    </w:div>
    <w:div w:id="336157412">
      <w:bodyDiv w:val="1"/>
      <w:marLeft w:val="0"/>
      <w:marRight w:val="0"/>
      <w:marTop w:val="0"/>
      <w:marBottom w:val="0"/>
      <w:divBdr>
        <w:top w:val="none" w:sz="0" w:space="0" w:color="auto"/>
        <w:left w:val="none" w:sz="0" w:space="0" w:color="auto"/>
        <w:bottom w:val="none" w:sz="0" w:space="0" w:color="auto"/>
        <w:right w:val="none" w:sz="0" w:space="0" w:color="auto"/>
      </w:divBdr>
    </w:div>
    <w:div w:id="356203481">
      <w:bodyDiv w:val="1"/>
      <w:marLeft w:val="0"/>
      <w:marRight w:val="0"/>
      <w:marTop w:val="0"/>
      <w:marBottom w:val="0"/>
      <w:divBdr>
        <w:top w:val="none" w:sz="0" w:space="0" w:color="auto"/>
        <w:left w:val="none" w:sz="0" w:space="0" w:color="auto"/>
        <w:bottom w:val="none" w:sz="0" w:space="0" w:color="auto"/>
        <w:right w:val="none" w:sz="0" w:space="0" w:color="auto"/>
      </w:divBdr>
      <w:divsChild>
        <w:div w:id="1143962777">
          <w:marLeft w:val="0"/>
          <w:marRight w:val="0"/>
          <w:marTop w:val="0"/>
          <w:marBottom w:val="0"/>
          <w:divBdr>
            <w:top w:val="none" w:sz="0" w:space="0" w:color="auto"/>
            <w:left w:val="none" w:sz="0" w:space="0" w:color="auto"/>
            <w:bottom w:val="none" w:sz="0" w:space="0" w:color="auto"/>
            <w:right w:val="none" w:sz="0" w:space="0" w:color="auto"/>
          </w:divBdr>
        </w:div>
      </w:divsChild>
    </w:div>
    <w:div w:id="366757409">
      <w:bodyDiv w:val="1"/>
      <w:marLeft w:val="0"/>
      <w:marRight w:val="0"/>
      <w:marTop w:val="0"/>
      <w:marBottom w:val="0"/>
      <w:divBdr>
        <w:top w:val="none" w:sz="0" w:space="0" w:color="auto"/>
        <w:left w:val="none" w:sz="0" w:space="0" w:color="auto"/>
        <w:bottom w:val="none" w:sz="0" w:space="0" w:color="auto"/>
        <w:right w:val="none" w:sz="0" w:space="0" w:color="auto"/>
      </w:divBdr>
    </w:div>
    <w:div w:id="381947046">
      <w:bodyDiv w:val="1"/>
      <w:marLeft w:val="0"/>
      <w:marRight w:val="0"/>
      <w:marTop w:val="0"/>
      <w:marBottom w:val="0"/>
      <w:divBdr>
        <w:top w:val="none" w:sz="0" w:space="0" w:color="auto"/>
        <w:left w:val="none" w:sz="0" w:space="0" w:color="auto"/>
        <w:bottom w:val="none" w:sz="0" w:space="0" w:color="auto"/>
        <w:right w:val="none" w:sz="0" w:space="0" w:color="auto"/>
      </w:divBdr>
      <w:divsChild>
        <w:div w:id="740450725">
          <w:marLeft w:val="0"/>
          <w:marRight w:val="0"/>
          <w:marTop w:val="0"/>
          <w:marBottom w:val="0"/>
          <w:divBdr>
            <w:top w:val="none" w:sz="0" w:space="0" w:color="auto"/>
            <w:left w:val="none" w:sz="0" w:space="0" w:color="auto"/>
            <w:bottom w:val="none" w:sz="0" w:space="0" w:color="auto"/>
            <w:right w:val="none" w:sz="0" w:space="0" w:color="auto"/>
          </w:divBdr>
          <w:divsChild>
            <w:div w:id="1532300704">
              <w:marLeft w:val="0"/>
              <w:marRight w:val="0"/>
              <w:marTop w:val="0"/>
              <w:marBottom w:val="0"/>
              <w:divBdr>
                <w:top w:val="none" w:sz="0" w:space="0" w:color="auto"/>
                <w:left w:val="none" w:sz="0" w:space="0" w:color="auto"/>
                <w:bottom w:val="none" w:sz="0" w:space="0" w:color="auto"/>
                <w:right w:val="none" w:sz="0" w:space="0" w:color="auto"/>
              </w:divBdr>
            </w:div>
          </w:divsChild>
        </w:div>
        <w:div w:id="1005282365">
          <w:marLeft w:val="0"/>
          <w:marRight w:val="0"/>
          <w:marTop w:val="0"/>
          <w:marBottom w:val="0"/>
          <w:divBdr>
            <w:top w:val="none" w:sz="0" w:space="0" w:color="auto"/>
            <w:left w:val="none" w:sz="0" w:space="0" w:color="auto"/>
            <w:bottom w:val="none" w:sz="0" w:space="0" w:color="auto"/>
            <w:right w:val="none" w:sz="0" w:space="0" w:color="auto"/>
          </w:divBdr>
          <w:divsChild>
            <w:div w:id="1248926787">
              <w:marLeft w:val="0"/>
              <w:marRight w:val="0"/>
              <w:marTop w:val="0"/>
              <w:marBottom w:val="0"/>
              <w:divBdr>
                <w:top w:val="none" w:sz="0" w:space="0" w:color="auto"/>
                <w:left w:val="none" w:sz="0" w:space="0" w:color="auto"/>
                <w:bottom w:val="none" w:sz="0" w:space="0" w:color="auto"/>
                <w:right w:val="none" w:sz="0" w:space="0" w:color="auto"/>
              </w:divBdr>
              <w:divsChild>
                <w:div w:id="5602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4888">
      <w:bodyDiv w:val="1"/>
      <w:marLeft w:val="0"/>
      <w:marRight w:val="0"/>
      <w:marTop w:val="0"/>
      <w:marBottom w:val="0"/>
      <w:divBdr>
        <w:top w:val="none" w:sz="0" w:space="0" w:color="auto"/>
        <w:left w:val="none" w:sz="0" w:space="0" w:color="auto"/>
        <w:bottom w:val="none" w:sz="0" w:space="0" w:color="auto"/>
        <w:right w:val="none" w:sz="0" w:space="0" w:color="auto"/>
      </w:divBdr>
    </w:div>
    <w:div w:id="386993919">
      <w:bodyDiv w:val="1"/>
      <w:marLeft w:val="0"/>
      <w:marRight w:val="0"/>
      <w:marTop w:val="0"/>
      <w:marBottom w:val="0"/>
      <w:divBdr>
        <w:top w:val="none" w:sz="0" w:space="0" w:color="auto"/>
        <w:left w:val="none" w:sz="0" w:space="0" w:color="auto"/>
        <w:bottom w:val="none" w:sz="0" w:space="0" w:color="auto"/>
        <w:right w:val="none" w:sz="0" w:space="0" w:color="auto"/>
      </w:divBdr>
    </w:div>
    <w:div w:id="395008834">
      <w:bodyDiv w:val="1"/>
      <w:marLeft w:val="0"/>
      <w:marRight w:val="0"/>
      <w:marTop w:val="0"/>
      <w:marBottom w:val="0"/>
      <w:divBdr>
        <w:top w:val="none" w:sz="0" w:space="0" w:color="auto"/>
        <w:left w:val="none" w:sz="0" w:space="0" w:color="auto"/>
        <w:bottom w:val="none" w:sz="0" w:space="0" w:color="auto"/>
        <w:right w:val="none" w:sz="0" w:space="0" w:color="auto"/>
      </w:divBdr>
    </w:div>
    <w:div w:id="408893182">
      <w:bodyDiv w:val="1"/>
      <w:marLeft w:val="0"/>
      <w:marRight w:val="0"/>
      <w:marTop w:val="0"/>
      <w:marBottom w:val="0"/>
      <w:divBdr>
        <w:top w:val="none" w:sz="0" w:space="0" w:color="auto"/>
        <w:left w:val="none" w:sz="0" w:space="0" w:color="auto"/>
        <w:bottom w:val="none" w:sz="0" w:space="0" w:color="auto"/>
        <w:right w:val="none" w:sz="0" w:space="0" w:color="auto"/>
      </w:divBdr>
    </w:div>
    <w:div w:id="409430812">
      <w:bodyDiv w:val="1"/>
      <w:marLeft w:val="0"/>
      <w:marRight w:val="0"/>
      <w:marTop w:val="0"/>
      <w:marBottom w:val="0"/>
      <w:divBdr>
        <w:top w:val="none" w:sz="0" w:space="0" w:color="auto"/>
        <w:left w:val="none" w:sz="0" w:space="0" w:color="auto"/>
        <w:bottom w:val="none" w:sz="0" w:space="0" w:color="auto"/>
        <w:right w:val="none" w:sz="0" w:space="0" w:color="auto"/>
      </w:divBdr>
    </w:div>
    <w:div w:id="413817581">
      <w:bodyDiv w:val="1"/>
      <w:marLeft w:val="0"/>
      <w:marRight w:val="0"/>
      <w:marTop w:val="0"/>
      <w:marBottom w:val="0"/>
      <w:divBdr>
        <w:top w:val="none" w:sz="0" w:space="0" w:color="auto"/>
        <w:left w:val="none" w:sz="0" w:space="0" w:color="auto"/>
        <w:bottom w:val="none" w:sz="0" w:space="0" w:color="auto"/>
        <w:right w:val="none" w:sz="0" w:space="0" w:color="auto"/>
      </w:divBdr>
    </w:div>
    <w:div w:id="416293373">
      <w:bodyDiv w:val="1"/>
      <w:marLeft w:val="0"/>
      <w:marRight w:val="0"/>
      <w:marTop w:val="0"/>
      <w:marBottom w:val="0"/>
      <w:divBdr>
        <w:top w:val="none" w:sz="0" w:space="0" w:color="auto"/>
        <w:left w:val="none" w:sz="0" w:space="0" w:color="auto"/>
        <w:bottom w:val="none" w:sz="0" w:space="0" w:color="auto"/>
        <w:right w:val="none" w:sz="0" w:space="0" w:color="auto"/>
      </w:divBdr>
    </w:div>
    <w:div w:id="421025930">
      <w:bodyDiv w:val="1"/>
      <w:marLeft w:val="0"/>
      <w:marRight w:val="0"/>
      <w:marTop w:val="0"/>
      <w:marBottom w:val="0"/>
      <w:divBdr>
        <w:top w:val="none" w:sz="0" w:space="0" w:color="auto"/>
        <w:left w:val="none" w:sz="0" w:space="0" w:color="auto"/>
        <w:bottom w:val="none" w:sz="0" w:space="0" w:color="auto"/>
        <w:right w:val="none" w:sz="0" w:space="0" w:color="auto"/>
      </w:divBdr>
    </w:div>
    <w:div w:id="421100272">
      <w:bodyDiv w:val="1"/>
      <w:marLeft w:val="0"/>
      <w:marRight w:val="0"/>
      <w:marTop w:val="0"/>
      <w:marBottom w:val="0"/>
      <w:divBdr>
        <w:top w:val="none" w:sz="0" w:space="0" w:color="auto"/>
        <w:left w:val="none" w:sz="0" w:space="0" w:color="auto"/>
        <w:bottom w:val="none" w:sz="0" w:space="0" w:color="auto"/>
        <w:right w:val="none" w:sz="0" w:space="0" w:color="auto"/>
      </w:divBdr>
    </w:div>
    <w:div w:id="421999075">
      <w:bodyDiv w:val="1"/>
      <w:marLeft w:val="0"/>
      <w:marRight w:val="0"/>
      <w:marTop w:val="0"/>
      <w:marBottom w:val="0"/>
      <w:divBdr>
        <w:top w:val="none" w:sz="0" w:space="0" w:color="auto"/>
        <w:left w:val="none" w:sz="0" w:space="0" w:color="auto"/>
        <w:bottom w:val="none" w:sz="0" w:space="0" w:color="auto"/>
        <w:right w:val="none" w:sz="0" w:space="0" w:color="auto"/>
      </w:divBdr>
    </w:div>
    <w:div w:id="444344983">
      <w:bodyDiv w:val="1"/>
      <w:marLeft w:val="0"/>
      <w:marRight w:val="0"/>
      <w:marTop w:val="0"/>
      <w:marBottom w:val="0"/>
      <w:divBdr>
        <w:top w:val="none" w:sz="0" w:space="0" w:color="auto"/>
        <w:left w:val="none" w:sz="0" w:space="0" w:color="auto"/>
        <w:bottom w:val="none" w:sz="0" w:space="0" w:color="auto"/>
        <w:right w:val="none" w:sz="0" w:space="0" w:color="auto"/>
      </w:divBdr>
    </w:div>
    <w:div w:id="444346989">
      <w:bodyDiv w:val="1"/>
      <w:marLeft w:val="0"/>
      <w:marRight w:val="0"/>
      <w:marTop w:val="0"/>
      <w:marBottom w:val="0"/>
      <w:divBdr>
        <w:top w:val="none" w:sz="0" w:space="0" w:color="auto"/>
        <w:left w:val="none" w:sz="0" w:space="0" w:color="auto"/>
        <w:bottom w:val="none" w:sz="0" w:space="0" w:color="auto"/>
        <w:right w:val="none" w:sz="0" w:space="0" w:color="auto"/>
      </w:divBdr>
    </w:div>
    <w:div w:id="450395896">
      <w:bodyDiv w:val="1"/>
      <w:marLeft w:val="0"/>
      <w:marRight w:val="0"/>
      <w:marTop w:val="0"/>
      <w:marBottom w:val="0"/>
      <w:divBdr>
        <w:top w:val="none" w:sz="0" w:space="0" w:color="auto"/>
        <w:left w:val="none" w:sz="0" w:space="0" w:color="auto"/>
        <w:bottom w:val="none" w:sz="0" w:space="0" w:color="auto"/>
        <w:right w:val="none" w:sz="0" w:space="0" w:color="auto"/>
      </w:divBdr>
    </w:div>
    <w:div w:id="454837714">
      <w:bodyDiv w:val="1"/>
      <w:marLeft w:val="0"/>
      <w:marRight w:val="0"/>
      <w:marTop w:val="0"/>
      <w:marBottom w:val="0"/>
      <w:divBdr>
        <w:top w:val="none" w:sz="0" w:space="0" w:color="auto"/>
        <w:left w:val="none" w:sz="0" w:space="0" w:color="auto"/>
        <w:bottom w:val="none" w:sz="0" w:space="0" w:color="auto"/>
        <w:right w:val="none" w:sz="0" w:space="0" w:color="auto"/>
      </w:divBdr>
    </w:div>
    <w:div w:id="458190092">
      <w:bodyDiv w:val="1"/>
      <w:marLeft w:val="0"/>
      <w:marRight w:val="0"/>
      <w:marTop w:val="0"/>
      <w:marBottom w:val="0"/>
      <w:divBdr>
        <w:top w:val="none" w:sz="0" w:space="0" w:color="auto"/>
        <w:left w:val="none" w:sz="0" w:space="0" w:color="auto"/>
        <w:bottom w:val="none" w:sz="0" w:space="0" w:color="auto"/>
        <w:right w:val="none" w:sz="0" w:space="0" w:color="auto"/>
      </w:divBdr>
    </w:div>
    <w:div w:id="462382356">
      <w:bodyDiv w:val="1"/>
      <w:marLeft w:val="0"/>
      <w:marRight w:val="0"/>
      <w:marTop w:val="0"/>
      <w:marBottom w:val="0"/>
      <w:divBdr>
        <w:top w:val="none" w:sz="0" w:space="0" w:color="auto"/>
        <w:left w:val="none" w:sz="0" w:space="0" w:color="auto"/>
        <w:bottom w:val="none" w:sz="0" w:space="0" w:color="auto"/>
        <w:right w:val="none" w:sz="0" w:space="0" w:color="auto"/>
      </w:divBdr>
      <w:divsChild>
        <w:div w:id="709458323">
          <w:marLeft w:val="0"/>
          <w:marRight w:val="0"/>
          <w:marTop w:val="0"/>
          <w:marBottom w:val="0"/>
          <w:divBdr>
            <w:top w:val="none" w:sz="0" w:space="0" w:color="auto"/>
            <w:left w:val="none" w:sz="0" w:space="0" w:color="auto"/>
            <w:bottom w:val="none" w:sz="0" w:space="0" w:color="auto"/>
            <w:right w:val="none" w:sz="0" w:space="0" w:color="auto"/>
          </w:divBdr>
          <w:divsChild>
            <w:div w:id="86269566">
              <w:marLeft w:val="0"/>
              <w:marRight w:val="0"/>
              <w:marTop w:val="0"/>
              <w:marBottom w:val="0"/>
              <w:divBdr>
                <w:top w:val="none" w:sz="0" w:space="0" w:color="auto"/>
                <w:left w:val="none" w:sz="0" w:space="0" w:color="auto"/>
                <w:bottom w:val="none" w:sz="0" w:space="0" w:color="auto"/>
                <w:right w:val="none" w:sz="0" w:space="0" w:color="auto"/>
              </w:divBdr>
              <w:divsChild>
                <w:div w:id="2745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3296">
      <w:bodyDiv w:val="1"/>
      <w:marLeft w:val="0"/>
      <w:marRight w:val="0"/>
      <w:marTop w:val="0"/>
      <w:marBottom w:val="0"/>
      <w:divBdr>
        <w:top w:val="none" w:sz="0" w:space="0" w:color="auto"/>
        <w:left w:val="none" w:sz="0" w:space="0" w:color="auto"/>
        <w:bottom w:val="none" w:sz="0" w:space="0" w:color="auto"/>
        <w:right w:val="none" w:sz="0" w:space="0" w:color="auto"/>
      </w:divBdr>
    </w:div>
    <w:div w:id="466898675">
      <w:bodyDiv w:val="1"/>
      <w:marLeft w:val="0"/>
      <w:marRight w:val="0"/>
      <w:marTop w:val="0"/>
      <w:marBottom w:val="0"/>
      <w:divBdr>
        <w:top w:val="none" w:sz="0" w:space="0" w:color="auto"/>
        <w:left w:val="none" w:sz="0" w:space="0" w:color="auto"/>
        <w:bottom w:val="none" w:sz="0" w:space="0" w:color="auto"/>
        <w:right w:val="none" w:sz="0" w:space="0" w:color="auto"/>
      </w:divBdr>
    </w:div>
    <w:div w:id="471144233">
      <w:bodyDiv w:val="1"/>
      <w:marLeft w:val="0"/>
      <w:marRight w:val="0"/>
      <w:marTop w:val="0"/>
      <w:marBottom w:val="0"/>
      <w:divBdr>
        <w:top w:val="none" w:sz="0" w:space="0" w:color="auto"/>
        <w:left w:val="none" w:sz="0" w:space="0" w:color="auto"/>
        <w:bottom w:val="none" w:sz="0" w:space="0" w:color="auto"/>
        <w:right w:val="none" w:sz="0" w:space="0" w:color="auto"/>
      </w:divBdr>
    </w:div>
    <w:div w:id="476460093">
      <w:bodyDiv w:val="1"/>
      <w:marLeft w:val="0"/>
      <w:marRight w:val="0"/>
      <w:marTop w:val="0"/>
      <w:marBottom w:val="0"/>
      <w:divBdr>
        <w:top w:val="none" w:sz="0" w:space="0" w:color="auto"/>
        <w:left w:val="none" w:sz="0" w:space="0" w:color="auto"/>
        <w:bottom w:val="none" w:sz="0" w:space="0" w:color="auto"/>
        <w:right w:val="none" w:sz="0" w:space="0" w:color="auto"/>
      </w:divBdr>
    </w:div>
    <w:div w:id="478809487">
      <w:bodyDiv w:val="1"/>
      <w:marLeft w:val="0"/>
      <w:marRight w:val="0"/>
      <w:marTop w:val="0"/>
      <w:marBottom w:val="0"/>
      <w:divBdr>
        <w:top w:val="none" w:sz="0" w:space="0" w:color="auto"/>
        <w:left w:val="none" w:sz="0" w:space="0" w:color="auto"/>
        <w:bottom w:val="none" w:sz="0" w:space="0" w:color="auto"/>
        <w:right w:val="none" w:sz="0" w:space="0" w:color="auto"/>
      </w:divBdr>
      <w:divsChild>
        <w:div w:id="1723750187">
          <w:marLeft w:val="0"/>
          <w:marRight w:val="0"/>
          <w:marTop w:val="0"/>
          <w:marBottom w:val="0"/>
          <w:divBdr>
            <w:top w:val="none" w:sz="0" w:space="0" w:color="auto"/>
            <w:left w:val="none" w:sz="0" w:space="0" w:color="auto"/>
            <w:bottom w:val="none" w:sz="0" w:space="0" w:color="auto"/>
            <w:right w:val="none" w:sz="0" w:space="0" w:color="auto"/>
          </w:divBdr>
        </w:div>
      </w:divsChild>
    </w:div>
    <w:div w:id="486748286">
      <w:bodyDiv w:val="1"/>
      <w:marLeft w:val="0"/>
      <w:marRight w:val="0"/>
      <w:marTop w:val="0"/>
      <w:marBottom w:val="0"/>
      <w:divBdr>
        <w:top w:val="none" w:sz="0" w:space="0" w:color="auto"/>
        <w:left w:val="none" w:sz="0" w:space="0" w:color="auto"/>
        <w:bottom w:val="none" w:sz="0" w:space="0" w:color="auto"/>
        <w:right w:val="none" w:sz="0" w:space="0" w:color="auto"/>
      </w:divBdr>
    </w:div>
    <w:div w:id="500044176">
      <w:bodyDiv w:val="1"/>
      <w:marLeft w:val="0"/>
      <w:marRight w:val="0"/>
      <w:marTop w:val="0"/>
      <w:marBottom w:val="0"/>
      <w:divBdr>
        <w:top w:val="none" w:sz="0" w:space="0" w:color="auto"/>
        <w:left w:val="none" w:sz="0" w:space="0" w:color="auto"/>
        <w:bottom w:val="none" w:sz="0" w:space="0" w:color="auto"/>
        <w:right w:val="none" w:sz="0" w:space="0" w:color="auto"/>
      </w:divBdr>
    </w:div>
    <w:div w:id="502205947">
      <w:bodyDiv w:val="1"/>
      <w:marLeft w:val="0"/>
      <w:marRight w:val="0"/>
      <w:marTop w:val="0"/>
      <w:marBottom w:val="0"/>
      <w:divBdr>
        <w:top w:val="none" w:sz="0" w:space="0" w:color="auto"/>
        <w:left w:val="none" w:sz="0" w:space="0" w:color="auto"/>
        <w:bottom w:val="none" w:sz="0" w:space="0" w:color="auto"/>
        <w:right w:val="none" w:sz="0" w:space="0" w:color="auto"/>
      </w:divBdr>
    </w:div>
    <w:div w:id="502939350">
      <w:bodyDiv w:val="1"/>
      <w:marLeft w:val="0"/>
      <w:marRight w:val="0"/>
      <w:marTop w:val="0"/>
      <w:marBottom w:val="0"/>
      <w:divBdr>
        <w:top w:val="none" w:sz="0" w:space="0" w:color="auto"/>
        <w:left w:val="none" w:sz="0" w:space="0" w:color="auto"/>
        <w:bottom w:val="none" w:sz="0" w:space="0" w:color="auto"/>
        <w:right w:val="none" w:sz="0" w:space="0" w:color="auto"/>
      </w:divBdr>
    </w:div>
    <w:div w:id="517349840">
      <w:bodyDiv w:val="1"/>
      <w:marLeft w:val="0"/>
      <w:marRight w:val="0"/>
      <w:marTop w:val="0"/>
      <w:marBottom w:val="0"/>
      <w:divBdr>
        <w:top w:val="none" w:sz="0" w:space="0" w:color="auto"/>
        <w:left w:val="none" w:sz="0" w:space="0" w:color="auto"/>
        <w:bottom w:val="none" w:sz="0" w:space="0" w:color="auto"/>
        <w:right w:val="none" w:sz="0" w:space="0" w:color="auto"/>
      </w:divBdr>
      <w:divsChild>
        <w:div w:id="1444887587">
          <w:marLeft w:val="0"/>
          <w:marRight w:val="0"/>
          <w:marTop w:val="0"/>
          <w:marBottom w:val="0"/>
          <w:divBdr>
            <w:top w:val="single" w:sz="18" w:space="4" w:color="006FCA"/>
            <w:left w:val="single" w:sz="18" w:space="4" w:color="006FCA"/>
            <w:bottom w:val="single" w:sz="18" w:space="4" w:color="006FCA"/>
            <w:right w:val="single" w:sz="18" w:space="4" w:color="006FCA"/>
          </w:divBdr>
          <w:divsChild>
            <w:div w:id="1726415157">
              <w:marLeft w:val="0"/>
              <w:marRight w:val="0"/>
              <w:marTop w:val="0"/>
              <w:marBottom w:val="0"/>
              <w:divBdr>
                <w:top w:val="none" w:sz="0" w:space="0" w:color="auto"/>
                <w:left w:val="none" w:sz="0" w:space="0" w:color="auto"/>
                <w:bottom w:val="none" w:sz="0" w:space="0" w:color="auto"/>
                <w:right w:val="none" w:sz="0" w:space="0" w:color="auto"/>
              </w:divBdr>
              <w:divsChild>
                <w:div w:id="2008709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25292204">
      <w:bodyDiv w:val="1"/>
      <w:marLeft w:val="0"/>
      <w:marRight w:val="0"/>
      <w:marTop w:val="0"/>
      <w:marBottom w:val="0"/>
      <w:divBdr>
        <w:top w:val="none" w:sz="0" w:space="0" w:color="auto"/>
        <w:left w:val="none" w:sz="0" w:space="0" w:color="auto"/>
        <w:bottom w:val="none" w:sz="0" w:space="0" w:color="auto"/>
        <w:right w:val="none" w:sz="0" w:space="0" w:color="auto"/>
      </w:divBdr>
      <w:divsChild>
        <w:div w:id="1822886603">
          <w:marLeft w:val="0"/>
          <w:marRight w:val="0"/>
          <w:marTop w:val="0"/>
          <w:marBottom w:val="0"/>
          <w:divBdr>
            <w:top w:val="none" w:sz="0" w:space="0" w:color="auto"/>
            <w:left w:val="none" w:sz="0" w:space="0" w:color="auto"/>
            <w:bottom w:val="none" w:sz="0" w:space="0" w:color="auto"/>
            <w:right w:val="none" w:sz="0" w:space="0" w:color="auto"/>
          </w:divBdr>
        </w:div>
      </w:divsChild>
    </w:div>
    <w:div w:id="537133177">
      <w:bodyDiv w:val="1"/>
      <w:marLeft w:val="0"/>
      <w:marRight w:val="0"/>
      <w:marTop w:val="0"/>
      <w:marBottom w:val="0"/>
      <w:divBdr>
        <w:top w:val="none" w:sz="0" w:space="0" w:color="auto"/>
        <w:left w:val="none" w:sz="0" w:space="0" w:color="auto"/>
        <w:bottom w:val="none" w:sz="0" w:space="0" w:color="auto"/>
        <w:right w:val="none" w:sz="0" w:space="0" w:color="auto"/>
      </w:divBdr>
    </w:div>
    <w:div w:id="565721609">
      <w:bodyDiv w:val="1"/>
      <w:marLeft w:val="0"/>
      <w:marRight w:val="0"/>
      <w:marTop w:val="0"/>
      <w:marBottom w:val="0"/>
      <w:divBdr>
        <w:top w:val="none" w:sz="0" w:space="0" w:color="auto"/>
        <w:left w:val="none" w:sz="0" w:space="0" w:color="auto"/>
        <w:bottom w:val="none" w:sz="0" w:space="0" w:color="auto"/>
        <w:right w:val="none" w:sz="0" w:space="0" w:color="auto"/>
      </w:divBdr>
      <w:divsChild>
        <w:div w:id="946891234">
          <w:marLeft w:val="0"/>
          <w:marRight w:val="0"/>
          <w:marTop w:val="0"/>
          <w:marBottom w:val="0"/>
          <w:divBdr>
            <w:top w:val="single" w:sz="18" w:space="4" w:color="006FCA"/>
            <w:left w:val="single" w:sz="18" w:space="4" w:color="006FCA"/>
            <w:bottom w:val="single" w:sz="18" w:space="4" w:color="006FCA"/>
            <w:right w:val="single" w:sz="18" w:space="4" w:color="006FCA"/>
          </w:divBdr>
          <w:divsChild>
            <w:div w:id="212815679">
              <w:marLeft w:val="0"/>
              <w:marRight w:val="0"/>
              <w:marTop w:val="0"/>
              <w:marBottom w:val="0"/>
              <w:divBdr>
                <w:top w:val="none" w:sz="0" w:space="0" w:color="auto"/>
                <w:left w:val="none" w:sz="0" w:space="0" w:color="auto"/>
                <w:bottom w:val="none" w:sz="0" w:space="0" w:color="auto"/>
                <w:right w:val="none" w:sz="0" w:space="0" w:color="auto"/>
              </w:divBdr>
              <w:divsChild>
                <w:div w:id="1567758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5799073">
      <w:bodyDiv w:val="1"/>
      <w:marLeft w:val="0"/>
      <w:marRight w:val="0"/>
      <w:marTop w:val="0"/>
      <w:marBottom w:val="0"/>
      <w:divBdr>
        <w:top w:val="none" w:sz="0" w:space="0" w:color="auto"/>
        <w:left w:val="none" w:sz="0" w:space="0" w:color="auto"/>
        <w:bottom w:val="none" w:sz="0" w:space="0" w:color="auto"/>
        <w:right w:val="none" w:sz="0" w:space="0" w:color="auto"/>
      </w:divBdr>
    </w:div>
    <w:div w:id="570041322">
      <w:bodyDiv w:val="1"/>
      <w:marLeft w:val="0"/>
      <w:marRight w:val="0"/>
      <w:marTop w:val="0"/>
      <w:marBottom w:val="0"/>
      <w:divBdr>
        <w:top w:val="none" w:sz="0" w:space="0" w:color="auto"/>
        <w:left w:val="none" w:sz="0" w:space="0" w:color="auto"/>
        <w:bottom w:val="none" w:sz="0" w:space="0" w:color="auto"/>
        <w:right w:val="none" w:sz="0" w:space="0" w:color="auto"/>
      </w:divBdr>
    </w:div>
    <w:div w:id="584846525">
      <w:bodyDiv w:val="1"/>
      <w:marLeft w:val="0"/>
      <w:marRight w:val="0"/>
      <w:marTop w:val="0"/>
      <w:marBottom w:val="0"/>
      <w:divBdr>
        <w:top w:val="none" w:sz="0" w:space="0" w:color="auto"/>
        <w:left w:val="none" w:sz="0" w:space="0" w:color="auto"/>
        <w:bottom w:val="none" w:sz="0" w:space="0" w:color="auto"/>
        <w:right w:val="none" w:sz="0" w:space="0" w:color="auto"/>
      </w:divBdr>
    </w:div>
    <w:div w:id="591281994">
      <w:bodyDiv w:val="1"/>
      <w:marLeft w:val="0"/>
      <w:marRight w:val="0"/>
      <w:marTop w:val="0"/>
      <w:marBottom w:val="0"/>
      <w:divBdr>
        <w:top w:val="none" w:sz="0" w:space="0" w:color="auto"/>
        <w:left w:val="none" w:sz="0" w:space="0" w:color="auto"/>
        <w:bottom w:val="none" w:sz="0" w:space="0" w:color="auto"/>
        <w:right w:val="none" w:sz="0" w:space="0" w:color="auto"/>
      </w:divBdr>
      <w:divsChild>
        <w:div w:id="361905261">
          <w:marLeft w:val="0"/>
          <w:marRight w:val="0"/>
          <w:marTop w:val="0"/>
          <w:marBottom w:val="0"/>
          <w:divBdr>
            <w:top w:val="none" w:sz="0" w:space="0" w:color="auto"/>
            <w:left w:val="none" w:sz="0" w:space="0" w:color="auto"/>
            <w:bottom w:val="none" w:sz="0" w:space="0" w:color="auto"/>
            <w:right w:val="none" w:sz="0" w:space="0" w:color="auto"/>
          </w:divBdr>
          <w:divsChild>
            <w:div w:id="1554195939">
              <w:marLeft w:val="0"/>
              <w:marRight w:val="0"/>
              <w:marTop w:val="0"/>
              <w:marBottom w:val="0"/>
              <w:divBdr>
                <w:top w:val="none" w:sz="0" w:space="0" w:color="auto"/>
                <w:left w:val="none" w:sz="0" w:space="0" w:color="auto"/>
                <w:bottom w:val="none" w:sz="0" w:space="0" w:color="auto"/>
                <w:right w:val="none" w:sz="0" w:space="0" w:color="auto"/>
              </w:divBdr>
              <w:divsChild>
                <w:div w:id="17459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430">
          <w:marLeft w:val="0"/>
          <w:marRight w:val="0"/>
          <w:marTop w:val="0"/>
          <w:marBottom w:val="0"/>
          <w:divBdr>
            <w:top w:val="none" w:sz="0" w:space="0" w:color="auto"/>
            <w:left w:val="none" w:sz="0" w:space="0" w:color="auto"/>
            <w:bottom w:val="none" w:sz="0" w:space="0" w:color="auto"/>
            <w:right w:val="none" w:sz="0" w:space="0" w:color="auto"/>
          </w:divBdr>
          <w:divsChild>
            <w:div w:id="1725105853">
              <w:marLeft w:val="0"/>
              <w:marRight w:val="0"/>
              <w:marTop w:val="0"/>
              <w:marBottom w:val="0"/>
              <w:divBdr>
                <w:top w:val="none" w:sz="0" w:space="0" w:color="auto"/>
                <w:left w:val="none" w:sz="0" w:space="0" w:color="auto"/>
                <w:bottom w:val="none" w:sz="0" w:space="0" w:color="auto"/>
                <w:right w:val="none" w:sz="0" w:space="0" w:color="auto"/>
              </w:divBdr>
              <w:divsChild>
                <w:div w:id="11076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6599">
          <w:marLeft w:val="0"/>
          <w:marRight w:val="0"/>
          <w:marTop w:val="0"/>
          <w:marBottom w:val="0"/>
          <w:divBdr>
            <w:top w:val="none" w:sz="0" w:space="0" w:color="auto"/>
            <w:left w:val="none" w:sz="0" w:space="0" w:color="auto"/>
            <w:bottom w:val="none" w:sz="0" w:space="0" w:color="auto"/>
            <w:right w:val="none" w:sz="0" w:space="0" w:color="auto"/>
          </w:divBdr>
          <w:divsChild>
            <w:div w:id="4097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4926">
      <w:bodyDiv w:val="1"/>
      <w:marLeft w:val="0"/>
      <w:marRight w:val="0"/>
      <w:marTop w:val="0"/>
      <w:marBottom w:val="0"/>
      <w:divBdr>
        <w:top w:val="none" w:sz="0" w:space="0" w:color="auto"/>
        <w:left w:val="none" w:sz="0" w:space="0" w:color="auto"/>
        <w:bottom w:val="none" w:sz="0" w:space="0" w:color="auto"/>
        <w:right w:val="none" w:sz="0" w:space="0" w:color="auto"/>
      </w:divBdr>
    </w:div>
    <w:div w:id="596329287">
      <w:bodyDiv w:val="1"/>
      <w:marLeft w:val="0"/>
      <w:marRight w:val="0"/>
      <w:marTop w:val="0"/>
      <w:marBottom w:val="0"/>
      <w:divBdr>
        <w:top w:val="none" w:sz="0" w:space="0" w:color="auto"/>
        <w:left w:val="none" w:sz="0" w:space="0" w:color="auto"/>
        <w:bottom w:val="none" w:sz="0" w:space="0" w:color="auto"/>
        <w:right w:val="none" w:sz="0" w:space="0" w:color="auto"/>
      </w:divBdr>
    </w:div>
    <w:div w:id="600920928">
      <w:bodyDiv w:val="1"/>
      <w:marLeft w:val="0"/>
      <w:marRight w:val="0"/>
      <w:marTop w:val="0"/>
      <w:marBottom w:val="0"/>
      <w:divBdr>
        <w:top w:val="none" w:sz="0" w:space="0" w:color="auto"/>
        <w:left w:val="none" w:sz="0" w:space="0" w:color="auto"/>
        <w:bottom w:val="none" w:sz="0" w:space="0" w:color="auto"/>
        <w:right w:val="none" w:sz="0" w:space="0" w:color="auto"/>
      </w:divBdr>
    </w:div>
    <w:div w:id="601761045">
      <w:bodyDiv w:val="1"/>
      <w:marLeft w:val="0"/>
      <w:marRight w:val="0"/>
      <w:marTop w:val="0"/>
      <w:marBottom w:val="0"/>
      <w:divBdr>
        <w:top w:val="none" w:sz="0" w:space="0" w:color="auto"/>
        <w:left w:val="none" w:sz="0" w:space="0" w:color="auto"/>
        <w:bottom w:val="none" w:sz="0" w:space="0" w:color="auto"/>
        <w:right w:val="none" w:sz="0" w:space="0" w:color="auto"/>
      </w:divBdr>
      <w:divsChild>
        <w:div w:id="489100113">
          <w:marLeft w:val="1267"/>
          <w:marRight w:val="0"/>
          <w:marTop w:val="0"/>
          <w:marBottom w:val="0"/>
          <w:divBdr>
            <w:top w:val="none" w:sz="0" w:space="0" w:color="auto"/>
            <w:left w:val="none" w:sz="0" w:space="0" w:color="auto"/>
            <w:bottom w:val="none" w:sz="0" w:space="0" w:color="auto"/>
            <w:right w:val="none" w:sz="0" w:space="0" w:color="auto"/>
          </w:divBdr>
        </w:div>
        <w:div w:id="1366367214">
          <w:marLeft w:val="1267"/>
          <w:marRight w:val="0"/>
          <w:marTop w:val="0"/>
          <w:marBottom w:val="0"/>
          <w:divBdr>
            <w:top w:val="none" w:sz="0" w:space="0" w:color="auto"/>
            <w:left w:val="none" w:sz="0" w:space="0" w:color="auto"/>
            <w:bottom w:val="none" w:sz="0" w:space="0" w:color="auto"/>
            <w:right w:val="none" w:sz="0" w:space="0" w:color="auto"/>
          </w:divBdr>
        </w:div>
        <w:div w:id="1602492616">
          <w:marLeft w:val="547"/>
          <w:marRight w:val="0"/>
          <w:marTop w:val="0"/>
          <w:marBottom w:val="0"/>
          <w:divBdr>
            <w:top w:val="none" w:sz="0" w:space="0" w:color="auto"/>
            <w:left w:val="none" w:sz="0" w:space="0" w:color="auto"/>
            <w:bottom w:val="none" w:sz="0" w:space="0" w:color="auto"/>
            <w:right w:val="none" w:sz="0" w:space="0" w:color="auto"/>
          </w:divBdr>
        </w:div>
      </w:divsChild>
    </w:div>
    <w:div w:id="612591453">
      <w:bodyDiv w:val="1"/>
      <w:marLeft w:val="0"/>
      <w:marRight w:val="0"/>
      <w:marTop w:val="0"/>
      <w:marBottom w:val="0"/>
      <w:divBdr>
        <w:top w:val="none" w:sz="0" w:space="0" w:color="auto"/>
        <w:left w:val="none" w:sz="0" w:space="0" w:color="auto"/>
        <w:bottom w:val="none" w:sz="0" w:space="0" w:color="auto"/>
        <w:right w:val="none" w:sz="0" w:space="0" w:color="auto"/>
      </w:divBdr>
    </w:div>
    <w:div w:id="620191180">
      <w:bodyDiv w:val="1"/>
      <w:marLeft w:val="0"/>
      <w:marRight w:val="0"/>
      <w:marTop w:val="0"/>
      <w:marBottom w:val="0"/>
      <w:divBdr>
        <w:top w:val="none" w:sz="0" w:space="0" w:color="auto"/>
        <w:left w:val="none" w:sz="0" w:space="0" w:color="auto"/>
        <w:bottom w:val="none" w:sz="0" w:space="0" w:color="auto"/>
        <w:right w:val="none" w:sz="0" w:space="0" w:color="auto"/>
      </w:divBdr>
      <w:divsChild>
        <w:div w:id="351491849">
          <w:marLeft w:val="0"/>
          <w:marRight w:val="0"/>
          <w:marTop w:val="0"/>
          <w:marBottom w:val="0"/>
          <w:divBdr>
            <w:top w:val="none" w:sz="0" w:space="0" w:color="auto"/>
            <w:left w:val="none" w:sz="0" w:space="0" w:color="auto"/>
            <w:bottom w:val="none" w:sz="0" w:space="0" w:color="auto"/>
            <w:right w:val="none" w:sz="0" w:space="0" w:color="auto"/>
          </w:divBdr>
        </w:div>
      </w:divsChild>
    </w:div>
    <w:div w:id="627275030">
      <w:bodyDiv w:val="1"/>
      <w:marLeft w:val="0"/>
      <w:marRight w:val="0"/>
      <w:marTop w:val="0"/>
      <w:marBottom w:val="0"/>
      <w:divBdr>
        <w:top w:val="none" w:sz="0" w:space="0" w:color="auto"/>
        <w:left w:val="none" w:sz="0" w:space="0" w:color="auto"/>
        <w:bottom w:val="none" w:sz="0" w:space="0" w:color="auto"/>
        <w:right w:val="none" w:sz="0" w:space="0" w:color="auto"/>
      </w:divBdr>
    </w:div>
    <w:div w:id="629239351">
      <w:bodyDiv w:val="1"/>
      <w:marLeft w:val="0"/>
      <w:marRight w:val="0"/>
      <w:marTop w:val="0"/>
      <w:marBottom w:val="0"/>
      <w:divBdr>
        <w:top w:val="none" w:sz="0" w:space="0" w:color="auto"/>
        <w:left w:val="none" w:sz="0" w:space="0" w:color="auto"/>
        <w:bottom w:val="none" w:sz="0" w:space="0" w:color="auto"/>
        <w:right w:val="none" w:sz="0" w:space="0" w:color="auto"/>
      </w:divBdr>
      <w:divsChild>
        <w:div w:id="91702164">
          <w:marLeft w:val="0"/>
          <w:marRight w:val="0"/>
          <w:marTop w:val="0"/>
          <w:marBottom w:val="0"/>
          <w:divBdr>
            <w:top w:val="none" w:sz="0" w:space="0" w:color="auto"/>
            <w:left w:val="none" w:sz="0" w:space="0" w:color="auto"/>
            <w:bottom w:val="none" w:sz="0" w:space="0" w:color="auto"/>
            <w:right w:val="none" w:sz="0" w:space="0" w:color="auto"/>
          </w:divBdr>
        </w:div>
      </w:divsChild>
    </w:div>
    <w:div w:id="633800333">
      <w:bodyDiv w:val="1"/>
      <w:marLeft w:val="0"/>
      <w:marRight w:val="0"/>
      <w:marTop w:val="0"/>
      <w:marBottom w:val="0"/>
      <w:divBdr>
        <w:top w:val="none" w:sz="0" w:space="0" w:color="auto"/>
        <w:left w:val="none" w:sz="0" w:space="0" w:color="auto"/>
        <w:bottom w:val="none" w:sz="0" w:space="0" w:color="auto"/>
        <w:right w:val="none" w:sz="0" w:space="0" w:color="auto"/>
      </w:divBdr>
      <w:divsChild>
        <w:div w:id="455416434">
          <w:marLeft w:val="0"/>
          <w:marRight w:val="0"/>
          <w:marTop w:val="0"/>
          <w:marBottom w:val="0"/>
          <w:divBdr>
            <w:top w:val="single" w:sz="2" w:space="0" w:color="auto"/>
            <w:left w:val="single" w:sz="2" w:space="0" w:color="auto"/>
            <w:bottom w:val="single" w:sz="6" w:space="0" w:color="auto"/>
            <w:right w:val="single" w:sz="2" w:space="0" w:color="auto"/>
          </w:divBdr>
          <w:divsChild>
            <w:div w:id="833447373">
              <w:marLeft w:val="0"/>
              <w:marRight w:val="0"/>
              <w:marTop w:val="100"/>
              <w:marBottom w:val="100"/>
              <w:divBdr>
                <w:top w:val="single" w:sz="2" w:space="0" w:color="D9D9E3"/>
                <w:left w:val="single" w:sz="2" w:space="0" w:color="D9D9E3"/>
                <w:bottom w:val="single" w:sz="2" w:space="0" w:color="D9D9E3"/>
                <w:right w:val="single" w:sz="2" w:space="0" w:color="D9D9E3"/>
              </w:divBdr>
              <w:divsChild>
                <w:div w:id="677931574">
                  <w:marLeft w:val="0"/>
                  <w:marRight w:val="0"/>
                  <w:marTop w:val="0"/>
                  <w:marBottom w:val="0"/>
                  <w:divBdr>
                    <w:top w:val="single" w:sz="2" w:space="0" w:color="D9D9E3"/>
                    <w:left w:val="single" w:sz="2" w:space="0" w:color="D9D9E3"/>
                    <w:bottom w:val="single" w:sz="2" w:space="0" w:color="D9D9E3"/>
                    <w:right w:val="single" w:sz="2" w:space="0" w:color="D9D9E3"/>
                  </w:divBdr>
                  <w:divsChild>
                    <w:div w:id="1172142380">
                      <w:marLeft w:val="0"/>
                      <w:marRight w:val="0"/>
                      <w:marTop w:val="0"/>
                      <w:marBottom w:val="0"/>
                      <w:divBdr>
                        <w:top w:val="single" w:sz="2" w:space="0" w:color="D9D9E3"/>
                        <w:left w:val="single" w:sz="2" w:space="0" w:color="D9D9E3"/>
                        <w:bottom w:val="single" w:sz="2" w:space="0" w:color="D9D9E3"/>
                        <w:right w:val="single" w:sz="2" w:space="0" w:color="D9D9E3"/>
                      </w:divBdr>
                      <w:divsChild>
                        <w:div w:id="597838038">
                          <w:marLeft w:val="0"/>
                          <w:marRight w:val="0"/>
                          <w:marTop w:val="0"/>
                          <w:marBottom w:val="0"/>
                          <w:divBdr>
                            <w:top w:val="single" w:sz="2" w:space="0" w:color="D9D9E3"/>
                            <w:left w:val="single" w:sz="2" w:space="0" w:color="D9D9E3"/>
                            <w:bottom w:val="single" w:sz="2" w:space="0" w:color="D9D9E3"/>
                            <w:right w:val="single" w:sz="2" w:space="0" w:color="D9D9E3"/>
                          </w:divBdr>
                          <w:divsChild>
                            <w:div w:id="8586639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4870911">
      <w:bodyDiv w:val="1"/>
      <w:marLeft w:val="0"/>
      <w:marRight w:val="0"/>
      <w:marTop w:val="0"/>
      <w:marBottom w:val="0"/>
      <w:divBdr>
        <w:top w:val="none" w:sz="0" w:space="0" w:color="auto"/>
        <w:left w:val="none" w:sz="0" w:space="0" w:color="auto"/>
        <w:bottom w:val="none" w:sz="0" w:space="0" w:color="auto"/>
        <w:right w:val="none" w:sz="0" w:space="0" w:color="auto"/>
      </w:divBdr>
    </w:div>
    <w:div w:id="637565993">
      <w:bodyDiv w:val="1"/>
      <w:marLeft w:val="0"/>
      <w:marRight w:val="0"/>
      <w:marTop w:val="0"/>
      <w:marBottom w:val="0"/>
      <w:divBdr>
        <w:top w:val="none" w:sz="0" w:space="0" w:color="auto"/>
        <w:left w:val="none" w:sz="0" w:space="0" w:color="auto"/>
        <w:bottom w:val="none" w:sz="0" w:space="0" w:color="auto"/>
        <w:right w:val="none" w:sz="0" w:space="0" w:color="auto"/>
      </w:divBdr>
    </w:div>
    <w:div w:id="642848918">
      <w:bodyDiv w:val="1"/>
      <w:marLeft w:val="0"/>
      <w:marRight w:val="0"/>
      <w:marTop w:val="0"/>
      <w:marBottom w:val="0"/>
      <w:divBdr>
        <w:top w:val="none" w:sz="0" w:space="0" w:color="auto"/>
        <w:left w:val="none" w:sz="0" w:space="0" w:color="auto"/>
        <w:bottom w:val="none" w:sz="0" w:space="0" w:color="auto"/>
        <w:right w:val="none" w:sz="0" w:space="0" w:color="auto"/>
      </w:divBdr>
    </w:div>
    <w:div w:id="662389951">
      <w:bodyDiv w:val="1"/>
      <w:marLeft w:val="0"/>
      <w:marRight w:val="0"/>
      <w:marTop w:val="0"/>
      <w:marBottom w:val="0"/>
      <w:divBdr>
        <w:top w:val="none" w:sz="0" w:space="0" w:color="auto"/>
        <w:left w:val="none" w:sz="0" w:space="0" w:color="auto"/>
        <w:bottom w:val="none" w:sz="0" w:space="0" w:color="auto"/>
        <w:right w:val="none" w:sz="0" w:space="0" w:color="auto"/>
      </w:divBdr>
    </w:div>
    <w:div w:id="663162228">
      <w:bodyDiv w:val="1"/>
      <w:marLeft w:val="0"/>
      <w:marRight w:val="0"/>
      <w:marTop w:val="0"/>
      <w:marBottom w:val="0"/>
      <w:divBdr>
        <w:top w:val="none" w:sz="0" w:space="0" w:color="auto"/>
        <w:left w:val="none" w:sz="0" w:space="0" w:color="auto"/>
        <w:bottom w:val="none" w:sz="0" w:space="0" w:color="auto"/>
        <w:right w:val="none" w:sz="0" w:space="0" w:color="auto"/>
      </w:divBdr>
    </w:div>
    <w:div w:id="663780684">
      <w:bodyDiv w:val="1"/>
      <w:marLeft w:val="0"/>
      <w:marRight w:val="0"/>
      <w:marTop w:val="0"/>
      <w:marBottom w:val="0"/>
      <w:divBdr>
        <w:top w:val="none" w:sz="0" w:space="0" w:color="auto"/>
        <w:left w:val="none" w:sz="0" w:space="0" w:color="auto"/>
        <w:bottom w:val="none" w:sz="0" w:space="0" w:color="auto"/>
        <w:right w:val="none" w:sz="0" w:space="0" w:color="auto"/>
      </w:divBdr>
    </w:div>
    <w:div w:id="670570838">
      <w:bodyDiv w:val="1"/>
      <w:marLeft w:val="0"/>
      <w:marRight w:val="0"/>
      <w:marTop w:val="0"/>
      <w:marBottom w:val="0"/>
      <w:divBdr>
        <w:top w:val="none" w:sz="0" w:space="0" w:color="auto"/>
        <w:left w:val="none" w:sz="0" w:space="0" w:color="auto"/>
        <w:bottom w:val="none" w:sz="0" w:space="0" w:color="auto"/>
        <w:right w:val="none" w:sz="0" w:space="0" w:color="auto"/>
      </w:divBdr>
    </w:div>
    <w:div w:id="685205687">
      <w:bodyDiv w:val="1"/>
      <w:marLeft w:val="0"/>
      <w:marRight w:val="0"/>
      <w:marTop w:val="0"/>
      <w:marBottom w:val="0"/>
      <w:divBdr>
        <w:top w:val="none" w:sz="0" w:space="0" w:color="auto"/>
        <w:left w:val="none" w:sz="0" w:space="0" w:color="auto"/>
        <w:bottom w:val="none" w:sz="0" w:space="0" w:color="auto"/>
        <w:right w:val="none" w:sz="0" w:space="0" w:color="auto"/>
      </w:divBdr>
    </w:div>
    <w:div w:id="698508917">
      <w:bodyDiv w:val="1"/>
      <w:marLeft w:val="0"/>
      <w:marRight w:val="0"/>
      <w:marTop w:val="0"/>
      <w:marBottom w:val="0"/>
      <w:divBdr>
        <w:top w:val="none" w:sz="0" w:space="0" w:color="auto"/>
        <w:left w:val="none" w:sz="0" w:space="0" w:color="auto"/>
        <w:bottom w:val="none" w:sz="0" w:space="0" w:color="auto"/>
        <w:right w:val="none" w:sz="0" w:space="0" w:color="auto"/>
      </w:divBdr>
    </w:div>
    <w:div w:id="699671456">
      <w:bodyDiv w:val="1"/>
      <w:marLeft w:val="0"/>
      <w:marRight w:val="0"/>
      <w:marTop w:val="0"/>
      <w:marBottom w:val="0"/>
      <w:divBdr>
        <w:top w:val="none" w:sz="0" w:space="0" w:color="auto"/>
        <w:left w:val="none" w:sz="0" w:space="0" w:color="auto"/>
        <w:bottom w:val="none" w:sz="0" w:space="0" w:color="auto"/>
        <w:right w:val="none" w:sz="0" w:space="0" w:color="auto"/>
      </w:divBdr>
    </w:div>
    <w:div w:id="701129266">
      <w:bodyDiv w:val="1"/>
      <w:marLeft w:val="0"/>
      <w:marRight w:val="0"/>
      <w:marTop w:val="0"/>
      <w:marBottom w:val="0"/>
      <w:divBdr>
        <w:top w:val="none" w:sz="0" w:space="0" w:color="auto"/>
        <w:left w:val="none" w:sz="0" w:space="0" w:color="auto"/>
        <w:bottom w:val="none" w:sz="0" w:space="0" w:color="auto"/>
        <w:right w:val="none" w:sz="0" w:space="0" w:color="auto"/>
      </w:divBdr>
    </w:div>
    <w:div w:id="701906745">
      <w:bodyDiv w:val="1"/>
      <w:marLeft w:val="0"/>
      <w:marRight w:val="0"/>
      <w:marTop w:val="0"/>
      <w:marBottom w:val="0"/>
      <w:divBdr>
        <w:top w:val="none" w:sz="0" w:space="0" w:color="auto"/>
        <w:left w:val="none" w:sz="0" w:space="0" w:color="auto"/>
        <w:bottom w:val="none" w:sz="0" w:space="0" w:color="auto"/>
        <w:right w:val="none" w:sz="0" w:space="0" w:color="auto"/>
      </w:divBdr>
    </w:div>
    <w:div w:id="719010855">
      <w:bodyDiv w:val="1"/>
      <w:marLeft w:val="0"/>
      <w:marRight w:val="0"/>
      <w:marTop w:val="0"/>
      <w:marBottom w:val="0"/>
      <w:divBdr>
        <w:top w:val="none" w:sz="0" w:space="0" w:color="auto"/>
        <w:left w:val="none" w:sz="0" w:space="0" w:color="auto"/>
        <w:bottom w:val="none" w:sz="0" w:space="0" w:color="auto"/>
        <w:right w:val="none" w:sz="0" w:space="0" w:color="auto"/>
      </w:divBdr>
    </w:div>
    <w:div w:id="723989181">
      <w:bodyDiv w:val="1"/>
      <w:marLeft w:val="0"/>
      <w:marRight w:val="0"/>
      <w:marTop w:val="0"/>
      <w:marBottom w:val="0"/>
      <w:divBdr>
        <w:top w:val="none" w:sz="0" w:space="0" w:color="auto"/>
        <w:left w:val="none" w:sz="0" w:space="0" w:color="auto"/>
        <w:bottom w:val="none" w:sz="0" w:space="0" w:color="auto"/>
        <w:right w:val="none" w:sz="0" w:space="0" w:color="auto"/>
      </w:divBdr>
    </w:div>
    <w:div w:id="725102721">
      <w:bodyDiv w:val="1"/>
      <w:marLeft w:val="0"/>
      <w:marRight w:val="0"/>
      <w:marTop w:val="0"/>
      <w:marBottom w:val="0"/>
      <w:divBdr>
        <w:top w:val="none" w:sz="0" w:space="0" w:color="auto"/>
        <w:left w:val="none" w:sz="0" w:space="0" w:color="auto"/>
        <w:bottom w:val="none" w:sz="0" w:space="0" w:color="auto"/>
        <w:right w:val="none" w:sz="0" w:space="0" w:color="auto"/>
      </w:divBdr>
    </w:div>
    <w:div w:id="726957637">
      <w:bodyDiv w:val="1"/>
      <w:marLeft w:val="0"/>
      <w:marRight w:val="0"/>
      <w:marTop w:val="0"/>
      <w:marBottom w:val="0"/>
      <w:divBdr>
        <w:top w:val="none" w:sz="0" w:space="0" w:color="auto"/>
        <w:left w:val="none" w:sz="0" w:space="0" w:color="auto"/>
        <w:bottom w:val="none" w:sz="0" w:space="0" w:color="auto"/>
        <w:right w:val="none" w:sz="0" w:space="0" w:color="auto"/>
      </w:divBdr>
    </w:div>
    <w:div w:id="728654679">
      <w:bodyDiv w:val="1"/>
      <w:marLeft w:val="0"/>
      <w:marRight w:val="0"/>
      <w:marTop w:val="0"/>
      <w:marBottom w:val="0"/>
      <w:divBdr>
        <w:top w:val="none" w:sz="0" w:space="0" w:color="auto"/>
        <w:left w:val="none" w:sz="0" w:space="0" w:color="auto"/>
        <w:bottom w:val="none" w:sz="0" w:space="0" w:color="auto"/>
        <w:right w:val="none" w:sz="0" w:space="0" w:color="auto"/>
      </w:divBdr>
    </w:div>
    <w:div w:id="735249112">
      <w:bodyDiv w:val="1"/>
      <w:marLeft w:val="0"/>
      <w:marRight w:val="0"/>
      <w:marTop w:val="0"/>
      <w:marBottom w:val="0"/>
      <w:divBdr>
        <w:top w:val="none" w:sz="0" w:space="0" w:color="auto"/>
        <w:left w:val="none" w:sz="0" w:space="0" w:color="auto"/>
        <w:bottom w:val="none" w:sz="0" w:space="0" w:color="auto"/>
        <w:right w:val="none" w:sz="0" w:space="0" w:color="auto"/>
      </w:divBdr>
    </w:div>
    <w:div w:id="749813264">
      <w:marLeft w:val="0"/>
      <w:marRight w:val="0"/>
      <w:marTop w:val="0"/>
      <w:marBottom w:val="0"/>
      <w:divBdr>
        <w:top w:val="none" w:sz="0" w:space="0" w:color="auto"/>
        <w:left w:val="none" w:sz="0" w:space="0" w:color="auto"/>
        <w:bottom w:val="none" w:sz="0" w:space="0" w:color="auto"/>
        <w:right w:val="none" w:sz="0" w:space="0" w:color="auto"/>
      </w:divBdr>
      <w:divsChild>
        <w:div w:id="749813262">
          <w:marLeft w:val="432"/>
          <w:marRight w:val="0"/>
          <w:marTop w:val="115"/>
          <w:marBottom w:val="0"/>
          <w:divBdr>
            <w:top w:val="none" w:sz="0" w:space="0" w:color="auto"/>
            <w:left w:val="none" w:sz="0" w:space="0" w:color="auto"/>
            <w:bottom w:val="none" w:sz="0" w:space="0" w:color="auto"/>
            <w:right w:val="none" w:sz="0" w:space="0" w:color="auto"/>
          </w:divBdr>
        </w:div>
        <w:div w:id="749813263">
          <w:marLeft w:val="432"/>
          <w:marRight w:val="0"/>
          <w:marTop w:val="115"/>
          <w:marBottom w:val="0"/>
          <w:divBdr>
            <w:top w:val="none" w:sz="0" w:space="0" w:color="auto"/>
            <w:left w:val="none" w:sz="0" w:space="0" w:color="auto"/>
            <w:bottom w:val="none" w:sz="0" w:space="0" w:color="auto"/>
            <w:right w:val="none" w:sz="0" w:space="0" w:color="auto"/>
          </w:divBdr>
        </w:div>
        <w:div w:id="749813268">
          <w:marLeft w:val="432"/>
          <w:marRight w:val="0"/>
          <w:marTop w:val="115"/>
          <w:marBottom w:val="0"/>
          <w:divBdr>
            <w:top w:val="none" w:sz="0" w:space="0" w:color="auto"/>
            <w:left w:val="none" w:sz="0" w:space="0" w:color="auto"/>
            <w:bottom w:val="none" w:sz="0" w:space="0" w:color="auto"/>
            <w:right w:val="none" w:sz="0" w:space="0" w:color="auto"/>
          </w:divBdr>
        </w:div>
        <w:div w:id="749813271">
          <w:marLeft w:val="432"/>
          <w:marRight w:val="0"/>
          <w:marTop w:val="115"/>
          <w:marBottom w:val="0"/>
          <w:divBdr>
            <w:top w:val="none" w:sz="0" w:space="0" w:color="auto"/>
            <w:left w:val="none" w:sz="0" w:space="0" w:color="auto"/>
            <w:bottom w:val="none" w:sz="0" w:space="0" w:color="auto"/>
            <w:right w:val="none" w:sz="0" w:space="0" w:color="auto"/>
          </w:divBdr>
        </w:div>
        <w:div w:id="749813275">
          <w:marLeft w:val="432"/>
          <w:marRight w:val="0"/>
          <w:marTop w:val="115"/>
          <w:marBottom w:val="0"/>
          <w:divBdr>
            <w:top w:val="none" w:sz="0" w:space="0" w:color="auto"/>
            <w:left w:val="none" w:sz="0" w:space="0" w:color="auto"/>
            <w:bottom w:val="none" w:sz="0" w:space="0" w:color="auto"/>
            <w:right w:val="none" w:sz="0" w:space="0" w:color="auto"/>
          </w:divBdr>
        </w:div>
        <w:div w:id="749813277">
          <w:marLeft w:val="432"/>
          <w:marRight w:val="0"/>
          <w:marTop w:val="115"/>
          <w:marBottom w:val="0"/>
          <w:divBdr>
            <w:top w:val="none" w:sz="0" w:space="0" w:color="auto"/>
            <w:left w:val="none" w:sz="0" w:space="0" w:color="auto"/>
            <w:bottom w:val="none" w:sz="0" w:space="0" w:color="auto"/>
            <w:right w:val="none" w:sz="0" w:space="0" w:color="auto"/>
          </w:divBdr>
        </w:div>
        <w:div w:id="749813278">
          <w:marLeft w:val="432"/>
          <w:marRight w:val="0"/>
          <w:marTop w:val="115"/>
          <w:marBottom w:val="0"/>
          <w:divBdr>
            <w:top w:val="none" w:sz="0" w:space="0" w:color="auto"/>
            <w:left w:val="none" w:sz="0" w:space="0" w:color="auto"/>
            <w:bottom w:val="none" w:sz="0" w:space="0" w:color="auto"/>
            <w:right w:val="none" w:sz="0" w:space="0" w:color="auto"/>
          </w:divBdr>
        </w:div>
        <w:div w:id="749813279">
          <w:marLeft w:val="432"/>
          <w:marRight w:val="0"/>
          <w:marTop w:val="115"/>
          <w:marBottom w:val="0"/>
          <w:divBdr>
            <w:top w:val="none" w:sz="0" w:space="0" w:color="auto"/>
            <w:left w:val="none" w:sz="0" w:space="0" w:color="auto"/>
            <w:bottom w:val="none" w:sz="0" w:space="0" w:color="auto"/>
            <w:right w:val="none" w:sz="0" w:space="0" w:color="auto"/>
          </w:divBdr>
        </w:div>
        <w:div w:id="749813280">
          <w:marLeft w:val="432"/>
          <w:marRight w:val="0"/>
          <w:marTop w:val="115"/>
          <w:marBottom w:val="0"/>
          <w:divBdr>
            <w:top w:val="none" w:sz="0" w:space="0" w:color="auto"/>
            <w:left w:val="none" w:sz="0" w:space="0" w:color="auto"/>
            <w:bottom w:val="none" w:sz="0" w:space="0" w:color="auto"/>
            <w:right w:val="none" w:sz="0" w:space="0" w:color="auto"/>
          </w:divBdr>
        </w:div>
        <w:div w:id="749813281">
          <w:marLeft w:val="432"/>
          <w:marRight w:val="0"/>
          <w:marTop w:val="115"/>
          <w:marBottom w:val="0"/>
          <w:divBdr>
            <w:top w:val="none" w:sz="0" w:space="0" w:color="auto"/>
            <w:left w:val="none" w:sz="0" w:space="0" w:color="auto"/>
            <w:bottom w:val="none" w:sz="0" w:space="0" w:color="auto"/>
            <w:right w:val="none" w:sz="0" w:space="0" w:color="auto"/>
          </w:divBdr>
        </w:div>
      </w:divsChild>
    </w:div>
    <w:div w:id="749813265">
      <w:marLeft w:val="0"/>
      <w:marRight w:val="0"/>
      <w:marTop w:val="0"/>
      <w:marBottom w:val="0"/>
      <w:divBdr>
        <w:top w:val="none" w:sz="0" w:space="0" w:color="auto"/>
        <w:left w:val="none" w:sz="0" w:space="0" w:color="auto"/>
        <w:bottom w:val="none" w:sz="0" w:space="0" w:color="auto"/>
        <w:right w:val="none" w:sz="0" w:space="0" w:color="auto"/>
      </w:divBdr>
    </w:div>
    <w:div w:id="749813266">
      <w:marLeft w:val="0"/>
      <w:marRight w:val="0"/>
      <w:marTop w:val="0"/>
      <w:marBottom w:val="0"/>
      <w:divBdr>
        <w:top w:val="none" w:sz="0" w:space="0" w:color="auto"/>
        <w:left w:val="none" w:sz="0" w:space="0" w:color="auto"/>
        <w:bottom w:val="none" w:sz="0" w:space="0" w:color="auto"/>
        <w:right w:val="none" w:sz="0" w:space="0" w:color="auto"/>
      </w:divBdr>
    </w:div>
    <w:div w:id="749813269">
      <w:marLeft w:val="0"/>
      <w:marRight w:val="0"/>
      <w:marTop w:val="0"/>
      <w:marBottom w:val="0"/>
      <w:divBdr>
        <w:top w:val="none" w:sz="0" w:space="0" w:color="auto"/>
        <w:left w:val="none" w:sz="0" w:space="0" w:color="auto"/>
        <w:bottom w:val="none" w:sz="0" w:space="0" w:color="auto"/>
        <w:right w:val="none" w:sz="0" w:space="0" w:color="auto"/>
      </w:divBdr>
      <w:divsChild>
        <w:div w:id="749813267">
          <w:marLeft w:val="432"/>
          <w:marRight w:val="0"/>
          <w:marTop w:val="115"/>
          <w:marBottom w:val="0"/>
          <w:divBdr>
            <w:top w:val="none" w:sz="0" w:space="0" w:color="auto"/>
            <w:left w:val="none" w:sz="0" w:space="0" w:color="auto"/>
            <w:bottom w:val="none" w:sz="0" w:space="0" w:color="auto"/>
            <w:right w:val="none" w:sz="0" w:space="0" w:color="auto"/>
          </w:divBdr>
        </w:div>
        <w:div w:id="749813270">
          <w:marLeft w:val="864"/>
          <w:marRight w:val="0"/>
          <w:marTop w:val="75"/>
          <w:marBottom w:val="0"/>
          <w:divBdr>
            <w:top w:val="none" w:sz="0" w:space="0" w:color="auto"/>
            <w:left w:val="none" w:sz="0" w:space="0" w:color="auto"/>
            <w:bottom w:val="none" w:sz="0" w:space="0" w:color="auto"/>
            <w:right w:val="none" w:sz="0" w:space="0" w:color="auto"/>
          </w:divBdr>
        </w:div>
        <w:div w:id="749813272">
          <w:marLeft w:val="432"/>
          <w:marRight w:val="0"/>
          <w:marTop w:val="115"/>
          <w:marBottom w:val="0"/>
          <w:divBdr>
            <w:top w:val="none" w:sz="0" w:space="0" w:color="auto"/>
            <w:left w:val="none" w:sz="0" w:space="0" w:color="auto"/>
            <w:bottom w:val="none" w:sz="0" w:space="0" w:color="auto"/>
            <w:right w:val="none" w:sz="0" w:space="0" w:color="auto"/>
          </w:divBdr>
        </w:div>
        <w:div w:id="749813273">
          <w:marLeft w:val="432"/>
          <w:marRight w:val="0"/>
          <w:marTop w:val="115"/>
          <w:marBottom w:val="0"/>
          <w:divBdr>
            <w:top w:val="none" w:sz="0" w:space="0" w:color="auto"/>
            <w:left w:val="none" w:sz="0" w:space="0" w:color="auto"/>
            <w:bottom w:val="none" w:sz="0" w:space="0" w:color="auto"/>
            <w:right w:val="none" w:sz="0" w:space="0" w:color="auto"/>
          </w:divBdr>
        </w:div>
        <w:div w:id="749813274">
          <w:marLeft w:val="432"/>
          <w:marRight w:val="0"/>
          <w:marTop w:val="115"/>
          <w:marBottom w:val="0"/>
          <w:divBdr>
            <w:top w:val="none" w:sz="0" w:space="0" w:color="auto"/>
            <w:left w:val="none" w:sz="0" w:space="0" w:color="auto"/>
            <w:bottom w:val="none" w:sz="0" w:space="0" w:color="auto"/>
            <w:right w:val="none" w:sz="0" w:space="0" w:color="auto"/>
          </w:divBdr>
        </w:div>
        <w:div w:id="749813276">
          <w:marLeft w:val="864"/>
          <w:marRight w:val="0"/>
          <w:marTop w:val="75"/>
          <w:marBottom w:val="0"/>
          <w:divBdr>
            <w:top w:val="none" w:sz="0" w:space="0" w:color="auto"/>
            <w:left w:val="none" w:sz="0" w:space="0" w:color="auto"/>
            <w:bottom w:val="none" w:sz="0" w:space="0" w:color="auto"/>
            <w:right w:val="none" w:sz="0" w:space="0" w:color="auto"/>
          </w:divBdr>
        </w:div>
      </w:divsChild>
    </w:div>
    <w:div w:id="754740696">
      <w:bodyDiv w:val="1"/>
      <w:marLeft w:val="0"/>
      <w:marRight w:val="0"/>
      <w:marTop w:val="0"/>
      <w:marBottom w:val="0"/>
      <w:divBdr>
        <w:top w:val="none" w:sz="0" w:space="0" w:color="auto"/>
        <w:left w:val="none" w:sz="0" w:space="0" w:color="auto"/>
        <w:bottom w:val="none" w:sz="0" w:space="0" w:color="auto"/>
        <w:right w:val="none" w:sz="0" w:space="0" w:color="auto"/>
      </w:divBdr>
    </w:div>
    <w:div w:id="771556277">
      <w:bodyDiv w:val="1"/>
      <w:marLeft w:val="0"/>
      <w:marRight w:val="0"/>
      <w:marTop w:val="0"/>
      <w:marBottom w:val="0"/>
      <w:divBdr>
        <w:top w:val="none" w:sz="0" w:space="0" w:color="auto"/>
        <w:left w:val="none" w:sz="0" w:space="0" w:color="auto"/>
        <w:bottom w:val="none" w:sz="0" w:space="0" w:color="auto"/>
        <w:right w:val="none" w:sz="0" w:space="0" w:color="auto"/>
      </w:divBdr>
    </w:div>
    <w:div w:id="775440474">
      <w:bodyDiv w:val="1"/>
      <w:marLeft w:val="0"/>
      <w:marRight w:val="0"/>
      <w:marTop w:val="0"/>
      <w:marBottom w:val="0"/>
      <w:divBdr>
        <w:top w:val="none" w:sz="0" w:space="0" w:color="auto"/>
        <w:left w:val="none" w:sz="0" w:space="0" w:color="auto"/>
        <w:bottom w:val="none" w:sz="0" w:space="0" w:color="auto"/>
        <w:right w:val="none" w:sz="0" w:space="0" w:color="auto"/>
      </w:divBdr>
    </w:div>
    <w:div w:id="778600141">
      <w:bodyDiv w:val="1"/>
      <w:marLeft w:val="0"/>
      <w:marRight w:val="0"/>
      <w:marTop w:val="0"/>
      <w:marBottom w:val="0"/>
      <w:divBdr>
        <w:top w:val="none" w:sz="0" w:space="0" w:color="auto"/>
        <w:left w:val="none" w:sz="0" w:space="0" w:color="auto"/>
        <w:bottom w:val="none" w:sz="0" w:space="0" w:color="auto"/>
        <w:right w:val="none" w:sz="0" w:space="0" w:color="auto"/>
      </w:divBdr>
    </w:div>
    <w:div w:id="786975043">
      <w:bodyDiv w:val="1"/>
      <w:marLeft w:val="0"/>
      <w:marRight w:val="0"/>
      <w:marTop w:val="0"/>
      <w:marBottom w:val="0"/>
      <w:divBdr>
        <w:top w:val="none" w:sz="0" w:space="0" w:color="auto"/>
        <w:left w:val="none" w:sz="0" w:space="0" w:color="auto"/>
        <w:bottom w:val="none" w:sz="0" w:space="0" w:color="auto"/>
        <w:right w:val="none" w:sz="0" w:space="0" w:color="auto"/>
      </w:divBdr>
    </w:div>
    <w:div w:id="789779919">
      <w:bodyDiv w:val="1"/>
      <w:marLeft w:val="0"/>
      <w:marRight w:val="0"/>
      <w:marTop w:val="0"/>
      <w:marBottom w:val="0"/>
      <w:divBdr>
        <w:top w:val="none" w:sz="0" w:space="0" w:color="auto"/>
        <w:left w:val="none" w:sz="0" w:space="0" w:color="auto"/>
        <w:bottom w:val="none" w:sz="0" w:space="0" w:color="auto"/>
        <w:right w:val="none" w:sz="0" w:space="0" w:color="auto"/>
      </w:divBdr>
    </w:div>
    <w:div w:id="790704631">
      <w:bodyDiv w:val="1"/>
      <w:marLeft w:val="0"/>
      <w:marRight w:val="0"/>
      <w:marTop w:val="0"/>
      <w:marBottom w:val="0"/>
      <w:divBdr>
        <w:top w:val="none" w:sz="0" w:space="0" w:color="auto"/>
        <w:left w:val="none" w:sz="0" w:space="0" w:color="auto"/>
        <w:bottom w:val="none" w:sz="0" w:space="0" w:color="auto"/>
        <w:right w:val="none" w:sz="0" w:space="0" w:color="auto"/>
      </w:divBdr>
    </w:div>
    <w:div w:id="790708351">
      <w:bodyDiv w:val="1"/>
      <w:marLeft w:val="0"/>
      <w:marRight w:val="0"/>
      <w:marTop w:val="0"/>
      <w:marBottom w:val="0"/>
      <w:divBdr>
        <w:top w:val="none" w:sz="0" w:space="0" w:color="auto"/>
        <w:left w:val="none" w:sz="0" w:space="0" w:color="auto"/>
        <w:bottom w:val="none" w:sz="0" w:space="0" w:color="auto"/>
        <w:right w:val="none" w:sz="0" w:space="0" w:color="auto"/>
      </w:divBdr>
    </w:div>
    <w:div w:id="792141624">
      <w:bodyDiv w:val="1"/>
      <w:marLeft w:val="0"/>
      <w:marRight w:val="0"/>
      <w:marTop w:val="0"/>
      <w:marBottom w:val="0"/>
      <w:divBdr>
        <w:top w:val="none" w:sz="0" w:space="0" w:color="auto"/>
        <w:left w:val="none" w:sz="0" w:space="0" w:color="auto"/>
        <w:bottom w:val="none" w:sz="0" w:space="0" w:color="auto"/>
        <w:right w:val="none" w:sz="0" w:space="0" w:color="auto"/>
      </w:divBdr>
    </w:div>
    <w:div w:id="792672592">
      <w:bodyDiv w:val="1"/>
      <w:marLeft w:val="0"/>
      <w:marRight w:val="0"/>
      <w:marTop w:val="0"/>
      <w:marBottom w:val="0"/>
      <w:divBdr>
        <w:top w:val="none" w:sz="0" w:space="0" w:color="auto"/>
        <w:left w:val="none" w:sz="0" w:space="0" w:color="auto"/>
        <w:bottom w:val="none" w:sz="0" w:space="0" w:color="auto"/>
        <w:right w:val="none" w:sz="0" w:space="0" w:color="auto"/>
      </w:divBdr>
    </w:div>
    <w:div w:id="799108919">
      <w:bodyDiv w:val="1"/>
      <w:marLeft w:val="0"/>
      <w:marRight w:val="0"/>
      <w:marTop w:val="0"/>
      <w:marBottom w:val="0"/>
      <w:divBdr>
        <w:top w:val="none" w:sz="0" w:space="0" w:color="auto"/>
        <w:left w:val="none" w:sz="0" w:space="0" w:color="auto"/>
        <w:bottom w:val="none" w:sz="0" w:space="0" w:color="auto"/>
        <w:right w:val="none" w:sz="0" w:space="0" w:color="auto"/>
      </w:divBdr>
    </w:div>
    <w:div w:id="814492800">
      <w:bodyDiv w:val="1"/>
      <w:marLeft w:val="0"/>
      <w:marRight w:val="0"/>
      <w:marTop w:val="0"/>
      <w:marBottom w:val="0"/>
      <w:divBdr>
        <w:top w:val="none" w:sz="0" w:space="0" w:color="auto"/>
        <w:left w:val="none" w:sz="0" w:space="0" w:color="auto"/>
        <w:bottom w:val="none" w:sz="0" w:space="0" w:color="auto"/>
        <w:right w:val="none" w:sz="0" w:space="0" w:color="auto"/>
      </w:divBdr>
    </w:div>
    <w:div w:id="815416107">
      <w:bodyDiv w:val="1"/>
      <w:marLeft w:val="0"/>
      <w:marRight w:val="0"/>
      <w:marTop w:val="0"/>
      <w:marBottom w:val="0"/>
      <w:divBdr>
        <w:top w:val="none" w:sz="0" w:space="0" w:color="auto"/>
        <w:left w:val="none" w:sz="0" w:space="0" w:color="auto"/>
        <w:bottom w:val="none" w:sz="0" w:space="0" w:color="auto"/>
        <w:right w:val="none" w:sz="0" w:space="0" w:color="auto"/>
      </w:divBdr>
      <w:divsChild>
        <w:div w:id="333726482">
          <w:marLeft w:val="0"/>
          <w:marRight w:val="0"/>
          <w:marTop w:val="0"/>
          <w:marBottom w:val="0"/>
          <w:divBdr>
            <w:top w:val="none" w:sz="0" w:space="0" w:color="auto"/>
            <w:left w:val="none" w:sz="0" w:space="0" w:color="auto"/>
            <w:bottom w:val="none" w:sz="0" w:space="0" w:color="auto"/>
            <w:right w:val="none" w:sz="0" w:space="0" w:color="auto"/>
          </w:divBdr>
        </w:div>
        <w:div w:id="550271001">
          <w:marLeft w:val="0"/>
          <w:marRight w:val="0"/>
          <w:marTop w:val="0"/>
          <w:marBottom w:val="0"/>
          <w:divBdr>
            <w:top w:val="none" w:sz="0" w:space="0" w:color="auto"/>
            <w:left w:val="none" w:sz="0" w:space="0" w:color="auto"/>
            <w:bottom w:val="none" w:sz="0" w:space="0" w:color="auto"/>
            <w:right w:val="none" w:sz="0" w:space="0" w:color="auto"/>
          </w:divBdr>
        </w:div>
      </w:divsChild>
    </w:div>
    <w:div w:id="816068507">
      <w:bodyDiv w:val="1"/>
      <w:marLeft w:val="0"/>
      <w:marRight w:val="0"/>
      <w:marTop w:val="0"/>
      <w:marBottom w:val="0"/>
      <w:divBdr>
        <w:top w:val="none" w:sz="0" w:space="0" w:color="auto"/>
        <w:left w:val="none" w:sz="0" w:space="0" w:color="auto"/>
        <w:bottom w:val="none" w:sz="0" w:space="0" w:color="auto"/>
        <w:right w:val="none" w:sz="0" w:space="0" w:color="auto"/>
      </w:divBdr>
    </w:div>
    <w:div w:id="820191467">
      <w:bodyDiv w:val="1"/>
      <w:marLeft w:val="0"/>
      <w:marRight w:val="0"/>
      <w:marTop w:val="0"/>
      <w:marBottom w:val="0"/>
      <w:divBdr>
        <w:top w:val="none" w:sz="0" w:space="0" w:color="auto"/>
        <w:left w:val="none" w:sz="0" w:space="0" w:color="auto"/>
        <w:bottom w:val="none" w:sz="0" w:space="0" w:color="auto"/>
        <w:right w:val="none" w:sz="0" w:space="0" w:color="auto"/>
      </w:divBdr>
      <w:divsChild>
        <w:div w:id="1232497603">
          <w:marLeft w:val="0"/>
          <w:marRight w:val="0"/>
          <w:marTop w:val="0"/>
          <w:marBottom w:val="0"/>
          <w:divBdr>
            <w:top w:val="none" w:sz="0" w:space="0" w:color="auto"/>
            <w:left w:val="none" w:sz="0" w:space="0" w:color="auto"/>
            <w:bottom w:val="none" w:sz="0" w:space="0" w:color="auto"/>
            <w:right w:val="none" w:sz="0" w:space="0" w:color="auto"/>
          </w:divBdr>
        </w:div>
      </w:divsChild>
    </w:div>
    <w:div w:id="822282906">
      <w:bodyDiv w:val="1"/>
      <w:marLeft w:val="0"/>
      <w:marRight w:val="0"/>
      <w:marTop w:val="0"/>
      <w:marBottom w:val="0"/>
      <w:divBdr>
        <w:top w:val="none" w:sz="0" w:space="0" w:color="auto"/>
        <w:left w:val="none" w:sz="0" w:space="0" w:color="auto"/>
        <w:bottom w:val="none" w:sz="0" w:space="0" w:color="auto"/>
        <w:right w:val="none" w:sz="0" w:space="0" w:color="auto"/>
      </w:divBdr>
    </w:div>
    <w:div w:id="835077026">
      <w:bodyDiv w:val="1"/>
      <w:marLeft w:val="0"/>
      <w:marRight w:val="0"/>
      <w:marTop w:val="0"/>
      <w:marBottom w:val="0"/>
      <w:divBdr>
        <w:top w:val="none" w:sz="0" w:space="0" w:color="auto"/>
        <w:left w:val="none" w:sz="0" w:space="0" w:color="auto"/>
        <w:bottom w:val="none" w:sz="0" w:space="0" w:color="auto"/>
        <w:right w:val="none" w:sz="0" w:space="0" w:color="auto"/>
      </w:divBdr>
    </w:div>
    <w:div w:id="859051566">
      <w:bodyDiv w:val="1"/>
      <w:marLeft w:val="0"/>
      <w:marRight w:val="0"/>
      <w:marTop w:val="0"/>
      <w:marBottom w:val="0"/>
      <w:divBdr>
        <w:top w:val="none" w:sz="0" w:space="0" w:color="auto"/>
        <w:left w:val="none" w:sz="0" w:space="0" w:color="auto"/>
        <w:bottom w:val="none" w:sz="0" w:space="0" w:color="auto"/>
        <w:right w:val="none" w:sz="0" w:space="0" w:color="auto"/>
      </w:divBdr>
    </w:div>
    <w:div w:id="859927931">
      <w:bodyDiv w:val="1"/>
      <w:marLeft w:val="0"/>
      <w:marRight w:val="0"/>
      <w:marTop w:val="0"/>
      <w:marBottom w:val="0"/>
      <w:divBdr>
        <w:top w:val="none" w:sz="0" w:space="0" w:color="auto"/>
        <w:left w:val="none" w:sz="0" w:space="0" w:color="auto"/>
        <w:bottom w:val="none" w:sz="0" w:space="0" w:color="auto"/>
        <w:right w:val="none" w:sz="0" w:space="0" w:color="auto"/>
      </w:divBdr>
    </w:div>
    <w:div w:id="862012553">
      <w:bodyDiv w:val="1"/>
      <w:marLeft w:val="0"/>
      <w:marRight w:val="0"/>
      <w:marTop w:val="0"/>
      <w:marBottom w:val="0"/>
      <w:divBdr>
        <w:top w:val="none" w:sz="0" w:space="0" w:color="auto"/>
        <w:left w:val="none" w:sz="0" w:space="0" w:color="auto"/>
        <w:bottom w:val="none" w:sz="0" w:space="0" w:color="auto"/>
        <w:right w:val="none" w:sz="0" w:space="0" w:color="auto"/>
      </w:divBdr>
    </w:div>
    <w:div w:id="864370964">
      <w:bodyDiv w:val="1"/>
      <w:marLeft w:val="0"/>
      <w:marRight w:val="0"/>
      <w:marTop w:val="0"/>
      <w:marBottom w:val="0"/>
      <w:divBdr>
        <w:top w:val="none" w:sz="0" w:space="0" w:color="auto"/>
        <w:left w:val="none" w:sz="0" w:space="0" w:color="auto"/>
        <w:bottom w:val="none" w:sz="0" w:space="0" w:color="auto"/>
        <w:right w:val="none" w:sz="0" w:space="0" w:color="auto"/>
      </w:divBdr>
      <w:divsChild>
        <w:div w:id="1841046105">
          <w:marLeft w:val="0"/>
          <w:marRight w:val="0"/>
          <w:marTop w:val="0"/>
          <w:marBottom w:val="0"/>
          <w:divBdr>
            <w:top w:val="none" w:sz="0" w:space="0" w:color="auto"/>
            <w:left w:val="none" w:sz="0" w:space="0" w:color="auto"/>
            <w:bottom w:val="none" w:sz="0" w:space="0" w:color="auto"/>
            <w:right w:val="none" w:sz="0" w:space="0" w:color="auto"/>
          </w:divBdr>
          <w:divsChild>
            <w:div w:id="1887989911">
              <w:marLeft w:val="0"/>
              <w:marRight w:val="0"/>
              <w:marTop w:val="0"/>
              <w:marBottom w:val="0"/>
              <w:divBdr>
                <w:top w:val="none" w:sz="0" w:space="0" w:color="auto"/>
                <w:left w:val="none" w:sz="0" w:space="0" w:color="auto"/>
                <w:bottom w:val="none" w:sz="0" w:space="0" w:color="auto"/>
                <w:right w:val="none" w:sz="0" w:space="0" w:color="auto"/>
              </w:divBdr>
              <w:divsChild>
                <w:div w:id="1502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4452">
      <w:bodyDiv w:val="1"/>
      <w:marLeft w:val="0"/>
      <w:marRight w:val="0"/>
      <w:marTop w:val="0"/>
      <w:marBottom w:val="0"/>
      <w:divBdr>
        <w:top w:val="none" w:sz="0" w:space="0" w:color="auto"/>
        <w:left w:val="none" w:sz="0" w:space="0" w:color="auto"/>
        <w:bottom w:val="none" w:sz="0" w:space="0" w:color="auto"/>
        <w:right w:val="none" w:sz="0" w:space="0" w:color="auto"/>
      </w:divBdr>
    </w:div>
    <w:div w:id="871960725">
      <w:bodyDiv w:val="1"/>
      <w:marLeft w:val="0"/>
      <w:marRight w:val="0"/>
      <w:marTop w:val="0"/>
      <w:marBottom w:val="0"/>
      <w:divBdr>
        <w:top w:val="none" w:sz="0" w:space="0" w:color="auto"/>
        <w:left w:val="none" w:sz="0" w:space="0" w:color="auto"/>
        <w:bottom w:val="none" w:sz="0" w:space="0" w:color="auto"/>
        <w:right w:val="none" w:sz="0" w:space="0" w:color="auto"/>
      </w:divBdr>
    </w:div>
    <w:div w:id="873275179">
      <w:bodyDiv w:val="1"/>
      <w:marLeft w:val="0"/>
      <w:marRight w:val="0"/>
      <w:marTop w:val="0"/>
      <w:marBottom w:val="0"/>
      <w:divBdr>
        <w:top w:val="none" w:sz="0" w:space="0" w:color="auto"/>
        <w:left w:val="none" w:sz="0" w:space="0" w:color="auto"/>
        <w:bottom w:val="none" w:sz="0" w:space="0" w:color="auto"/>
        <w:right w:val="none" w:sz="0" w:space="0" w:color="auto"/>
      </w:divBdr>
    </w:div>
    <w:div w:id="874197143">
      <w:bodyDiv w:val="1"/>
      <w:marLeft w:val="0"/>
      <w:marRight w:val="0"/>
      <w:marTop w:val="0"/>
      <w:marBottom w:val="0"/>
      <w:divBdr>
        <w:top w:val="none" w:sz="0" w:space="0" w:color="auto"/>
        <w:left w:val="none" w:sz="0" w:space="0" w:color="auto"/>
        <w:bottom w:val="none" w:sz="0" w:space="0" w:color="auto"/>
        <w:right w:val="none" w:sz="0" w:space="0" w:color="auto"/>
      </w:divBdr>
    </w:div>
    <w:div w:id="879627372">
      <w:bodyDiv w:val="1"/>
      <w:marLeft w:val="0"/>
      <w:marRight w:val="0"/>
      <w:marTop w:val="0"/>
      <w:marBottom w:val="0"/>
      <w:divBdr>
        <w:top w:val="none" w:sz="0" w:space="0" w:color="auto"/>
        <w:left w:val="none" w:sz="0" w:space="0" w:color="auto"/>
        <w:bottom w:val="none" w:sz="0" w:space="0" w:color="auto"/>
        <w:right w:val="none" w:sz="0" w:space="0" w:color="auto"/>
      </w:divBdr>
    </w:div>
    <w:div w:id="897058560">
      <w:bodyDiv w:val="1"/>
      <w:marLeft w:val="0"/>
      <w:marRight w:val="0"/>
      <w:marTop w:val="0"/>
      <w:marBottom w:val="0"/>
      <w:divBdr>
        <w:top w:val="none" w:sz="0" w:space="0" w:color="auto"/>
        <w:left w:val="none" w:sz="0" w:space="0" w:color="auto"/>
        <w:bottom w:val="none" w:sz="0" w:space="0" w:color="auto"/>
        <w:right w:val="none" w:sz="0" w:space="0" w:color="auto"/>
      </w:divBdr>
    </w:div>
    <w:div w:id="901794602">
      <w:bodyDiv w:val="1"/>
      <w:marLeft w:val="0"/>
      <w:marRight w:val="0"/>
      <w:marTop w:val="0"/>
      <w:marBottom w:val="0"/>
      <w:divBdr>
        <w:top w:val="none" w:sz="0" w:space="0" w:color="auto"/>
        <w:left w:val="none" w:sz="0" w:space="0" w:color="auto"/>
        <w:bottom w:val="none" w:sz="0" w:space="0" w:color="auto"/>
        <w:right w:val="none" w:sz="0" w:space="0" w:color="auto"/>
      </w:divBdr>
    </w:div>
    <w:div w:id="910502114">
      <w:bodyDiv w:val="1"/>
      <w:marLeft w:val="0"/>
      <w:marRight w:val="0"/>
      <w:marTop w:val="0"/>
      <w:marBottom w:val="0"/>
      <w:divBdr>
        <w:top w:val="none" w:sz="0" w:space="0" w:color="auto"/>
        <w:left w:val="none" w:sz="0" w:space="0" w:color="auto"/>
        <w:bottom w:val="none" w:sz="0" w:space="0" w:color="auto"/>
        <w:right w:val="none" w:sz="0" w:space="0" w:color="auto"/>
      </w:divBdr>
    </w:div>
    <w:div w:id="948974486">
      <w:bodyDiv w:val="1"/>
      <w:marLeft w:val="0"/>
      <w:marRight w:val="0"/>
      <w:marTop w:val="0"/>
      <w:marBottom w:val="0"/>
      <w:divBdr>
        <w:top w:val="none" w:sz="0" w:space="0" w:color="auto"/>
        <w:left w:val="none" w:sz="0" w:space="0" w:color="auto"/>
        <w:bottom w:val="none" w:sz="0" w:space="0" w:color="auto"/>
        <w:right w:val="none" w:sz="0" w:space="0" w:color="auto"/>
      </w:divBdr>
    </w:div>
    <w:div w:id="960762884">
      <w:bodyDiv w:val="1"/>
      <w:marLeft w:val="0"/>
      <w:marRight w:val="0"/>
      <w:marTop w:val="0"/>
      <w:marBottom w:val="0"/>
      <w:divBdr>
        <w:top w:val="none" w:sz="0" w:space="0" w:color="auto"/>
        <w:left w:val="none" w:sz="0" w:space="0" w:color="auto"/>
        <w:bottom w:val="none" w:sz="0" w:space="0" w:color="auto"/>
        <w:right w:val="none" w:sz="0" w:space="0" w:color="auto"/>
      </w:divBdr>
    </w:div>
    <w:div w:id="967131142">
      <w:bodyDiv w:val="1"/>
      <w:marLeft w:val="0"/>
      <w:marRight w:val="0"/>
      <w:marTop w:val="0"/>
      <w:marBottom w:val="0"/>
      <w:divBdr>
        <w:top w:val="none" w:sz="0" w:space="0" w:color="auto"/>
        <w:left w:val="none" w:sz="0" w:space="0" w:color="auto"/>
        <w:bottom w:val="none" w:sz="0" w:space="0" w:color="auto"/>
        <w:right w:val="none" w:sz="0" w:space="0" w:color="auto"/>
      </w:divBdr>
    </w:div>
    <w:div w:id="975646040">
      <w:bodyDiv w:val="1"/>
      <w:marLeft w:val="0"/>
      <w:marRight w:val="0"/>
      <w:marTop w:val="0"/>
      <w:marBottom w:val="0"/>
      <w:divBdr>
        <w:top w:val="none" w:sz="0" w:space="0" w:color="auto"/>
        <w:left w:val="none" w:sz="0" w:space="0" w:color="auto"/>
        <w:bottom w:val="none" w:sz="0" w:space="0" w:color="auto"/>
        <w:right w:val="none" w:sz="0" w:space="0" w:color="auto"/>
      </w:divBdr>
    </w:div>
    <w:div w:id="984286049">
      <w:bodyDiv w:val="1"/>
      <w:marLeft w:val="0"/>
      <w:marRight w:val="0"/>
      <w:marTop w:val="0"/>
      <w:marBottom w:val="0"/>
      <w:divBdr>
        <w:top w:val="none" w:sz="0" w:space="0" w:color="auto"/>
        <w:left w:val="none" w:sz="0" w:space="0" w:color="auto"/>
        <w:bottom w:val="none" w:sz="0" w:space="0" w:color="auto"/>
        <w:right w:val="none" w:sz="0" w:space="0" w:color="auto"/>
      </w:divBdr>
    </w:div>
    <w:div w:id="987368482">
      <w:bodyDiv w:val="1"/>
      <w:marLeft w:val="0"/>
      <w:marRight w:val="0"/>
      <w:marTop w:val="0"/>
      <w:marBottom w:val="0"/>
      <w:divBdr>
        <w:top w:val="none" w:sz="0" w:space="0" w:color="auto"/>
        <w:left w:val="none" w:sz="0" w:space="0" w:color="auto"/>
        <w:bottom w:val="none" w:sz="0" w:space="0" w:color="auto"/>
        <w:right w:val="none" w:sz="0" w:space="0" w:color="auto"/>
      </w:divBdr>
      <w:divsChild>
        <w:div w:id="690374169">
          <w:marLeft w:val="0"/>
          <w:marRight w:val="0"/>
          <w:marTop w:val="0"/>
          <w:marBottom w:val="0"/>
          <w:divBdr>
            <w:top w:val="single" w:sz="18" w:space="4" w:color="006FCA"/>
            <w:left w:val="single" w:sz="18" w:space="4" w:color="006FCA"/>
            <w:bottom w:val="single" w:sz="18" w:space="4" w:color="006FCA"/>
            <w:right w:val="single" w:sz="18" w:space="4" w:color="006FCA"/>
          </w:divBdr>
          <w:divsChild>
            <w:div w:id="1660381412">
              <w:marLeft w:val="0"/>
              <w:marRight w:val="0"/>
              <w:marTop w:val="0"/>
              <w:marBottom w:val="0"/>
              <w:divBdr>
                <w:top w:val="none" w:sz="0" w:space="0" w:color="auto"/>
                <w:left w:val="none" w:sz="0" w:space="0" w:color="auto"/>
                <w:bottom w:val="none" w:sz="0" w:space="0" w:color="auto"/>
                <w:right w:val="none" w:sz="0" w:space="0" w:color="auto"/>
              </w:divBdr>
              <w:divsChild>
                <w:div w:id="1484347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88480810">
      <w:bodyDiv w:val="1"/>
      <w:marLeft w:val="0"/>
      <w:marRight w:val="0"/>
      <w:marTop w:val="0"/>
      <w:marBottom w:val="0"/>
      <w:divBdr>
        <w:top w:val="none" w:sz="0" w:space="0" w:color="auto"/>
        <w:left w:val="none" w:sz="0" w:space="0" w:color="auto"/>
        <w:bottom w:val="none" w:sz="0" w:space="0" w:color="auto"/>
        <w:right w:val="none" w:sz="0" w:space="0" w:color="auto"/>
      </w:divBdr>
    </w:div>
    <w:div w:id="989678876">
      <w:bodyDiv w:val="1"/>
      <w:marLeft w:val="0"/>
      <w:marRight w:val="0"/>
      <w:marTop w:val="0"/>
      <w:marBottom w:val="0"/>
      <w:divBdr>
        <w:top w:val="none" w:sz="0" w:space="0" w:color="auto"/>
        <w:left w:val="none" w:sz="0" w:space="0" w:color="auto"/>
        <w:bottom w:val="none" w:sz="0" w:space="0" w:color="auto"/>
        <w:right w:val="none" w:sz="0" w:space="0" w:color="auto"/>
      </w:divBdr>
    </w:div>
    <w:div w:id="997805353">
      <w:bodyDiv w:val="1"/>
      <w:marLeft w:val="0"/>
      <w:marRight w:val="0"/>
      <w:marTop w:val="0"/>
      <w:marBottom w:val="0"/>
      <w:divBdr>
        <w:top w:val="none" w:sz="0" w:space="0" w:color="auto"/>
        <w:left w:val="none" w:sz="0" w:space="0" w:color="auto"/>
        <w:bottom w:val="none" w:sz="0" w:space="0" w:color="auto"/>
        <w:right w:val="none" w:sz="0" w:space="0" w:color="auto"/>
      </w:divBdr>
    </w:div>
    <w:div w:id="1005523356">
      <w:bodyDiv w:val="1"/>
      <w:marLeft w:val="0"/>
      <w:marRight w:val="0"/>
      <w:marTop w:val="0"/>
      <w:marBottom w:val="0"/>
      <w:divBdr>
        <w:top w:val="none" w:sz="0" w:space="0" w:color="auto"/>
        <w:left w:val="none" w:sz="0" w:space="0" w:color="auto"/>
        <w:bottom w:val="none" w:sz="0" w:space="0" w:color="auto"/>
        <w:right w:val="none" w:sz="0" w:space="0" w:color="auto"/>
      </w:divBdr>
    </w:div>
    <w:div w:id="1010571733">
      <w:bodyDiv w:val="1"/>
      <w:marLeft w:val="0"/>
      <w:marRight w:val="0"/>
      <w:marTop w:val="0"/>
      <w:marBottom w:val="0"/>
      <w:divBdr>
        <w:top w:val="none" w:sz="0" w:space="0" w:color="auto"/>
        <w:left w:val="none" w:sz="0" w:space="0" w:color="auto"/>
        <w:bottom w:val="none" w:sz="0" w:space="0" w:color="auto"/>
        <w:right w:val="none" w:sz="0" w:space="0" w:color="auto"/>
      </w:divBdr>
    </w:div>
    <w:div w:id="1027172830">
      <w:bodyDiv w:val="1"/>
      <w:marLeft w:val="0"/>
      <w:marRight w:val="0"/>
      <w:marTop w:val="0"/>
      <w:marBottom w:val="0"/>
      <w:divBdr>
        <w:top w:val="none" w:sz="0" w:space="0" w:color="auto"/>
        <w:left w:val="none" w:sz="0" w:space="0" w:color="auto"/>
        <w:bottom w:val="none" w:sz="0" w:space="0" w:color="auto"/>
        <w:right w:val="none" w:sz="0" w:space="0" w:color="auto"/>
      </w:divBdr>
    </w:div>
    <w:div w:id="1030883019">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5545756">
      <w:bodyDiv w:val="1"/>
      <w:marLeft w:val="0"/>
      <w:marRight w:val="0"/>
      <w:marTop w:val="0"/>
      <w:marBottom w:val="0"/>
      <w:divBdr>
        <w:top w:val="none" w:sz="0" w:space="0" w:color="auto"/>
        <w:left w:val="none" w:sz="0" w:space="0" w:color="auto"/>
        <w:bottom w:val="none" w:sz="0" w:space="0" w:color="auto"/>
        <w:right w:val="none" w:sz="0" w:space="0" w:color="auto"/>
      </w:divBdr>
    </w:div>
    <w:div w:id="1037778112">
      <w:bodyDiv w:val="1"/>
      <w:marLeft w:val="0"/>
      <w:marRight w:val="0"/>
      <w:marTop w:val="0"/>
      <w:marBottom w:val="0"/>
      <w:divBdr>
        <w:top w:val="none" w:sz="0" w:space="0" w:color="auto"/>
        <w:left w:val="none" w:sz="0" w:space="0" w:color="auto"/>
        <w:bottom w:val="none" w:sz="0" w:space="0" w:color="auto"/>
        <w:right w:val="none" w:sz="0" w:space="0" w:color="auto"/>
      </w:divBdr>
    </w:div>
    <w:div w:id="1038161324">
      <w:bodyDiv w:val="1"/>
      <w:marLeft w:val="0"/>
      <w:marRight w:val="0"/>
      <w:marTop w:val="0"/>
      <w:marBottom w:val="0"/>
      <w:divBdr>
        <w:top w:val="none" w:sz="0" w:space="0" w:color="auto"/>
        <w:left w:val="none" w:sz="0" w:space="0" w:color="auto"/>
        <w:bottom w:val="none" w:sz="0" w:space="0" w:color="auto"/>
        <w:right w:val="none" w:sz="0" w:space="0" w:color="auto"/>
      </w:divBdr>
    </w:div>
    <w:div w:id="1045174251">
      <w:bodyDiv w:val="1"/>
      <w:marLeft w:val="0"/>
      <w:marRight w:val="0"/>
      <w:marTop w:val="0"/>
      <w:marBottom w:val="0"/>
      <w:divBdr>
        <w:top w:val="none" w:sz="0" w:space="0" w:color="auto"/>
        <w:left w:val="none" w:sz="0" w:space="0" w:color="auto"/>
        <w:bottom w:val="none" w:sz="0" w:space="0" w:color="auto"/>
        <w:right w:val="none" w:sz="0" w:space="0" w:color="auto"/>
      </w:divBdr>
    </w:div>
    <w:div w:id="1061100897">
      <w:bodyDiv w:val="1"/>
      <w:marLeft w:val="0"/>
      <w:marRight w:val="0"/>
      <w:marTop w:val="0"/>
      <w:marBottom w:val="0"/>
      <w:divBdr>
        <w:top w:val="none" w:sz="0" w:space="0" w:color="auto"/>
        <w:left w:val="none" w:sz="0" w:space="0" w:color="auto"/>
        <w:bottom w:val="none" w:sz="0" w:space="0" w:color="auto"/>
        <w:right w:val="none" w:sz="0" w:space="0" w:color="auto"/>
      </w:divBdr>
    </w:div>
    <w:div w:id="1063602816">
      <w:bodyDiv w:val="1"/>
      <w:marLeft w:val="0"/>
      <w:marRight w:val="0"/>
      <w:marTop w:val="0"/>
      <w:marBottom w:val="0"/>
      <w:divBdr>
        <w:top w:val="none" w:sz="0" w:space="0" w:color="auto"/>
        <w:left w:val="none" w:sz="0" w:space="0" w:color="auto"/>
        <w:bottom w:val="none" w:sz="0" w:space="0" w:color="auto"/>
        <w:right w:val="none" w:sz="0" w:space="0" w:color="auto"/>
      </w:divBdr>
      <w:divsChild>
        <w:div w:id="1970433750">
          <w:marLeft w:val="0"/>
          <w:marRight w:val="0"/>
          <w:marTop w:val="0"/>
          <w:marBottom w:val="0"/>
          <w:divBdr>
            <w:top w:val="none" w:sz="0" w:space="0" w:color="auto"/>
            <w:left w:val="none" w:sz="0" w:space="0" w:color="auto"/>
            <w:bottom w:val="none" w:sz="0" w:space="0" w:color="auto"/>
            <w:right w:val="none" w:sz="0" w:space="0" w:color="auto"/>
          </w:divBdr>
          <w:divsChild>
            <w:div w:id="633408269">
              <w:marLeft w:val="0"/>
              <w:marRight w:val="0"/>
              <w:marTop w:val="0"/>
              <w:marBottom w:val="0"/>
              <w:divBdr>
                <w:top w:val="none" w:sz="0" w:space="0" w:color="auto"/>
                <w:left w:val="none" w:sz="0" w:space="0" w:color="auto"/>
                <w:bottom w:val="none" w:sz="0" w:space="0" w:color="auto"/>
                <w:right w:val="none" w:sz="0" w:space="0" w:color="auto"/>
              </w:divBdr>
              <w:divsChild>
                <w:div w:id="9869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78082">
      <w:bodyDiv w:val="1"/>
      <w:marLeft w:val="0"/>
      <w:marRight w:val="0"/>
      <w:marTop w:val="0"/>
      <w:marBottom w:val="0"/>
      <w:divBdr>
        <w:top w:val="none" w:sz="0" w:space="0" w:color="auto"/>
        <w:left w:val="none" w:sz="0" w:space="0" w:color="auto"/>
        <w:bottom w:val="none" w:sz="0" w:space="0" w:color="auto"/>
        <w:right w:val="none" w:sz="0" w:space="0" w:color="auto"/>
      </w:divBdr>
    </w:div>
    <w:div w:id="1089345894">
      <w:bodyDiv w:val="1"/>
      <w:marLeft w:val="0"/>
      <w:marRight w:val="0"/>
      <w:marTop w:val="0"/>
      <w:marBottom w:val="0"/>
      <w:divBdr>
        <w:top w:val="none" w:sz="0" w:space="0" w:color="auto"/>
        <w:left w:val="none" w:sz="0" w:space="0" w:color="auto"/>
        <w:bottom w:val="none" w:sz="0" w:space="0" w:color="auto"/>
        <w:right w:val="none" w:sz="0" w:space="0" w:color="auto"/>
      </w:divBdr>
    </w:div>
    <w:div w:id="1092631942">
      <w:bodyDiv w:val="1"/>
      <w:marLeft w:val="0"/>
      <w:marRight w:val="0"/>
      <w:marTop w:val="0"/>
      <w:marBottom w:val="0"/>
      <w:divBdr>
        <w:top w:val="none" w:sz="0" w:space="0" w:color="auto"/>
        <w:left w:val="none" w:sz="0" w:space="0" w:color="auto"/>
        <w:bottom w:val="none" w:sz="0" w:space="0" w:color="auto"/>
        <w:right w:val="none" w:sz="0" w:space="0" w:color="auto"/>
      </w:divBdr>
    </w:div>
    <w:div w:id="1105731027">
      <w:bodyDiv w:val="1"/>
      <w:marLeft w:val="0"/>
      <w:marRight w:val="0"/>
      <w:marTop w:val="0"/>
      <w:marBottom w:val="0"/>
      <w:divBdr>
        <w:top w:val="none" w:sz="0" w:space="0" w:color="auto"/>
        <w:left w:val="none" w:sz="0" w:space="0" w:color="auto"/>
        <w:bottom w:val="none" w:sz="0" w:space="0" w:color="auto"/>
        <w:right w:val="none" w:sz="0" w:space="0" w:color="auto"/>
      </w:divBdr>
      <w:divsChild>
        <w:div w:id="930116189">
          <w:marLeft w:val="0"/>
          <w:marRight w:val="0"/>
          <w:marTop w:val="0"/>
          <w:marBottom w:val="0"/>
          <w:divBdr>
            <w:top w:val="none" w:sz="0" w:space="0" w:color="auto"/>
            <w:left w:val="none" w:sz="0" w:space="0" w:color="auto"/>
            <w:bottom w:val="none" w:sz="0" w:space="0" w:color="auto"/>
            <w:right w:val="none" w:sz="0" w:space="0" w:color="auto"/>
          </w:divBdr>
        </w:div>
      </w:divsChild>
    </w:div>
    <w:div w:id="1120493352">
      <w:bodyDiv w:val="1"/>
      <w:marLeft w:val="0"/>
      <w:marRight w:val="0"/>
      <w:marTop w:val="0"/>
      <w:marBottom w:val="0"/>
      <w:divBdr>
        <w:top w:val="none" w:sz="0" w:space="0" w:color="auto"/>
        <w:left w:val="none" w:sz="0" w:space="0" w:color="auto"/>
        <w:bottom w:val="none" w:sz="0" w:space="0" w:color="auto"/>
        <w:right w:val="none" w:sz="0" w:space="0" w:color="auto"/>
      </w:divBdr>
    </w:div>
    <w:div w:id="1134522588">
      <w:bodyDiv w:val="1"/>
      <w:marLeft w:val="0"/>
      <w:marRight w:val="0"/>
      <w:marTop w:val="0"/>
      <w:marBottom w:val="0"/>
      <w:divBdr>
        <w:top w:val="none" w:sz="0" w:space="0" w:color="auto"/>
        <w:left w:val="none" w:sz="0" w:space="0" w:color="auto"/>
        <w:bottom w:val="none" w:sz="0" w:space="0" w:color="auto"/>
        <w:right w:val="none" w:sz="0" w:space="0" w:color="auto"/>
      </w:divBdr>
      <w:divsChild>
        <w:div w:id="71585876">
          <w:marLeft w:val="1267"/>
          <w:marRight w:val="0"/>
          <w:marTop w:val="0"/>
          <w:marBottom w:val="0"/>
          <w:divBdr>
            <w:top w:val="none" w:sz="0" w:space="0" w:color="auto"/>
            <w:left w:val="none" w:sz="0" w:space="0" w:color="auto"/>
            <w:bottom w:val="none" w:sz="0" w:space="0" w:color="auto"/>
            <w:right w:val="none" w:sz="0" w:space="0" w:color="auto"/>
          </w:divBdr>
        </w:div>
        <w:div w:id="1330907993">
          <w:marLeft w:val="1267"/>
          <w:marRight w:val="0"/>
          <w:marTop w:val="0"/>
          <w:marBottom w:val="0"/>
          <w:divBdr>
            <w:top w:val="none" w:sz="0" w:space="0" w:color="auto"/>
            <w:left w:val="none" w:sz="0" w:space="0" w:color="auto"/>
            <w:bottom w:val="none" w:sz="0" w:space="0" w:color="auto"/>
            <w:right w:val="none" w:sz="0" w:space="0" w:color="auto"/>
          </w:divBdr>
        </w:div>
        <w:div w:id="1982080275">
          <w:marLeft w:val="547"/>
          <w:marRight w:val="0"/>
          <w:marTop w:val="0"/>
          <w:marBottom w:val="0"/>
          <w:divBdr>
            <w:top w:val="none" w:sz="0" w:space="0" w:color="auto"/>
            <w:left w:val="none" w:sz="0" w:space="0" w:color="auto"/>
            <w:bottom w:val="none" w:sz="0" w:space="0" w:color="auto"/>
            <w:right w:val="none" w:sz="0" w:space="0" w:color="auto"/>
          </w:divBdr>
        </w:div>
      </w:divsChild>
    </w:div>
    <w:div w:id="1149252940">
      <w:bodyDiv w:val="1"/>
      <w:marLeft w:val="0"/>
      <w:marRight w:val="0"/>
      <w:marTop w:val="0"/>
      <w:marBottom w:val="0"/>
      <w:divBdr>
        <w:top w:val="none" w:sz="0" w:space="0" w:color="auto"/>
        <w:left w:val="none" w:sz="0" w:space="0" w:color="auto"/>
        <w:bottom w:val="none" w:sz="0" w:space="0" w:color="auto"/>
        <w:right w:val="none" w:sz="0" w:space="0" w:color="auto"/>
      </w:divBdr>
    </w:div>
    <w:div w:id="1149516664">
      <w:bodyDiv w:val="1"/>
      <w:marLeft w:val="0"/>
      <w:marRight w:val="0"/>
      <w:marTop w:val="0"/>
      <w:marBottom w:val="0"/>
      <w:divBdr>
        <w:top w:val="none" w:sz="0" w:space="0" w:color="auto"/>
        <w:left w:val="none" w:sz="0" w:space="0" w:color="auto"/>
        <w:bottom w:val="none" w:sz="0" w:space="0" w:color="auto"/>
        <w:right w:val="none" w:sz="0" w:space="0" w:color="auto"/>
      </w:divBdr>
    </w:div>
    <w:div w:id="1154761524">
      <w:bodyDiv w:val="1"/>
      <w:marLeft w:val="0"/>
      <w:marRight w:val="0"/>
      <w:marTop w:val="0"/>
      <w:marBottom w:val="0"/>
      <w:divBdr>
        <w:top w:val="none" w:sz="0" w:space="0" w:color="auto"/>
        <w:left w:val="none" w:sz="0" w:space="0" w:color="auto"/>
        <w:bottom w:val="none" w:sz="0" w:space="0" w:color="auto"/>
        <w:right w:val="none" w:sz="0" w:space="0" w:color="auto"/>
      </w:divBdr>
    </w:div>
    <w:div w:id="1162357214">
      <w:bodyDiv w:val="1"/>
      <w:marLeft w:val="0"/>
      <w:marRight w:val="0"/>
      <w:marTop w:val="0"/>
      <w:marBottom w:val="0"/>
      <w:divBdr>
        <w:top w:val="none" w:sz="0" w:space="0" w:color="auto"/>
        <w:left w:val="none" w:sz="0" w:space="0" w:color="auto"/>
        <w:bottom w:val="none" w:sz="0" w:space="0" w:color="auto"/>
        <w:right w:val="none" w:sz="0" w:space="0" w:color="auto"/>
      </w:divBdr>
    </w:div>
    <w:div w:id="1164316212">
      <w:bodyDiv w:val="1"/>
      <w:marLeft w:val="0"/>
      <w:marRight w:val="0"/>
      <w:marTop w:val="0"/>
      <w:marBottom w:val="0"/>
      <w:divBdr>
        <w:top w:val="none" w:sz="0" w:space="0" w:color="auto"/>
        <w:left w:val="none" w:sz="0" w:space="0" w:color="auto"/>
        <w:bottom w:val="none" w:sz="0" w:space="0" w:color="auto"/>
        <w:right w:val="none" w:sz="0" w:space="0" w:color="auto"/>
      </w:divBdr>
    </w:div>
    <w:div w:id="1169255697">
      <w:bodyDiv w:val="1"/>
      <w:marLeft w:val="0"/>
      <w:marRight w:val="0"/>
      <w:marTop w:val="0"/>
      <w:marBottom w:val="0"/>
      <w:divBdr>
        <w:top w:val="none" w:sz="0" w:space="0" w:color="auto"/>
        <w:left w:val="none" w:sz="0" w:space="0" w:color="auto"/>
        <w:bottom w:val="none" w:sz="0" w:space="0" w:color="auto"/>
        <w:right w:val="none" w:sz="0" w:space="0" w:color="auto"/>
      </w:divBdr>
    </w:div>
    <w:div w:id="1171946757">
      <w:bodyDiv w:val="1"/>
      <w:marLeft w:val="0"/>
      <w:marRight w:val="0"/>
      <w:marTop w:val="0"/>
      <w:marBottom w:val="0"/>
      <w:divBdr>
        <w:top w:val="none" w:sz="0" w:space="0" w:color="auto"/>
        <w:left w:val="none" w:sz="0" w:space="0" w:color="auto"/>
        <w:bottom w:val="none" w:sz="0" w:space="0" w:color="auto"/>
        <w:right w:val="none" w:sz="0" w:space="0" w:color="auto"/>
      </w:divBdr>
    </w:div>
    <w:div w:id="1176308857">
      <w:bodyDiv w:val="1"/>
      <w:marLeft w:val="0"/>
      <w:marRight w:val="0"/>
      <w:marTop w:val="0"/>
      <w:marBottom w:val="0"/>
      <w:divBdr>
        <w:top w:val="none" w:sz="0" w:space="0" w:color="auto"/>
        <w:left w:val="none" w:sz="0" w:space="0" w:color="auto"/>
        <w:bottom w:val="none" w:sz="0" w:space="0" w:color="auto"/>
        <w:right w:val="none" w:sz="0" w:space="0" w:color="auto"/>
      </w:divBdr>
    </w:div>
    <w:div w:id="1176925501">
      <w:bodyDiv w:val="1"/>
      <w:marLeft w:val="0"/>
      <w:marRight w:val="0"/>
      <w:marTop w:val="0"/>
      <w:marBottom w:val="0"/>
      <w:divBdr>
        <w:top w:val="none" w:sz="0" w:space="0" w:color="auto"/>
        <w:left w:val="none" w:sz="0" w:space="0" w:color="auto"/>
        <w:bottom w:val="none" w:sz="0" w:space="0" w:color="auto"/>
        <w:right w:val="none" w:sz="0" w:space="0" w:color="auto"/>
      </w:divBdr>
    </w:div>
    <w:div w:id="1195119564">
      <w:bodyDiv w:val="1"/>
      <w:marLeft w:val="0"/>
      <w:marRight w:val="0"/>
      <w:marTop w:val="0"/>
      <w:marBottom w:val="0"/>
      <w:divBdr>
        <w:top w:val="none" w:sz="0" w:space="0" w:color="auto"/>
        <w:left w:val="none" w:sz="0" w:space="0" w:color="auto"/>
        <w:bottom w:val="none" w:sz="0" w:space="0" w:color="auto"/>
        <w:right w:val="none" w:sz="0" w:space="0" w:color="auto"/>
      </w:divBdr>
    </w:div>
    <w:div w:id="1200507070">
      <w:bodyDiv w:val="1"/>
      <w:marLeft w:val="0"/>
      <w:marRight w:val="0"/>
      <w:marTop w:val="0"/>
      <w:marBottom w:val="0"/>
      <w:divBdr>
        <w:top w:val="none" w:sz="0" w:space="0" w:color="auto"/>
        <w:left w:val="none" w:sz="0" w:space="0" w:color="auto"/>
        <w:bottom w:val="none" w:sz="0" w:space="0" w:color="auto"/>
        <w:right w:val="none" w:sz="0" w:space="0" w:color="auto"/>
      </w:divBdr>
    </w:div>
    <w:div w:id="1203132435">
      <w:bodyDiv w:val="1"/>
      <w:marLeft w:val="0"/>
      <w:marRight w:val="0"/>
      <w:marTop w:val="0"/>
      <w:marBottom w:val="0"/>
      <w:divBdr>
        <w:top w:val="none" w:sz="0" w:space="0" w:color="auto"/>
        <w:left w:val="none" w:sz="0" w:space="0" w:color="auto"/>
        <w:bottom w:val="none" w:sz="0" w:space="0" w:color="auto"/>
        <w:right w:val="none" w:sz="0" w:space="0" w:color="auto"/>
      </w:divBdr>
    </w:div>
    <w:div w:id="1232086187">
      <w:bodyDiv w:val="1"/>
      <w:marLeft w:val="0"/>
      <w:marRight w:val="0"/>
      <w:marTop w:val="0"/>
      <w:marBottom w:val="0"/>
      <w:divBdr>
        <w:top w:val="none" w:sz="0" w:space="0" w:color="auto"/>
        <w:left w:val="none" w:sz="0" w:space="0" w:color="auto"/>
        <w:bottom w:val="none" w:sz="0" w:space="0" w:color="auto"/>
        <w:right w:val="none" w:sz="0" w:space="0" w:color="auto"/>
      </w:divBdr>
    </w:div>
    <w:div w:id="1245143919">
      <w:bodyDiv w:val="1"/>
      <w:marLeft w:val="0"/>
      <w:marRight w:val="0"/>
      <w:marTop w:val="0"/>
      <w:marBottom w:val="0"/>
      <w:divBdr>
        <w:top w:val="none" w:sz="0" w:space="0" w:color="auto"/>
        <w:left w:val="none" w:sz="0" w:space="0" w:color="auto"/>
        <w:bottom w:val="none" w:sz="0" w:space="0" w:color="auto"/>
        <w:right w:val="none" w:sz="0" w:space="0" w:color="auto"/>
      </w:divBdr>
    </w:div>
    <w:div w:id="1252927810">
      <w:bodyDiv w:val="1"/>
      <w:marLeft w:val="0"/>
      <w:marRight w:val="0"/>
      <w:marTop w:val="0"/>
      <w:marBottom w:val="0"/>
      <w:divBdr>
        <w:top w:val="none" w:sz="0" w:space="0" w:color="auto"/>
        <w:left w:val="none" w:sz="0" w:space="0" w:color="auto"/>
        <w:bottom w:val="none" w:sz="0" w:space="0" w:color="auto"/>
        <w:right w:val="none" w:sz="0" w:space="0" w:color="auto"/>
      </w:divBdr>
      <w:divsChild>
        <w:div w:id="579412326">
          <w:marLeft w:val="0"/>
          <w:marRight w:val="0"/>
          <w:marTop w:val="0"/>
          <w:marBottom w:val="0"/>
          <w:divBdr>
            <w:top w:val="none" w:sz="0" w:space="0" w:color="auto"/>
            <w:left w:val="none" w:sz="0" w:space="0" w:color="auto"/>
            <w:bottom w:val="none" w:sz="0" w:space="0" w:color="auto"/>
            <w:right w:val="none" w:sz="0" w:space="0" w:color="auto"/>
          </w:divBdr>
          <w:divsChild>
            <w:div w:id="1463231204">
              <w:marLeft w:val="0"/>
              <w:marRight w:val="0"/>
              <w:marTop w:val="0"/>
              <w:marBottom w:val="0"/>
              <w:divBdr>
                <w:top w:val="none" w:sz="0" w:space="0" w:color="auto"/>
                <w:left w:val="none" w:sz="0" w:space="0" w:color="auto"/>
                <w:bottom w:val="none" w:sz="0" w:space="0" w:color="auto"/>
                <w:right w:val="none" w:sz="0" w:space="0" w:color="auto"/>
              </w:divBdr>
              <w:divsChild>
                <w:div w:id="7063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4596">
      <w:bodyDiv w:val="1"/>
      <w:marLeft w:val="0"/>
      <w:marRight w:val="0"/>
      <w:marTop w:val="0"/>
      <w:marBottom w:val="0"/>
      <w:divBdr>
        <w:top w:val="none" w:sz="0" w:space="0" w:color="auto"/>
        <w:left w:val="none" w:sz="0" w:space="0" w:color="auto"/>
        <w:bottom w:val="none" w:sz="0" w:space="0" w:color="auto"/>
        <w:right w:val="none" w:sz="0" w:space="0" w:color="auto"/>
      </w:divBdr>
    </w:div>
    <w:div w:id="1273131939">
      <w:bodyDiv w:val="1"/>
      <w:marLeft w:val="0"/>
      <w:marRight w:val="0"/>
      <w:marTop w:val="0"/>
      <w:marBottom w:val="0"/>
      <w:divBdr>
        <w:top w:val="none" w:sz="0" w:space="0" w:color="auto"/>
        <w:left w:val="none" w:sz="0" w:space="0" w:color="auto"/>
        <w:bottom w:val="none" w:sz="0" w:space="0" w:color="auto"/>
        <w:right w:val="none" w:sz="0" w:space="0" w:color="auto"/>
      </w:divBdr>
      <w:divsChild>
        <w:div w:id="645472467">
          <w:marLeft w:val="0"/>
          <w:marRight w:val="0"/>
          <w:marTop w:val="0"/>
          <w:marBottom w:val="0"/>
          <w:divBdr>
            <w:top w:val="none" w:sz="0" w:space="0" w:color="auto"/>
            <w:left w:val="none" w:sz="0" w:space="0" w:color="auto"/>
            <w:bottom w:val="none" w:sz="0" w:space="0" w:color="auto"/>
            <w:right w:val="none" w:sz="0" w:space="0" w:color="auto"/>
          </w:divBdr>
          <w:divsChild>
            <w:div w:id="298271216">
              <w:marLeft w:val="0"/>
              <w:marRight w:val="0"/>
              <w:marTop w:val="0"/>
              <w:marBottom w:val="0"/>
              <w:divBdr>
                <w:top w:val="none" w:sz="0" w:space="0" w:color="auto"/>
                <w:left w:val="none" w:sz="0" w:space="0" w:color="auto"/>
                <w:bottom w:val="none" w:sz="0" w:space="0" w:color="auto"/>
                <w:right w:val="none" w:sz="0" w:space="0" w:color="auto"/>
              </w:divBdr>
              <w:divsChild>
                <w:div w:id="425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83101">
      <w:bodyDiv w:val="1"/>
      <w:marLeft w:val="0"/>
      <w:marRight w:val="0"/>
      <w:marTop w:val="0"/>
      <w:marBottom w:val="0"/>
      <w:divBdr>
        <w:top w:val="none" w:sz="0" w:space="0" w:color="auto"/>
        <w:left w:val="none" w:sz="0" w:space="0" w:color="auto"/>
        <w:bottom w:val="none" w:sz="0" w:space="0" w:color="auto"/>
        <w:right w:val="none" w:sz="0" w:space="0" w:color="auto"/>
      </w:divBdr>
    </w:div>
    <w:div w:id="1278221204">
      <w:bodyDiv w:val="1"/>
      <w:marLeft w:val="0"/>
      <w:marRight w:val="0"/>
      <w:marTop w:val="0"/>
      <w:marBottom w:val="0"/>
      <w:divBdr>
        <w:top w:val="none" w:sz="0" w:space="0" w:color="auto"/>
        <w:left w:val="none" w:sz="0" w:space="0" w:color="auto"/>
        <w:bottom w:val="none" w:sz="0" w:space="0" w:color="auto"/>
        <w:right w:val="none" w:sz="0" w:space="0" w:color="auto"/>
      </w:divBdr>
    </w:div>
    <w:div w:id="1280988572">
      <w:bodyDiv w:val="1"/>
      <w:marLeft w:val="0"/>
      <w:marRight w:val="0"/>
      <w:marTop w:val="0"/>
      <w:marBottom w:val="0"/>
      <w:divBdr>
        <w:top w:val="none" w:sz="0" w:space="0" w:color="auto"/>
        <w:left w:val="none" w:sz="0" w:space="0" w:color="auto"/>
        <w:bottom w:val="none" w:sz="0" w:space="0" w:color="auto"/>
        <w:right w:val="none" w:sz="0" w:space="0" w:color="auto"/>
      </w:divBdr>
    </w:div>
    <w:div w:id="1288700441">
      <w:bodyDiv w:val="1"/>
      <w:marLeft w:val="0"/>
      <w:marRight w:val="0"/>
      <w:marTop w:val="0"/>
      <w:marBottom w:val="0"/>
      <w:divBdr>
        <w:top w:val="none" w:sz="0" w:space="0" w:color="auto"/>
        <w:left w:val="none" w:sz="0" w:space="0" w:color="auto"/>
        <w:bottom w:val="none" w:sz="0" w:space="0" w:color="auto"/>
        <w:right w:val="none" w:sz="0" w:space="0" w:color="auto"/>
      </w:divBdr>
    </w:div>
    <w:div w:id="1293049458">
      <w:bodyDiv w:val="1"/>
      <w:marLeft w:val="0"/>
      <w:marRight w:val="0"/>
      <w:marTop w:val="0"/>
      <w:marBottom w:val="0"/>
      <w:divBdr>
        <w:top w:val="none" w:sz="0" w:space="0" w:color="auto"/>
        <w:left w:val="none" w:sz="0" w:space="0" w:color="auto"/>
        <w:bottom w:val="none" w:sz="0" w:space="0" w:color="auto"/>
        <w:right w:val="none" w:sz="0" w:space="0" w:color="auto"/>
      </w:divBdr>
    </w:div>
    <w:div w:id="1318803107">
      <w:bodyDiv w:val="1"/>
      <w:marLeft w:val="0"/>
      <w:marRight w:val="0"/>
      <w:marTop w:val="0"/>
      <w:marBottom w:val="0"/>
      <w:divBdr>
        <w:top w:val="none" w:sz="0" w:space="0" w:color="auto"/>
        <w:left w:val="none" w:sz="0" w:space="0" w:color="auto"/>
        <w:bottom w:val="none" w:sz="0" w:space="0" w:color="auto"/>
        <w:right w:val="none" w:sz="0" w:space="0" w:color="auto"/>
      </w:divBdr>
    </w:div>
    <w:div w:id="1320692756">
      <w:bodyDiv w:val="1"/>
      <w:marLeft w:val="0"/>
      <w:marRight w:val="0"/>
      <w:marTop w:val="0"/>
      <w:marBottom w:val="0"/>
      <w:divBdr>
        <w:top w:val="none" w:sz="0" w:space="0" w:color="auto"/>
        <w:left w:val="none" w:sz="0" w:space="0" w:color="auto"/>
        <w:bottom w:val="none" w:sz="0" w:space="0" w:color="auto"/>
        <w:right w:val="none" w:sz="0" w:space="0" w:color="auto"/>
      </w:divBdr>
    </w:div>
    <w:div w:id="1322660561">
      <w:bodyDiv w:val="1"/>
      <w:marLeft w:val="0"/>
      <w:marRight w:val="0"/>
      <w:marTop w:val="0"/>
      <w:marBottom w:val="0"/>
      <w:divBdr>
        <w:top w:val="none" w:sz="0" w:space="0" w:color="auto"/>
        <w:left w:val="none" w:sz="0" w:space="0" w:color="auto"/>
        <w:bottom w:val="none" w:sz="0" w:space="0" w:color="auto"/>
        <w:right w:val="none" w:sz="0" w:space="0" w:color="auto"/>
      </w:divBdr>
    </w:div>
    <w:div w:id="1330937816">
      <w:bodyDiv w:val="1"/>
      <w:marLeft w:val="0"/>
      <w:marRight w:val="0"/>
      <w:marTop w:val="0"/>
      <w:marBottom w:val="0"/>
      <w:divBdr>
        <w:top w:val="none" w:sz="0" w:space="0" w:color="auto"/>
        <w:left w:val="none" w:sz="0" w:space="0" w:color="auto"/>
        <w:bottom w:val="none" w:sz="0" w:space="0" w:color="auto"/>
        <w:right w:val="none" w:sz="0" w:space="0" w:color="auto"/>
      </w:divBdr>
    </w:div>
    <w:div w:id="1342779115">
      <w:bodyDiv w:val="1"/>
      <w:marLeft w:val="0"/>
      <w:marRight w:val="0"/>
      <w:marTop w:val="0"/>
      <w:marBottom w:val="0"/>
      <w:divBdr>
        <w:top w:val="none" w:sz="0" w:space="0" w:color="auto"/>
        <w:left w:val="none" w:sz="0" w:space="0" w:color="auto"/>
        <w:bottom w:val="none" w:sz="0" w:space="0" w:color="auto"/>
        <w:right w:val="none" w:sz="0" w:space="0" w:color="auto"/>
      </w:divBdr>
    </w:div>
    <w:div w:id="1346056738">
      <w:bodyDiv w:val="1"/>
      <w:marLeft w:val="0"/>
      <w:marRight w:val="0"/>
      <w:marTop w:val="0"/>
      <w:marBottom w:val="0"/>
      <w:divBdr>
        <w:top w:val="none" w:sz="0" w:space="0" w:color="auto"/>
        <w:left w:val="none" w:sz="0" w:space="0" w:color="auto"/>
        <w:bottom w:val="none" w:sz="0" w:space="0" w:color="auto"/>
        <w:right w:val="none" w:sz="0" w:space="0" w:color="auto"/>
      </w:divBdr>
      <w:divsChild>
        <w:div w:id="1018391488">
          <w:marLeft w:val="0"/>
          <w:marRight w:val="0"/>
          <w:marTop w:val="0"/>
          <w:marBottom w:val="0"/>
          <w:divBdr>
            <w:top w:val="none" w:sz="0" w:space="0" w:color="auto"/>
            <w:left w:val="none" w:sz="0" w:space="0" w:color="auto"/>
            <w:bottom w:val="none" w:sz="0" w:space="0" w:color="auto"/>
            <w:right w:val="none" w:sz="0" w:space="0" w:color="auto"/>
          </w:divBdr>
          <w:divsChild>
            <w:div w:id="2133353684">
              <w:marLeft w:val="0"/>
              <w:marRight w:val="0"/>
              <w:marTop w:val="0"/>
              <w:marBottom w:val="0"/>
              <w:divBdr>
                <w:top w:val="none" w:sz="0" w:space="0" w:color="auto"/>
                <w:left w:val="none" w:sz="0" w:space="0" w:color="auto"/>
                <w:bottom w:val="none" w:sz="0" w:space="0" w:color="auto"/>
                <w:right w:val="none" w:sz="0" w:space="0" w:color="auto"/>
              </w:divBdr>
              <w:divsChild>
                <w:div w:id="10309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4003">
      <w:bodyDiv w:val="1"/>
      <w:marLeft w:val="0"/>
      <w:marRight w:val="0"/>
      <w:marTop w:val="0"/>
      <w:marBottom w:val="0"/>
      <w:divBdr>
        <w:top w:val="none" w:sz="0" w:space="0" w:color="auto"/>
        <w:left w:val="none" w:sz="0" w:space="0" w:color="auto"/>
        <w:bottom w:val="none" w:sz="0" w:space="0" w:color="auto"/>
        <w:right w:val="none" w:sz="0" w:space="0" w:color="auto"/>
      </w:divBdr>
    </w:div>
    <w:div w:id="1395545875">
      <w:bodyDiv w:val="1"/>
      <w:marLeft w:val="0"/>
      <w:marRight w:val="0"/>
      <w:marTop w:val="0"/>
      <w:marBottom w:val="0"/>
      <w:divBdr>
        <w:top w:val="none" w:sz="0" w:space="0" w:color="auto"/>
        <w:left w:val="none" w:sz="0" w:space="0" w:color="auto"/>
        <w:bottom w:val="none" w:sz="0" w:space="0" w:color="auto"/>
        <w:right w:val="none" w:sz="0" w:space="0" w:color="auto"/>
      </w:divBdr>
    </w:div>
    <w:div w:id="1399547513">
      <w:bodyDiv w:val="1"/>
      <w:marLeft w:val="0"/>
      <w:marRight w:val="0"/>
      <w:marTop w:val="0"/>
      <w:marBottom w:val="0"/>
      <w:divBdr>
        <w:top w:val="none" w:sz="0" w:space="0" w:color="auto"/>
        <w:left w:val="none" w:sz="0" w:space="0" w:color="auto"/>
        <w:bottom w:val="none" w:sz="0" w:space="0" w:color="auto"/>
        <w:right w:val="none" w:sz="0" w:space="0" w:color="auto"/>
      </w:divBdr>
      <w:divsChild>
        <w:div w:id="246039128">
          <w:marLeft w:val="0"/>
          <w:marRight w:val="0"/>
          <w:marTop w:val="0"/>
          <w:marBottom w:val="0"/>
          <w:divBdr>
            <w:top w:val="none" w:sz="0" w:space="0" w:color="auto"/>
            <w:left w:val="none" w:sz="0" w:space="0" w:color="auto"/>
            <w:bottom w:val="none" w:sz="0" w:space="0" w:color="auto"/>
            <w:right w:val="none" w:sz="0" w:space="0" w:color="auto"/>
          </w:divBdr>
          <w:divsChild>
            <w:div w:id="1056464576">
              <w:marLeft w:val="0"/>
              <w:marRight w:val="0"/>
              <w:marTop w:val="0"/>
              <w:marBottom w:val="0"/>
              <w:divBdr>
                <w:top w:val="none" w:sz="0" w:space="0" w:color="auto"/>
                <w:left w:val="none" w:sz="0" w:space="0" w:color="auto"/>
                <w:bottom w:val="none" w:sz="0" w:space="0" w:color="auto"/>
                <w:right w:val="none" w:sz="0" w:space="0" w:color="auto"/>
              </w:divBdr>
              <w:divsChild>
                <w:div w:id="11976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0615">
      <w:bodyDiv w:val="1"/>
      <w:marLeft w:val="0"/>
      <w:marRight w:val="0"/>
      <w:marTop w:val="0"/>
      <w:marBottom w:val="0"/>
      <w:divBdr>
        <w:top w:val="none" w:sz="0" w:space="0" w:color="auto"/>
        <w:left w:val="none" w:sz="0" w:space="0" w:color="auto"/>
        <w:bottom w:val="none" w:sz="0" w:space="0" w:color="auto"/>
        <w:right w:val="none" w:sz="0" w:space="0" w:color="auto"/>
      </w:divBdr>
    </w:div>
    <w:div w:id="1423527104">
      <w:bodyDiv w:val="1"/>
      <w:marLeft w:val="0"/>
      <w:marRight w:val="0"/>
      <w:marTop w:val="0"/>
      <w:marBottom w:val="0"/>
      <w:divBdr>
        <w:top w:val="none" w:sz="0" w:space="0" w:color="auto"/>
        <w:left w:val="none" w:sz="0" w:space="0" w:color="auto"/>
        <w:bottom w:val="none" w:sz="0" w:space="0" w:color="auto"/>
        <w:right w:val="none" w:sz="0" w:space="0" w:color="auto"/>
      </w:divBdr>
    </w:div>
    <w:div w:id="1425766008">
      <w:bodyDiv w:val="1"/>
      <w:marLeft w:val="0"/>
      <w:marRight w:val="0"/>
      <w:marTop w:val="0"/>
      <w:marBottom w:val="0"/>
      <w:divBdr>
        <w:top w:val="none" w:sz="0" w:space="0" w:color="auto"/>
        <w:left w:val="none" w:sz="0" w:space="0" w:color="auto"/>
        <w:bottom w:val="none" w:sz="0" w:space="0" w:color="auto"/>
        <w:right w:val="none" w:sz="0" w:space="0" w:color="auto"/>
      </w:divBdr>
    </w:div>
    <w:div w:id="1432776784">
      <w:bodyDiv w:val="1"/>
      <w:marLeft w:val="0"/>
      <w:marRight w:val="0"/>
      <w:marTop w:val="0"/>
      <w:marBottom w:val="0"/>
      <w:divBdr>
        <w:top w:val="none" w:sz="0" w:space="0" w:color="auto"/>
        <w:left w:val="none" w:sz="0" w:space="0" w:color="auto"/>
        <w:bottom w:val="none" w:sz="0" w:space="0" w:color="auto"/>
        <w:right w:val="none" w:sz="0" w:space="0" w:color="auto"/>
      </w:divBdr>
    </w:div>
    <w:div w:id="1453010363">
      <w:bodyDiv w:val="1"/>
      <w:marLeft w:val="0"/>
      <w:marRight w:val="0"/>
      <w:marTop w:val="0"/>
      <w:marBottom w:val="0"/>
      <w:divBdr>
        <w:top w:val="none" w:sz="0" w:space="0" w:color="auto"/>
        <w:left w:val="none" w:sz="0" w:space="0" w:color="auto"/>
        <w:bottom w:val="none" w:sz="0" w:space="0" w:color="auto"/>
        <w:right w:val="none" w:sz="0" w:space="0" w:color="auto"/>
      </w:divBdr>
    </w:div>
    <w:div w:id="1459566009">
      <w:bodyDiv w:val="1"/>
      <w:marLeft w:val="0"/>
      <w:marRight w:val="0"/>
      <w:marTop w:val="0"/>
      <w:marBottom w:val="0"/>
      <w:divBdr>
        <w:top w:val="none" w:sz="0" w:space="0" w:color="auto"/>
        <w:left w:val="none" w:sz="0" w:space="0" w:color="auto"/>
        <w:bottom w:val="none" w:sz="0" w:space="0" w:color="auto"/>
        <w:right w:val="none" w:sz="0" w:space="0" w:color="auto"/>
      </w:divBdr>
    </w:div>
    <w:div w:id="1462992051">
      <w:bodyDiv w:val="1"/>
      <w:marLeft w:val="0"/>
      <w:marRight w:val="0"/>
      <w:marTop w:val="0"/>
      <w:marBottom w:val="0"/>
      <w:divBdr>
        <w:top w:val="none" w:sz="0" w:space="0" w:color="auto"/>
        <w:left w:val="none" w:sz="0" w:space="0" w:color="auto"/>
        <w:bottom w:val="none" w:sz="0" w:space="0" w:color="auto"/>
        <w:right w:val="none" w:sz="0" w:space="0" w:color="auto"/>
      </w:divBdr>
    </w:div>
    <w:div w:id="1464347962">
      <w:bodyDiv w:val="1"/>
      <w:marLeft w:val="0"/>
      <w:marRight w:val="0"/>
      <w:marTop w:val="0"/>
      <w:marBottom w:val="0"/>
      <w:divBdr>
        <w:top w:val="none" w:sz="0" w:space="0" w:color="auto"/>
        <w:left w:val="none" w:sz="0" w:space="0" w:color="auto"/>
        <w:bottom w:val="none" w:sz="0" w:space="0" w:color="auto"/>
        <w:right w:val="none" w:sz="0" w:space="0" w:color="auto"/>
      </w:divBdr>
      <w:divsChild>
        <w:div w:id="279076089">
          <w:marLeft w:val="0"/>
          <w:marRight w:val="0"/>
          <w:marTop w:val="0"/>
          <w:marBottom w:val="0"/>
          <w:divBdr>
            <w:top w:val="single" w:sz="18" w:space="4" w:color="006FCA"/>
            <w:left w:val="single" w:sz="18" w:space="4" w:color="006FCA"/>
            <w:bottom w:val="single" w:sz="18" w:space="4" w:color="006FCA"/>
            <w:right w:val="single" w:sz="18" w:space="4" w:color="006FCA"/>
          </w:divBdr>
          <w:divsChild>
            <w:div w:id="448596002">
              <w:marLeft w:val="0"/>
              <w:marRight w:val="0"/>
              <w:marTop w:val="0"/>
              <w:marBottom w:val="0"/>
              <w:divBdr>
                <w:top w:val="none" w:sz="0" w:space="0" w:color="auto"/>
                <w:left w:val="none" w:sz="0" w:space="0" w:color="auto"/>
                <w:bottom w:val="none" w:sz="0" w:space="0" w:color="auto"/>
                <w:right w:val="none" w:sz="0" w:space="0" w:color="auto"/>
              </w:divBdr>
              <w:divsChild>
                <w:div w:id="1469856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87476496">
      <w:bodyDiv w:val="1"/>
      <w:marLeft w:val="0"/>
      <w:marRight w:val="0"/>
      <w:marTop w:val="0"/>
      <w:marBottom w:val="0"/>
      <w:divBdr>
        <w:top w:val="none" w:sz="0" w:space="0" w:color="auto"/>
        <w:left w:val="none" w:sz="0" w:space="0" w:color="auto"/>
        <w:bottom w:val="none" w:sz="0" w:space="0" w:color="auto"/>
        <w:right w:val="none" w:sz="0" w:space="0" w:color="auto"/>
      </w:divBdr>
    </w:div>
    <w:div w:id="1494645839">
      <w:bodyDiv w:val="1"/>
      <w:marLeft w:val="0"/>
      <w:marRight w:val="0"/>
      <w:marTop w:val="0"/>
      <w:marBottom w:val="0"/>
      <w:divBdr>
        <w:top w:val="none" w:sz="0" w:space="0" w:color="auto"/>
        <w:left w:val="none" w:sz="0" w:space="0" w:color="auto"/>
        <w:bottom w:val="none" w:sz="0" w:space="0" w:color="auto"/>
        <w:right w:val="none" w:sz="0" w:space="0" w:color="auto"/>
      </w:divBdr>
      <w:divsChild>
        <w:div w:id="169177622">
          <w:marLeft w:val="0"/>
          <w:marRight w:val="0"/>
          <w:marTop w:val="0"/>
          <w:marBottom w:val="0"/>
          <w:divBdr>
            <w:top w:val="single" w:sz="18" w:space="4" w:color="006FCA"/>
            <w:left w:val="single" w:sz="18" w:space="4" w:color="006FCA"/>
            <w:bottom w:val="single" w:sz="18" w:space="4" w:color="006FCA"/>
            <w:right w:val="single" w:sz="18" w:space="4" w:color="006FCA"/>
          </w:divBdr>
          <w:divsChild>
            <w:div w:id="340863136">
              <w:marLeft w:val="0"/>
              <w:marRight w:val="0"/>
              <w:marTop w:val="0"/>
              <w:marBottom w:val="0"/>
              <w:divBdr>
                <w:top w:val="none" w:sz="0" w:space="0" w:color="auto"/>
                <w:left w:val="none" w:sz="0" w:space="0" w:color="auto"/>
                <w:bottom w:val="none" w:sz="0" w:space="0" w:color="auto"/>
                <w:right w:val="none" w:sz="0" w:space="0" w:color="auto"/>
              </w:divBdr>
              <w:divsChild>
                <w:div w:id="1118992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2723940">
      <w:bodyDiv w:val="1"/>
      <w:marLeft w:val="0"/>
      <w:marRight w:val="0"/>
      <w:marTop w:val="0"/>
      <w:marBottom w:val="0"/>
      <w:divBdr>
        <w:top w:val="none" w:sz="0" w:space="0" w:color="auto"/>
        <w:left w:val="none" w:sz="0" w:space="0" w:color="auto"/>
        <w:bottom w:val="none" w:sz="0" w:space="0" w:color="auto"/>
        <w:right w:val="none" w:sz="0" w:space="0" w:color="auto"/>
      </w:divBdr>
    </w:div>
    <w:div w:id="1515998632">
      <w:bodyDiv w:val="1"/>
      <w:marLeft w:val="0"/>
      <w:marRight w:val="0"/>
      <w:marTop w:val="0"/>
      <w:marBottom w:val="0"/>
      <w:divBdr>
        <w:top w:val="none" w:sz="0" w:space="0" w:color="auto"/>
        <w:left w:val="none" w:sz="0" w:space="0" w:color="auto"/>
        <w:bottom w:val="none" w:sz="0" w:space="0" w:color="auto"/>
        <w:right w:val="none" w:sz="0" w:space="0" w:color="auto"/>
      </w:divBdr>
    </w:div>
    <w:div w:id="1523392754">
      <w:bodyDiv w:val="1"/>
      <w:marLeft w:val="0"/>
      <w:marRight w:val="0"/>
      <w:marTop w:val="0"/>
      <w:marBottom w:val="0"/>
      <w:divBdr>
        <w:top w:val="none" w:sz="0" w:space="0" w:color="auto"/>
        <w:left w:val="none" w:sz="0" w:space="0" w:color="auto"/>
        <w:bottom w:val="none" w:sz="0" w:space="0" w:color="auto"/>
        <w:right w:val="none" w:sz="0" w:space="0" w:color="auto"/>
      </w:divBdr>
    </w:div>
    <w:div w:id="1535581174">
      <w:bodyDiv w:val="1"/>
      <w:marLeft w:val="0"/>
      <w:marRight w:val="0"/>
      <w:marTop w:val="0"/>
      <w:marBottom w:val="0"/>
      <w:divBdr>
        <w:top w:val="none" w:sz="0" w:space="0" w:color="auto"/>
        <w:left w:val="none" w:sz="0" w:space="0" w:color="auto"/>
        <w:bottom w:val="none" w:sz="0" w:space="0" w:color="auto"/>
        <w:right w:val="none" w:sz="0" w:space="0" w:color="auto"/>
      </w:divBdr>
    </w:div>
    <w:div w:id="1535725685">
      <w:bodyDiv w:val="1"/>
      <w:marLeft w:val="0"/>
      <w:marRight w:val="0"/>
      <w:marTop w:val="0"/>
      <w:marBottom w:val="0"/>
      <w:divBdr>
        <w:top w:val="none" w:sz="0" w:space="0" w:color="auto"/>
        <w:left w:val="none" w:sz="0" w:space="0" w:color="auto"/>
        <w:bottom w:val="none" w:sz="0" w:space="0" w:color="auto"/>
        <w:right w:val="none" w:sz="0" w:space="0" w:color="auto"/>
      </w:divBdr>
    </w:div>
    <w:div w:id="1537812872">
      <w:bodyDiv w:val="1"/>
      <w:marLeft w:val="0"/>
      <w:marRight w:val="0"/>
      <w:marTop w:val="0"/>
      <w:marBottom w:val="0"/>
      <w:divBdr>
        <w:top w:val="none" w:sz="0" w:space="0" w:color="auto"/>
        <w:left w:val="none" w:sz="0" w:space="0" w:color="auto"/>
        <w:bottom w:val="none" w:sz="0" w:space="0" w:color="auto"/>
        <w:right w:val="none" w:sz="0" w:space="0" w:color="auto"/>
      </w:divBdr>
      <w:divsChild>
        <w:div w:id="81993089">
          <w:marLeft w:val="0"/>
          <w:marRight w:val="0"/>
          <w:marTop w:val="0"/>
          <w:marBottom w:val="0"/>
          <w:divBdr>
            <w:top w:val="none" w:sz="0" w:space="0" w:color="auto"/>
            <w:left w:val="none" w:sz="0" w:space="0" w:color="auto"/>
            <w:bottom w:val="none" w:sz="0" w:space="0" w:color="auto"/>
            <w:right w:val="none" w:sz="0" w:space="0" w:color="auto"/>
          </w:divBdr>
        </w:div>
      </w:divsChild>
    </w:div>
    <w:div w:id="1539506295">
      <w:bodyDiv w:val="1"/>
      <w:marLeft w:val="0"/>
      <w:marRight w:val="0"/>
      <w:marTop w:val="0"/>
      <w:marBottom w:val="0"/>
      <w:divBdr>
        <w:top w:val="none" w:sz="0" w:space="0" w:color="auto"/>
        <w:left w:val="none" w:sz="0" w:space="0" w:color="auto"/>
        <w:bottom w:val="none" w:sz="0" w:space="0" w:color="auto"/>
        <w:right w:val="none" w:sz="0" w:space="0" w:color="auto"/>
      </w:divBdr>
    </w:div>
    <w:div w:id="1540895083">
      <w:bodyDiv w:val="1"/>
      <w:marLeft w:val="0"/>
      <w:marRight w:val="0"/>
      <w:marTop w:val="0"/>
      <w:marBottom w:val="0"/>
      <w:divBdr>
        <w:top w:val="none" w:sz="0" w:space="0" w:color="auto"/>
        <w:left w:val="none" w:sz="0" w:space="0" w:color="auto"/>
        <w:bottom w:val="none" w:sz="0" w:space="0" w:color="auto"/>
        <w:right w:val="none" w:sz="0" w:space="0" w:color="auto"/>
      </w:divBdr>
    </w:div>
    <w:div w:id="1543901122">
      <w:bodyDiv w:val="1"/>
      <w:marLeft w:val="0"/>
      <w:marRight w:val="0"/>
      <w:marTop w:val="0"/>
      <w:marBottom w:val="0"/>
      <w:divBdr>
        <w:top w:val="none" w:sz="0" w:space="0" w:color="auto"/>
        <w:left w:val="none" w:sz="0" w:space="0" w:color="auto"/>
        <w:bottom w:val="none" w:sz="0" w:space="0" w:color="auto"/>
        <w:right w:val="none" w:sz="0" w:space="0" w:color="auto"/>
      </w:divBdr>
    </w:div>
    <w:div w:id="1548375583">
      <w:bodyDiv w:val="1"/>
      <w:marLeft w:val="0"/>
      <w:marRight w:val="0"/>
      <w:marTop w:val="0"/>
      <w:marBottom w:val="0"/>
      <w:divBdr>
        <w:top w:val="none" w:sz="0" w:space="0" w:color="auto"/>
        <w:left w:val="none" w:sz="0" w:space="0" w:color="auto"/>
        <w:bottom w:val="none" w:sz="0" w:space="0" w:color="auto"/>
        <w:right w:val="none" w:sz="0" w:space="0" w:color="auto"/>
      </w:divBdr>
    </w:div>
    <w:div w:id="1568615148">
      <w:bodyDiv w:val="1"/>
      <w:marLeft w:val="0"/>
      <w:marRight w:val="0"/>
      <w:marTop w:val="0"/>
      <w:marBottom w:val="0"/>
      <w:divBdr>
        <w:top w:val="none" w:sz="0" w:space="0" w:color="auto"/>
        <w:left w:val="none" w:sz="0" w:space="0" w:color="auto"/>
        <w:bottom w:val="none" w:sz="0" w:space="0" w:color="auto"/>
        <w:right w:val="none" w:sz="0" w:space="0" w:color="auto"/>
      </w:divBdr>
      <w:divsChild>
        <w:div w:id="1148129624">
          <w:marLeft w:val="0"/>
          <w:marRight w:val="0"/>
          <w:marTop w:val="0"/>
          <w:marBottom w:val="195"/>
          <w:divBdr>
            <w:top w:val="none" w:sz="0" w:space="0" w:color="auto"/>
            <w:left w:val="none" w:sz="0" w:space="0" w:color="auto"/>
            <w:bottom w:val="none" w:sz="0" w:space="0" w:color="auto"/>
            <w:right w:val="none" w:sz="0" w:space="0" w:color="auto"/>
          </w:divBdr>
        </w:div>
      </w:divsChild>
    </w:div>
    <w:div w:id="1587302837">
      <w:bodyDiv w:val="1"/>
      <w:marLeft w:val="0"/>
      <w:marRight w:val="0"/>
      <w:marTop w:val="0"/>
      <w:marBottom w:val="0"/>
      <w:divBdr>
        <w:top w:val="none" w:sz="0" w:space="0" w:color="auto"/>
        <w:left w:val="none" w:sz="0" w:space="0" w:color="auto"/>
        <w:bottom w:val="none" w:sz="0" w:space="0" w:color="auto"/>
        <w:right w:val="none" w:sz="0" w:space="0" w:color="auto"/>
      </w:divBdr>
    </w:div>
    <w:div w:id="1593514553">
      <w:bodyDiv w:val="1"/>
      <w:marLeft w:val="0"/>
      <w:marRight w:val="0"/>
      <w:marTop w:val="0"/>
      <w:marBottom w:val="0"/>
      <w:divBdr>
        <w:top w:val="none" w:sz="0" w:space="0" w:color="auto"/>
        <w:left w:val="none" w:sz="0" w:space="0" w:color="auto"/>
        <w:bottom w:val="none" w:sz="0" w:space="0" w:color="auto"/>
        <w:right w:val="none" w:sz="0" w:space="0" w:color="auto"/>
      </w:divBdr>
    </w:div>
    <w:div w:id="1595357163">
      <w:bodyDiv w:val="1"/>
      <w:marLeft w:val="0"/>
      <w:marRight w:val="0"/>
      <w:marTop w:val="0"/>
      <w:marBottom w:val="0"/>
      <w:divBdr>
        <w:top w:val="none" w:sz="0" w:space="0" w:color="auto"/>
        <w:left w:val="none" w:sz="0" w:space="0" w:color="auto"/>
        <w:bottom w:val="none" w:sz="0" w:space="0" w:color="auto"/>
        <w:right w:val="none" w:sz="0" w:space="0" w:color="auto"/>
      </w:divBdr>
    </w:div>
    <w:div w:id="1597008934">
      <w:bodyDiv w:val="1"/>
      <w:marLeft w:val="0"/>
      <w:marRight w:val="0"/>
      <w:marTop w:val="0"/>
      <w:marBottom w:val="0"/>
      <w:divBdr>
        <w:top w:val="none" w:sz="0" w:space="0" w:color="auto"/>
        <w:left w:val="none" w:sz="0" w:space="0" w:color="auto"/>
        <w:bottom w:val="none" w:sz="0" w:space="0" w:color="auto"/>
        <w:right w:val="none" w:sz="0" w:space="0" w:color="auto"/>
      </w:divBdr>
    </w:div>
    <w:div w:id="1603295141">
      <w:bodyDiv w:val="1"/>
      <w:marLeft w:val="0"/>
      <w:marRight w:val="0"/>
      <w:marTop w:val="0"/>
      <w:marBottom w:val="0"/>
      <w:divBdr>
        <w:top w:val="none" w:sz="0" w:space="0" w:color="auto"/>
        <w:left w:val="none" w:sz="0" w:space="0" w:color="auto"/>
        <w:bottom w:val="none" w:sz="0" w:space="0" w:color="auto"/>
        <w:right w:val="none" w:sz="0" w:space="0" w:color="auto"/>
      </w:divBdr>
    </w:div>
    <w:div w:id="1603413861">
      <w:bodyDiv w:val="1"/>
      <w:marLeft w:val="0"/>
      <w:marRight w:val="0"/>
      <w:marTop w:val="0"/>
      <w:marBottom w:val="0"/>
      <w:divBdr>
        <w:top w:val="none" w:sz="0" w:space="0" w:color="auto"/>
        <w:left w:val="none" w:sz="0" w:space="0" w:color="auto"/>
        <w:bottom w:val="none" w:sz="0" w:space="0" w:color="auto"/>
        <w:right w:val="none" w:sz="0" w:space="0" w:color="auto"/>
      </w:divBdr>
    </w:div>
    <w:div w:id="1611006006">
      <w:bodyDiv w:val="1"/>
      <w:marLeft w:val="0"/>
      <w:marRight w:val="0"/>
      <w:marTop w:val="0"/>
      <w:marBottom w:val="0"/>
      <w:divBdr>
        <w:top w:val="none" w:sz="0" w:space="0" w:color="auto"/>
        <w:left w:val="none" w:sz="0" w:space="0" w:color="auto"/>
        <w:bottom w:val="none" w:sz="0" w:space="0" w:color="auto"/>
        <w:right w:val="none" w:sz="0" w:space="0" w:color="auto"/>
      </w:divBdr>
      <w:divsChild>
        <w:div w:id="1244951579">
          <w:marLeft w:val="0"/>
          <w:marRight w:val="0"/>
          <w:marTop w:val="0"/>
          <w:marBottom w:val="0"/>
          <w:divBdr>
            <w:top w:val="none" w:sz="0" w:space="0" w:color="auto"/>
            <w:left w:val="none" w:sz="0" w:space="0" w:color="auto"/>
            <w:bottom w:val="none" w:sz="0" w:space="0" w:color="auto"/>
            <w:right w:val="none" w:sz="0" w:space="0" w:color="auto"/>
          </w:divBdr>
          <w:divsChild>
            <w:div w:id="1480345623">
              <w:marLeft w:val="0"/>
              <w:marRight w:val="0"/>
              <w:marTop w:val="0"/>
              <w:marBottom w:val="0"/>
              <w:divBdr>
                <w:top w:val="none" w:sz="0" w:space="0" w:color="auto"/>
                <w:left w:val="none" w:sz="0" w:space="0" w:color="auto"/>
                <w:bottom w:val="none" w:sz="0" w:space="0" w:color="auto"/>
                <w:right w:val="none" w:sz="0" w:space="0" w:color="auto"/>
              </w:divBdr>
              <w:divsChild>
                <w:div w:id="796722922">
                  <w:marLeft w:val="0"/>
                  <w:marRight w:val="0"/>
                  <w:marTop w:val="0"/>
                  <w:marBottom w:val="0"/>
                  <w:divBdr>
                    <w:top w:val="none" w:sz="0" w:space="0" w:color="auto"/>
                    <w:left w:val="none" w:sz="0" w:space="0" w:color="auto"/>
                    <w:bottom w:val="none" w:sz="0" w:space="0" w:color="auto"/>
                    <w:right w:val="none" w:sz="0" w:space="0" w:color="auto"/>
                  </w:divBdr>
                  <w:divsChild>
                    <w:div w:id="66079764">
                      <w:marLeft w:val="0"/>
                      <w:marRight w:val="0"/>
                      <w:marTop w:val="0"/>
                      <w:marBottom w:val="0"/>
                      <w:divBdr>
                        <w:top w:val="none" w:sz="0" w:space="0" w:color="auto"/>
                        <w:left w:val="none" w:sz="0" w:space="0" w:color="auto"/>
                        <w:bottom w:val="none" w:sz="0" w:space="0" w:color="auto"/>
                        <w:right w:val="none" w:sz="0" w:space="0" w:color="auto"/>
                      </w:divBdr>
                    </w:div>
                  </w:divsChild>
                </w:div>
                <w:div w:id="1050228918">
                  <w:marLeft w:val="0"/>
                  <w:marRight w:val="0"/>
                  <w:marTop w:val="0"/>
                  <w:marBottom w:val="0"/>
                  <w:divBdr>
                    <w:top w:val="none" w:sz="0" w:space="0" w:color="auto"/>
                    <w:left w:val="none" w:sz="0" w:space="0" w:color="auto"/>
                    <w:bottom w:val="none" w:sz="0" w:space="0" w:color="auto"/>
                    <w:right w:val="none" w:sz="0" w:space="0" w:color="auto"/>
                  </w:divBdr>
                  <w:divsChild>
                    <w:div w:id="411321414">
                      <w:marLeft w:val="0"/>
                      <w:marRight w:val="0"/>
                      <w:marTop w:val="0"/>
                      <w:marBottom w:val="0"/>
                      <w:divBdr>
                        <w:top w:val="none" w:sz="0" w:space="0" w:color="auto"/>
                        <w:left w:val="none" w:sz="0" w:space="0" w:color="auto"/>
                        <w:bottom w:val="none" w:sz="0" w:space="0" w:color="auto"/>
                        <w:right w:val="none" w:sz="0" w:space="0" w:color="auto"/>
                      </w:divBdr>
                    </w:div>
                  </w:divsChild>
                </w:div>
                <w:div w:id="1065448610">
                  <w:marLeft w:val="0"/>
                  <w:marRight w:val="0"/>
                  <w:marTop w:val="0"/>
                  <w:marBottom w:val="0"/>
                  <w:divBdr>
                    <w:top w:val="none" w:sz="0" w:space="0" w:color="auto"/>
                    <w:left w:val="none" w:sz="0" w:space="0" w:color="auto"/>
                    <w:bottom w:val="none" w:sz="0" w:space="0" w:color="auto"/>
                    <w:right w:val="none" w:sz="0" w:space="0" w:color="auto"/>
                  </w:divBdr>
                  <w:divsChild>
                    <w:div w:id="343437732">
                      <w:marLeft w:val="0"/>
                      <w:marRight w:val="0"/>
                      <w:marTop w:val="0"/>
                      <w:marBottom w:val="0"/>
                      <w:divBdr>
                        <w:top w:val="none" w:sz="0" w:space="0" w:color="auto"/>
                        <w:left w:val="none" w:sz="0" w:space="0" w:color="auto"/>
                        <w:bottom w:val="none" w:sz="0" w:space="0" w:color="auto"/>
                        <w:right w:val="none" w:sz="0" w:space="0" w:color="auto"/>
                      </w:divBdr>
                    </w:div>
                  </w:divsChild>
                </w:div>
                <w:div w:id="1427383826">
                  <w:marLeft w:val="0"/>
                  <w:marRight w:val="0"/>
                  <w:marTop w:val="0"/>
                  <w:marBottom w:val="0"/>
                  <w:divBdr>
                    <w:top w:val="none" w:sz="0" w:space="0" w:color="auto"/>
                    <w:left w:val="none" w:sz="0" w:space="0" w:color="auto"/>
                    <w:bottom w:val="none" w:sz="0" w:space="0" w:color="auto"/>
                    <w:right w:val="none" w:sz="0" w:space="0" w:color="auto"/>
                  </w:divBdr>
                  <w:divsChild>
                    <w:div w:id="362026144">
                      <w:marLeft w:val="0"/>
                      <w:marRight w:val="0"/>
                      <w:marTop w:val="0"/>
                      <w:marBottom w:val="0"/>
                      <w:divBdr>
                        <w:top w:val="none" w:sz="0" w:space="0" w:color="auto"/>
                        <w:left w:val="none" w:sz="0" w:space="0" w:color="auto"/>
                        <w:bottom w:val="none" w:sz="0" w:space="0" w:color="auto"/>
                        <w:right w:val="none" w:sz="0" w:space="0" w:color="auto"/>
                      </w:divBdr>
                    </w:div>
                  </w:divsChild>
                </w:div>
                <w:div w:id="2108041162">
                  <w:marLeft w:val="0"/>
                  <w:marRight w:val="0"/>
                  <w:marTop w:val="0"/>
                  <w:marBottom w:val="0"/>
                  <w:divBdr>
                    <w:top w:val="none" w:sz="0" w:space="0" w:color="auto"/>
                    <w:left w:val="none" w:sz="0" w:space="0" w:color="auto"/>
                    <w:bottom w:val="none" w:sz="0" w:space="0" w:color="auto"/>
                    <w:right w:val="none" w:sz="0" w:space="0" w:color="auto"/>
                  </w:divBdr>
                  <w:divsChild>
                    <w:div w:id="6579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7402">
      <w:bodyDiv w:val="1"/>
      <w:marLeft w:val="0"/>
      <w:marRight w:val="0"/>
      <w:marTop w:val="0"/>
      <w:marBottom w:val="0"/>
      <w:divBdr>
        <w:top w:val="none" w:sz="0" w:space="0" w:color="auto"/>
        <w:left w:val="none" w:sz="0" w:space="0" w:color="auto"/>
        <w:bottom w:val="none" w:sz="0" w:space="0" w:color="auto"/>
        <w:right w:val="none" w:sz="0" w:space="0" w:color="auto"/>
      </w:divBdr>
    </w:div>
    <w:div w:id="1622807110">
      <w:bodyDiv w:val="1"/>
      <w:marLeft w:val="0"/>
      <w:marRight w:val="0"/>
      <w:marTop w:val="0"/>
      <w:marBottom w:val="0"/>
      <w:divBdr>
        <w:top w:val="none" w:sz="0" w:space="0" w:color="auto"/>
        <w:left w:val="none" w:sz="0" w:space="0" w:color="auto"/>
        <w:bottom w:val="none" w:sz="0" w:space="0" w:color="auto"/>
        <w:right w:val="none" w:sz="0" w:space="0" w:color="auto"/>
      </w:divBdr>
    </w:div>
    <w:div w:id="1622808013">
      <w:bodyDiv w:val="1"/>
      <w:marLeft w:val="0"/>
      <w:marRight w:val="0"/>
      <w:marTop w:val="0"/>
      <w:marBottom w:val="0"/>
      <w:divBdr>
        <w:top w:val="none" w:sz="0" w:space="0" w:color="auto"/>
        <w:left w:val="none" w:sz="0" w:space="0" w:color="auto"/>
        <w:bottom w:val="none" w:sz="0" w:space="0" w:color="auto"/>
        <w:right w:val="none" w:sz="0" w:space="0" w:color="auto"/>
      </w:divBdr>
    </w:div>
    <w:div w:id="1648820415">
      <w:bodyDiv w:val="1"/>
      <w:marLeft w:val="0"/>
      <w:marRight w:val="0"/>
      <w:marTop w:val="0"/>
      <w:marBottom w:val="0"/>
      <w:divBdr>
        <w:top w:val="none" w:sz="0" w:space="0" w:color="auto"/>
        <w:left w:val="none" w:sz="0" w:space="0" w:color="auto"/>
        <w:bottom w:val="none" w:sz="0" w:space="0" w:color="auto"/>
        <w:right w:val="none" w:sz="0" w:space="0" w:color="auto"/>
      </w:divBdr>
    </w:div>
    <w:div w:id="1660960078">
      <w:bodyDiv w:val="1"/>
      <w:marLeft w:val="0"/>
      <w:marRight w:val="0"/>
      <w:marTop w:val="0"/>
      <w:marBottom w:val="0"/>
      <w:divBdr>
        <w:top w:val="none" w:sz="0" w:space="0" w:color="auto"/>
        <w:left w:val="none" w:sz="0" w:space="0" w:color="auto"/>
        <w:bottom w:val="none" w:sz="0" w:space="0" w:color="auto"/>
        <w:right w:val="none" w:sz="0" w:space="0" w:color="auto"/>
      </w:divBdr>
      <w:divsChild>
        <w:div w:id="204603735">
          <w:marLeft w:val="475"/>
          <w:marRight w:val="0"/>
          <w:marTop w:val="96"/>
          <w:marBottom w:val="120"/>
          <w:divBdr>
            <w:top w:val="none" w:sz="0" w:space="0" w:color="auto"/>
            <w:left w:val="none" w:sz="0" w:space="0" w:color="auto"/>
            <w:bottom w:val="none" w:sz="0" w:space="0" w:color="auto"/>
            <w:right w:val="none" w:sz="0" w:space="0" w:color="auto"/>
          </w:divBdr>
        </w:div>
      </w:divsChild>
    </w:div>
    <w:div w:id="1671906319">
      <w:bodyDiv w:val="1"/>
      <w:marLeft w:val="0"/>
      <w:marRight w:val="0"/>
      <w:marTop w:val="0"/>
      <w:marBottom w:val="0"/>
      <w:divBdr>
        <w:top w:val="none" w:sz="0" w:space="0" w:color="auto"/>
        <w:left w:val="none" w:sz="0" w:space="0" w:color="auto"/>
        <w:bottom w:val="none" w:sz="0" w:space="0" w:color="auto"/>
        <w:right w:val="none" w:sz="0" w:space="0" w:color="auto"/>
      </w:divBdr>
    </w:div>
    <w:div w:id="1686859317">
      <w:bodyDiv w:val="1"/>
      <w:marLeft w:val="0"/>
      <w:marRight w:val="0"/>
      <w:marTop w:val="0"/>
      <w:marBottom w:val="0"/>
      <w:divBdr>
        <w:top w:val="none" w:sz="0" w:space="0" w:color="auto"/>
        <w:left w:val="none" w:sz="0" w:space="0" w:color="auto"/>
        <w:bottom w:val="none" w:sz="0" w:space="0" w:color="auto"/>
        <w:right w:val="none" w:sz="0" w:space="0" w:color="auto"/>
      </w:divBdr>
    </w:div>
    <w:div w:id="1689133896">
      <w:bodyDiv w:val="1"/>
      <w:marLeft w:val="0"/>
      <w:marRight w:val="0"/>
      <w:marTop w:val="0"/>
      <w:marBottom w:val="0"/>
      <w:divBdr>
        <w:top w:val="none" w:sz="0" w:space="0" w:color="auto"/>
        <w:left w:val="none" w:sz="0" w:space="0" w:color="auto"/>
        <w:bottom w:val="none" w:sz="0" w:space="0" w:color="auto"/>
        <w:right w:val="none" w:sz="0" w:space="0" w:color="auto"/>
      </w:divBdr>
      <w:divsChild>
        <w:div w:id="881281619">
          <w:marLeft w:val="0"/>
          <w:marRight w:val="0"/>
          <w:marTop w:val="0"/>
          <w:marBottom w:val="0"/>
          <w:divBdr>
            <w:top w:val="none" w:sz="0" w:space="0" w:color="auto"/>
            <w:left w:val="none" w:sz="0" w:space="0" w:color="auto"/>
            <w:bottom w:val="none" w:sz="0" w:space="0" w:color="auto"/>
            <w:right w:val="none" w:sz="0" w:space="0" w:color="auto"/>
          </w:divBdr>
          <w:divsChild>
            <w:div w:id="1560626259">
              <w:marLeft w:val="0"/>
              <w:marRight w:val="0"/>
              <w:marTop w:val="0"/>
              <w:marBottom w:val="0"/>
              <w:divBdr>
                <w:top w:val="none" w:sz="0" w:space="0" w:color="auto"/>
                <w:left w:val="none" w:sz="0" w:space="0" w:color="auto"/>
                <w:bottom w:val="none" w:sz="0" w:space="0" w:color="auto"/>
                <w:right w:val="none" w:sz="0" w:space="0" w:color="auto"/>
              </w:divBdr>
              <w:divsChild>
                <w:div w:id="17675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3942">
      <w:bodyDiv w:val="1"/>
      <w:marLeft w:val="0"/>
      <w:marRight w:val="0"/>
      <w:marTop w:val="0"/>
      <w:marBottom w:val="0"/>
      <w:divBdr>
        <w:top w:val="none" w:sz="0" w:space="0" w:color="auto"/>
        <w:left w:val="none" w:sz="0" w:space="0" w:color="auto"/>
        <w:bottom w:val="none" w:sz="0" w:space="0" w:color="auto"/>
        <w:right w:val="none" w:sz="0" w:space="0" w:color="auto"/>
      </w:divBdr>
      <w:divsChild>
        <w:div w:id="1811707401">
          <w:marLeft w:val="0"/>
          <w:marRight w:val="0"/>
          <w:marTop w:val="0"/>
          <w:marBottom w:val="0"/>
          <w:divBdr>
            <w:top w:val="none" w:sz="0" w:space="0" w:color="auto"/>
            <w:left w:val="none" w:sz="0" w:space="0" w:color="auto"/>
            <w:bottom w:val="none" w:sz="0" w:space="0" w:color="auto"/>
            <w:right w:val="none" w:sz="0" w:space="0" w:color="auto"/>
          </w:divBdr>
        </w:div>
      </w:divsChild>
    </w:div>
    <w:div w:id="1697344368">
      <w:bodyDiv w:val="1"/>
      <w:marLeft w:val="0"/>
      <w:marRight w:val="0"/>
      <w:marTop w:val="0"/>
      <w:marBottom w:val="0"/>
      <w:divBdr>
        <w:top w:val="none" w:sz="0" w:space="0" w:color="auto"/>
        <w:left w:val="none" w:sz="0" w:space="0" w:color="auto"/>
        <w:bottom w:val="none" w:sz="0" w:space="0" w:color="auto"/>
        <w:right w:val="none" w:sz="0" w:space="0" w:color="auto"/>
      </w:divBdr>
    </w:div>
    <w:div w:id="1701590109">
      <w:bodyDiv w:val="1"/>
      <w:marLeft w:val="0"/>
      <w:marRight w:val="0"/>
      <w:marTop w:val="0"/>
      <w:marBottom w:val="0"/>
      <w:divBdr>
        <w:top w:val="none" w:sz="0" w:space="0" w:color="auto"/>
        <w:left w:val="none" w:sz="0" w:space="0" w:color="auto"/>
        <w:bottom w:val="none" w:sz="0" w:space="0" w:color="auto"/>
        <w:right w:val="none" w:sz="0" w:space="0" w:color="auto"/>
      </w:divBdr>
    </w:div>
    <w:div w:id="1709598428">
      <w:bodyDiv w:val="1"/>
      <w:marLeft w:val="0"/>
      <w:marRight w:val="0"/>
      <w:marTop w:val="0"/>
      <w:marBottom w:val="0"/>
      <w:divBdr>
        <w:top w:val="none" w:sz="0" w:space="0" w:color="auto"/>
        <w:left w:val="none" w:sz="0" w:space="0" w:color="auto"/>
        <w:bottom w:val="none" w:sz="0" w:space="0" w:color="auto"/>
        <w:right w:val="none" w:sz="0" w:space="0" w:color="auto"/>
      </w:divBdr>
    </w:div>
    <w:div w:id="1724791549">
      <w:bodyDiv w:val="1"/>
      <w:marLeft w:val="0"/>
      <w:marRight w:val="0"/>
      <w:marTop w:val="0"/>
      <w:marBottom w:val="0"/>
      <w:divBdr>
        <w:top w:val="none" w:sz="0" w:space="0" w:color="auto"/>
        <w:left w:val="none" w:sz="0" w:space="0" w:color="auto"/>
        <w:bottom w:val="none" w:sz="0" w:space="0" w:color="auto"/>
        <w:right w:val="none" w:sz="0" w:space="0" w:color="auto"/>
      </w:divBdr>
    </w:div>
    <w:div w:id="1729646992">
      <w:bodyDiv w:val="1"/>
      <w:marLeft w:val="0"/>
      <w:marRight w:val="0"/>
      <w:marTop w:val="0"/>
      <w:marBottom w:val="0"/>
      <w:divBdr>
        <w:top w:val="none" w:sz="0" w:space="0" w:color="auto"/>
        <w:left w:val="none" w:sz="0" w:space="0" w:color="auto"/>
        <w:bottom w:val="none" w:sz="0" w:space="0" w:color="auto"/>
        <w:right w:val="none" w:sz="0" w:space="0" w:color="auto"/>
      </w:divBdr>
    </w:div>
    <w:div w:id="1747723903">
      <w:bodyDiv w:val="1"/>
      <w:marLeft w:val="0"/>
      <w:marRight w:val="0"/>
      <w:marTop w:val="0"/>
      <w:marBottom w:val="0"/>
      <w:divBdr>
        <w:top w:val="none" w:sz="0" w:space="0" w:color="auto"/>
        <w:left w:val="none" w:sz="0" w:space="0" w:color="auto"/>
        <w:bottom w:val="none" w:sz="0" w:space="0" w:color="auto"/>
        <w:right w:val="none" w:sz="0" w:space="0" w:color="auto"/>
      </w:divBdr>
    </w:div>
    <w:div w:id="1754468413">
      <w:bodyDiv w:val="1"/>
      <w:marLeft w:val="0"/>
      <w:marRight w:val="0"/>
      <w:marTop w:val="0"/>
      <w:marBottom w:val="0"/>
      <w:divBdr>
        <w:top w:val="none" w:sz="0" w:space="0" w:color="auto"/>
        <w:left w:val="none" w:sz="0" w:space="0" w:color="auto"/>
        <w:bottom w:val="none" w:sz="0" w:space="0" w:color="auto"/>
        <w:right w:val="none" w:sz="0" w:space="0" w:color="auto"/>
      </w:divBdr>
    </w:div>
    <w:div w:id="1778791050">
      <w:bodyDiv w:val="1"/>
      <w:marLeft w:val="0"/>
      <w:marRight w:val="0"/>
      <w:marTop w:val="0"/>
      <w:marBottom w:val="0"/>
      <w:divBdr>
        <w:top w:val="none" w:sz="0" w:space="0" w:color="auto"/>
        <w:left w:val="none" w:sz="0" w:space="0" w:color="auto"/>
        <w:bottom w:val="none" w:sz="0" w:space="0" w:color="auto"/>
        <w:right w:val="none" w:sz="0" w:space="0" w:color="auto"/>
      </w:divBdr>
      <w:divsChild>
        <w:div w:id="878707688">
          <w:marLeft w:val="0"/>
          <w:marRight w:val="0"/>
          <w:marTop w:val="0"/>
          <w:marBottom w:val="0"/>
          <w:divBdr>
            <w:top w:val="none" w:sz="0" w:space="0" w:color="auto"/>
            <w:left w:val="none" w:sz="0" w:space="0" w:color="auto"/>
            <w:bottom w:val="none" w:sz="0" w:space="0" w:color="auto"/>
            <w:right w:val="none" w:sz="0" w:space="0" w:color="auto"/>
          </w:divBdr>
        </w:div>
      </w:divsChild>
    </w:div>
    <w:div w:id="1781340379">
      <w:bodyDiv w:val="1"/>
      <w:marLeft w:val="0"/>
      <w:marRight w:val="0"/>
      <w:marTop w:val="0"/>
      <w:marBottom w:val="0"/>
      <w:divBdr>
        <w:top w:val="none" w:sz="0" w:space="0" w:color="auto"/>
        <w:left w:val="none" w:sz="0" w:space="0" w:color="auto"/>
        <w:bottom w:val="none" w:sz="0" w:space="0" w:color="auto"/>
        <w:right w:val="none" w:sz="0" w:space="0" w:color="auto"/>
      </w:divBdr>
    </w:div>
    <w:div w:id="1788305013">
      <w:bodyDiv w:val="1"/>
      <w:marLeft w:val="0"/>
      <w:marRight w:val="0"/>
      <w:marTop w:val="0"/>
      <w:marBottom w:val="0"/>
      <w:divBdr>
        <w:top w:val="none" w:sz="0" w:space="0" w:color="auto"/>
        <w:left w:val="none" w:sz="0" w:space="0" w:color="auto"/>
        <w:bottom w:val="none" w:sz="0" w:space="0" w:color="auto"/>
        <w:right w:val="none" w:sz="0" w:space="0" w:color="auto"/>
      </w:divBdr>
    </w:div>
    <w:div w:id="1793934134">
      <w:bodyDiv w:val="1"/>
      <w:marLeft w:val="0"/>
      <w:marRight w:val="0"/>
      <w:marTop w:val="0"/>
      <w:marBottom w:val="0"/>
      <w:divBdr>
        <w:top w:val="none" w:sz="0" w:space="0" w:color="auto"/>
        <w:left w:val="none" w:sz="0" w:space="0" w:color="auto"/>
        <w:bottom w:val="none" w:sz="0" w:space="0" w:color="auto"/>
        <w:right w:val="none" w:sz="0" w:space="0" w:color="auto"/>
      </w:divBdr>
    </w:div>
    <w:div w:id="1826045581">
      <w:bodyDiv w:val="1"/>
      <w:marLeft w:val="0"/>
      <w:marRight w:val="0"/>
      <w:marTop w:val="0"/>
      <w:marBottom w:val="0"/>
      <w:divBdr>
        <w:top w:val="none" w:sz="0" w:space="0" w:color="auto"/>
        <w:left w:val="none" w:sz="0" w:space="0" w:color="auto"/>
        <w:bottom w:val="none" w:sz="0" w:space="0" w:color="auto"/>
        <w:right w:val="none" w:sz="0" w:space="0" w:color="auto"/>
      </w:divBdr>
    </w:div>
    <w:div w:id="1832257532">
      <w:bodyDiv w:val="1"/>
      <w:marLeft w:val="0"/>
      <w:marRight w:val="0"/>
      <w:marTop w:val="0"/>
      <w:marBottom w:val="0"/>
      <w:divBdr>
        <w:top w:val="none" w:sz="0" w:space="0" w:color="auto"/>
        <w:left w:val="none" w:sz="0" w:space="0" w:color="auto"/>
        <w:bottom w:val="none" w:sz="0" w:space="0" w:color="auto"/>
        <w:right w:val="none" w:sz="0" w:space="0" w:color="auto"/>
      </w:divBdr>
    </w:div>
    <w:div w:id="1834485991">
      <w:bodyDiv w:val="1"/>
      <w:marLeft w:val="0"/>
      <w:marRight w:val="0"/>
      <w:marTop w:val="0"/>
      <w:marBottom w:val="0"/>
      <w:divBdr>
        <w:top w:val="none" w:sz="0" w:space="0" w:color="auto"/>
        <w:left w:val="none" w:sz="0" w:space="0" w:color="auto"/>
        <w:bottom w:val="none" w:sz="0" w:space="0" w:color="auto"/>
        <w:right w:val="none" w:sz="0" w:space="0" w:color="auto"/>
      </w:divBdr>
    </w:div>
    <w:div w:id="1842501247">
      <w:bodyDiv w:val="1"/>
      <w:marLeft w:val="0"/>
      <w:marRight w:val="0"/>
      <w:marTop w:val="0"/>
      <w:marBottom w:val="0"/>
      <w:divBdr>
        <w:top w:val="none" w:sz="0" w:space="0" w:color="auto"/>
        <w:left w:val="none" w:sz="0" w:space="0" w:color="auto"/>
        <w:bottom w:val="none" w:sz="0" w:space="0" w:color="auto"/>
        <w:right w:val="none" w:sz="0" w:space="0" w:color="auto"/>
      </w:divBdr>
    </w:div>
    <w:div w:id="1842697521">
      <w:bodyDiv w:val="1"/>
      <w:marLeft w:val="0"/>
      <w:marRight w:val="0"/>
      <w:marTop w:val="0"/>
      <w:marBottom w:val="0"/>
      <w:divBdr>
        <w:top w:val="none" w:sz="0" w:space="0" w:color="auto"/>
        <w:left w:val="none" w:sz="0" w:space="0" w:color="auto"/>
        <w:bottom w:val="none" w:sz="0" w:space="0" w:color="auto"/>
        <w:right w:val="none" w:sz="0" w:space="0" w:color="auto"/>
      </w:divBdr>
    </w:div>
    <w:div w:id="1844928544">
      <w:bodyDiv w:val="1"/>
      <w:marLeft w:val="0"/>
      <w:marRight w:val="0"/>
      <w:marTop w:val="0"/>
      <w:marBottom w:val="0"/>
      <w:divBdr>
        <w:top w:val="none" w:sz="0" w:space="0" w:color="auto"/>
        <w:left w:val="none" w:sz="0" w:space="0" w:color="auto"/>
        <w:bottom w:val="none" w:sz="0" w:space="0" w:color="auto"/>
        <w:right w:val="none" w:sz="0" w:space="0" w:color="auto"/>
      </w:divBdr>
    </w:div>
    <w:div w:id="1848787218">
      <w:bodyDiv w:val="1"/>
      <w:marLeft w:val="0"/>
      <w:marRight w:val="0"/>
      <w:marTop w:val="0"/>
      <w:marBottom w:val="0"/>
      <w:divBdr>
        <w:top w:val="none" w:sz="0" w:space="0" w:color="auto"/>
        <w:left w:val="none" w:sz="0" w:space="0" w:color="auto"/>
        <w:bottom w:val="none" w:sz="0" w:space="0" w:color="auto"/>
        <w:right w:val="none" w:sz="0" w:space="0" w:color="auto"/>
      </w:divBdr>
    </w:div>
    <w:div w:id="1849521842">
      <w:bodyDiv w:val="1"/>
      <w:marLeft w:val="0"/>
      <w:marRight w:val="0"/>
      <w:marTop w:val="0"/>
      <w:marBottom w:val="0"/>
      <w:divBdr>
        <w:top w:val="none" w:sz="0" w:space="0" w:color="auto"/>
        <w:left w:val="none" w:sz="0" w:space="0" w:color="auto"/>
        <w:bottom w:val="none" w:sz="0" w:space="0" w:color="auto"/>
        <w:right w:val="none" w:sz="0" w:space="0" w:color="auto"/>
      </w:divBdr>
      <w:divsChild>
        <w:div w:id="2090226373">
          <w:marLeft w:val="0"/>
          <w:marRight w:val="0"/>
          <w:marTop w:val="0"/>
          <w:marBottom w:val="0"/>
          <w:divBdr>
            <w:top w:val="none" w:sz="0" w:space="0" w:color="auto"/>
            <w:left w:val="none" w:sz="0" w:space="0" w:color="auto"/>
            <w:bottom w:val="none" w:sz="0" w:space="0" w:color="auto"/>
            <w:right w:val="none" w:sz="0" w:space="0" w:color="auto"/>
          </w:divBdr>
          <w:divsChild>
            <w:div w:id="1548756648">
              <w:marLeft w:val="0"/>
              <w:marRight w:val="0"/>
              <w:marTop w:val="0"/>
              <w:marBottom w:val="0"/>
              <w:divBdr>
                <w:top w:val="none" w:sz="0" w:space="0" w:color="auto"/>
                <w:left w:val="none" w:sz="0" w:space="0" w:color="auto"/>
                <w:bottom w:val="none" w:sz="0" w:space="0" w:color="auto"/>
                <w:right w:val="none" w:sz="0" w:space="0" w:color="auto"/>
              </w:divBdr>
              <w:divsChild>
                <w:div w:id="585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7430">
      <w:bodyDiv w:val="1"/>
      <w:marLeft w:val="0"/>
      <w:marRight w:val="0"/>
      <w:marTop w:val="0"/>
      <w:marBottom w:val="0"/>
      <w:divBdr>
        <w:top w:val="none" w:sz="0" w:space="0" w:color="auto"/>
        <w:left w:val="none" w:sz="0" w:space="0" w:color="auto"/>
        <w:bottom w:val="none" w:sz="0" w:space="0" w:color="auto"/>
        <w:right w:val="none" w:sz="0" w:space="0" w:color="auto"/>
      </w:divBdr>
    </w:div>
    <w:div w:id="1862158847">
      <w:bodyDiv w:val="1"/>
      <w:marLeft w:val="0"/>
      <w:marRight w:val="0"/>
      <w:marTop w:val="0"/>
      <w:marBottom w:val="0"/>
      <w:divBdr>
        <w:top w:val="none" w:sz="0" w:space="0" w:color="auto"/>
        <w:left w:val="none" w:sz="0" w:space="0" w:color="auto"/>
        <w:bottom w:val="none" w:sz="0" w:space="0" w:color="auto"/>
        <w:right w:val="none" w:sz="0" w:space="0" w:color="auto"/>
      </w:divBdr>
    </w:div>
    <w:div w:id="1864516867">
      <w:bodyDiv w:val="1"/>
      <w:marLeft w:val="0"/>
      <w:marRight w:val="0"/>
      <w:marTop w:val="0"/>
      <w:marBottom w:val="0"/>
      <w:divBdr>
        <w:top w:val="none" w:sz="0" w:space="0" w:color="auto"/>
        <w:left w:val="none" w:sz="0" w:space="0" w:color="auto"/>
        <w:bottom w:val="none" w:sz="0" w:space="0" w:color="auto"/>
        <w:right w:val="none" w:sz="0" w:space="0" w:color="auto"/>
      </w:divBdr>
      <w:divsChild>
        <w:div w:id="567813863">
          <w:marLeft w:val="0"/>
          <w:marRight w:val="0"/>
          <w:marTop w:val="0"/>
          <w:marBottom w:val="0"/>
          <w:divBdr>
            <w:top w:val="none" w:sz="0" w:space="0" w:color="auto"/>
            <w:left w:val="none" w:sz="0" w:space="0" w:color="auto"/>
            <w:bottom w:val="none" w:sz="0" w:space="0" w:color="auto"/>
            <w:right w:val="none" w:sz="0" w:space="0" w:color="auto"/>
          </w:divBdr>
        </w:div>
        <w:div w:id="666247445">
          <w:marLeft w:val="0"/>
          <w:marRight w:val="0"/>
          <w:marTop w:val="0"/>
          <w:marBottom w:val="0"/>
          <w:divBdr>
            <w:top w:val="none" w:sz="0" w:space="0" w:color="auto"/>
            <w:left w:val="none" w:sz="0" w:space="0" w:color="auto"/>
            <w:bottom w:val="none" w:sz="0" w:space="0" w:color="auto"/>
            <w:right w:val="none" w:sz="0" w:space="0" w:color="auto"/>
          </w:divBdr>
        </w:div>
        <w:div w:id="1387945581">
          <w:marLeft w:val="0"/>
          <w:marRight w:val="0"/>
          <w:marTop w:val="0"/>
          <w:marBottom w:val="0"/>
          <w:divBdr>
            <w:top w:val="none" w:sz="0" w:space="0" w:color="auto"/>
            <w:left w:val="none" w:sz="0" w:space="0" w:color="auto"/>
            <w:bottom w:val="none" w:sz="0" w:space="0" w:color="auto"/>
            <w:right w:val="none" w:sz="0" w:space="0" w:color="auto"/>
          </w:divBdr>
        </w:div>
        <w:div w:id="1987124732">
          <w:marLeft w:val="0"/>
          <w:marRight w:val="0"/>
          <w:marTop w:val="0"/>
          <w:marBottom w:val="0"/>
          <w:divBdr>
            <w:top w:val="none" w:sz="0" w:space="0" w:color="auto"/>
            <w:left w:val="none" w:sz="0" w:space="0" w:color="auto"/>
            <w:bottom w:val="none" w:sz="0" w:space="0" w:color="auto"/>
            <w:right w:val="none" w:sz="0" w:space="0" w:color="auto"/>
          </w:divBdr>
        </w:div>
      </w:divsChild>
    </w:div>
    <w:div w:id="1879967483">
      <w:bodyDiv w:val="1"/>
      <w:marLeft w:val="0"/>
      <w:marRight w:val="0"/>
      <w:marTop w:val="0"/>
      <w:marBottom w:val="0"/>
      <w:divBdr>
        <w:top w:val="none" w:sz="0" w:space="0" w:color="auto"/>
        <w:left w:val="none" w:sz="0" w:space="0" w:color="auto"/>
        <w:bottom w:val="none" w:sz="0" w:space="0" w:color="auto"/>
        <w:right w:val="none" w:sz="0" w:space="0" w:color="auto"/>
      </w:divBdr>
      <w:divsChild>
        <w:div w:id="227881140">
          <w:marLeft w:val="0"/>
          <w:marRight w:val="0"/>
          <w:marTop w:val="0"/>
          <w:marBottom w:val="0"/>
          <w:divBdr>
            <w:top w:val="none" w:sz="0" w:space="0" w:color="auto"/>
            <w:left w:val="none" w:sz="0" w:space="0" w:color="auto"/>
            <w:bottom w:val="none" w:sz="0" w:space="0" w:color="auto"/>
            <w:right w:val="none" w:sz="0" w:space="0" w:color="auto"/>
          </w:divBdr>
          <w:divsChild>
            <w:div w:id="242833621">
              <w:marLeft w:val="0"/>
              <w:marRight w:val="0"/>
              <w:marTop w:val="0"/>
              <w:marBottom w:val="0"/>
              <w:divBdr>
                <w:top w:val="none" w:sz="0" w:space="0" w:color="auto"/>
                <w:left w:val="none" w:sz="0" w:space="0" w:color="auto"/>
                <w:bottom w:val="none" w:sz="0" w:space="0" w:color="auto"/>
                <w:right w:val="none" w:sz="0" w:space="0" w:color="auto"/>
              </w:divBdr>
              <w:divsChild>
                <w:div w:id="1072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6107">
      <w:bodyDiv w:val="1"/>
      <w:marLeft w:val="0"/>
      <w:marRight w:val="0"/>
      <w:marTop w:val="0"/>
      <w:marBottom w:val="0"/>
      <w:divBdr>
        <w:top w:val="none" w:sz="0" w:space="0" w:color="auto"/>
        <w:left w:val="none" w:sz="0" w:space="0" w:color="auto"/>
        <w:bottom w:val="none" w:sz="0" w:space="0" w:color="auto"/>
        <w:right w:val="none" w:sz="0" w:space="0" w:color="auto"/>
      </w:divBdr>
    </w:div>
    <w:div w:id="1885096831">
      <w:bodyDiv w:val="1"/>
      <w:marLeft w:val="0"/>
      <w:marRight w:val="0"/>
      <w:marTop w:val="0"/>
      <w:marBottom w:val="0"/>
      <w:divBdr>
        <w:top w:val="none" w:sz="0" w:space="0" w:color="auto"/>
        <w:left w:val="none" w:sz="0" w:space="0" w:color="auto"/>
        <w:bottom w:val="none" w:sz="0" w:space="0" w:color="auto"/>
        <w:right w:val="none" w:sz="0" w:space="0" w:color="auto"/>
      </w:divBdr>
    </w:div>
    <w:div w:id="1891501387">
      <w:bodyDiv w:val="1"/>
      <w:marLeft w:val="0"/>
      <w:marRight w:val="0"/>
      <w:marTop w:val="0"/>
      <w:marBottom w:val="0"/>
      <w:divBdr>
        <w:top w:val="none" w:sz="0" w:space="0" w:color="auto"/>
        <w:left w:val="none" w:sz="0" w:space="0" w:color="auto"/>
        <w:bottom w:val="none" w:sz="0" w:space="0" w:color="auto"/>
        <w:right w:val="none" w:sz="0" w:space="0" w:color="auto"/>
      </w:divBdr>
      <w:divsChild>
        <w:div w:id="411319483">
          <w:marLeft w:val="0"/>
          <w:marRight w:val="0"/>
          <w:marTop w:val="0"/>
          <w:marBottom w:val="0"/>
          <w:divBdr>
            <w:top w:val="none" w:sz="0" w:space="0" w:color="auto"/>
            <w:left w:val="none" w:sz="0" w:space="0" w:color="auto"/>
            <w:bottom w:val="none" w:sz="0" w:space="0" w:color="auto"/>
            <w:right w:val="none" w:sz="0" w:space="0" w:color="auto"/>
          </w:divBdr>
          <w:divsChild>
            <w:div w:id="1742680401">
              <w:marLeft w:val="0"/>
              <w:marRight w:val="0"/>
              <w:marTop w:val="0"/>
              <w:marBottom w:val="0"/>
              <w:divBdr>
                <w:top w:val="none" w:sz="0" w:space="0" w:color="auto"/>
                <w:left w:val="none" w:sz="0" w:space="0" w:color="auto"/>
                <w:bottom w:val="none" w:sz="0" w:space="0" w:color="auto"/>
                <w:right w:val="none" w:sz="0" w:space="0" w:color="auto"/>
              </w:divBdr>
              <w:divsChild>
                <w:div w:id="1391225603">
                  <w:marLeft w:val="0"/>
                  <w:marRight w:val="0"/>
                  <w:marTop w:val="0"/>
                  <w:marBottom w:val="0"/>
                  <w:divBdr>
                    <w:top w:val="none" w:sz="0" w:space="0" w:color="auto"/>
                    <w:left w:val="none" w:sz="0" w:space="0" w:color="auto"/>
                    <w:bottom w:val="none" w:sz="0" w:space="0" w:color="auto"/>
                    <w:right w:val="none" w:sz="0" w:space="0" w:color="auto"/>
                  </w:divBdr>
                  <w:divsChild>
                    <w:div w:id="19680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7046">
      <w:bodyDiv w:val="1"/>
      <w:marLeft w:val="0"/>
      <w:marRight w:val="0"/>
      <w:marTop w:val="0"/>
      <w:marBottom w:val="0"/>
      <w:divBdr>
        <w:top w:val="none" w:sz="0" w:space="0" w:color="auto"/>
        <w:left w:val="none" w:sz="0" w:space="0" w:color="auto"/>
        <w:bottom w:val="none" w:sz="0" w:space="0" w:color="auto"/>
        <w:right w:val="none" w:sz="0" w:space="0" w:color="auto"/>
      </w:divBdr>
    </w:div>
    <w:div w:id="1898929400">
      <w:bodyDiv w:val="1"/>
      <w:marLeft w:val="0"/>
      <w:marRight w:val="0"/>
      <w:marTop w:val="0"/>
      <w:marBottom w:val="0"/>
      <w:divBdr>
        <w:top w:val="none" w:sz="0" w:space="0" w:color="auto"/>
        <w:left w:val="none" w:sz="0" w:space="0" w:color="auto"/>
        <w:bottom w:val="none" w:sz="0" w:space="0" w:color="auto"/>
        <w:right w:val="none" w:sz="0" w:space="0" w:color="auto"/>
      </w:divBdr>
    </w:div>
    <w:div w:id="1906330582">
      <w:bodyDiv w:val="1"/>
      <w:marLeft w:val="0"/>
      <w:marRight w:val="0"/>
      <w:marTop w:val="0"/>
      <w:marBottom w:val="0"/>
      <w:divBdr>
        <w:top w:val="none" w:sz="0" w:space="0" w:color="auto"/>
        <w:left w:val="none" w:sz="0" w:space="0" w:color="auto"/>
        <w:bottom w:val="none" w:sz="0" w:space="0" w:color="auto"/>
        <w:right w:val="none" w:sz="0" w:space="0" w:color="auto"/>
      </w:divBdr>
    </w:div>
    <w:div w:id="1923559031">
      <w:bodyDiv w:val="1"/>
      <w:marLeft w:val="0"/>
      <w:marRight w:val="0"/>
      <w:marTop w:val="0"/>
      <w:marBottom w:val="0"/>
      <w:divBdr>
        <w:top w:val="none" w:sz="0" w:space="0" w:color="auto"/>
        <w:left w:val="none" w:sz="0" w:space="0" w:color="auto"/>
        <w:bottom w:val="none" w:sz="0" w:space="0" w:color="auto"/>
        <w:right w:val="none" w:sz="0" w:space="0" w:color="auto"/>
      </w:divBdr>
    </w:div>
    <w:div w:id="1925257996">
      <w:bodyDiv w:val="1"/>
      <w:marLeft w:val="0"/>
      <w:marRight w:val="0"/>
      <w:marTop w:val="0"/>
      <w:marBottom w:val="0"/>
      <w:divBdr>
        <w:top w:val="none" w:sz="0" w:space="0" w:color="auto"/>
        <w:left w:val="none" w:sz="0" w:space="0" w:color="auto"/>
        <w:bottom w:val="none" w:sz="0" w:space="0" w:color="auto"/>
        <w:right w:val="none" w:sz="0" w:space="0" w:color="auto"/>
      </w:divBdr>
    </w:div>
    <w:div w:id="1934585641">
      <w:bodyDiv w:val="1"/>
      <w:marLeft w:val="0"/>
      <w:marRight w:val="0"/>
      <w:marTop w:val="0"/>
      <w:marBottom w:val="0"/>
      <w:divBdr>
        <w:top w:val="none" w:sz="0" w:space="0" w:color="auto"/>
        <w:left w:val="none" w:sz="0" w:space="0" w:color="auto"/>
        <w:bottom w:val="none" w:sz="0" w:space="0" w:color="auto"/>
        <w:right w:val="none" w:sz="0" w:space="0" w:color="auto"/>
      </w:divBdr>
    </w:div>
    <w:div w:id="1935547233">
      <w:bodyDiv w:val="1"/>
      <w:marLeft w:val="0"/>
      <w:marRight w:val="0"/>
      <w:marTop w:val="0"/>
      <w:marBottom w:val="0"/>
      <w:divBdr>
        <w:top w:val="none" w:sz="0" w:space="0" w:color="auto"/>
        <w:left w:val="none" w:sz="0" w:space="0" w:color="auto"/>
        <w:bottom w:val="none" w:sz="0" w:space="0" w:color="auto"/>
        <w:right w:val="none" w:sz="0" w:space="0" w:color="auto"/>
      </w:divBdr>
      <w:divsChild>
        <w:div w:id="521474155">
          <w:marLeft w:val="0"/>
          <w:marRight w:val="0"/>
          <w:marTop w:val="0"/>
          <w:marBottom w:val="0"/>
          <w:divBdr>
            <w:top w:val="none" w:sz="0" w:space="0" w:color="auto"/>
            <w:left w:val="none" w:sz="0" w:space="0" w:color="auto"/>
            <w:bottom w:val="none" w:sz="0" w:space="0" w:color="auto"/>
            <w:right w:val="none" w:sz="0" w:space="0" w:color="auto"/>
          </w:divBdr>
        </w:div>
      </w:divsChild>
    </w:div>
    <w:div w:id="1942298383">
      <w:bodyDiv w:val="1"/>
      <w:marLeft w:val="0"/>
      <w:marRight w:val="0"/>
      <w:marTop w:val="0"/>
      <w:marBottom w:val="0"/>
      <w:divBdr>
        <w:top w:val="none" w:sz="0" w:space="0" w:color="auto"/>
        <w:left w:val="none" w:sz="0" w:space="0" w:color="auto"/>
        <w:bottom w:val="none" w:sz="0" w:space="0" w:color="auto"/>
        <w:right w:val="none" w:sz="0" w:space="0" w:color="auto"/>
      </w:divBdr>
    </w:div>
    <w:div w:id="1945722895">
      <w:bodyDiv w:val="1"/>
      <w:marLeft w:val="0"/>
      <w:marRight w:val="0"/>
      <w:marTop w:val="0"/>
      <w:marBottom w:val="0"/>
      <w:divBdr>
        <w:top w:val="none" w:sz="0" w:space="0" w:color="auto"/>
        <w:left w:val="none" w:sz="0" w:space="0" w:color="auto"/>
        <w:bottom w:val="none" w:sz="0" w:space="0" w:color="auto"/>
        <w:right w:val="none" w:sz="0" w:space="0" w:color="auto"/>
      </w:divBdr>
    </w:div>
    <w:div w:id="1958752051">
      <w:bodyDiv w:val="1"/>
      <w:marLeft w:val="0"/>
      <w:marRight w:val="0"/>
      <w:marTop w:val="0"/>
      <w:marBottom w:val="0"/>
      <w:divBdr>
        <w:top w:val="none" w:sz="0" w:space="0" w:color="auto"/>
        <w:left w:val="none" w:sz="0" w:space="0" w:color="auto"/>
        <w:bottom w:val="none" w:sz="0" w:space="0" w:color="auto"/>
        <w:right w:val="none" w:sz="0" w:space="0" w:color="auto"/>
      </w:divBdr>
      <w:divsChild>
        <w:div w:id="258294985">
          <w:marLeft w:val="0"/>
          <w:marRight w:val="0"/>
          <w:marTop w:val="0"/>
          <w:marBottom w:val="0"/>
          <w:divBdr>
            <w:top w:val="single" w:sz="18" w:space="4" w:color="006FCA"/>
            <w:left w:val="single" w:sz="18" w:space="4" w:color="006FCA"/>
            <w:bottom w:val="single" w:sz="18" w:space="4" w:color="006FCA"/>
            <w:right w:val="single" w:sz="18" w:space="4" w:color="006FCA"/>
          </w:divBdr>
          <w:divsChild>
            <w:div w:id="1433863973">
              <w:marLeft w:val="0"/>
              <w:marRight w:val="0"/>
              <w:marTop w:val="0"/>
              <w:marBottom w:val="0"/>
              <w:divBdr>
                <w:top w:val="none" w:sz="0" w:space="0" w:color="auto"/>
                <w:left w:val="none" w:sz="0" w:space="0" w:color="auto"/>
                <w:bottom w:val="none" w:sz="0" w:space="0" w:color="auto"/>
                <w:right w:val="none" w:sz="0" w:space="0" w:color="auto"/>
              </w:divBdr>
              <w:divsChild>
                <w:div w:id="1305503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4343229">
      <w:bodyDiv w:val="1"/>
      <w:marLeft w:val="0"/>
      <w:marRight w:val="0"/>
      <w:marTop w:val="0"/>
      <w:marBottom w:val="0"/>
      <w:divBdr>
        <w:top w:val="none" w:sz="0" w:space="0" w:color="auto"/>
        <w:left w:val="none" w:sz="0" w:space="0" w:color="auto"/>
        <w:bottom w:val="none" w:sz="0" w:space="0" w:color="auto"/>
        <w:right w:val="none" w:sz="0" w:space="0" w:color="auto"/>
      </w:divBdr>
    </w:div>
    <w:div w:id="1968732594">
      <w:bodyDiv w:val="1"/>
      <w:marLeft w:val="0"/>
      <w:marRight w:val="0"/>
      <w:marTop w:val="0"/>
      <w:marBottom w:val="0"/>
      <w:divBdr>
        <w:top w:val="none" w:sz="0" w:space="0" w:color="auto"/>
        <w:left w:val="none" w:sz="0" w:space="0" w:color="auto"/>
        <w:bottom w:val="none" w:sz="0" w:space="0" w:color="auto"/>
        <w:right w:val="none" w:sz="0" w:space="0" w:color="auto"/>
      </w:divBdr>
      <w:divsChild>
        <w:div w:id="1579363050">
          <w:marLeft w:val="0"/>
          <w:marRight w:val="0"/>
          <w:marTop w:val="0"/>
          <w:marBottom w:val="0"/>
          <w:divBdr>
            <w:top w:val="none" w:sz="0" w:space="0" w:color="auto"/>
            <w:left w:val="none" w:sz="0" w:space="0" w:color="auto"/>
            <w:bottom w:val="none" w:sz="0" w:space="0" w:color="auto"/>
            <w:right w:val="none" w:sz="0" w:space="0" w:color="auto"/>
          </w:divBdr>
        </w:div>
      </w:divsChild>
    </w:div>
    <w:div w:id="1993941953">
      <w:bodyDiv w:val="1"/>
      <w:marLeft w:val="0"/>
      <w:marRight w:val="0"/>
      <w:marTop w:val="0"/>
      <w:marBottom w:val="0"/>
      <w:divBdr>
        <w:top w:val="none" w:sz="0" w:space="0" w:color="auto"/>
        <w:left w:val="none" w:sz="0" w:space="0" w:color="auto"/>
        <w:bottom w:val="none" w:sz="0" w:space="0" w:color="auto"/>
        <w:right w:val="none" w:sz="0" w:space="0" w:color="auto"/>
      </w:divBdr>
    </w:div>
    <w:div w:id="2007778316">
      <w:bodyDiv w:val="1"/>
      <w:marLeft w:val="0"/>
      <w:marRight w:val="0"/>
      <w:marTop w:val="0"/>
      <w:marBottom w:val="0"/>
      <w:divBdr>
        <w:top w:val="none" w:sz="0" w:space="0" w:color="auto"/>
        <w:left w:val="none" w:sz="0" w:space="0" w:color="auto"/>
        <w:bottom w:val="none" w:sz="0" w:space="0" w:color="auto"/>
        <w:right w:val="none" w:sz="0" w:space="0" w:color="auto"/>
      </w:divBdr>
    </w:div>
    <w:div w:id="2030791358">
      <w:bodyDiv w:val="1"/>
      <w:marLeft w:val="0"/>
      <w:marRight w:val="0"/>
      <w:marTop w:val="0"/>
      <w:marBottom w:val="0"/>
      <w:divBdr>
        <w:top w:val="none" w:sz="0" w:space="0" w:color="auto"/>
        <w:left w:val="none" w:sz="0" w:space="0" w:color="auto"/>
        <w:bottom w:val="none" w:sz="0" w:space="0" w:color="auto"/>
        <w:right w:val="none" w:sz="0" w:space="0" w:color="auto"/>
      </w:divBdr>
      <w:divsChild>
        <w:div w:id="1253780626">
          <w:marLeft w:val="0"/>
          <w:marRight w:val="0"/>
          <w:marTop w:val="0"/>
          <w:marBottom w:val="0"/>
          <w:divBdr>
            <w:top w:val="single" w:sz="2" w:space="0" w:color="auto"/>
            <w:left w:val="single" w:sz="2" w:space="0" w:color="auto"/>
            <w:bottom w:val="single" w:sz="6" w:space="0" w:color="auto"/>
            <w:right w:val="single" w:sz="2" w:space="0" w:color="auto"/>
          </w:divBdr>
          <w:divsChild>
            <w:div w:id="182793749">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633675">
                  <w:marLeft w:val="0"/>
                  <w:marRight w:val="0"/>
                  <w:marTop w:val="0"/>
                  <w:marBottom w:val="0"/>
                  <w:divBdr>
                    <w:top w:val="single" w:sz="2" w:space="0" w:color="D9D9E3"/>
                    <w:left w:val="single" w:sz="2" w:space="0" w:color="D9D9E3"/>
                    <w:bottom w:val="single" w:sz="2" w:space="0" w:color="D9D9E3"/>
                    <w:right w:val="single" w:sz="2" w:space="0" w:color="D9D9E3"/>
                  </w:divBdr>
                  <w:divsChild>
                    <w:div w:id="827791551">
                      <w:marLeft w:val="0"/>
                      <w:marRight w:val="0"/>
                      <w:marTop w:val="0"/>
                      <w:marBottom w:val="0"/>
                      <w:divBdr>
                        <w:top w:val="single" w:sz="2" w:space="0" w:color="D9D9E3"/>
                        <w:left w:val="single" w:sz="2" w:space="0" w:color="D9D9E3"/>
                        <w:bottom w:val="single" w:sz="2" w:space="0" w:color="D9D9E3"/>
                        <w:right w:val="single" w:sz="2" w:space="0" w:color="D9D9E3"/>
                      </w:divBdr>
                      <w:divsChild>
                        <w:div w:id="30422171">
                          <w:marLeft w:val="0"/>
                          <w:marRight w:val="0"/>
                          <w:marTop w:val="0"/>
                          <w:marBottom w:val="0"/>
                          <w:divBdr>
                            <w:top w:val="single" w:sz="2" w:space="0" w:color="D9D9E3"/>
                            <w:left w:val="single" w:sz="2" w:space="0" w:color="D9D9E3"/>
                            <w:bottom w:val="single" w:sz="2" w:space="0" w:color="D9D9E3"/>
                            <w:right w:val="single" w:sz="2" w:space="0" w:color="D9D9E3"/>
                          </w:divBdr>
                          <w:divsChild>
                            <w:div w:id="1593926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34646321">
      <w:bodyDiv w:val="1"/>
      <w:marLeft w:val="0"/>
      <w:marRight w:val="0"/>
      <w:marTop w:val="0"/>
      <w:marBottom w:val="0"/>
      <w:divBdr>
        <w:top w:val="none" w:sz="0" w:space="0" w:color="auto"/>
        <w:left w:val="none" w:sz="0" w:space="0" w:color="auto"/>
        <w:bottom w:val="none" w:sz="0" w:space="0" w:color="auto"/>
        <w:right w:val="none" w:sz="0" w:space="0" w:color="auto"/>
      </w:divBdr>
    </w:div>
    <w:div w:id="2036491890">
      <w:bodyDiv w:val="1"/>
      <w:marLeft w:val="0"/>
      <w:marRight w:val="0"/>
      <w:marTop w:val="0"/>
      <w:marBottom w:val="0"/>
      <w:divBdr>
        <w:top w:val="none" w:sz="0" w:space="0" w:color="auto"/>
        <w:left w:val="none" w:sz="0" w:space="0" w:color="auto"/>
        <w:bottom w:val="none" w:sz="0" w:space="0" w:color="auto"/>
        <w:right w:val="none" w:sz="0" w:space="0" w:color="auto"/>
      </w:divBdr>
    </w:div>
    <w:div w:id="2041318477">
      <w:bodyDiv w:val="1"/>
      <w:marLeft w:val="0"/>
      <w:marRight w:val="0"/>
      <w:marTop w:val="0"/>
      <w:marBottom w:val="0"/>
      <w:divBdr>
        <w:top w:val="none" w:sz="0" w:space="0" w:color="auto"/>
        <w:left w:val="none" w:sz="0" w:space="0" w:color="auto"/>
        <w:bottom w:val="none" w:sz="0" w:space="0" w:color="auto"/>
        <w:right w:val="none" w:sz="0" w:space="0" w:color="auto"/>
      </w:divBdr>
      <w:divsChild>
        <w:div w:id="1525047702">
          <w:marLeft w:val="0"/>
          <w:marRight w:val="0"/>
          <w:marTop w:val="0"/>
          <w:marBottom w:val="0"/>
          <w:divBdr>
            <w:top w:val="none" w:sz="0" w:space="0" w:color="auto"/>
            <w:left w:val="none" w:sz="0" w:space="0" w:color="auto"/>
            <w:bottom w:val="none" w:sz="0" w:space="0" w:color="auto"/>
            <w:right w:val="none" w:sz="0" w:space="0" w:color="auto"/>
          </w:divBdr>
          <w:divsChild>
            <w:div w:id="1685479193">
              <w:marLeft w:val="0"/>
              <w:marRight w:val="0"/>
              <w:marTop w:val="0"/>
              <w:marBottom w:val="0"/>
              <w:divBdr>
                <w:top w:val="none" w:sz="0" w:space="0" w:color="auto"/>
                <w:left w:val="none" w:sz="0" w:space="0" w:color="auto"/>
                <w:bottom w:val="none" w:sz="0" w:space="0" w:color="auto"/>
                <w:right w:val="none" w:sz="0" w:space="0" w:color="auto"/>
              </w:divBdr>
            </w:div>
          </w:divsChild>
        </w:div>
        <w:div w:id="1877891875">
          <w:marLeft w:val="0"/>
          <w:marRight w:val="0"/>
          <w:marTop w:val="0"/>
          <w:marBottom w:val="0"/>
          <w:divBdr>
            <w:top w:val="none" w:sz="0" w:space="0" w:color="auto"/>
            <w:left w:val="none" w:sz="0" w:space="0" w:color="auto"/>
            <w:bottom w:val="none" w:sz="0" w:space="0" w:color="auto"/>
            <w:right w:val="none" w:sz="0" w:space="0" w:color="auto"/>
          </w:divBdr>
          <w:divsChild>
            <w:div w:id="2091585423">
              <w:marLeft w:val="0"/>
              <w:marRight w:val="0"/>
              <w:marTop w:val="0"/>
              <w:marBottom w:val="0"/>
              <w:divBdr>
                <w:top w:val="none" w:sz="0" w:space="0" w:color="auto"/>
                <w:left w:val="none" w:sz="0" w:space="0" w:color="auto"/>
                <w:bottom w:val="none" w:sz="0" w:space="0" w:color="auto"/>
                <w:right w:val="none" w:sz="0" w:space="0" w:color="auto"/>
              </w:divBdr>
              <w:divsChild>
                <w:div w:id="15156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46708">
      <w:bodyDiv w:val="1"/>
      <w:marLeft w:val="0"/>
      <w:marRight w:val="0"/>
      <w:marTop w:val="0"/>
      <w:marBottom w:val="0"/>
      <w:divBdr>
        <w:top w:val="none" w:sz="0" w:space="0" w:color="auto"/>
        <w:left w:val="none" w:sz="0" w:space="0" w:color="auto"/>
        <w:bottom w:val="none" w:sz="0" w:space="0" w:color="auto"/>
        <w:right w:val="none" w:sz="0" w:space="0" w:color="auto"/>
      </w:divBdr>
    </w:div>
    <w:div w:id="2048984628">
      <w:bodyDiv w:val="1"/>
      <w:marLeft w:val="0"/>
      <w:marRight w:val="0"/>
      <w:marTop w:val="0"/>
      <w:marBottom w:val="0"/>
      <w:divBdr>
        <w:top w:val="none" w:sz="0" w:space="0" w:color="auto"/>
        <w:left w:val="none" w:sz="0" w:space="0" w:color="auto"/>
        <w:bottom w:val="none" w:sz="0" w:space="0" w:color="auto"/>
        <w:right w:val="none" w:sz="0" w:space="0" w:color="auto"/>
      </w:divBdr>
    </w:div>
    <w:div w:id="2060856004">
      <w:bodyDiv w:val="1"/>
      <w:marLeft w:val="0"/>
      <w:marRight w:val="0"/>
      <w:marTop w:val="0"/>
      <w:marBottom w:val="0"/>
      <w:divBdr>
        <w:top w:val="none" w:sz="0" w:space="0" w:color="auto"/>
        <w:left w:val="none" w:sz="0" w:space="0" w:color="auto"/>
        <w:bottom w:val="none" w:sz="0" w:space="0" w:color="auto"/>
        <w:right w:val="none" w:sz="0" w:space="0" w:color="auto"/>
      </w:divBdr>
    </w:div>
    <w:div w:id="2066096424">
      <w:bodyDiv w:val="1"/>
      <w:marLeft w:val="0"/>
      <w:marRight w:val="0"/>
      <w:marTop w:val="0"/>
      <w:marBottom w:val="0"/>
      <w:divBdr>
        <w:top w:val="none" w:sz="0" w:space="0" w:color="auto"/>
        <w:left w:val="none" w:sz="0" w:space="0" w:color="auto"/>
        <w:bottom w:val="none" w:sz="0" w:space="0" w:color="auto"/>
        <w:right w:val="none" w:sz="0" w:space="0" w:color="auto"/>
      </w:divBdr>
    </w:div>
    <w:div w:id="2080208742">
      <w:bodyDiv w:val="1"/>
      <w:marLeft w:val="0"/>
      <w:marRight w:val="0"/>
      <w:marTop w:val="0"/>
      <w:marBottom w:val="0"/>
      <w:divBdr>
        <w:top w:val="none" w:sz="0" w:space="0" w:color="auto"/>
        <w:left w:val="none" w:sz="0" w:space="0" w:color="auto"/>
        <w:bottom w:val="none" w:sz="0" w:space="0" w:color="auto"/>
        <w:right w:val="none" w:sz="0" w:space="0" w:color="auto"/>
      </w:divBdr>
    </w:div>
    <w:div w:id="2080713309">
      <w:bodyDiv w:val="1"/>
      <w:marLeft w:val="0"/>
      <w:marRight w:val="0"/>
      <w:marTop w:val="0"/>
      <w:marBottom w:val="0"/>
      <w:divBdr>
        <w:top w:val="none" w:sz="0" w:space="0" w:color="auto"/>
        <w:left w:val="none" w:sz="0" w:space="0" w:color="auto"/>
        <w:bottom w:val="none" w:sz="0" w:space="0" w:color="auto"/>
        <w:right w:val="none" w:sz="0" w:space="0" w:color="auto"/>
      </w:divBdr>
    </w:div>
    <w:div w:id="2081706546">
      <w:bodyDiv w:val="1"/>
      <w:marLeft w:val="0"/>
      <w:marRight w:val="0"/>
      <w:marTop w:val="0"/>
      <w:marBottom w:val="0"/>
      <w:divBdr>
        <w:top w:val="none" w:sz="0" w:space="0" w:color="auto"/>
        <w:left w:val="none" w:sz="0" w:space="0" w:color="auto"/>
        <w:bottom w:val="none" w:sz="0" w:space="0" w:color="auto"/>
        <w:right w:val="none" w:sz="0" w:space="0" w:color="auto"/>
      </w:divBdr>
    </w:div>
    <w:div w:id="2087217313">
      <w:bodyDiv w:val="1"/>
      <w:marLeft w:val="0"/>
      <w:marRight w:val="0"/>
      <w:marTop w:val="0"/>
      <w:marBottom w:val="0"/>
      <w:divBdr>
        <w:top w:val="none" w:sz="0" w:space="0" w:color="auto"/>
        <w:left w:val="none" w:sz="0" w:space="0" w:color="auto"/>
        <w:bottom w:val="none" w:sz="0" w:space="0" w:color="auto"/>
        <w:right w:val="none" w:sz="0" w:space="0" w:color="auto"/>
      </w:divBdr>
    </w:div>
    <w:div w:id="2090345408">
      <w:bodyDiv w:val="1"/>
      <w:marLeft w:val="0"/>
      <w:marRight w:val="0"/>
      <w:marTop w:val="0"/>
      <w:marBottom w:val="0"/>
      <w:divBdr>
        <w:top w:val="none" w:sz="0" w:space="0" w:color="auto"/>
        <w:left w:val="none" w:sz="0" w:space="0" w:color="auto"/>
        <w:bottom w:val="none" w:sz="0" w:space="0" w:color="auto"/>
        <w:right w:val="none" w:sz="0" w:space="0" w:color="auto"/>
      </w:divBdr>
    </w:div>
    <w:div w:id="2096435037">
      <w:bodyDiv w:val="1"/>
      <w:marLeft w:val="0"/>
      <w:marRight w:val="0"/>
      <w:marTop w:val="0"/>
      <w:marBottom w:val="0"/>
      <w:divBdr>
        <w:top w:val="none" w:sz="0" w:space="0" w:color="auto"/>
        <w:left w:val="none" w:sz="0" w:space="0" w:color="auto"/>
        <w:bottom w:val="none" w:sz="0" w:space="0" w:color="auto"/>
        <w:right w:val="none" w:sz="0" w:space="0" w:color="auto"/>
      </w:divBdr>
    </w:div>
    <w:div w:id="2108502192">
      <w:bodyDiv w:val="1"/>
      <w:marLeft w:val="0"/>
      <w:marRight w:val="0"/>
      <w:marTop w:val="0"/>
      <w:marBottom w:val="0"/>
      <w:divBdr>
        <w:top w:val="none" w:sz="0" w:space="0" w:color="auto"/>
        <w:left w:val="none" w:sz="0" w:space="0" w:color="auto"/>
        <w:bottom w:val="none" w:sz="0" w:space="0" w:color="auto"/>
        <w:right w:val="none" w:sz="0" w:space="0" w:color="auto"/>
      </w:divBdr>
    </w:div>
    <w:div w:id="2134059963">
      <w:bodyDiv w:val="1"/>
      <w:marLeft w:val="0"/>
      <w:marRight w:val="0"/>
      <w:marTop w:val="0"/>
      <w:marBottom w:val="0"/>
      <w:divBdr>
        <w:top w:val="none" w:sz="0" w:space="0" w:color="auto"/>
        <w:left w:val="none" w:sz="0" w:space="0" w:color="auto"/>
        <w:bottom w:val="none" w:sz="0" w:space="0" w:color="auto"/>
        <w:right w:val="none" w:sz="0" w:space="0" w:color="auto"/>
      </w:divBdr>
    </w:div>
    <w:div w:id="2140761321">
      <w:bodyDiv w:val="1"/>
      <w:marLeft w:val="0"/>
      <w:marRight w:val="0"/>
      <w:marTop w:val="0"/>
      <w:marBottom w:val="0"/>
      <w:divBdr>
        <w:top w:val="none" w:sz="0" w:space="0" w:color="auto"/>
        <w:left w:val="none" w:sz="0" w:space="0" w:color="auto"/>
        <w:bottom w:val="none" w:sz="0" w:space="0" w:color="auto"/>
        <w:right w:val="none" w:sz="0" w:space="0" w:color="auto"/>
      </w:divBdr>
    </w:div>
    <w:div w:id="2145199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FF097-9B2B-44F3-94AD-D1A12B76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6188</Words>
  <Characters>35275</Characters>
  <DocSecurity>0</DocSecurity>
  <Lines>293</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Social Capital</vt:lpstr>
      <vt:lpstr>Social Capital</vt:lpstr>
    </vt:vector>
  </TitlesOfParts>
  <LinksUpToDate>false</LinksUpToDate>
  <CharactersWithSpaces>41381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2023-12-19T00:06:00Z</cp:lastPrinted>
  <dcterms:created xsi:type="dcterms:W3CDTF">2024-01-08T04:19:00Z</dcterms:created>
  <dcterms:modified xsi:type="dcterms:W3CDTF">2024-01-08T04:19:00Z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