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9A70" w14:textId="0F845C29" w:rsidR="00A71EB9" w:rsidRDefault="005F4D5E" w:rsidP="00A71EB9">
      <w:pPr>
        <w:pStyle w:val="Default"/>
        <w:jc w:val="center"/>
        <w:rPr>
          <w:b/>
          <w:iCs/>
        </w:rPr>
      </w:pPr>
      <w:bookmarkStart w:id="0" w:name="_Toc43041668"/>
      <w:bookmarkStart w:id="1" w:name="_Toc43045110"/>
      <w:r>
        <w:rPr>
          <w:b/>
          <w:bCs/>
          <w:sz w:val="28"/>
          <w:szCs w:val="28"/>
        </w:rPr>
        <w:t xml:space="preserve"> </w:t>
      </w:r>
      <w:r w:rsidR="00A71EB9">
        <w:rPr>
          <w:b/>
          <w:bCs/>
          <w:sz w:val="28"/>
          <w:szCs w:val="28"/>
        </w:rPr>
        <w:t>UNIVERSITY OF WAIKATO</w:t>
      </w:r>
    </w:p>
    <w:p w14:paraId="6C9E67B8" w14:textId="77777777" w:rsidR="00A71EB9" w:rsidRDefault="00A71EB9" w:rsidP="00A71EB9">
      <w:pPr>
        <w:pStyle w:val="Default"/>
        <w:jc w:val="center"/>
        <w:rPr>
          <w:b/>
          <w:bCs/>
          <w:sz w:val="28"/>
          <w:szCs w:val="28"/>
        </w:rPr>
      </w:pPr>
      <w:r>
        <w:rPr>
          <w:b/>
          <w:bCs/>
          <w:sz w:val="28"/>
          <w:szCs w:val="28"/>
        </w:rPr>
        <w:br/>
        <w:t>Hamilton</w:t>
      </w:r>
    </w:p>
    <w:p w14:paraId="13FDDE0F" w14:textId="77777777" w:rsidR="00A71EB9" w:rsidRDefault="00A71EB9" w:rsidP="00A71EB9">
      <w:pPr>
        <w:pStyle w:val="CM1"/>
        <w:spacing w:line="240" w:lineRule="auto"/>
        <w:jc w:val="center"/>
        <w:rPr>
          <w:b/>
          <w:bCs/>
          <w:sz w:val="28"/>
          <w:szCs w:val="28"/>
        </w:rPr>
      </w:pPr>
      <w:r>
        <w:rPr>
          <w:b/>
          <w:bCs/>
          <w:sz w:val="28"/>
          <w:szCs w:val="28"/>
        </w:rPr>
        <w:t xml:space="preserve">New Zealand </w:t>
      </w:r>
    </w:p>
    <w:p w14:paraId="0D3C9256" w14:textId="77777777" w:rsidR="00A71EB9" w:rsidRDefault="00A71EB9" w:rsidP="00A71EB9">
      <w:pPr>
        <w:pStyle w:val="Default"/>
      </w:pPr>
    </w:p>
    <w:p w14:paraId="67C69926" w14:textId="77777777" w:rsidR="00A71EB9" w:rsidRDefault="00A71EB9" w:rsidP="00A71EB9">
      <w:pPr>
        <w:pStyle w:val="Default"/>
      </w:pPr>
    </w:p>
    <w:p w14:paraId="48EE3194" w14:textId="77777777" w:rsidR="00A71EB9" w:rsidRDefault="00A71EB9" w:rsidP="00A71EB9">
      <w:pPr>
        <w:pStyle w:val="Title"/>
        <w:pBdr>
          <w:top w:val="thinThickSmallGap" w:sz="24" w:space="1" w:color="auto"/>
          <w:left w:val="thinThickSmallGap" w:sz="24" w:space="4" w:color="auto"/>
          <w:bottom w:val="thinThickSmallGap" w:sz="24" w:space="1" w:color="auto"/>
          <w:right w:val="thinThickSmallGap" w:sz="24" w:space="4" w:color="auto"/>
        </w:pBdr>
        <w:rPr>
          <w:rFonts w:ascii="Times New Roman" w:hAnsi="Times New Roman"/>
          <w:sz w:val="28"/>
          <w:szCs w:val="28"/>
        </w:rPr>
      </w:pPr>
    </w:p>
    <w:p w14:paraId="05383A78" w14:textId="77777777" w:rsidR="00085A2A" w:rsidRPr="00085A2A" w:rsidRDefault="00085A2A" w:rsidP="00085A2A">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Cs/>
          <w:sz w:val="28"/>
          <w:szCs w:val="28"/>
        </w:rPr>
      </w:pPr>
      <w:r w:rsidRPr="00085A2A">
        <w:rPr>
          <w:rFonts w:ascii="Times New Roman" w:hAnsi="Times New Roman"/>
          <w:bCs/>
          <w:sz w:val="28"/>
          <w:szCs w:val="28"/>
        </w:rPr>
        <w:t xml:space="preserve">The drivers of </w:t>
      </w:r>
      <w:proofErr w:type="spellStart"/>
      <w:r w:rsidRPr="00085A2A">
        <w:rPr>
          <w:rFonts w:ascii="Times New Roman" w:hAnsi="Times New Roman"/>
          <w:bCs/>
          <w:sz w:val="28"/>
          <w:szCs w:val="28"/>
        </w:rPr>
        <w:t>labour</w:t>
      </w:r>
      <w:proofErr w:type="spellEnd"/>
      <w:r w:rsidRPr="00085A2A">
        <w:rPr>
          <w:rFonts w:ascii="Times New Roman" w:hAnsi="Times New Roman"/>
          <w:bCs/>
          <w:sz w:val="28"/>
          <w:szCs w:val="28"/>
        </w:rPr>
        <w:t xml:space="preserve"> share and impact on pay inequality:</w:t>
      </w:r>
    </w:p>
    <w:p w14:paraId="552A7AB7" w14:textId="280536CF" w:rsidR="00A71EB9" w:rsidRPr="00085A2A" w:rsidRDefault="00085A2A" w:rsidP="00085A2A">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Cs/>
          <w:sz w:val="28"/>
          <w:szCs w:val="28"/>
        </w:rPr>
      </w:pPr>
      <w:r w:rsidRPr="00085A2A">
        <w:rPr>
          <w:rFonts w:ascii="Times New Roman" w:hAnsi="Times New Roman"/>
          <w:bCs/>
          <w:sz w:val="28"/>
          <w:szCs w:val="28"/>
          <w:lang w:val="en-NZ"/>
        </w:rPr>
        <w:t>A firm-level investigation</w:t>
      </w:r>
    </w:p>
    <w:p w14:paraId="59B294B9" w14:textId="08236E96" w:rsidR="00A71EB9" w:rsidRDefault="00A75625" w:rsidP="00A71EB9">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sz w:val="28"/>
          <w:szCs w:val="28"/>
        </w:rPr>
      </w:pPr>
      <w:r>
        <w:rPr>
          <w:rFonts w:ascii="Times New Roman" w:hAnsi="Times New Roman"/>
          <w:sz w:val="28"/>
          <w:szCs w:val="28"/>
        </w:rPr>
        <w:t xml:space="preserve">Roya </w:t>
      </w:r>
      <w:proofErr w:type="spellStart"/>
      <w:r>
        <w:rPr>
          <w:rFonts w:ascii="Times New Roman" w:hAnsi="Times New Roman"/>
          <w:sz w:val="28"/>
          <w:szCs w:val="28"/>
        </w:rPr>
        <w:t>Taherifar</w:t>
      </w:r>
      <w:proofErr w:type="spellEnd"/>
      <w:r w:rsidR="00A47099">
        <w:rPr>
          <w:rFonts w:ascii="Times New Roman" w:hAnsi="Times New Roman"/>
          <w:sz w:val="28"/>
          <w:szCs w:val="28"/>
        </w:rPr>
        <w:t xml:space="preserve">, </w:t>
      </w:r>
      <w:r>
        <w:rPr>
          <w:rFonts w:ascii="Times New Roman" w:hAnsi="Times New Roman"/>
          <w:sz w:val="28"/>
          <w:szCs w:val="28"/>
        </w:rPr>
        <w:t xml:space="preserve">Mark J. Holmes </w:t>
      </w:r>
      <w:r w:rsidR="00A47099">
        <w:rPr>
          <w:rFonts w:ascii="Times New Roman" w:hAnsi="Times New Roman"/>
          <w:sz w:val="28"/>
          <w:szCs w:val="28"/>
        </w:rPr>
        <w:t xml:space="preserve">and </w:t>
      </w:r>
      <w:r>
        <w:rPr>
          <w:rFonts w:ascii="Times New Roman" w:hAnsi="Times New Roman"/>
          <w:sz w:val="28"/>
          <w:szCs w:val="28"/>
        </w:rPr>
        <w:t>Gazi M. Hassan</w:t>
      </w:r>
    </w:p>
    <w:p w14:paraId="330059AB" w14:textId="77777777" w:rsidR="00A71EB9" w:rsidRDefault="00A71EB9" w:rsidP="00A71EB9">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jc w:val="center"/>
        <w:rPr>
          <w:rFonts w:ascii="Times New Roman" w:hAnsi="Times New Roman"/>
          <w:b w:val="0"/>
          <w:bCs/>
          <w:sz w:val="28"/>
          <w:szCs w:val="28"/>
        </w:rPr>
      </w:pPr>
      <w:r>
        <w:rPr>
          <w:rFonts w:ascii="Times New Roman" w:hAnsi="Times New Roman"/>
          <w:bCs/>
          <w:sz w:val="28"/>
          <w:szCs w:val="28"/>
        </w:rPr>
        <w:t xml:space="preserve"> </w:t>
      </w:r>
    </w:p>
    <w:p w14:paraId="2F7CD482" w14:textId="77777777" w:rsidR="00A71EB9" w:rsidRDefault="00A71EB9" w:rsidP="00A71EB9">
      <w:pPr>
        <w:rPr>
          <w:rFonts w:ascii="Times New Roman" w:hAnsi="Times New Roman"/>
          <w:szCs w:val="24"/>
          <w:lang w:val="en-US" w:eastAsia="ko-KR"/>
        </w:rPr>
      </w:pPr>
    </w:p>
    <w:p w14:paraId="62F13B78" w14:textId="3B02EA6B" w:rsidR="00A71EB9" w:rsidRDefault="00A71EB9" w:rsidP="00C354E9">
      <w:pPr>
        <w:pStyle w:val="CM22"/>
        <w:spacing w:after="0"/>
        <w:jc w:val="center"/>
        <w:rPr>
          <w:b/>
          <w:bCs/>
          <w:sz w:val="28"/>
          <w:szCs w:val="28"/>
        </w:rPr>
      </w:pPr>
      <w:r>
        <w:rPr>
          <w:b/>
          <w:bCs/>
          <w:sz w:val="28"/>
          <w:szCs w:val="28"/>
        </w:rPr>
        <w:t xml:space="preserve">Working Paper in Economics </w:t>
      </w:r>
      <w:r w:rsidR="00A80FC4">
        <w:rPr>
          <w:b/>
          <w:bCs/>
          <w:sz w:val="28"/>
          <w:szCs w:val="28"/>
        </w:rPr>
        <w:t>3</w:t>
      </w:r>
      <w:r w:rsidR="0086170C">
        <w:rPr>
          <w:b/>
          <w:bCs/>
          <w:sz w:val="28"/>
          <w:szCs w:val="28"/>
        </w:rPr>
        <w:t>/23</w:t>
      </w:r>
    </w:p>
    <w:p w14:paraId="5B8345EE" w14:textId="77777777" w:rsidR="00A71EB9" w:rsidRDefault="00A71EB9" w:rsidP="00A71EB9">
      <w:pPr>
        <w:pStyle w:val="CM22"/>
        <w:spacing w:after="0"/>
        <w:jc w:val="center"/>
        <w:rPr>
          <w:b/>
          <w:bCs/>
          <w:sz w:val="28"/>
          <w:szCs w:val="28"/>
        </w:rPr>
      </w:pPr>
    </w:p>
    <w:p w14:paraId="561EA569" w14:textId="446B689D" w:rsidR="00A71EB9" w:rsidRDefault="00085A2A" w:rsidP="00A71EB9">
      <w:pPr>
        <w:pStyle w:val="CM22"/>
        <w:spacing w:after="0"/>
        <w:jc w:val="center"/>
        <w:rPr>
          <w:sz w:val="28"/>
          <w:szCs w:val="28"/>
        </w:rPr>
      </w:pPr>
      <w:r>
        <w:rPr>
          <w:sz w:val="28"/>
          <w:szCs w:val="28"/>
        </w:rPr>
        <w:t>April</w:t>
      </w:r>
      <w:r w:rsidR="00A71EB9">
        <w:rPr>
          <w:sz w:val="28"/>
          <w:szCs w:val="28"/>
        </w:rPr>
        <w:t xml:space="preserve"> 202</w:t>
      </w:r>
      <w:r>
        <w:rPr>
          <w:sz w:val="28"/>
          <w:szCs w:val="28"/>
        </w:rPr>
        <w:t>3</w:t>
      </w:r>
    </w:p>
    <w:p w14:paraId="6288EA2C" w14:textId="78E45CA7" w:rsidR="00A71EB9" w:rsidRDefault="00A71EB9" w:rsidP="00A71EB9">
      <w:pPr>
        <w:pStyle w:val="Default"/>
      </w:pPr>
    </w:p>
    <w:p w14:paraId="398C8DF9" w14:textId="77777777" w:rsidR="00A71EB9" w:rsidRDefault="00A71EB9" w:rsidP="00A71EB9">
      <w:pPr>
        <w:pStyle w:val="Default"/>
        <w:jc w:val="center"/>
      </w:pPr>
    </w:p>
    <w:p w14:paraId="602F6A30" w14:textId="1F8DDCCB" w:rsidR="00A71EB9" w:rsidRDefault="00A71EB9" w:rsidP="00A71EB9">
      <w:pPr>
        <w:pStyle w:val="Default"/>
        <w:jc w:val="center"/>
        <w:rPr>
          <w:i/>
        </w:rPr>
      </w:pPr>
      <w:r>
        <w:rPr>
          <w:i/>
        </w:rPr>
        <w:t>Corresponding Author</w:t>
      </w:r>
    </w:p>
    <w:p w14:paraId="205C0DD9" w14:textId="62D9E860" w:rsidR="002642BF" w:rsidRDefault="002642BF" w:rsidP="00A71EB9">
      <w:pPr>
        <w:pStyle w:val="Default"/>
        <w:jc w:val="center"/>
        <w:rPr>
          <w:iCs/>
        </w:rPr>
      </w:pPr>
    </w:p>
    <w:p w14:paraId="5CB48E3A" w14:textId="0C30B920" w:rsidR="002642BF" w:rsidRDefault="00243C25" w:rsidP="00A71EB9">
      <w:pPr>
        <w:pStyle w:val="Default"/>
        <w:jc w:val="center"/>
        <w:rPr>
          <w:b/>
          <w:bCs/>
          <w:iCs/>
        </w:rPr>
      </w:pPr>
      <w:r>
        <w:rPr>
          <w:b/>
          <w:bCs/>
          <w:iCs/>
        </w:rPr>
        <w:t xml:space="preserve">Roya </w:t>
      </w:r>
      <w:proofErr w:type="spellStart"/>
      <w:r>
        <w:rPr>
          <w:b/>
          <w:bCs/>
          <w:iCs/>
        </w:rPr>
        <w:t>Taherifar</w:t>
      </w:r>
      <w:proofErr w:type="spellEnd"/>
    </w:p>
    <w:p w14:paraId="5DBC739A" w14:textId="77777777" w:rsidR="00830BB9" w:rsidRDefault="00830BB9" w:rsidP="00A71EB9">
      <w:pPr>
        <w:pStyle w:val="Default"/>
        <w:jc w:val="center"/>
        <w:rPr>
          <w:iCs/>
        </w:rPr>
      </w:pPr>
      <w:r>
        <w:rPr>
          <w:iCs/>
        </w:rPr>
        <w:t>School of Accounting, Finance and Economics</w:t>
      </w:r>
    </w:p>
    <w:p w14:paraId="7D1AC21C" w14:textId="46D1126B" w:rsidR="002642BF" w:rsidRDefault="002642BF" w:rsidP="00A71EB9">
      <w:pPr>
        <w:pStyle w:val="Default"/>
        <w:jc w:val="center"/>
        <w:rPr>
          <w:iCs/>
        </w:rPr>
      </w:pPr>
      <w:r>
        <w:rPr>
          <w:iCs/>
        </w:rPr>
        <w:t>University of Waikato</w:t>
      </w:r>
    </w:p>
    <w:p w14:paraId="715D2D85" w14:textId="4F57EDBB" w:rsidR="002642BF" w:rsidRDefault="002642BF" w:rsidP="00A71EB9">
      <w:pPr>
        <w:pStyle w:val="Default"/>
        <w:jc w:val="center"/>
        <w:rPr>
          <w:iCs/>
        </w:rPr>
      </w:pPr>
      <w:r>
        <w:rPr>
          <w:iCs/>
        </w:rPr>
        <w:t>Private Bag 3105</w:t>
      </w:r>
    </w:p>
    <w:p w14:paraId="7B48044F" w14:textId="32F81323" w:rsidR="002642BF" w:rsidRDefault="00B61941" w:rsidP="00A71EB9">
      <w:pPr>
        <w:pStyle w:val="Default"/>
        <w:jc w:val="center"/>
        <w:rPr>
          <w:iCs/>
        </w:rPr>
      </w:pPr>
      <w:r>
        <w:rPr>
          <w:iCs/>
        </w:rPr>
        <w:t>Hamilton 3240</w:t>
      </w:r>
    </w:p>
    <w:p w14:paraId="48D2EA6C" w14:textId="2AB10394" w:rsidR="002642BF" w:rsidRDefault="002642BF" w:rsidP="00A71EB9">
      <w:pPr>
        <w:pStyle w:val="Default"/>
        <w:jc w:val="center"/>
        <w:rPr>
          <w:iCs/>
        </w:rPr>
      </w:pPr>
      <w:r>
        <w:rPr>
          <w:iCs/>
        </w:rPr>
        <w:t>New Zealand</w:t>
      </w:r>
    </w:p>
    <w:p w14:paraId="63E30B1F" w14:textId="77777777" w:rsidR="00DE375C" w:rsidRDefault="00DE375C" w:rsidP="00A71EB9">
      <w:pPr>
        <w:pStyle w:val="Default"/>
        <w:jc w:val="center"/>
        <w:rPr>
          <w:iCs/>
        </w:rPr>
      </w:pPr>
    </w:p>
    <w:p w14:paraId="0EDE0CD5" w14:textId="0336977F" w:rsidR="00F64F99" w:rsidRDefault="00F64F99" w:rsidP="00A71EB9">
      <w:pPr>
        <w:pStyle w:val="Default"/>
        <w:jc w:val="center"/>
        <w:rPr>
          <w:iCs/>
        </w:rPr>
      </w:pPr>
      <w:r>
        <w:rPr>
          <w:bCs/>
        </w:rPr>
        <w:t xml:space="preserve">Email: </w:t>
      </w:r>
      <w:r w:rsidR="00243C25">
        <w:rPr>
          <w:bCs/>
        </w:rPr>
        <w:t>rt228</w:t>
      </w:r>
      <w:r>
        <w:rPr>
          <w:bCs/>
        </w:rPr>
        <w:t>@students.waikato.ac.nz</w:t>
      </w:r>
    </w:p>
    <w:p w14:paraId="1FFA0C2A" w14:textId="77777777" w:rsidR="002642BF" w:rsidRPr="002642BF" w:rsidRDefault="002642BF" w:rsidP="00A71EB9">
      <w:pPr>
        <w:pStyle w:val="Default"/>
        <w:jc w:val="center"/>
        <w:rPr>
          <w:iCs/>
        </w:rPr>
      </w:pPr>
    </w:p>
    <w:tbl>
      <w:tblPr>
        <w:tblW w:w="0" w:type="auto"/>
        <w:jc w:val="center"/>
        <w:tblLook w:val="04A0" w:firstRow="1" w:lastRow="0" w:firstColumn="1" w:lastColumn="0" w:noHBand="0" w:noVBand="1"/>
      </w:tblPr>
      <w:tblGrid>
        <w:gridCol w:w="6946"/>
      </w:tblGrid>
      <w:tr w:rsidR="00A71EB9" w14:paraId="7CC0B119" w14:textId="77777777" w:rsidTr="00754F52">
        <w:trPr>
          <w:jc w:val="center"/>
        </w:trPr>
        <w:tc>
          <w:tcPr>
            <w:tcW w:w="6946" w:type="dxa"/>
          </w:tcPr>
          <w:p w14:paraId="1609A063" w14:textId="77777777" w:rsidR="00A71EB9" w:rsidRDefault="00A71EB9" w:rsidP="00754F52">
            <w:pPr>
              <w:pStyle w:val="CM4"/>
              <w:spacing w:line="240" w:lineRule="auto"/>
              <w:jc w:val="center"/>
              <w:rPr>
                <w:b/>
                <w:sz w:val="8"/>
                <w:szCs w:val="8"/>
              </w:rPr>
            </w:pPr>
          </w:p>
          <w:p w14:paraId="45282AED" w14:textId="77777777" w:rsidR="00243C25" w:rsidRDefault="00243C25" w:rsidP="00243C25">
            <w:pPr>
              <w:pStyle w:val="CM4"/>
              <w:spacing w:line="240" w:lineRule="auto"/>
              <w:jc w:val="center"/>
              <w:rPr>
                <w:b/>
                <w:bCs/>
              </w:rPr>
            </w:pPr>
            <w:r>
              <w:rPr>
                <w:b/>
                <w:bCs/>
              </w:rPr>
              <w:t>Mark J. Holmes</w:t>
            </w:r>
          </w:p>
          <w:p w14:paraId="31039ED0" w14:textId="77777777" w:rsidR="00243C25" w:rsidRDefault="00243C25" w:rsidP="00243C25">
            <w:pPr>
              <w:pStyle w:val="Default"/>
              <w:jc w:val="center"/>
              <w:rPr>
                <w:iCs/>
              </w:rPr>
            </w:pPr>
            <w:r>
              <w:rPr>
                <w:iCs/>
              </w:rPr>
              <w:t>School of Accounting, Finance and Economics</w:t>
            </w:r>
          </w:p>
          <w:p w14:paraId="72F06DCC" w14:textId="77777777" w:rsidR="00243C25" w:rsidRDefault="00243C25" w:rsidP="00243C25">
            <w:pPr>
              <w:pStyle w:val="Default"/>
              <w:jc w:val="center"/>
              <w:rPr>
                <w:iCs/>
              </w:rPr>
            </w:pPr>
            <w:r>
              <w:rPr>
                <w:iCs/>
              </w:rPr>
              <w:t>University of Waikato</w:t>
            </w:r>
          </w:p>
          <w:p w14:paraId="0CB11BF4" w14:textId="77777777" w:rsidR="00243C25" w:rsidRDefault="00243C25" w:rsidP="00243C25">
            <w:pPr>
              <w:pStyle w:val="CM23"/>
              <w:spacing w:after="0"/>
              <w:jc w:val="center"/>
            </w:pPr>
            <w:r>
              <w:t>Hamilton 3240</w:t>
            </w:r>
          </w:p>
          <w:p w14:paraId="018A2866" w14:textId="77777777" w:rsidR="00243C25" w:rsidRDefault="00243C25" w:rsidP="00243C25">
            <w:pPr>
              <w:pStyle w:val="CM4"/>
              <w:spacing w:line="240" w:lineRule="auto"/>
              <w:jc w:val="center"/>
            </w:pPr>
            <w:r>
              <w:t>New Zealand</w:t>
            </w:r>
          </w:p>
          <w:p w14:paraId="2C3C92D8" w14:textId="77777777" w:rsidR="00243C25" w:rsidRPr="00247734" w:rsidRDefault="00243C25" w:rsidP="00243C25">
            <w:pPr>
              <w:pStyle w:val="Default"/>
              <w:jc w:val="center"/>
              <w:rPr>
                <w:sz w:val="6"/>
                <w:szCs w:val="6"/>
                <w:lang w:val="en-US" w:eastAsia="en-US"/>
              </w:rPr>
            </w:pPr>
          </w:p>
          <w:p w14:paraId="2ADA2E61" w14:textId="77777777" w:rsidR="00243C25" w:rsidRDefault="00243C25" w:rsidP="00243C25">
            <w:pPr>
              <w:pStyle w:val="Default"/>
              <w:spacing w:line="256" w:lineRule="auto"/>
              <w:jc w:val="center"/>
              <w:rPr>
                <w:sz w:val="6"/>
                <w:szCs w:val="6"/>
                <w:lang w:val="en-US" w:eastAsia="ko-KR"/>
              </w:rPr>
            </w:pPr>
          </w:p>
          <w:p w14:paraId="1DB4892B" w14:textId="77777777" w:rsidR="00243C25" w:rsidRDefault="00243C25" w:rsidP="00243C25">
            <w:pPr>
              <w:pStyle w:val="CM4"/>
              <w:spacing w:line="240" w:lineRule="auto"/>
              <w:jc w:val="center"/>
              <w:rPr>
                <w:b/>
              </w:rPr>
            </w:pPr>
            <w:r>
              <w:rPr>
                <w:bCs/>
              </w:rPr>
              <w:t xml:space="preserve">Email: </w:t>
            </w:r>
            <w:r w:rsidRPr="00EE2833">
              <w:rPr>
                <w:rFonts w:asciiTheme="majorBidi" w:hAnsiTheme="majorBidi" w:cstheme="majorBidi"/>
                <w:color w:val="353535"/>
                <w:shd w:val="clear" w:color="auto" w:fill="FFFFFF"/>
              </w:rPr>
              <w:t>holmesmj@waikato.ac.nz</w:t>
            </w:r>
            <w:r>
              <w:rPr>
                <w:b/>
              </w:rPr>
              <w:t xml:space="preserve"> </w:t>
            </w:r>
          </w:p>
          <w:p w14:paraId="1DD196F4" w14:textId="77777777" w:rsidR="00243C25" w:rsidRDefault="00243C25" w:rsidP="00243C25">
            <w:pPr>
              <w:pStyle w:val="CM4"/>
              <w:spacing w:line="240" w:lineRule="auto"/>
              <w:jc w:val="center"/>
              <w:rPr>
                <w:b/>
              </w:rPr>
            </w:pPr>
          </w:p>
          <w:p w14:paraId="0A5AAD7E" w14:textId="31FEFA35" w:rsidR="00A71EB9" w:rsidRDefault="00754F52" w:rsidP="00243C25">
            <w:pPr>
              <w:pStyle w:val="CM4"/>
              <w:spacing w:line="240" w:lineRule="auto"/>
              <w:jc w:val="center"/>
              <w:rPr>
                <w:b/>
              </w:rPr>
            </w:pPr>
            <w:r>
              <w:rPr>
                <w:b/>
              </w:rPr>
              <w:t>Gazi M. Hassan</w:t>
            </w:r>
          </w:p>
          <w:p w14:paraId="4491A5A9" w14:textId="77777777" w:rsidR="00435CEF" w:rsidRDefault="00435CEF" w:rsidP="00435CEF">
            <w:pPr>
              <w:pStyle w:val="Default"/>
              <w:jc w:val="center"/>
              <w:rPr>
                <w:iCs/>
              </w:rPr>
            </w:pPr>
            <w:r>
              <w:rPr>
                <w:iCs/>
              </w:rPr>
              <w:t>School of Accounting, Finance and Economics</w:t>
            </w:r>
          </w:p>
          <w:p w14:paraId="1A16103E" w14:textId="77777777" w:rsidR="002642BF" w:rsidRDefault="002642BF" w:rsidP="002642BF">
            <w:pPr>
              <w:pStyle w:val="Default"/>
              <w:jc w:val="center"/>
              <w:rPr>
                <w:iCs/>
              </w:rPr>
            </w:pPr>
            <w:r>
              <w:rPr>
                <w:iCs/>
              </w:rPr>
              <w:t>University of Waikato</w:t>
            </w:r>
          </w:p>
          <w:p w14:paraId="048EBDC3" w14:textId="27411B96" w:rsidR="00A71EB9" w:rsidRDefault="00A71EB9" w:rsidP="00754F52">
            <w:pPr>
              <w:pStyle w:val="CM23"/>
              <w:spacing w:after="0"/>
              <w:jc w:val="center"/>
            </w:pPr>
            <w:r>
              <w:t>Hamilton</w:t>
            </w:r>
            <w:r w:rsidR="00B61941">
              <w:t xml:space="preserve"> 3240</w:t>
            </w:r>
          </w:p>
          <w:p w14:paraId="731288E0" w14:textId="4F7A58CE" w:rsidR="00A71EB9" w:rsidRDefault="00A71EB9" w:rsidP="002642BF">
            <w:pPr>
              <w:pStyle w:val="CM4"/>
              <w:spacing w:line="240" w:lineRule="auto"/>
              <w:jc w:val="center"/>
            </w:pPr>
            <w:r>
              <w:t>New Zealand</w:t>
            </w:r>
            <w:r w:rsidR="002642BF">
              <w:t xml:space="preserve"> </w:t>
            </w:r>
          </w:p>
          <w:p w14:paraId="2919EB91" w14:textId="77777777" w:rsidR="00A71EB9" w:rsidRPr="00247734" w:rsidRDefault="00A71EB9" w:rsidP="00754F52">
            <w:pPr>
              <w:pStyle w:val="Default"/>
              <w:rPr>
                <w:sz w:val="6"/>
                <w:szCs w:val="6"/>
                <w:lang w:val="en-US" w:eastAsia="en-US"/>
              </w:rPr>
            </w:pPr>
          </w:p>
          <w:p w14:paraId="24557044" w14:textId="5ABDB1AF" w:rsidR="00A71EB9" w:rsidRPr="00243C25" w:rsidRDefault="00A71EB9" w:rsidP="00243C25">
            <w:pPr>
              <w:pStyle w:val="CM4"/>
              <w:spacing w:line="240" w:lineRule="auto"/>
              <w:jc w:val="center"/>
              <w:rPr>
                <w:rFonts w:asciiTheme="majorBidi" w:hAnsiTheme="majorBidi" w:cstheme="majorBidi"/>
                <w:b/>
                <w:bCs/>
              </w:rPr>
            </w:pPr>
            <w:r>
              <w:rPr>
                <w:bCs/>
              </w:rPr>
              <w:t xml:space="preserve">Email: </w:t>
            </w:r>
            <w:r w:rsidR="00754F52" w:rsidRPr="00754F52">
              <w:rPr>
                <w:rFonts w:asciiTheme="majorBidi" w:hAnsiTheme="majorBidi" w:cstheme="majorBidi"/>
                <w:color w:val="353535"/>
                <w:shd w:val="clear" w:color="auto" w:fill="FFFFFF"/>
              </w:rPr>
              <w:t>gmhassan@waikato.ac.nz</w:t>
            </w:r>
          </w:p>
        </w:tc>
      </w:tr>
    </w:tbl>
    <w:p w14:paraId="007618E9" w14:textId="77777777" w:rsidR="00FE7754" w:rsidRPr="00FE7754" w:rsidRDefault="00FE7754" w:rsidP="00FA4293">
      <w:pPr>
        <w:ind w:firstLine="0"/>
      </w:pPr>
    </w:p>
    <w:p w14:paraId="7839D453" w14:textId="77777777" w:rsidR="007759F6" w:rsidRDefault="007759F6" w:rsidP="009F4FB6">
      <w:pPr>
        <w:ind w:firstLine="0"/>
        <w:sectPr w:rsidR="007759F6" w:rsidSect="007759F6">
          <w:footerReference w:type="default" r:id="rId8"/>
          <w:pgSz w:w="11906" w:h="16838"/>
          <w:pgMar w:top="1440" w:right="1440" w:bottom="1440" w:left="1440" w:header="708" w:footer="708" w:gutter="0"/>
          <w:pgNumType w:start="1"/>
          <w:cols w:space="708"/>
          <w:titlePg/>
          <w:docGrid w:linePitch="360"/>
        </w:sectPr>
      </w:pPr>
    </w:p>
    <w:p w14:paraId="49CCF857" w14:textId="77777777" w:rsidR="00FA4293" w:rsidRPr="00FA4293" w:rsidRDefault="00FA4293" w:rsidP="009F4FB6">
      <w:pPr>
        <w:ind w:firstLine="0"/>
      </w:pPr>
    </w:p>
    <w:p w14:paraId="63EEF556" w14:textId="77777777" w:rsidR="00C618D0" w:rsidRDefault="00C618D0" w:rsidP="00A471C8">
      <w:pPr>
        <w:pStyle w:val="Heading2"/>
        <w:spacing w:line="360" w:lineRule="auto"/>
        <w:jc w:val="center"/>
        <w:rPr>
          <w:bCs/>
          <w:szCs w:val="24"/>
        </w:rPr>
      </w:pPr>
    </w:p>
    <w:p w14:paraId="168FEACD" w14:textId="5A78B61A" w:rsidR="002D504C" w:rsidRDefault="002D504C" w:rsidP="00A471C8">
      <w:pPr>
        <w:pStyle w:val="Heading2"/>
        <w:spacing w:line="360" w:lineRule="auto"/>
        <w:jc w:val="center"/>
      </w:pPr>
      <w:r>
        <w:rPr>
          <w:bCs/>
          <w:szCs w:val="24"/>
        </w:rPr>
        <w:t>Abstract</w:t>
      </w:r>
    </w:p>
    <w:p w14:paraId="3BB7D722" w14:textId="77777777" w:rsidR="008422C4" w:rsidRPr="008422C4" w:rsidRDefault="008422C4" w:rsidP="008422C4">
      <w:pPr>
        <w:ind w:firstLine="0"/>
        <w:rPr>
          <w:rFonts w:cstheme="majorBidi"/>
          <w:szCs w:val="24"/>
        </w:rPr>
      </w:pPr>
      <w:bookmarkStart w:id="2" w:name="_Toc43041669"/>
      <w:bookmarkStart w:id="3" w:name="_Toc43045111"/>
      <w:bookmarkEnd w:id="0"/>
      <w:bookmarkEnd w:id="1"/>
      <w:r w:rsidRPr="008422C4">
        <w:rPr>
          <w:rFonts w:cstheme="majorBidi"/>
          <w:szCs w:val="24"/>
        </w:rPr>
        <w:t xml:space="preserve">Income inequality and labour share have followed divergent trends in Australia. Empirical studies have attempted to explain their movement and their relationship using macro data. However, what is lacking is a firm-level study to capture the determinants of labour share specific to the firm’s production technology and market structures with an investigation into the impact on pay inequality inside firms. Hence, we conduct the first Australian firm-level study using a sample of Australian listed firms over the period 2004-2019. First, we examine the impact of technological progress, product market power and labour market power on the labour share. The results show that the decline in Australian labour share is mainly driven by technological progress and increasing product market power. However, labour market power does not have a significant impact on labour share. These findings are robust to an array of sensitivity tests. Second, we examine the impact of labour share on pay inequality within firms. We find robust evidence that declining labour share is a significant driving force in the evolution of pay inequality. Moreover, a 10 per cent decline in labour share rises pay inequality by 4.19 per cent. Additional tests show that technological progress and product market power can moderate the negative impact of labour share on pay inequality. </w:t>
      </w:r>
    </w:p>
    <w:p w14:paraId="5C3290B4" w14:textId="77777777" w:rsidR="00EE2833" w:rsidRDefault="00EE2833" w:rsidP="00544C97">
      <w:pPr>
        <w:spacing w:after="0" w:line="240" w:lineRule="auto"/>
        <w:ind w:firstLine="0"/>
        <w:rPr>
          <w:rFonts w:ascii="Times New Roman" w:hAnsi="Times New Roman" w:cs="Times New Roman"/>
          <w:b/>
          <w:bCs/>
          <w:szCs w:val="24"/>
          <w:lang w:val="it-IT"/>
        </w:rPr>
      </w:pPr>
    </w:p>
    <w:p w14:paraId="20AD5AD1" w14:textId="77777777" w:rsidR="0086170C" w:rsidRPr="00447368" w:rsidRDefault="0086170C" w:rsidP="00544C97">
      <w:pPr>
        <w:spacing w:after="0" w:line="240" w:lineRule="auto"/>
        <w:ind w:firstLine="0"/>
        <w:rPr>
          <w:rFonts w:ascii="Times New Roman" w:hAnsi="Times New Roman" w:cs="Times New Roman"/>
          <w:b/>
          <w:bCs/>
          <w:szCs w:val="24"/>
          <w:lang w:val="it-IT"/>
        </w:rPr>
      </w:pPr>
    </w:p>
    <w:p w14:paraId="1AE627F4" w14:textId="77777777" w:rsidR="00EE2833" w:rsidRDefault="00EE2833" w:rsidP="003741A2">
      <w:pPr>
        <w:spacing w:after="120" w:line="240" w:lineRule="auto"/>
        <w:jc w:val="center"/>
        <w:rPr>
          <w:rFonts w:ascii="Times New Roman" w:hAnsi="Times New Roman" w:cs="Times New Roman"/>
          <w:szCs w:val="24"/>
          <w:lang w:val="en-US"/>
        </w:rPr>
      </w:pPr>
      <w:r w:rsidRPr="00A82ADF">
        <w:rPr>
          <w:rFonts w:ascii="Times New Roman" w:hAnsi="Times New Roman" w:cs="Times New Roman"/>
          <w:b/>
          <w:bCs/>
          <w:szCs w:val="24"/>
          <w:lang w:val="en-US"/>
        </w:rPr>
        <w:t>Keywords</w:t>
      </w:r>
    </w:p>
    <w:p w14:paraId="55F1603F" w14:textId="77777777" w:rsidR="0086170C" w:rsidRDefault="009F4FB6" w:rsidP="009F4FB6">
      <w:pPr>
        <w:spacing w:after="0" w:line="240" w:lineRule="auto"/>
        <w:jc w:val="center"/>
        <w:rPr>
          <w:rFonts w:ascii="Times New Roman" w:hAnsi="Times New Roman" w:cs="Times New Roman"/>
          <w:szCs w:val="24"/>
        </w:rPr>
      </w:pPr>
      <w:r w:rsidRPr="008422C4">
        <w:rPr>
          <w:rFonts w:ascii="Times New Roman" w:hAnsi="Times New Roman" w:cs="Times New Roman"/>
          <w:szCs w:val="24"/>
        </w:rPr>
        <w:t>Income Distribution</w:t>
      </w:r>
    </w:p>
    <w:p w14:paraId="71CE9936" w14:textId="77777777" w:rsidR="0086170C" w:rsidRDefault="009F4FB6" w:rsidP="009F4FB6">
      <w:pPr>
        <w:spacing w:after="0" w:line="240" w:lineRule="auto"/>
        <w:jc w:val="center"/>
        <w:rPr>
          <w:rFonts w:ascii="Times New Roman" w:hAnsi="Times New Roman" w:cs="Times New Roman"/>
          <w:szCs w:val="24"/>
        </w:rPr>
      </w:pPr>
      <w:r w:rsidRPr="008422C4">
        <w:rPr>
          <w:rFonts w:ascii="Times New Roman" w:hAnsi="Times New Roman" w:cs="Times New Roman"/>
          <w:szCs w:val="24"/>
        </w:rPr>
        <w:t>Mark-</w:t>
      </w:r>
      <w:r>
        <w:rPr>
          <w:rFonts w:ascii="Times New Roman" w:hAnsi="Times New Roman" w:cs="Times New Roman"/>
          <w:szCs w:val="24"/>
        </w:rPr>
        <w:t>u</w:t>
      </w:r>
      <w:r w:rsidRPr="008422C4">
        <w:rPr>
          <w:rFonts w:ascii="Times New Roman" w:hAnsi="Times New Roman" w:cs="Times New Roman"/>
          <w:szCs w:val="24"/>
        </w:rPr>
        <w:t>p</w:t>
      </w:r>
    </w:p>
    <w:p w14:paraId="23EAB426" w14:textId="77777777" w:rsidR="0086170C" w:rsidRDefault="009F4FB6" w:rsidP="009F4FB6">
      <w:pPr>
        <w:spacing w:after="0" w:line="240" w:lineRule="auto"/>
        <w:jc w:val="center"/>
        <w:rPr>
          <w:rFonts w:ascii="Times New Roman" w:hAnsi="Times New Roman" w:cs="Times New Roman"/>
          <w:szCs w:val="24"/>
        </w:rPr>
      </w:pPr>
      <w:r w:rsidRPr="008422C4">
        <w:rPr>
          <w:rFonts w:ascii="Times New Roman" w:hAnsi="Times New Roman" w:cs="Times New Roman"/>
          <w:szCs w:val="24"/>
        </w:rPr>
        <w:t>Labour Share</w:t>
      </w:r>
    </w:p>
    <w:p w14:paraId="69A0121E" w14:textId="77777777" w:rsidR="0086170C" w:rsidRDefault="009F4FB6" w:rsidP="009F4FB6">
      <w:pPr>
        <w:spacing w:after="0" w:line="240" w:lineRule="auto"/>
        <w:jc w:val="center"/>
        <w:rPr>
          <w:rFonts w:ascii="Times New Roman" w:hAnsi="Times New Roman" w:cs="Times New Roman"/>
          <w:szCs w:val="24"/>
        </w:rPr>
      </w:pPr>
      <w:r w:rsidRPr="008422C4">
        <w:rPr>
          <w:rFonts w:ascii="Times New Roman" w:hAnsi="Times New Roman" w:cs="Times New Roman"/>
          <w:szCs w:val="24"/>
        </w:rPr>
        <w:t>Pay Inequality</w:t>
      </w:r>
    </w:p>
    <w:p w14:paraId="25019395" w14:textId="632A5231" w:rsidR="004B1F65" w:rsidRPr="009F4FB6" w:rsidRDefault="009F4FB6" w:rsidP="009F4FB6">
      <w:pPr>
        <w:spacing w:after="0" w:line="240" w:lineRule="auto"/>
        <w:jc w:val="center"/>
        <w:rPr>
          <w:rFonts w:ascii="Times New Roman" w:hAnsi="Times New Roman" w:cs="Times New Roman"/>
          <w:szCs w:val="24"/>
        </w:rPr>
      </w:pPr>
      <w:r w:rsidRPr="008422C4">
        <w:rPr>
          <w:rFonts w:ascii="Times New Roman" w:hAnsi="Times New Roman" w:cs="Times New Roman"/>
          <w:szCs w:val="24"/>
        </w:rPr>
        <w:t>Total Factor Productivity</w:t>
      </w:r>
    </w:p>
    <w:p w14:paraId="30F1C05D" w14:textId="77777777" w:rsidR="009328CC" w:rsidRDefault="009328CC" w:rsidP="003A7E47">
      <w:pPr>
        <w:spacing w:after="0" w:line="240" w:lineRule="auto"/>
        <w:jc w:val="center"/>
        <w:rPr>
          <w:rFonts w:ascii="Times New Roman" w:hAnsi="Times New Roman" w:cs="Times New Roman"/>
          <w:szCs w:val="24"/>
          <w:lang w:val="en-US"/>
        </w:rPr>
      </w:pPr>
    </w:p>
    <w:p w14:paraId="20FAA8C2" w14:textId="4B28CDE1" w:rsidR="000737DE" w:rsidRDefault="000737DE" w:rsidP="003A7E47">
      <w:pPr>
        <w:spacing w:after="0" w:line="240" w:lineRule="auto"/>
        <w:jc w:val="center"/>
        <w:rPr>
          <w:rFonts w:ascii="Times New Roman" w:hAnsi="Times New Roman" w:cs="Times New Roman"/>
          <w:szCs w:val="24"/>
          <w:lang w:val="en-US"/>
        </w:rPr>
      </w:pPr>
    </w:p>
    <w:p w14:paraId="771E1C9D" w14:textId="3D8C5A86" w:rsidR="00830BB9" w:rsidRDefault="00830BB9" w:rsidP="00544C97">
      <w:pPr>
        <w:spacing w:after="0" w:line="240" w:lineRule="auto"/>
        <w:ind w:firstLine="0"/>
        <w:rPr>
          <w:rFonts w:ascii="Times New Roman" w:hAnsi="Times New Roman" w:cs="Times New Roman"/>
          <w:szCs w:val="24"/>
          <w:lang w:val="en-US"/>
        </w:rPr>
      </w:pPr>
    </w:p>
    <w:p w14:paraId="3A3260AB" w14:textId="77777777" w:rsidR="0086170C" w:rsidRPr="00447368" w:rsidRDefault="0086170C" w:rsidP="003741A2">
      <w:pPr>
        <w:spacing w:after="120" w:line="240" w:lineRule="auto"/>
        <w:jc w:val="center"/>
        <w:rPr>
          <w:rFonts w:ascii="Times New Roman" w:hAnsi="Times New Roman" w:cs="Times New Roman"/>
          <w:b/>
          <w:bCs/>
          <w:szCs w:val="24"/>
          <w:lang w:val="it-IT"/>
        </w:rPr>
      </w:pPr>
      <w:r w:rsidRPr="00447368">
        <w:rPr>
          <w:rFonts w:ascii="Times New Roman" w:hAnsi="Times New Roman" w:cs="Times New Roman"/>
          <w:b/>
          <w:bCs/>
          <w:szCs w:val="24"/>
          <w:lang w:val="it-IT"/>
        </w:rPr>
        <w:t>JEL Classification</w:t>
      </w:r>
    </w:p>
    <w:p w14:paraId="252C1E4A" w14:textId="77777777" w:rsidR="0086170C" w:rsidRDefault="0086170C" w:rsidP="0086170C">
      <w:pPr>
        <w:spacing w:after="0" w:line="240" w:lineRule="auto"/>
        <w:jc w:val="center"/>
        <w:rPr>
          <w:rFonts w:ascii="Times New Roman" w:hAnsi="Times New Roman" w:cs="Times New Roman"/>
          <w:szCs w:val="24"/>
        </w:rPr>
      </w:pPr>
      <w:r w:rsidRPr="008422C4">
        <w:rPr>
          <w:rFonts w:ascii="Times New Roman" w:hAnsi="Times New Roman" w:cs="Times New Roman"/>
          <w:szCs w:val="24"/>
        </w:rPr>
        <w:t>D33</w:t>
      </w:r>
    </w:p>
    <w:p w14:paraId="3CDBB1EA" w14:textId="77777777" w:rsidR="0086170C" w:rsidRDefault="0086170C" w:rsidP="0086170C">
      <w:pPr>
        <w:spacing w:after="0" w:line="240" w:lineRule="auto"/>
        <w:jc w:val="center"/>
        <w:rPr>
          <w:rFonts w:ascii="Times New Roman" w:hAnsi="Times New Roman" w:cs="Times New Roman"/>
          <w:szCs w:val="24"/>
        </w:rPr>
      </w:pPr>
      <w:r w:rsidRPr="008422C4">
        <w:rPr>
          <w:rFonts w:ascii="Times New Roman" w:hAnsi="Times New Roman" w:cs="Times New Roman"/>
          <w:szCs w:val="24"/>
        </w:rPr>
        <w:t>J31</w:t>
      </w:r>
    </w:p>
    <w:p w14:paraId="39B35C22" w14:textId="6F1612CA" w:rsidR="0086170C" w:rsidRDefault="0086170C" w:rsidP="0086170C">
      <w:pPr>
        <w:spacing w:after="0" w:line="240" w:lineRule="auto"/>
        <w:jc w:val="center"/>
        <w:rPr>
          <w:rFonts w:ascii="Times New Roman" w:hAnsi="Times New Roman" w:cs="Times New Roman"/>
          <w:szCs w:val="24"/>
          <w:lang w:val="it-IT"/>
        </w:rPr>
      </w:pPr>
      <w:r w:rsidRPr="008422C4">
        <w:rPr>
          <w:rFonts w:ascii="Times New Roman" w:hAnsi="Times New Roman" w:cs="Times New Roman"/>
          <w:szCs w:val="24"/>
        </w:rPr>
        <w:t>D42</w:t>
      </w:r>
    </w:p>
    <w:p w14:paraId="4C79AB4F" w14:textId="77777777" w:rsidR="00830BB9" w:rsidRDefault="00830BB9" w:rsidP="003A7E47">
      <w:pPr>
        <w:spacing w:after="0" w:line="240" w:lineRule="auto"/>
        <w:jc w:val="center"/>
        <w:rPr>
          <w:rFonts w:ascii="Times New Roman" w:hAnsi="Times New Roman" w:cs="Times New Roman"/>
          <w:szCs w:val="24"/>
          <w:lang w:val="en-US"/>
        </w:rPr>
      </w:pPr>
    </w:p>
    <w:p w14:paraId="7794CBD9" w14:textId="77777777" w:rsidR="0086170C" w:rsidRDefault="0086170C" w:rsidP="003A7E47">
      <w:pPr>
        <w:spacing w:after="0" w:line="240" w:lineRule="auto"/>
        <w:jc w:val="center"/>
        <w:rPr>
          <w:rFonts w:ascii="Times New Roman" w:hAnsi="Times New Roman" w:cs="Times New Roman"/>
          <w:szCs w:val="24"/>
          <w:lang w:val="en-US"/>
        </w:rPr>
      </w:pPr>
    </w:p>
    <w:p w14:paraId="77C43843" w14:textId="05D634EA" w:rsidR="003A7E47" w:rsidRDefault="00830BB9" w:rsidP="003741A2">
      <w:pPr>
        <w:spacing w:after="120" w:line="240" w:lineRule="auto"/>
        <w:jc w:val="center"/>
        <w:rPr>
          <w:rFonts w:cstheme="majorBidi"/>
          <w:b/>
          <w:bCs/>
          <w:szCs w:val="24"/>
        </w:rPr>
      </w:pPr>
      <w:r w:rsidRPr="00830BB9">
        <w:rPr>
          <w:rFonts w:cstheme="majorBidi"/>
          <w:b/>
          <w:bCs/>
          <w:szCs w:val="24"/>
        </w:rPr>
        <w:t>Acknowledgement</w:t>
      </w:r>
      <w:r w:rsidR="00C311EC">
        <w:rPr>
          <w:rFonts w:cstheme="majorBidi"/>
          <w:b/>
          <w:bCs/>
          <w:szCs w:val="24"/>
        </w:rPr>
        <w:t>s</w:t>
      </w:r>
    </w:p>
    <w:p w14:paraId="55F52F25" w14:textId="1E8F31A4" w:rsidR="00FE7754" w:rsidRDefault="00830BB9" w:rsidP="009D2930">
      <w:pPr>
        <w:spacing w:after="0" w:line="240" w:lineRule="auto"/>
        <w:jc w:val="center"/>
        <w:rPr>
          <w:rFonts w:cstheme="majorBidi"/>
          <w:szCs w:val="24"/>
        </w:rPr>
      </w:pPr>
      <w:r w:rsidRPr="00071517">
        <w:rPr>
          <w:rFonts w:cstheme="majorBidi"/>
          <w:szCs w:val="24"/>
        </w:rPr>
        <w:t xml:space="preserve">We would like to thank </w:t>
      </w:r>
      <w:r w:rsidR="008E68A4" w:rsidRPr="00071517">
        <w:rPr>
          <w:rFonts w:cstheme="majorBidi"/>
          <w:szCs w:val="24"/>
        </w:rPr>
        <w:t xml:space="preserve">the </w:t>
      </w:r>
      <w:r w:rsidR="00071517" w:rsidRPr="00071517">
        <w:rPr>
          <w:rFonts w:cstheme="majorBidi"/>
          <w:szCs w:val="24"/>
        </w:rPr>
        <w:t xml:space="preserve">Australian Bureau of Statistics </w:t>
      </w:r>
      <w:r w:rsidR="00C745F5" w:rsidRPr="00071517">
        <w:rPr>
          <w:rFonts w:cstheme="majorBidi"/>
          <w:szCs w:val="24"/>
        </w:rPr>
        <w:t>(</w:t>
      </w:r>
      <w:r w:rsidR="00071517" w:rsidRPr="00071517">
        <w:rPr>
          <w:rFonts w:cstheme="majorBidi"/>
          <w:szCs w:val="24"/>
        </w:rPr>
        <w:t>ABS</w:t>
      </w:r>
      <w:r w:rsidR="00C745F5" w:rsidRPr="00071517">
        <w:rPr>
          <w:rFonts w:cstheme="majorBidi"/>
          <w:szCs w:val="24"/>
        </w:rPr>
        <w:t>)</w:t>
      </w:r>
      <w:r w:rsidR="00FF72B7" w:rsidRPr="00071517">
        <w:rPr>
          <w:rFonts w:cstheme="majorBidi"/>
          <w:szCs w:val="24"/>
        </w:rPr>
        <w:t xml:space="preserve">, </w:t>
      </w:r>
      <w:r w:rsidR="00071517" w:rsidRPr="00071517">
        <w:t>Thomson Reuters</w:t>
      </w:r>
      <w:r w:rsidR="008E68A4" w:rsidRPr="00071517">
        <w:rPr>
          <w:rFonts w:cstheme="majorBidi"/>
          <w:szCs w:val="24"/>
        </w:rPr>
        <w:t>,</w:t>
      </w:r>
      <w:r w:rsidR="00071517" w:rsidRPr="00071517">
        <w:rPr>
          <w:rFonts w:cstheme="majorBidi"/>
          <w:szCs w:val="24"/>
        </w:rPr>
        <w:t xml:space="preserve"> and</w:t>
      </w:r>
      <w:r w:rsidR="009D2930">
        <w:rPr>
          <w:rFonts w:cstheme="majorBidi"/>
          <w:szCs w:val="24"/>
        </w:rPr>
        <w:t xml:space="preserve"> </w:t>
      </w:r>
      <w:proofErr w:type="spellStart"/>
      <w:r w:rsidR="00071517" w:rsidRPr="00071517">
        <w:rPr>
          <w:rFonts w:cstheme="majorBidi"/>
          <w:szCs w:val="24"/>
        </w:rPr>
        <w:t>MorningStar</w:t>
      </w:r>
      <w:proofErr w:type="spellEnd"/>
      <w:r w:rsidR="00071517" w:rsidRPr="00071517">
        <w:rPr>
          <w:rFonts w:cstheme="majorBidi"/>
          <w:szCs w:val="24"/>
        </w:rPr>
        <w:t xml:space="preserve"> </w:t>
      </w:r>
      <w:r w:rsidR="00BA6FD4" w:rsidRPr="00071517">
        <w:rPr>
          <w:rFonts w:cstheme="majorBidi"/>
          <w:szCs w:val="24"/>
        </w:rPr>
        <w:t>for providing</w:t>
      </w:r>
      <w:r w:rsidR="00FF72B7" w:rsidRPr="00071517">
        <w:rPr>
          <w:rFonts w:cstheme="majorBidi"/>
          <w:szCs w:val="24"/>
        </w:rPr>
        <w:t xml:space="preserve"> access to the data required for this study. </w:t>
      </w:r>
      <w:r w:rsidR="00071517" w:rsidRPr="00071517">
        <w:rPr>
          <w:rFonts w:cstheme="majorBidi"/>
          <w:szCs w:val="24"/>
        </w:rPr>
        <w:t>In addition, we</w:t>
      </w:r>
      <w:r w:rsidR="009D2930">
        <w:rPr>
          <w:rFonts w:cstheme="majorBidi"/>
          <w:szCs w:val="24"/>
        </w:rPr>
        <w:t xml:space="preserve"> </w:t>
      </w:r>
      <w:r w:rsidR="00071517" w:rsidRPr="00071517">
        <w:rPr>
          <w:rFonts w:cstheme="majorBidi"/>
          <w:szCs w:val="24"/>
        </w:rPr>
        <w:t>acknowledge the University of Waikato for providing funds for the study. We also appreciate the constructive suggestions from the reviewers.</w:t>
      </w:r>
    </w:p>
    <w:p w14:paraId="59519578" w14:textId="77777777" w:rsidR="009F4FB6" w:rsidRDefault="009F4FB6" w:rsidP="009D2930">
      <w:pPr>
        <w:spacing w:after="0" w:line="240" w:lineRule="auto"/>
        <w:jc w:val="center"/>
        <w:rPr>
          <w:rFonts w:cstheme="majorBidi"/>
          <w:szCs w:val="24"/>
        </w:rPr>
      </w:pPr>
    </w:p>
    <w:p w14:paraId="10820C0D" w14:textId="77777777" w:rsidR="009F4FB6" w:rsidRDefault="009F4FB6" w:rsidP="009D2930">
      <w:pPr>
        <w:spacing w:after="0" w:line="240" w:lineRule="auto"/>
        <w:jc w:val="center"/>
        <w:rPr>
          <w:rFonts w:cstheme="majorBidi"/>
          <w:szCs w:val="24"/>
        </w:rPr>
      </w:pPr>
    </w:p>
    <w:p w14:paraId="3E8262AA" w14:textId="5EF0896C" w:rsidR="0011020F" w:rsidRDefault="00953145" w:rsidP="00421703">
      <w:pPr>
        <w:pStyle w:val="Heading1"/>
        <w:numPr>
          <w:ilvl w:val="0"/>
          <w:numId w:val="1"/>
        </w:numPr>
      </w:pPr>
      <w:r w:rsidRPr="002D7619">
        <w:lastRenderedPageBreak/>
        <w:t>Introduction</w:t>
      </w:r>
      <w:bookmarkEnd w:id="2"/>
      <w:bookmarkEnd w:id="3"/>
    </w:p>
    <w:p w14:paraId="1046D3F3" w14:textId="13DD51D3" w:rsidR="00421703" w:rsidRPr="00421703" w:rsidRDefault="00421703" w:rsidP="00421703">
      <w:pPr>
        <w:ind w:firstLine="0"/>
      </w:pPr>
      <w:bookmarkStart w:id="4" w:name="_Hlk132296479"/>
      <w:r w:rsidRPr="00421703">
        <w:t xml:space="preserve">The worldwide shift in the functional distribution of income between significant factors of production (capital and labour) and the rise in income inequality has been observed in many countries. For example, several studies have documented a decline in aggregate labour share </w:t>
      </w:r>
      <w:r w:rsidRPr="00421703">
        <w:fldChar w:fldCharType="begin" w:fldLock="1"/>
      </w:r>
      <w:r w:rsidR="0052081C">
        <w:instrText>ADDIN CSL_CITATION {"citationItems":[{"id":"ITEM-1","itemData":{"DOI":"10.1093/QJE/QJT032","ISSN":"0033-5533","abstract":"The stability of the labor share of income is a key foundation in macroeconomic models. We document, however, that the global labor share has significantly declined since the early 1980s, with the decline occurring within the large majority of countries and industries. We show that the decrease in the relative price of investment goods, often attributed to advances in information technology and the computer age, induced firms to shift away from labor and toward capital. The lower price of investment goods explains roughly half of the observed decline in the labor share, even when we allow for other mechanisms influencing factor shares, such as increasing profits, capital-augmenting technology growth, and the changing skill composition of the labor force. We highlight the implications of this explanation for welfare and macroeconomic dynamics. © The Author(s) 2013. Published by Oxford University Press, on behalf of President and Fellows of Harvard College. All rights reserved.","author":[{"dropping-particle":"","family":"Karabarbounis","given":"Loukas","non-dropping-particle":"","parse-names":false,"suffix":""},{"dropping-particle":"","family":"Neiman","given":"Brent","non-dropping-particle":"","parse-names":false,"suffix":""}],"container-title":"The Quarterly Journal of Economics","id":"ITEM-1","issue":"1","issued":{"date-parts":[["2014","2","1"]]},"page":"61-103","publisher":"Oxford Academic","title":"The global decline of the labor share","type":"article-journal","volume":"129"},"uris":["http://www.mendeley.com/documents/?uuid=25f97c6b-0679-3d66-b9f1-1bee05b8ef3d"]},{"id":"ITEM-2","itemData":{"DOI":"10.1093/epolic/eiaa004","author":[{"dropping-particle":"","family":"Dao","given":"Mai Chi","non-dropping-particle":"","parse-names":false,"suffix":""},{"dropping-particle":"","family":"Das","given":"Mitali","non-dropping-particle":"","parse-names":false,"suffix":""},{"dropping-particle":"","family":"Koczan","given":"Zsoka","non-dropping-particle":"","parse-names":false,"suffix":""}],"container-title":"Economic Policy","id":"ITEM-2","issue":"100","issued":{"date-parts":[["2019"]]},"page":"723-759","title":"Why is labor receiving a smaller share of global income? Theory and empirical evidence","type":"article-journal","volume":"34"},"uris":["http://www.mendeley.com/documents/?uuid=6a1f530a-04b7-3cf4-abea-58b5517832a0"]}],"mendeley":{"formattedCitation":"(Dao et al., 2019; Karabarbounis &amp; Neiman, 2014)","manualFormatting":"(e.g., Dao et al., 2019; Karabarbounis and Neiman, 2014)","plainTextFormattedCitation":"(Dao et al., 2019; Karabarbounis &amp; Neiman, 2014)","previouslyFormattedCitation":"(Karabarbounis and Neiman 2014; Dao, Das, and Koczan 2019)"},"properties":{"noteIndex":0},"schema":"https://github.com/citation-style-language/schema/raw/master/csl-citation.json"}</w:instrText>
      </w:r>
      <w:r w:rsidRPr="00421703">
        <w:fldChar w:fldCharType="separate"/>
      </w:r>
      <w:r w:rsidRPr="00421703">
        <w:rPr>
          <w:noProof/>
        </w:rPr>
        <w:t xml:space="preserve">(e.g., Dao et al., 2019; Karabarbounis </w:t>
      </w:r>
      <w:r w:rsidR="0052081C">
        <w:rPr>
          <w:noProof/>
        </w:rPr>
        <w:t>and</w:t>
      </w:r>
      <w:r w:rsidRPr="00421703">
        <w:rPr>
          <w:noProof/>
        </w:rPr>
        <w:t xml:space="preserve"> Neiman, 2014)</w:t>
      </w:r>
      <w:r w:rsidRPr="00421703">
        <w:fldChar w:fldCharType="end"/>
      </w:r>
      <w:r w:rsidRPr="00421703">
        <w:t xml:space="preserve"> and an increase in inequality </w:t>
      </w:r>
      <w:r w:rsidRPr="00421703">
        <w:fldChar w:fldCharType="begin" w:fldLock="1"/>
      </w:r>
      <w:r w:rsidR="00F25C01">
        <w:instrText>ADDIN CSL_CITATION {"citationItems":[{"id":"ITEM-1","itemData":{"DOI":"10.1787/9789264235120-EN","abstract":"The gap between rich and poor keeps widening. Growth, if any, has disproportionally benefited higher income groups while lower income households have been left behind. This long-run increase in income inequality not only raises social and political concerns, but also economic ones. It tends to drag down GDP growth, due to the rising distance of the lower 40% from the rest of society. Lower income people have been prevented from realising their human capital potential, which is bad for the economy as a whole. This book highlights the key areas where inequalities are created and where new policies are required, including: the consequences of current consolidation policies; structural labour market changes with rising non-standard work and job polarization; persisting gender gaps; the challenge of high wealth concentration, and the role for redistribution policies.","author":[{"dropping-particle":"","family":"OECD","given":"","non-dropping-particle":"","parse-names":false,"suffix":""}],"container-title":"In It Together: Why Less Inequality Benefits All","id":"ITEM-1","issued":{"date-parts":[["2015","5","21"]]},"publisher":"OECD","title":"In it together: Why less inequality benefits all","type":"report"},"uris":["http://www.mendeley.com/documents/?uuid=f5ea37d9-b22c-35ea-8b68-6a4d5aaf0d5b"]}],"mendeley":{"formattedCitation":"(OECD, 2015)","manualFormatting":"(e.g., OECD, 2015)","plainTextFormattedCitation":"(OECD, 2015)","previouslyFormattedCitation":"(OECD 2015)"},"properties":{"noteIndex":0},"schema":"https://github.com/citation-style-language/schema/raw/master/csl-citation.json"}</w:instrText>
      </w:r>
      <w:r w:rsidRPr="00421703">
        <w:fldChar w:fldCharType="separate"/>
      </w:r>
      <w:r w:rsidRPr="00421703">
        <w:rPr>
          <w:noProof/>
        </w:rPr>
        <w:t>(e.g., OECD</w:t>
      </w:r>
      <w:r w:rsidR="00F25C01">
        <w:rPr>
          <w:noProof/>
        </w:rPr>
        <w:t>,</w:t>
      </w:r>
      <w:r w:rsidRPr="00421703">
        <w:rPr>
          <w:noProof/>
        </w:rPr>
        <w:t xml:space="preserve"> 2015)</w:t>
      </w:r>
      <w:r w:rsidRPr="00421703">
        <w:fldChar w:fldCharType="end"/>
      </w:r>
      <w:r w:rsidRPr="00421703">
        <w:t xml:space="preserve"> in most countries. This divergent trend between labour share and income inequality has also been emphasised in Australia in recent decades. Regardless of the measurement method, Australian labour share has substantially declined since the mid-1970s </w:t>
      </w:r>
      <w:r w:rsidRPr="00421703">
        <w:fldChar w:fldCharType="begin" w:fldLock="1"/>
      </w:r>
      <w:r w:rsidR="00BA76AC">
        <w:instrText>ADDIN CSL_CITATION {"citationItems":[{"id":"ITEM-1","itemData":{"author":[{"dropping-particle":"","family":"Gianni","given":"La Cava","non-dropping-particle":"","parse-names":false,"suffix":""}],"container-title":"Bulletin","id":"ITEM-1","issue":"March","issued":{"date-parts":[["2019","3","21"]]},"publisher":"Reserve Bank of Australia","title":"The labour and capital shares of income in Australia | Bulletin – March Quarter 2019","type":"report"},"uris":["http://www.mendeley.com/documents/?uuid=352824e8-fcc7-3ed1-a8d5-7e5c8c021c14"]}],"mendeley":{"formattedCitation":"(Gianni, 2019)","plainTextFormattedCitation":"(Gianni, 2019)","previouslyFormattedCitation":"(Gianni 2019)"},"properties":{"noteIndex":0},"schema":"https://github.com/citation-style-language/schema/raw/master/csl-citation.json"}</w:instrText>
      </w:r>
      <w:r w:rsidRPr="00421703">
        <w:fldChar w:fldCharType="separate"/>
      </w:r>
      <w:r w:rsidR="00BA76AC" w:rsidRPr="00BA76AC">
        <w:rPr>
          <w:noProof/>
        </w:rPr>
        <w:t>(Gianni, 2019)</w:t>
      </w:r>
      <w:r w:rsidRPr="00421703">
        <w:fldChar w:fldCharType="end"/>
      </w:r>
      <w:r w:rsidRPr="00421703">
        <w:t xml:space="preserve">, while income inequality has increased and now exceeds the OECD average </w:t>
      </w:r>
      <w:r w:rsidRPr="00421703">
        <w:fldChar w:fldCharType="begin" w:fldLock="1"/>
      </w:r>
      <w:r w:rsidR="00F25C01">
        <w:instrText>ADDIN CSL_CITATION {"citationItems":[{"id":"ITEM-1","itemData":{"DOI":"10.1787/18151973","author":[{"dropping-particle":"","family":"Sila","given":"Urban","non-dropping-particle":"","parse-names":false,"suffix":""},{"dropping-particle":"","family":"Dugain","given":"Valéry","non-dropping-particle":"","parse-names":false,"suffix":""}],"id":"ITEM-1","issued":{"date-parts":[["2019"]]},"number":"1538","title":"Income, wealth and earnings inequality in Australia: Evidence from the HILDA survey","type":"report"},"uris":["http://www.mendeley.com/documents/?uuid=920ce1c4-c090-38aa-8b44-eaeb66429435"]}],"mendeley":{"formattedCitation":"(Sila &amp; Dugain, 2019)","manualFormatting":"(Sila and Dugain, 2019)","plainTextFormattedCitation":"(Sila &amp; Dugain, 2019)","previouslyFormattedCitation":"(Sila and Dugain 2019)"},"properties":{"noteIndex":0},"schema":"https://github.com/citation-style-language/schema/raw/master/csl-citation.json"}</w:instrText>
      </w:r>
      <w:r w:rsidRPr="00421703">
        <w:fldChar w:fldCharType="separate"/>
      </w:r>
      <w:r w:rsidR="00BA76AC" w:rsidRPr="00BA76AC">
        <w:rPr>
          <w:noProof/>
        </w:rPr>
        <w:t xml:space="preserve">(Sila </w:t>
      </w:r>
      <w:r w:rsidR="00F25C01">
        <w:rPr>
          <w:noProof/>
        </w:rPr>
        <w:t>and</w:t>
      </w:r>
      <w:r w:rsidR="00BA76AC" w:rsidRPr="00BA76AC">
        <w:rPr>
          <w:noProof/>
        </w:rPr>
        <w:t xml:space="preserve"> Dugain, 2019)</w:t>
      </w:r>
      <w:r w:rsidRPr="00421703">
        <w:fldChar w:fldCharType="end"/>
      </w:r>
      <w:r w:rsidRPr="00421703">
        <w:t>.</w:t>
      </w:r>
    </w:p>
    <w:p w14:paraId="083DD4B7" w14:textId="32289DC9" w:rsidR="00421703" w:rsidRPr="00421703" w:rsidRDefault="00421703" w:rsidP="00421703">
      <w:r w:rsidRPr="00421703">
        <w:t xml:space="preserve">The decline in the labour share and the rise in income inequality has led to a growing literature on personal and functional income distribution drivers. Several potential explanations for the declining labour share have been proposed, including technological progress </w:t>
      </w:r>
      <w:r w:rsidRPr="00421703">
        <w:fldChar w:fldCharType="begin" w:fldLock="1"/>
      </w:r>
      <w:r w:rsidR="00F25C01">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share","type":"article-journal","volume":"3"},"uris":["http://www.mendeley.com/documents/?uuid=33b0cf32-68b0-3107-ab54-3977103c4d5d"]},{"id":"ITEM-2","itemData":{"DOI":"10.1093/QJE/QJT032","ISSN":"0033-5533","abstract":"The stability of the labor share of income is a key foundation in macroeconomic models. We document, however, that the global labor share has significantly declined since the early 1980s, with the decline occurring within the large majority of countries and industries. We show that the decrease in the relative price of investment goods, often attributed to advances in information technology and the computer age, induced firms to shift away from labor and toward capital. The lower price of investment goods explains roughly half of the observed decline in the labor share, even when we allow for other mechanisms influencing factor shares, such as increasing profits, capital-augmenting technology growth, and the changing skill composition of the labor force. We highlight the implications of this explanation for welfare and macroeconomic dynamics. © The Author(s) 2013. Published by Oxford University Press, on behalf of President and Fellows of Harvard College. All rights reserved.","author":[{"dropping-particle":"","family":"Karabarbounis","given":"Loukas","non-dropping-particle":"","parse-names":false,"suffix":""},{"dropping-particle":"","family":"Neiman","given":"Brent","non-dropping-particle":"","parse-names":false,"suffix":""}],"container-title":"The Quarterly Journal of Economics","id":"ITEM-2","issue":"1","issued":{"date-parts":[["2014","2","1"]]},"page":"61-103","publisher":"Oxford Academic","title":"The global decline of the labor share","type":"article-journal","volume":"129"},"uris":["http://www.mendeley.com/documents/?uuid=25f97c6b-0679-3d66-b9f1-1bee05b8ef3d"]}],"mendeley":{"formattedCitation":"(Bentolila &amp; Saint-Paul, 2003; Karabarbounis &amp; Neiman, 2014)","manualFormatting":"(Bentolila and Saint-Paul, 2003; Karabarbounis and Neiman, 2014)","plainTextFormattedCitation":"(Bentolila &amp; Saint-Paul, 2003; Karabarbounis &amp; Neiman, 2014)","previouslyFormattedCitation":"(Bentolila and Saint-Paul 2003; Karabarbounis and Neiman 2014)"},"properties":{"noteIndex":0},"schema":"https://github.com/citation-style-language/schema/raw/master/csl-citation.json"}</w:instrText>
      </w:r>
      <w:r w:rsidRPr="00421703">
        <w:fldChar w:fldCharType="separate"/>
      </w:r>
      <w:r w:rsidR="00BA76AC" w:rsidRPr="00BA76AC">
        <w:rPr>
          <w:noProof/>
        </w:rPr>
        <w:t xml:space="preserve">(Bentolila </w:t>
      </w:r>
      <w:r w:rsidR="00F25C01">
        <w:rPr>
          <w:noProof/>
        </w:rPr>
        <w:t>and</w:t>
      </w:r>
      <w:r w:rsidR="00BA76AC" w:rsidRPr="00BA76AC">
        <w:rPr>
          <w:noProof/>
        </w:rPr>
        <w:t xml:space="preserve"> Saint-Paul, 2003; Karabarbounis </w:t>
      </w:r>
      <w:r w:rsidR="00F25C01">
        <w:rPr>
          <w:noProof/>
        </w:rPr>
        <w:t>and</w:t>
      </w:r>
      <w:r w:rsidR="00BA76AC" w:rsidRPr="00BA76AC">
        <w:rPr>
          <w:noProof/>
        </w:rPr>
        <w:t xml:space="preserve"> Neiman, 2014)</w:t>
      </w:r>
      <w:r w:rsidRPr="00421703">
        <w:fldChar w:fldCharType="end"/>
      </w:r>
      <w:r w:rsidRPr="00421703">
        <w:t xml:space="preserve">, market concentration </w:t>
      </w:r>
      <w:r w:rsidRPr="00421703">
        <w:fldChar w:fldCharType="begin" w:fldLock="1"/>
      </w:r>
      <w:r w:rsidR="00F25C01">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firms","type":"article-journal","volume":"135"},"uris":["http://www.mendeley.com/documents/?uuid=f6363795-3c75-399a-98f2-de75ec243b69"]},{"id":"ITEM-2","itemData":{"DOI":"10.1093/QJE/QJAB002","ISSN":"0033-5533","abstract":"The labor share in U.S. manufacturing declined from 61% in 1967 to 41% in 2012. The labor share of the typical U.S. manufacturing establishment, in contrast, rose by over 3 percentage points during the same period. Using micro-level data, we document five salient facts: (i) since the 1980s, there has been a dramatic reallocation of value added toward the lower end of the labor share distribution; (ii) this aggregate reallocation is not due to entry/exit, to \"superstars\"growing faster, or to large establishments lowering their labor shares, but is instead due to units whose labor share fell as they grew in size; (iii) low labor share (LL) establishments benefit from high revenue labor productivity, not low wages; (iv) they also enjoy a product price premium relative to their peers; and (v) they have only temporarily lower labor shares that rebound after five to eight years. This transient pattern has become more pronounced over time, and the dynamics of value added and employment are increasingly disconnected. Taken together, we interpret these facts as pointing to a significant role for demand-side forces.","author":[{"dropping-particle":"","family":"Kehrig","given":"Matthias","non-dropping-particle":"","parse-names":false,"suffix":""},{"dropping-particle":"","family":"Vincent","given":"Nicolas","non-dropping-particle":"","parse-names":false,"suffix":""}],"container-title":"The Quarterly Journal of Economics","id":"ITEM-2","issue":"2","issued":{"date-parts":[["2021","3","24"]]},"page":"1031-1087","publisher":"Oxford Academic","title":"The micro-level anatomy of the labor share decline","type":"article-journal","volume":"136"},"uris":["http://www.mendeley.com/documents/?uuid=16dc3709-4769-3bdc-86d4-262f9f4ce8ee"]},{"id":"ITEM-3","itemData":{"DOI":"10.1093/QJE/QJZ041","ISSN":"0033-5533","abstract":"We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Economics","id":"ITEM-3","issue":"2","issued":{"date-parts":[["2020","5","1"]]},"page":"561-644","publisher":"Oxford Academic","title":"The rise of market power and the macroeconomic implications","type":"article-journal","volume":"135"},"uris":["http://www.mendeley.com/documents/?uuid=c39dfd08-2bf8-3731-af07-bfbbc25c76de"]}],"mendeley":{"formattedCitation":"(Autor et al., 2020; De Loecker et al., 2020; Kehrig &amp; Vincent, 2021)","manualFormatting":"(Autor et al., 2020; De Loecker et al., 2020; Kehrig and Vincent, 2021)","plainTextFormattedCitation":"(Autor et al., 2020; De Loecker et al., 2020; Kehrig &amp; Vincent, 2021)","previouslyFormattedCitation":"(Autor et al. 2020; De Loecker, Eeckhout, and Unger 2020; Kehrig and Vincent 2021)"},"properties":{"noteIndex":0},"schema":"https://github.com/citation-style-language/schema/raw/master/csl-citation.json"}</w:instrText>
      </w:r>
      <w:r w:rsidRPr="00421703">
        <w:fldChar w:fldCharType="separate"/>
      </w:r>
      <w:r w:rsidR="00BA76AC" w:rsidRPr="00BA76AC">
        <w:rPr>
          <w:noProof/>
        </w:rPr>
        <w:t xml:space="preserve">(Autor et al., 2020; De Loecker et al., 2020; Kehrig </w:t>
      </w:r>
      <w:r w:rsidR="00F25C01">
        <w:rPr>
          <w:noProof/>
        </w:rPr>
        <w:t>and</w:t>
      </w:r>
      <w:r w:rsidR="00BA76AC" w:rsidRPr="00BA76AC">
        <w:rPr>
          <w:noProof/>
        </w:rPr>
        <w:t xml:space="preserve"> Vincent, 2021)</w:t>
      </w:r>
      <w:r w:rsidRPr="00421703">
        <w:fldChar w:fldCharType="end"/>
      </w:r>
      <w:r w:rsidRPr="00421703">
        <w:t xml:space="preserve">, labour market institution </w:t>
      </w:r>
      <w:r w:rsidRPr="00421703">
        <w:fldChar w:fldCharType="begin" w:fldLock="1"/>
      </w:r>
      <w:r w:rsidR="00BA76AC">
        <w:instrText>ADDIN CSL_CITATION {"citationItems":[{"id":"ITEM-1","itemData":{"DOI":"10.4159/9780674982918/HTML","abstract":"What are the grand dynamics that drive the accumulation and distribution of capital? Questions about the long-term evolution of inequality, the concentration of wealth, and the prospects for economic growth lie at the heart of political economy. But satisfactory answers have been hard to find for lack of adequate data and clear guiding theories. In Capital in the Twenty-First Century, Thomas Piketty analyzes a unique collection of data from twenty countries, ranging as far back as the eighteenth century, to uncover key economic and social patterns. His findings will transform debate and set the agenda for the next generation of thought about wealth and inequality. Piketty shows that modern economic growth and the diffusion of knowledge have allowed us to avoid inequalities on the apocalyptic scale predicted by Karl Marx. But we have not modified the deep structures of capital and inequality as much as we thought in the optimistic decades following World War II. The main driver of inequality--the tendency of returns on capital to exceed the rate of economic growth--today threatens to generate extreme inequalities that stir discontent and undermine democratic values. But economic trends are not acts of God. Political action has curbed dangerous inequalities in the past, Piketty says, and may do so again. A work of extraordinary ambition, originality, and rigor, Capital in the Twenty-First Century reorients our understanding of economic history and confronts us with sobering lessons for today.","author":[{"dropping-particle":"","family":"Piketty","given":"Thomas","non-dropping-particle":"","parse-names":false,"suffix":""}],"container-title":"Capital in the Twenty-First Century","id":"ITEM-1","issued":{"date-parts":[["2014","12","31"]]},"publisher":"Harvard University Press","title":"Capital in the twenty-first century","type":"book"},"uris":["http://www.mendeley.com/documents/?uuid=1a637049-aada-3b7a-a6ca-520e1bbd29ba"]}],"mendeley":{"formattedCitation":"(Piketty, 2014)","plainTextFormattedCitation":"(Piketty, 2014)","previouslyFormattedCitation":"(Piketty 2014)"},"properties":{"noteIndex":0},"schema":"https://github.com/citation-style-language/schema/raw/master/csl-citation.json"}</w:instrText>
      </w:r>
      <w:r w:rsidRPr="00421703">
        <w:fldChar w:fldCharType="separate"/>
      </w:r>
      <w:r w:rsidR="00BA76AC" w:rsidRPr="00BA76AC">
        <w:rPr>
          <w:noProof/>
        </w:rPr>
        <w:t>(Piketty, 2014)</w:t>
      </w:r>
      <w:r w:rsidRPr="00421703">
        <w:fldChar w:fldCharType="end"/>
      </w:r>
      <w:r w:rsidRPr="00421703">
        <w:t xml:space="preserve"> and globalisation </w:t>
      </w:r>
      <w:r w:rsidRPr="00421703">
        <w:fldChar w:fldCharType="begin" w:fldLock="1"/>
      </w:r>
      <w:r w:rsidR="00BA76AC">
        <w:instrText>ADDIN CSL_CITATION {"citationItems":[{"id":"ITEM-1","itemData":{"DOI":"10.1353/ECA.2013.0016","ISSN":"1533-4465","abstract":"ARRAY(0x563f1f1c3898)","author":[{"dropping-particle":"","family":"Elsby","given":"Michael W.L.","non-dropping-particle":"","parse-names":false,"suffix":""},{"dropping-particle":"","family":"Hobijn","given":"Bart","non-dropping-particle":"","parse-names":false,"suffix":""},{"dropping-particle":"","family":"Şahin","given":"Ayşegül","non-dropping-particle":"","parse-names":false,"suffix":""}],"container-title":"Brookings Papers on Economic Activity","id":"ITEM-1","issue":"2","issued":{"date-parts":[["2013"]]},"page":"1-63","publisher":"Brookings Institution Press","title":"The decline of the U.S. labor share","type":"article-journal","volume":"2013"},"uris":["http://www.mendeley.com/documents/?uuid=794de202-a755-3823-9eab-c5cb67f414c8"]}],"mendeley":{"formattedCitation":"(Elsby et al., 2013)","plainTextFormattedCitation":"(Elsby et al., 2013)","previouslyFormattedCitation":"(Elsby, Hobijn, and Şahin 2013)"},"properties":{"noteIndex":0},"schema":"https://github.com/citation-style-language/schema/raw/master/csl-citation.json"}</w:instrText>
      </w:r>
      <w:r w:rsidRPr="00421703">
        <w:fldChar w:fldCharType="separate"/>
      </w:r>
      <w:r w:rsidR="00BA76AC" w:rsidRPr="00BA76AC">
        <w:rPr>
          <w:noProof/>
        </w:rPr>
        <w:t>(Elsby et al., 2013)</w:t>
      </w:r>
      <w:r w:rsidRPr="00421703">
        <w:fldChar w:fldCharType="end"/>
      </w:r>
      <w:r w:rsidRPr="00421703">
        <w:t xml:space="preserve">. Some studies go a step further and argue that declining labour share is a driver of income inequality. </w:t>
      </w:r>
      <w:r w:rsidRPr="00421703">
        <w:fldChar w:fldCharType="begin" w:fldLock="1"/>
      </w:r>
      <w:r w:rsidR="00BA76AC">
        <w:instrText>ADDIN CSL_CITATION {"citationItems":[{"id":"ITEM-1","itemData":{"DOI":"10.1093/oxrep/grp007","ISSN":"0266-903X","abstract":"This paper identifies three reasons for studying factor shares: to make a link between incomes at the macroeconomic level (national accounts) and incomes at the level of the household; to help understand inequality in the personal distribution of income; and to address the concern of social justice with the fairness of different sources of income. In each case, I explore the implications and point to ways in which the analysis could be taken forward in a twenty-first-century treatment of the classical problem of political economy.","author":[{"dropping-particle":"","family":"Atkinson","given":"A B","non-dropping-particle":"","parse-names":false,"suffix":""}],"container-title":"Oxford Review of Economic Policy","id":"ITEM-1","issue":"1","issued":{"date-parts":[["2009","3","1"]]},"page":"3-16","title":"Factor shares: the principal problem of political economy?","type":"article-journal","volume":"25"},"uris":["http://www.mendeley.com/documents/?uuid=2b1d403c-f58d-3d01-a6e2-1ce6c3ea5287"]}],"mendeley":{"formattedCitation":"(Atkinson, 2009)","manualFormatting":"Atkinson (2009)","plainTextFormattedCitation":"(Atkinson, 2009)","previouslyFormattedCitation":"(Atkinson 2009)"},"properties":{"noteIndex":0},"schema":"https://github.com/citation-style-language/schema/raw/master/csl-citation.json"}</w:instrText>
      </w:r>
      <w:r w:rsidRPr="00421703">
        <w:fldChar w:fldCharType="separate"/>
      </w:r>
      <w:r w:rsidRPr="00421703">
        <w:rPr>
          <w:noProof/>
        </w:rPr>
        <w:t>Atkinson (2009)</w:t>
      </w:r>
      <w:r w:rsidRPr="00421703">
        <w:fldChar w:fldCharType="end"/>
      </w:r>
      <w:r w:rsidRPr="00421703">
        <w:t xml:space="preserve"> proposes a theoretical framework and shows that the transition from labour share to capital share can increase income inequality under plausible characterisations of capital and labour incomes. The negative association between labour share and income inequality has been illustrated in few empirical studies </w:t>
      </w:r>
      <w:r w:rsidRPr="00421703">
        <w:fldChar w:fldCharType="begin" w:fldLock="1"/>
      </w:r>
      <w:r w:rsidR="00BA76AC">
        <w:instrText>ADDIN CSL_CITATION {"citationItems":[{"id":"ITEM-1","itemData":{"DOI":"10.1080/00220380701384406","ISSN":"0022-0388","author":[{"dropping-particle":"","family":"Daudey","given":"Emilie","non-dropping-particle":"","parse-names":false,"suffix":""},{"dropping-particle":"","family":"García-Peñalosa","given":"Cecilia","non-dropping-particle":"","parse-names":false,"suffix":""}],"container-title":"The Journal of Development Studies","id":"ITEM-1","issue":"5","issued":{"date-parts":[["2007","7","1"]]},"note":"doi: 10.1080/00220380701384406","page":"812-829","publisher":"Routledge","title":"The personal and the factor distributions of income in a cross-section of countries","type":"article-journal","volume":"43"},"uris":["http://www.mendeley.com/documents/?uuid=65d4f2f8-c765-30dc-8c01-2767e0017de0"]},{"id":"ITEM-2","itemData":{"DOI":"10.26509/FRBC-EC-201213","ISSN":"0428-1276","abstract":"Labor income has been declining as a share of total income earned in the United States for the past three decades. We look at the past effect of the labor share decline on income inequality, and we study the likely future path of the labor share and its implications for inequality.","author":[{"dropping-particle":"","family":"Jacobson","given":"Margaret","non-dropping-particle":"","parse-names":false,"suffix":""},{"dropping-particle":"","family":"Occhino","given":"Filippo","non-dropping-particle":"","parse-names":false,"suffix":""}],"container-title":"Economic Commentary","id":"ITEM-2","issue":"2012-13","issued":{"date-parts":[["2012","9","25"]]},"page":"1-6","publisher":"Federal Reserve Bank of Cleveland","title":"Labor’s Declining Share of Income and Rising Inequality","type":"article-journal"},"uris":["http://www.mendeley.com/documents/?uuid=4c3c55d7-d4f0-3430-87a4-4499f914664a"]},{"id":"ITEM-3","itemData":{"DOI":"10.35188/UNU-WIDER/2020/822-1","ISBN":"978-92-9256-822-1","abstract":"Die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Nutzungsrechte.","author":[{"dropping-particle":"","family":"Sauer","given":"Petra ;","non-dropping-particle":"","parse-names":false,"suffix":""},{"dropping-particle":"","family":"Rao","given":"Narasimha D ;","non-dropping-particle":"","parse-names":false,"suffix":""},{"dropping-particle":"","family":"Pachauri","given":"","non-dropping-particle":"","parse-names":false,"suffix":""},{"dropping-particle":"","family":"Shonali","given":"","non-dropping-particle":"","parse-names":false,"suffix":""}],"collection-title":"WIDER Working Paper","id":"ITEM-3","issued":{"date-parts":[["2020"]]},"publisher":"Helsinki: The United Nations University World Institute for Development Economics Research (UNU-WIDER)","title":"Explaining income inequality trends: An integrated approach","type":"report","volume":"2020"},"uris":["http://www.mendeley.com/documents/?uuid=d19314f6-43c4-3b12-ae57-0506c98ed246"]},{"id":"ITEM-4","itemData":{"author":[{"dropping-particle":"","family":"IMF","given":"","non-dropping-particle":"","parse-names":false,"suffix":""}],"id":"ITEM-4","issued":{"date-parts":[["2017"]]},"title":"Why Is Labor Receiving a Smaller Share of Global Income? Theory and Empirical Evidence","type":"report"},"uris":["http://www.mendeley.com/documents/?uuid=89edfbb4-55d3-3157-b0c4-1f6b7dda5d51"]},{"id":"ITEM-5","itemData":{"DOI":"10.1108/AEA-04-2020-0028/FULL/PDF","ISSN":"26327627","abstract":"Purpose: The purpose of this paper is to analyze empirically the relationship between the labor share and income inequality, as measured by the Gini coefficient and by the income shares for different quintiles, during the period 1990–2015 for 62 developed and developing countries. Design/methodology/approach: This study uses panel data techniques to analyze empirically the relationship between the labor share and income inequality. Findings: This paper finds that a lower labor share is associated with a higher Gini coefficient. A lower labor share is found to be strongly associated with a smaller income share for the lowest two quintiles and larger income share for the highest quintile and weakly associated with a smaller income share for the third and fourth quintiles. Moreover, this paper finds that the lower the quintile, the stronger the impact of the labor share on the income share of the quintile. Social implications: Policymakers should take into account the evolution of the labor share. Public policies that improve labor market outcomes, such as those aimed to promote participation in the labor market and strengthen the human capital of low-income groups, seem necessary to prevent the rise in economic inequalities. Moreover, as the digital transformation of society progresses, policies to promote skill deepening may have an important role in reversing excessive inequalities. Originality/value: How changes in the labor share are associated with changes in the Gini coefficient, and how this is driven by income shares for different quintiles, for a broad range of countries during the most recent period, has not been comprehensively studied using panel data techniques.","author":[{"dropping-particle":"","family":"Erauskin","given":"Iñaki","non-dropping-particle":"","parse-names":false,"suffix":""}],"container-title":"Applied Economic Analysis","id":"ITEM-5","issue":"84","issued":{"date-parts":[["2020","12","12"]]},"page":"173-195","publisher":"Emerald Group Holdings Ltd.","title":"The labor share and income inequality: some empirical evidence for the period 1990-2015","type":"article-journal","volume":"28"},"uris":["http://www.mendeley.com/documents/?uuid=424db745-0dc3-3055-8001-626c2e52e726"]}],"mendeley":{"formattedCitation":"(Daudey &amp; García-Peñalosa, 2007; Erauskin, 2020; IMF, 2017; Jacobson &amp; Occhino, 2012; Sauer, Rao, Pachauri, et al., 2020)","plainTextFormattedCitation":"(Daudey &amp; García-Peñalosa, 2007; Erauskin, 2020; IMF, 2017; Jacobson &amp; Occhino, 2012; Sauer, Rao, Pachauri, et al., 2020)","previouslyFormattedCitation":"(Daudey and García-Peñalosa 2007; Jacobson and Occhino 2012; IMF 2017; Erauskin 2020; Sauer, Rao, Pachauri, and Shonali 2020)"},"properties":{"noteIndex":0},"schema":"https://github.com/citation-style-language/schema/raw/master/csl-citation.json"}</w:instrText>
      </w:r>
      <w:r w:rsidRPr="00421703">
        <w:fldChar w:fldCharType="separate"/>
      </w:r>
      <w:r w:rsidR="00BA76AC" w:rsidRPr="00BA76AC">
        <w:rPr>
          <w:noProof/>
        </w:rPr>
        <w:t xml:space="preserve">(Daudey </w:t>
      </w:r>
      <w:r w:rsidR="00F25C01">
        <w:rPr>
          <w:noProof/>
        </w:rPr>
        <w:t>and</w:t>
      </w:r>
      <w:r w:rsidR="00BA76AC" w:rsidRPr="00BA76AC">
        <w:rPr>
          <w:noProof/>
        </w:rPr>
        <w:t xml:space="preserve"> García-Peñalosa, 2007; Erauskin, 2020; IMF, 2017; Jacobson </w:t>
      </w:r>
      <w:r w:rsidR="00F25C01">
        <w:rPr>
          <w:noProof/>
        </w:rPr>
        <w:t>and</w:t>
      </w:r>
      <w:r w:rsidR="00BA76AC" w:rsidRPr="00BA76AC">
        <w:rPr>
          <w:noProof/>
        </w:rPr>
        <w:t xml:space="preserve"> Occhino, 2012; Sauer, Rao, Pachauri, et al., 2020)</w:t>
      </w:r>
      <w:r w:rsidRPr="00421703">
        <w:fldChar w:fldCharType="end"/>
      </w:r>
    </w:p>
    <w:p w14:paraId="4716363D" w14:textId="078C8953" w:rsidR="00421703" w:rsidRPr="00421703" w:rsidRDefault="00421703" w:rsidP="00421703">
      <w:r w:rsidRPr="00421703">
        <w:t xml:space="preserve">Despite the surge of interest in the determinants of labour share and its link with personal income distribution, there has not been enough investigation at firm-level. In fact, existing research on the drivers of declining labour share relies heavily on country or industry aggregate macro data and downplays the importance of firm-level data. In addition, there is little clear guidance about the link between functional and personal income distribution inside firms. However, firm-level study is essential for two main reasons. First, most economic activities are organised within firms, where production and compensation decisions are taken that eventually impact the functional distribution of income and pay inequality between those who provide services in the form of labour and those whose contribution is primarily tied to capital. Second, studying the labour share at the firm-level allows us to overcome important measurement issues confronted by most of the labour share literature such as the treatment of capital depreciation </w:t>
      </w:r>
      <w:r w:rsidRPr="00421703">
        <w:fldChar w:fldCharType="begin" w:fldLock="1"/>
      </w:r>
      <w:r w:rsidR="00BA76AC">
        <w:instrText>ADDIN CSL_CITATION {"citationItems":[{"id":"ITEM-1","itemData":{"DOI":"10.1017/S1365100516001000","ISSN":"1365-1005","abstract":"US labor share has been falling since the 1970s. I show that it has not fallen as much once items that do not add to capital, depreciation and production taxes, are netted out. Recent net labor share is within its historical range, whereas gross share is at its lowest level. This effect holds for other high-income economies. The overall picture is no longer one of unprecedented, globally declining labor share. Using gross share as a proxy for net share can give misleading results. US gross share and inequality are correlated, whereas net share, the correct measure, is not.","author":[{"dropping-particle":"","family":"Bridgman","given":"Benjamin","non-dropping-particle":"","parse-names":false,"suffix":""}],"container-title":"Macroeconomic Dynamics","id":"ITEM-1","issue":"8","issued":{"date-parts":[["2018","12","1"]]},"page":"2070-2087","publisher":"Cambridge University Press","title":"IS LABOR'S LOSS CAPITAL'S GAIN? GROSS VERSUS NET LABOR SHARES","type":"article-journal","volume":"22"},"uris":["http://www.mendeley.com/documents/?uuid=726256ad-b8e4-3996-851a-b48f77271883"]}],"mendeley":{"formattedCitation":"(Bridgman, 2018)","plainTextFormattedCitation":"(Bridgman, 2018)","previouslyFormattedCitation":"(Bridgman 2018)"},"properties":{"noteIndex":0},"schema":"https://github.com/citation-style-language/schema/raw/master/csl-citation.json"}</w:instrText>
      </w:r>
      <w:r w:rsidRPr="00421703">
        <w:fldChar w:fldCharType="separate"/>
      </w:r>
      <w:r w:rsidR="00BA76AC" w:rsidRPr="00BA76AC">
        <w:rPr>
          <w:noProof/>
        </w:rPr>
        <w:t>(Bridgman, 2018)</w:t>
      </w:r>
      <w:r w:rsidRPr="00421703">
        <w:fldChar w:fldCharType="end"/>
      </w:r>
      <w:r w:rsidRPr="00421703">
        <w:t xml:space="preserve">, self-employment </w:t>
      </w:r>
      <w:r w:rsidRPr="00421703">
        <w:fldChar w:fldCharType="begin" w:fldLock="1"/>
      </w:r>
      <w:r w:rsidR="00BA76AC">
        <w:instrText>ADDIN CSL_CITATION {"citationItems":[{"id":"ITEM-1","itemData":{"DOI":"10.1086/338747","ISSN":"00223808","abstract":"Many widely used economic models implicitly assume that income shares should be identical across time and space. Although time-series data from industrial countries appear consistent with this notion, cross-section data generally appear to contradict the assumption. A commonly used calculation suggests that labor shares of national income vary from about .05 to about .80 in international cross-section data. This paper suggests that the usual approach underestimates labor income in small firms. Several adjustments for calculating labor shares are identified and compared. They all yield labor shares for most countries in the range of .65-.80.","author":[{"dropping-particle":"","family":"Gollin","given":"Douglas","non-dropping-particle":"","parse-names":false,"suffix":""}],"container-title":"Journal of Political Economy","id":"ITEM-1","issue":"2","issued":{"date-parts":[["2002"]]},"page":"458-474","title":"Getting income shares right","type":"article-journal","volume":"110"},"uris":["http://www.mendeley.com/documents/?uuid=39a28c2e-5b53-3c39-84d3-dfd30bf4310d"]},{"id":"ITEM-2","itemData":{"DOI":"10.1353/ECA.2013.0016","ISSN":"1533-4465","abstract":"ARRAY(0x563f1f1c3898)","author":[{"dropping-particle":"","family":"Elsby","given":"Michael W.L.","non-dropping-particle":"","parse-names":false,"suffix":""},{"dropping-particle":"","family":"Hobijn","given":"Bart","non-dropping-particle":"","parse-names":false,"suffix":""},{"dropping-particle":"","family":"Şahin","given":"Ayşegül","non-dropping-particle":"","parse-names":false,"suffix":""}],"container-title":"Brookings Papers on Economic Activity","id":"ITEM-2","issue":"2","issued":{"date-parts":[["2013"]]},"page":"1-63","publisher":"Brookings Institution Press","title":"The decline of the U.S. labor share","type":"article-journal","volume":"2013"},"uris":["http://www.mendeley.com/documents/?uuid=794de202-a755-3823-9eab-c5cb67f414c8"]}],"mendeley":{"formattedCitation":"(Elsby et al., 2013; Gollin, 2002)","plainTextFormattedCitation":"(Elsby et al., 2013; Gollin, 2002)","previouslyFormattedCitation":"(Gollin 2002; Elsby, Hobijn, and Şahin 2013)"},"properties":{"noteIndex":0},"schema":"https://github.com/citation-style-language/schema/raw/master/csl-citation.json"}</w:instrText>
      </w:r>
      <w:r w:rsidRPr="00421703">
        <w:fldChar w:fldCharType="separate"/>
      </w:r>
      <w:r w:rsidR="00BA76AC" w:rsidRPr="00BA76AC">
        <w:rPr>
          <w:noProof/>
        </w:rPr>
        <w:t>(Elsby et al., 2013; Gollin, 2002)</w:t>
      </w:r>
      <w:r w:rsidRPr="00421703">
        <w:fldChar w:fldCharType="end"/>
      </w:r>
      <w:r w:rsidRPr="00421703">
        <w:t xml:space="preserve">, intangible capital </w:t>
      </w:r>
      <w:r w:rsidRPr="00421703">
        <w:fldChar w:fldCharType="begin" w:fldLock="1"/>
      </w:r>
      <w:r w:rsidR="00BA76AC">
        <w:instrText>ADDIN CSL_CITATION {"citationItems":[{"id":"ITEM-1","itemData":{"author":[{"dropping-particle":"","family":"Koh","given":"Dongya","non-dropping-particle":"","parse-names":false,"suffix":""},{"dropping-particle":"","family":"Santaeulalia-Lopis","given":"Raul","non-dropping-particle":"","parse-names":false,"suffix":""},{"dropping-particle":"","family":"Zheng","given":"Yu","non-dropping-particle":"","parse-names":false,"suffix":""}],"id":"ITEM-1","issued":{"date-parts":[["2018"]]},"title":"Labor Share Decline and Intellectual Property Products Capital","type":"report"},"uris":["http://www.mendeley.com/documents/?uuid=59bfae09-9637-3086-b80e-37e71dcad6c7"]}],"mendeley":{"formattedCitation":"(Koh et al., 2018)","plainTextFormattedCitation":"(Koh et al., 2018)","previouslyFormattedCitation":"(Koh, Santaeulalia-Lopis, and Zheng 2018)"},"properties":{"noteIndex":0},"schema":"https://github.com/citation-style-language/schema/raw/master/csl-citation.json"}</w:instrText>
      </w:r>
      <w:r w:rsidRPr="00421703">
        <w:fldChar w:fldCharType="separate"/>
      </w:r>
      <w:r w:rsidR="00BA76AC" w:rsidRPr="00BA76AC">
        <w:rPr>
          <w:noProof/>
        </w:rPr>
        <w:t>(Koh et al., 2018)</w:t>
      </w:r>
      <w:r w:rsidRPr="00421703">
        <w:fldChar w:fldCharType="end"/>
      </w:r>
      <w:r w:rsidRPr="00421703">
        <w:t xml:space="preserve"> and business owners taking capital instead of labour income </w:t>
      </w:r>
      <w:r w:rsidRPr="00421703">
        <w:fldChar w:fldCharType="begin" w:fldLock="1"/>
      </w:r>
      <w:r w:rsidR="00BA76AC">
        <w:instrText>ADDIN CSL_CITATION {"citationItems":[{"id":"ITEM-1","itemData":{"DOI":"10.1093/QJE/QJZ020","ISSN":"0033-5533","abstract":"How important is human capital at the top of the U.S. income distribution? A primary source of top income is private “pass-through” business profit, which can include entrepreneurial labor income for tax reasons. This article asks whether top pass-through profit mostly reflects human capital, defined as all inalienable factors embodied in business owners, rather than financial capital. Tax data linking 11 million firms to their owners show that top pass-through profit accrues to working-age owners of closely held mid-market firms in skill-intensive industries. Pass-through profit falls by three-quarters after owner retirement or premature death. Classifying three-quarters of pass-through profit as human capital income, we find that the typical top earner derives most of her income from human capital, not financial capital. Growth in pass-through profit is explained by both rising productivity and a rising share of value added accruing to owners.","author":[{"dropping-particle":"","family":"Smith","given":"Matthew","non-dropping-particle":"","parse-names":false,"suffix":""},{"dropping-particle":"","family":"Yagan","given":"Danny","non-dropping-particle":"","parse-names":false,"suffix":""},{"dropping-particle":"","family":"Zidar","given":"Owen","non-dropping-particle":"","parse-names":false,"suffix":""},{"dropping-particle":"","family":"Zwick","given":"Eric","non-dropping-particle":"","parse-names":false,"suffix":""}],"container-title":"The Quarterly Journal of Economics","id":"ITEM-1","issue":"4","issued":{"date-parts":[["2019","11","1"]]},"page":"1675-1745","publisher":"Oxford Academic","title":"Capitalists in the Twenty-First Century","type":"article-journal","volume":"134"},"uris":["http://www.mendeley.com/documents/?uuid=dfb8c7f3-f02a-36b8-9d90-3ece9be5270b"]}],"mendeley":{"formattedCitation":"(Smith et al., 2019)","plainTextFormattedCitation":"(Smith et al., 2019)","previouslyFormattedCitation":"(Smith, Yagan, Zidar, and Zwick 2019)"},"properties":{"noteIndex":0},"schema":"https://github.com/citation-style-language/schema/raw/master/csl-citation.json"}</w:instrText>
      </w:r>
      <w:r w:rsidRPr="00421703">
        <w:fldChar w:fldCharType="separate"/>
      </w:r>
      <w:r w:rsidR="00BA76AC" w:rsidRPr="00BA76AC">
        <w:rPr>
          <w:noProof/>
        </w:rPr>
        <w:t>(Smith et al., 2019)</w:t>
      </w:r>
      <w:r w:rsidRPr="00421703">
        <w:fldChar w:fldCharType="end"/>
      </w:r>
      <w:r w:rsidRPr="00421703">
        <w:t xml:space="preserve">. Nevertheless, only a few studies (e.g., D. Autor et al., 2020; De </w:t>
      </w:r>
      <w:proofErr w:type="spellStart"/>
      <w:r w:rsidRPr="00421703">
        <w:t>Loecker</w:t>
      </w:r>
      <w:proofErr w:type="spellEnd"/>
      <w:r w:rsidRPr="00421703">
        <w:t xml:space="preserve"> et al., 2020; </w:t>
      </w:r>
      <w:proofErr w:type="spellStart"/>
      <w:r w:rsidRPr="00421703">
        <w:t>Growiec</w:t>
      </w:r>
      <w:proofErr w:type="spellEnd"/>
      <w:r w:rsidRPr="00421703">
        <w:t xml:space="preserve">, 2012; </w:t>
      </w:r>
      <w:proofErr w:type="spellStart"/>
      <w:r w:rsidRPr="00421703">
        <w:t>Guschanski</w:t>
      </w:r>
      <w:proofErr w:type="spellEnd"/>
      <w:r w:rsidRPr="00421703">
        <w:t xml:space="preserve"> </w:t>
      </w:r>
      <w:r w:rsidR="00F25C01">
        <w:t>and</w:t>
      </w:r>
      <w:r w:rsidRPr="00421703">
        <w:t xml:space="preserve"> </w:t>
      </w:r>
      <w:proofErr w:type="spellStart"/>
      <w:r w:rsidRPr="00421703">
        <w:t>Onaran</w:t>
      </w:r>
      <w:proofErr w:type="spellEnd"/>
      <w:r w:rsidRPr="00421703">
        <w:t xml:space="preserve">, 2018; </w:t>
      </w:r>
      <w:proofErr w:type="spellStart"/>
      <w:r w:rsidRPr="00421703">
        <w:t>Siegenthaler</w:t>
      </w:r>
      <w:proofErr w:type="spellEnd"/>
      <w:r w:rsidRPr="00421703">
        <w:t xml:space="preserve"> </w:t>
      </w:r>
      <w:r w:rsidR="00F25C01">
        <w:t>and</w:t>
      </w:r>
      <w:r w:rsidRPr="00421703">
        <w:t xml:space="preserve"> Stucki, 2015) have investigated the firm-level determinants of labour share. Furthermore, the impact of a firm's labour share on the pay inequality between CEO, whose compensation is linked to capital income, and employees </w:t>
      </w:r>
      <w:r w:rsidRPr="00421703">
        <w:lastRenderedPageBreak/>
        <w:t xml:space="preserve">(pay inequality) as one of the drivers of income inequality </w:t>
      </w:r>
      <w:r w:rsidRPr="00421703">
        <w:rPr>
          <w:vertAlign w:val="superscript"/>
        </w:rPr>
        <w:footnoteReference w:id="1"/>
      </w:r>
      <w:r w:rsidRPr="00421703">
        <w:t xml:space="preserve"> has not been investigated. Therefore, what is lacking is a firm-level analysis of factors determining Australian labour share, and the impact of labour share on pay inequality within firms. Therefore, this paper aims to address these gaps by examining two related questions: (</w:t>
      </w:r>
      <w:proofErr w:type="spellStart"/>
      <w:r w:rsidRPr="00421703">
        <w:t>i</w:t>
      </w:r>
      <w:proofErr w:type="spellEnd"/>
      <w:r w:rsidRPr="00421703">
        <w:t xml:space="preserve">) What factors explain a firm's labour share? and (ii) Is there a relationship between labour share and pay inequality within firms? </w:t>
      </w:r>
    </w:p>
    <w:p w14:paraId="3A2BA01F" w14:textId="77777777" w:rsidR="00421703" w:rsidRPr="00421703" w:rsidRDefault="00421703" w:rsidP="00421703">
      <w:r w:rsidRPr="00421703">
        <w:t>To fulfil our aim, we analyse a sample of Australian listed firms over the period 2004-2019. Our empirical analysis is divided into two parts. In the first part, we examine the underlying determinants of labour share at the firm level. We consider three leading channels: technological progress, product market power and labour market power, which have been proposed in the literature as the main drivers of labour share movement. We find that technological progress and product market power are salient factors in explaining the level of labour share. Employees in firms with higher technological progress and product market power gain a lower proportion of these firms' value added. In the second part, we investigate the impact of labour share on pay inequality within firms. Our finding indicates a significant negative association between labour share and pay inequality. Lastly, we conduct further analysis to explore how potential drivers of labour share may affect the relationship between labour share and pay inequality.</w:t>
      </w:r>
    </w:p>
    <w:p w14:paraId="36AA968F" w14:textId="77777777" w:rsidR="00421703" w:rsidRPr="00421703" w:rsidRDefault="00421703" w:rsidP="00421703">
      <w:r w:rsidRPr="00421703">
        <w:t xml:space="preserve">This study contributes to the academic literature on labour share and pay inequality and has implications for policymakers. First, to the best of our knowledge, this study is the first that documents the firm-level determinants of labour share in Australia. Our findings thus contribute to the debate that has been dominated by evidence from the United States. Second, it extends the empirical study of the firm-level determinants of labour share by considering the impact of three leading channels: technological progress, product market power and labour market power. Third, our study provides novel insight into the link between labour share and pay inequality within firms. Investigating this link within firms help us detect a determinant of pay inequality and, more importantly, sheds light on possible way of overcoming the pay inequality problem.  Finally, our findings can help policymakers limit further declines in labour shares and increases in pay inequality in Australia. </w:t>
      </w:r>
    </w:p>
    <w:p w14:paraId="22725ACE" w14:textId="2615A06C" w:rsidR="00421703" w:rsidRPr="0011020F" w:rsidRDefault="00421703" w:rsidP="00D5211E">
      <w:r w:rsidRPr="00421703">
        <w:t>The article proceeds as follows. Section 2 reviews the related literature and develops the key hypothesises. Section 3 explains our methodology in this study. The data source, sample selection, measurement and descriptive statistics are discussed in section 4, followed by our empirical analysis and findings in section 5. Finally, section 6 provides concluding remarks.</w:t>
      </w:r>
      <w:bookmarkEnd w:id="4"/>
    </w:p>
    <w:p w14:paraId="6C4F71EC" w14:textId="79A3CC4E" w:rsidR="000026A6" w:rsidRDefault="00953145" w:rsidP="00853595">
      <w:pPr>
        <w:pStyle w:val="Heading1"/>
        <w:numPr>
          <w:ilvl w:val="0"/>
          <w:numId w:val="1"/>
        </w:numPr>
      </w:pPr>
      <w:r w:rsidRPr="008D5F63">
        <w:lastRenderedPageBreak/>
        <w:t>Literature review</w:t>
      </w:r>
      <w:r w:rsidR="002D7619" w:rsidRPr="008D5F63">
        <w:t xml:space="preserve"> and hypothesis development</w:t>
      </w:r>
    </w:p>
    <w:p w14:paraId="462D2934" w14:textId="62C86248" w:rsidR="00D5211E" w:rsidRPr="00D5211E" w:rsidRDefault="00D5211E" w:rsidP="00D5211E">
      <w:pPr>
        <w:ind w:firstLine="0"/>
      </w:pPr>
      <w:r w:rsidRPr="00D5211E">
        <w:t>This section, first, reviews the existing theoretical and empirical literature on the drivers of declining labour share to shape our first hypothesis about firm-level causes of the fall in Australia's labour share. Second, it reviews the related literature about the linkage between functional and personal income distribution at the macro level. Thereafter it extends the literature into the relationship between labour share and pay inequality within firms and develops our second hypothesis.</w:t>
      </w:r>
    </w:p>
    <w:p w14:paraId="5259B07A" w14:textId="6F6DBF34" w:rsidR="00E53707" w:rsidRDefault="00E53707" w:rsidP="005526D0">
      <w:pPr>
        <w:pStyle w:val="Heading2"/>
      </w:pPr>
      <w:r>
        <w:t xml:space="preserve">2.1. </w:t>
      </w:r>
      <w:r w:rsidR="005526D0" w:rsidRPr="005526D0">
        <w:t>Determinant of labour share: a short review and hypothesis</w:t>
      </w:r>
    </w:p>
    <w:p w14:paraId="7B4B8725" w14:textId="21E5D654" w:rsidR="00C1541A" w:rsidRPr="00C1541A" w:rsidRDefault="00C1541A" w:rsidP="00C1541A">
      <w:pPr>
        <w:ind w:firstLine="0"/>
      </w:pPr>
      <w:r w:rsidRPr="00C1541A">
        <w:t xml:space="preserve">There is an ongoing debate about the underlying causes of the declining labour share. One stream in the literature points to technological progress as a primary reason </w:t>
      </w:r>
      <w:r w:rsidRPr="00C1541A">
        <w:fldChar w:fldCharType="begin" w:fldLock="1"/>
      </w:r>
      <w:r w:rsidR="00F25C01">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share","type":"article-journal","volume":"3"},"uris":["http://www.mendeley.com/documents/?uuid=33b0cf32-68b0-3107-ab54-3977103c4d5d"]},{"id":"ITEM-2","itemData":{"DOI":"10.1093/QJE/QJT032","ISSN":"0033-5533","abstract":"The stability of the labor share of income is a key foundation in macroeconomic models. We document, however, that the global labor share has significantly declined since the early 1980s, with the decline occurring within the large majority of countries and industries. We show that the decrease in the relative price of investment goods, often attributed to advances in information technology and the computer age, induced firms to shift away from labor and toward capital. The lower price of investment goods explains roughly half of the observed decline in the labor share, even when we allow for other mechanisms influencing factor shares, such as increasing profits, capital-augmenting technology growth, and the changing skill composition of the labor force. We highlight the implications of this explanation for welfare and macroeconomic dynamics. © The Author(s) 2013. Published by Oxford University Press, on behalf of President and Fellows of Harvard College. All rights reserved.","author":[{"dropping-particle":"","family":"Karabarbounis","given":"Loukas","non-dropping-particle":"","parse-names":false,"suffix":""},{"dropping-particle":"","family":"Neiman","given":"Brent","non-dropping-particle":"","parse-names":false,"suffix":""}],"container-title":"The Quarterly Journal of Economics","id":"ITEM-2","issue":"1","issued":{"date-parts":[["2014","2","1"]]},"page":"61-103","publisher":"Oxford Academic","title":"The global decline of the labor share","type":"article-journal","volume":"129"},"uris":["http://www.mendeley.com/documents/?uuid=25f97c6b-0679-3d66-b9f1-1bee05b8ef3d"]}],"mendeley":{"formattedCitation":"(Bentolila &amp; Saint-Paul, 2003; Karabarbounis &amp; Neiman, 2014)","manualFormatting":"(Bentolila and Saint-Paul, 2003; Karabarbounis and Neiman, 2014)","plainTextFormattedCitation":"(Bentolila &amp; Saint-Paul, 2003; Karabarbounis &amp; Neiman, 2014)","previouslyFormattedCitation":"(Bentolila and Saint-Paul 2003; Karabarbounis and Neiman 2014)"},"properties":{"noteIndex":0},"schema":"https://github.com/citation-style-language/schema/raw/master/csl-citation.json"}</w:instrText>
      </w:r>
      <w:r w:rsidRPr="00C1541A">
        <w:fldChar w:fldCharType="separate"/>
      </w:r>
      <w:r w:rsidR="00BA76AC" w:rsidRPr="00BA76AC">
        <w:rPr>
          <w:noProof/>
        </w:rPr>
        <w:t xml:space="preserve">(Bentolila </w:t>
      </w:r>
      <w:r w:rsidR="00F25C01">
        <w:rPr>
          <w:noProof/>
        </w:rPr>
        <w:t>and</w:t>
      </w:r>
      <w:r w:rsidR="00BA76AC" w:rsidRPr="00BA76AC">
        <w:rPr>
          <w:noProof/>
        </w:rPr>
        <w:t xml:space="preserve"> Saint-Paul, 2003; Karabarbounis </w:t>
      </w:r>
      <w:r w:rsidR="00F25C01">
        <w:rPr>
          <w:noProof/>
        </w:rPr>
        <w:t>and</w:t>
      </w:r>
      <w:r w:rsidR="00BA76AC" w:rsidRPr="00BA76AC">
        <w:rPr>
          <w:noProof/>
        </w:rPr>
        <w:t xml:space="preserve"> Neiman, 2014)</w:t>
      </w:r>
      <w:r w:rsidRPr="00C1541A">
        <w:fldChar w:fldCharType="end"/>
      </w:r>
      <w:r w:rsidRPr="00C1541A">
        <w:t xml:space="preserve">. </w:t>
      </w:r>
      <w:proofErr w:type="spellStart"/>
      <w:r w:rsidRPr="00C1541A">
        <w:t>Karabarbounis</w:t>
      </w:r>
      <w:proofErr w:type="spellEnd"/>
      <w:r w:rsidRPr="00C1541A">
        <w:t xml:space="preserve"> and Neiman (2014) hypothesise that the fall in the cost of capital relative to labour encourages firms to replace one factor of production with another. However, the type of capital and labour can complicate this substitution. For example, equipment substitutes differently with regard to labour than to buildings and structures </w:t>
      </w:r>
      <w:r w:rsidRPr="00C1541A">
        <w:fldChar w:fldCharType="begin" w:fldLock="1"/>
      </w:r>
      <w:r w:rsidR="00BA76AC">
        <w:instrText>ADDIN CSL_CITATION {"citationItems":[{"id":"ITEM-1","itemData":{"DOI":"10.2139/SSRN.3507267","ISSN":"1556-5068","author":[{"dropping-particle":"","family":"Eden","given":"Maya","non-dropping-particle":"","parse-names":false,"suffix":""},{"dropping-particle":"","family":"Gaggl","given":"Paul","non-dropping-particle":"","parse-names":false,"suffix":""}],"container-title":"SSRN Electronic Journal","id":"ITEM-1","issued":{"date-parts":[["2019","11","17"]]},"publisher":"Elsevier BV","title":"Capital Composition and the Declining Labor Share","type":"article-journal"},"uris":["http://www.mendeley.com/documents/?uuid=76f7f6d2-fc50-3343-9b38-371e76e5c3a7"]},{"id":"ITEM-2","itemData":{"DOI":"10.3386/W28579","author":[{"dropping-particle":"","family":"Hubmer","given":"Joachim","non-dropping-particle":"","parse-names":false,"suffix":""},{"dropping-particle":"","family":"Restrepo","given":"Pascual","non-dropping-particle":"","parse-names":false,"suffix":""}],"id":"ITEM-2","issued":{"date-parts":[["2021","3","22"]]},"number":"w28579","publisher-place":"Cambridge","title":"Not a typical firm: The joint dynamics of firms, labor shares, and capital–labor substitution","type":"report"},"uris":["http://www.mendeley.com/documents/?uuid=d8b33b33-265f-3558-8422-8bf7a00520c8"]}],"mendeley":{"formattedCitation":"(Eden &amp; Gaggl, 2019; Hubmer &amp; Restrepo, 2021)","plainTextFormattedCitation":"(Eden &amp; Gaggl, 2019; Hubmer &amp; Restrepo, 2021)","previouslyFormattedCitation":"(Eden and Gaggl 2019; Hubmer and Restrepo 2021)"},"properties":{"noteIndex":0},"schema":"https://github.com/citation-style-language/schema/raw/master/csl-citation.json"}</w:instrText>
      </w:r>
      <w:r w:rsidRPr="00C1541A">
        <w:fldChar w:fldCharType="separate"/>
      </w:r>
      <w:r w:rsidR="00BA76AC" w:rsidRPr="00BA76AC">
        <w:rPr>
          <w:noProof/>
        </w:rPr>
        <w:t xml:space="preserve">(Eden </w:t>
      </w:r>
      <w:r w:rsidR="00F25C01">
        <w:rPr>
          <w:noProof/>
        </w:rPr>
        <w:t>and</w:t>
      </w:r>
      <w:r w:rsidR="00BA76AC" w:rsidRPr="00BA76AC">
        <w:rPr>
          <w:noProof/>
        </w:rPr>
        <w:t xml:space="preserve"> Gaggl, 2019; Hubmer </w:t>
      </w:r>
      <w:r w:rsidR="00F25C01">
        <w:rPr>
          <w:noProof/>
        </w:rPr>
        <w:t>and</w:t>
      </w:r>
      <w:r w:rsidR="00BA76AC" w:rsidRPr="00BA76AC">
        <w:rPr>
          <w:noProof/>
        </w:rPr>
        <w:t xml:space="preserve"> Restrepo, 2021)</w:t>
      </w:r>
      <w:r w:rsidRPr="00C1541A">
        <w:fldChar w:fldCharType="end"/>
      </w:r>
      <w:r w:rsidRPr="00C1541A">
        <w:t xml:space="preserve"> and some employees may benefit from technical changes, while others suffer as a result </w:t>
      </w:r>
      <w:r w:rsidRPr="00C1541A">
        <w:fldChar w:fldCharType="begin" w:fldLock="1"/>
      </w:r>
      <w:r w:rsidR="00BA76AC">
        <w:instrText>ADDIN CSL_CITATION {"citationItems":[{"id":"ITEM-1","itemData":{"DOI":"10.1016/S0169-7218(11)02410-5","ISSN":"1573-4463","abstract":"A central organizing framework of the voluminous recent literature studying changes in the returns to skills and the evolution of earnings inequality is what we refer to as the canonical model, which elegantly and powerfully operationalizes the supply and demand for skills by assuming two distinct skill groups that perform two different and imperfectly substitutable tasks or produce two imperfectly substitutable goods. Technology is assumed to take a factor-augmenting form, which, by complementing either high or low skill workers, can generate skill biased demand shifts. In this paper, we argue that despite its notable successes, the canonical model is largely silent on a number of central empirical developments of the last three decades, including: (1) significant declines in real wages of low skill workers, particularly low skill males; (2) non-monotone changes in wages at different parts of the earnings distribution during different decades; (3) broad-based increases in employment in high skill and low skill occupations relative to middle skilled occupations (i.e., job \"polarization\"); (4) rapid diffusion of new technologies that directly substitute capital for labor in tasks previously performed by moderately skilled workers; and (5) expanding offshoring in opportunities, enabled by technology, which allow foreign labor to substitute for domestic workers specific tasks. Motivated by these patterns, we argue that it is valuable to consider a richer framework for analyzing how recent changes in the earnings and employment distribution in the United States and other advanced economies are shaped by the interactions among worker skills, job tasks, evolving technologies, and shifting trading opportunities. We propose a tractable task-based model in which the assignment of skills to tasks is endogenous and technical change may involve the substitution of machines for certain tasks previously performed by labor. We further consider how the evolution of technology in this task-based setting may be endogenized. We show how such a framework can be used to interpret several central recent trends, and we also suggest further directions for empirical exploration. © 2011 Elsevier B.V.","author":[{"dropping-particle":"","family":"Acemoglu","given":"Daron","non-dropping-particle":"","parse-names":false,"suffix":""},{"dropping-particle":"","family":"Autor","given":"David","non-dropping-particle":"","parse-names":false,"suffix":""}],"chapter-number":"Part B","container-title":"Handbook of Labor Economics","editor":[{"dropping-particle":"","family":"Ashenfelter","given":"Orley","non-dropping-particle":"","parse-names":false,"suffix":""},{"dropping-particle":"","family":"Card","given":"David","non-dropping-particle":"","parse-names":false,"suffix":""}],"id":"ITEM-1","issue":"PART B","issued":{"date-parts":[["2011","1","1"]]},"page":"1043-1171","publisher":"Elsevier","publisher-place":"Amsterdam","title":"Skills, tasks and technologies: implications for employment and earnings","type":"chapter","volume":"4"},"uris":["http://www.mendeley.com/documents/?uuid=996ae2a1-11d8-39cf-b66e-2267859212a9"]}],"mendeley":{"formattedCitation":"(Acemoglu &amp; Autor, 2011)","plainTextFormattedCitation":"(Acemoglu &amp; Autor, 2011)","previouslyFormattedCitation":"(Acemoglu and Autor 2011)"},"properties":{"noteIndex":0},"schema":"https://github.com/citation-style-language/schema/raw/master/csl-citation.json"}</w:instrText>
      </w:r>
      <w:r w:rsidRPr="00C1541A">
        <w:fldChar w:fldCharType="separate"/>
      </w:r>
      <w:r w:rsidR="00BA76AC" w:rsidRPr="00BA76AC">
        <w:rPr>
          <w:noProof/>
        </w:rPr>
        <w:t xml:space="preserve">(Acemoglu </w:t>
      </w:r>
      <w:r w:rsidR="00F25C01">
        <w:rPr>
          <w:noProof/>
        </w:rPr>
        <w:t>and</w:t>
      </w:r>
      <w:r w:rsidR="00BA76AC" w:rsidRPr="00BA76AC">
        <w:rPr>
          <w:noProof/>
        </w:rPr>
        <w:t xml:space="preserve"> Autor, 2011)</w:t>
      </w:r>
      <w:r w:rsidRPr="00C1541A">
        <w:fldChar w:fldCharType="end"/>
      </w:r>
      <w:r w:rsidRPr="00C1541A">
        <w:t xml:space="preserve">. Furthermore, </w:t>
      </w:r>
      <w:r w:rsidRPr="00C1541A">
        <w:fldChar w:fldCharType="begin" w:fldLock="1"/>
      </w:r>
      <w:r w:rsidR="00BA76AC">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share","type":"article-journal","volume":"3"},"uris":["http://www.mendeley.com/documents/?uuid=33b0cf32-68b0-3107-ab54-3977103c4d5d"]}],"mendeley":{"formattedCitation":"(Bentolila &amp; Saint-Paul, 2003)","manualFormatting":"Bentolila and Saint-Paul (2003)","plainTextFormattedCitation":"(Bentolila &amp; Saint-Paul, 2003)","previouslyFormattedCitation":"(Bentolila and Saint-Paul 2003)"},"properties":{"noteIndex":0},"schema":"https://github.com/citation-style-language/schema/raw/master/csl-citation.json"}</w:instrText>
      </w:r>
      <w:r w:rsidRPr="00C1541A">
        <w:fldChar w:fldCharType="separate"/>
      </w:r>
      <w:r w:rsidRPr="00C1541A">
        <w:rPr>
          <w:noProof/>
        </w:rPr>
        <w:t>Bentolila and Saint-Paul (2003)</w:t>
      </w:r>
      <w:r w:rsidRPr="00C1541A">
        <w:fldChar w:fldCharType="end"/>
      </w:r>
      <w:r w:rsidRPr="00C1541A">
        <w:t xml:space="preserve"> propose a theoretical model to illustrate the relationship between technological progress and labour share. Their model implies that, under specific assumptions, the variation of labour share may be due to different values of the capital-output ratio, the elasticity of substitution and capital-augmenting technical progress. According to their model, the impact of capital intensity and capital-augmenting on labour share can be either positive or negative depending on the elasticity of substitution between capital and labour. Hence, a common element in these papers is </w:t>
      </w:r>
      <w:bookmarkStart w:id="5" w:name="_Hlk90984439"/>
      <w:r w:rsidRPr="00C1541A">
        <w:t>the elasticity of substitution between capital and labour</w:t>
      </w:r>
      <w:bookmarkEnd w:id="5"/>
      <w:r w:rsidRPr="00C1541A">
        <w:t xml:space="preserve">. While some studies find an elasticity of substitution of below one </w:t>
      </w:r>
      <w:r w:rsidRPr="00C1541A">
        <w:fldChar w:fldCharType="begin" w:fldLock="1"/>
      </w:r>
      <w:r w:rsidR="00BA76AC">
        <w:instrText>ADDIN CSL_CITATION {"citationItems":[{"id":"ITEM-1","itemData":{"DOI":"10.1016/J.JMACRO.2007.10.010","ISSN":"0164-0704","abstract":"Research on the elasticity of substitution between capital and labor - σ - has been proceeding for 75 years. While there is clearly a strong case for the importance of σ in the analysis of growth and other economic issues, much less agreement exists on the value of σ. This paper offers some perspectives on prior estimates of σ, emphasizing the fundamental tension between the short-run data that are available and the long-run parameter that is required. Estimates of σ based on various short-run and long-run models are discussed and, while the estimates range widely, the weight of the evidence suggests a value of σ in the range of 0.40-0.60. There is little evidence to sustain the assumption of a Cobb-Douglas production function. © 2008 Elsevier Inc. All rights reserved.","author":[{"dropping-particle":"","family":"Chirinko","given":"Robert S.","non-dropping-particle":"","parse-names":false,"suffix":""}],"container-title":"Journal of Macroeconomics","id":"ITEM-1","issue":"2","issued":{"date-parts":[["2008","6","1"]]},"page":"671-686","publisher":"North-Holland","title":"σ: The long and short of it","type":"article-journal","volume":"30"},"uris":["http://www.mendeley.com/documents/?uuid=434839f9-7c2e-32b6-bbe9-336d3702df74"]},{"id":"ITEM-2","itemData":{"DOI":"10.1257/MAC.20140302","ISSN":"1945-7707","abstract":"The value of the elasticity of substitution between labor and capital (σ) is a crucial assumption in understanding the secular decline in the labor share of income. This paper develops and implements a new strategy for estimating this crucial parameter by combining a lowpass filter with panel data to identify the low-frequency/long-run relations appropriate to production function estimation. Standard estimation methods, which do not filter out transitory variation, generate downwardly biased estimates of 40 percent to 70 percent relative to the benchmark value. Despite correcting for this bias, our preferred estimate of 0.40 is substantially below the Cobb-Douglas assumption of σ = 1.","author":[{"dropping-particle":"","family":"Chirinko","given":"Robert S.","non-dropping-particle":"","parse-names":false,"suffix":""},{"dropping-particle":"","family":"Mallick","given":"Debdulal","non-dropping-particle":"","parse-names":false,"suffix":""}],"container-title":"American Economic Journal: Macroeconomics","id":"ITEM-2","issue":"4","issued":{"date-parts":[["2017"]]},"page":"225-253","publisher":"American Economic Association","title":"The substitution elasticity, factor shares, and the low-frequency panel model","type":"article-journal","volume":"9"},"uris":["http://www.mendeley.com/documents/?uuid=a8ad5501-cfab-3265-b76c-d833ddd</w:instrText>
      </w:r>
      <w:r w:rsidR="00BA76AC">
        <w:rPr>
          <w:rFonts w:hint="eastAsia"/>
        </w:rPr>
        <w:instrText>18a67"]},{"id":"ITEM-3","itemData":{"DOI":"10.3982/ECTA12807","ISSN":"1468-0262","abstract":"We develop a framework to estimate the aggregate capital</w:instrText>
      </w:r>
      <w:r w:rsidR="00BA76AC">
        <w:rPr>
          <w:rFonts w:hint="eastAsia"/>
        </w:rPr>
        <w:instrText>‐</w:instrText>
      </w:r>
      <w:r w:rsidR="00BA76AC">
        <w:rPr>
          <w:rFonts w:hint="eastAsia"/>
        </w:rPr>
        <w:instrText>labor elasticity of substitution by aggregating the actions of individual plants. The aggregate elasticity reflects substitution within plants and reallocation across plants; the extent of heterogeneity in capital intensities determines their relative importance. We use micro data on the cross</w:instrText>
      </w:r>
      <w:r w:rsidR="00BA76AC">
        <w:rPr>
          <w:rFonts w:hint="eastAsia"/>
        </w:rPr>
        <w:instrText>‐</w:instrText>
      </w:r>
      <w:r w:rsidR="00BA76AC">
        <w:rPr>
          <w:rFonts w:hint="eastAsia"/>
        </w:rPr>
        <w:instrText>section of plants to build up to the aggregate elasticity at a po</w:instrText>
      </w:r>
      <w:r w:rsidR="00BA76AC">
        <w:instrText>int in time. Interpreting our econometric estimates through the lens of several different models, we find that the aggregate elasticity for the U.S. manufacturing sector is in the range of 0.5–0.7, and has declined slightly since 1970. We use our estimates to measure the bias of technical change and assess the decline in labor's share of income in the U.S. manufacturing sector. Mechanisms that rely on changes in the relative supply of factors, such as an acceleration of capital accumulation, cannot account for the decline.","author":[{"dropping-particle":"","family":"Oberfield","given":"Ezra","non-dropping-particle":"","parse-names":false,"suffix":""},{"dropping-particle":"","family":"Raval","given":"Devesh","non-dropping-particle":"","parse-names":false,"suffix":""}],"container-title":"Econometrica","id":"ITEM-3","issue":"2","issued":{"date-parts":[["2021","3","1"]]},"page":"703-732","publisher":"John Wiley &amp; Sons, Ltd","title":"Micro data and macro technology","type":"article-journal","volume":"89"},"uris":["http://www.mendeley.com/documents/?uuid=d566d43a-c379-33d4-8dce-1dbe49855960"]}],"mendeley":{"formattedCitation":"(Chirinko, 2008; Chirinko &amp; Mallick, 2017; Oberfield &amp; Raval, 2021)","plainTextFormattedCitation":"(Chirinko, 2008; Chirinko &amp; Mallick, 2017; Oberfield &amp; Raval, 2021)","previouslyFormattedCitation":"(Chirinko 2008; Chirinko and Mallick 2017; Oberfield and Raval 2021)"},"properties":{"noteIndex":0},"schema":"https://github.com/citation-style-language/schema/raw/master/csl-citation.json"}</w:instrText>
      </w:r>
      <w:r w:rsidRPr="00C1541A">
        <w:fldChar w:fldCharType="separate"/>
      </w:r>
      <w:r w:rsidR="00BA76AC" w:rsidRPr="00BA76AC">
        <w:rPr>
          <w:noProof/>
        </w:rPr>
        <w:t xml:space="preserve">(Chirinko, 2008; Chirinko </w:t>
      </w:r>
      <w:r w:rsidR="00F25C01">
        <w:rPr>
          <w:noProof/>
        </w:rPr>
        <w:t>and</w:t>
      </w:r>
      <w:r w:rsidR="00BA76AC" w:rsidRPr="00BA76AC">
        <w:rPr>
          <w:noProof/>
        </w:rPr>
        <w:t xml:space="preserve"> Mallick, 2017; Oberfield </w:t>
      </w:r>
      <w:r w:rsidR="00F25C01">
        <w:rPr>
          <w:noProof/>
        </w:rPr>
        <w:t>and</w:t>
      </w:r>
      <w:r w:rsidR="00BA76AC" w:rsidRPr="00BA76AC">
        <w:rPr>
          <w:noProof/>
        </w:rPr>
        <w:t xml:space="preserve"> Raval, 2021)</w:t>
      </w:r>
      <w:r w:rsidRPr="00C1541A">
        <w:fldChar w:fldCharType="end"/>
      </w:r>
      <w:r w:rsidRPr="00C1541A">
        <w:t xml:space="preserve">, </w:t>
      </w:r>
      <w:r w:rsidRPr="00C1541A">
        <w:fldChar w:fldCharType="begin" w:fldLock="1"/>
      </w:r>
      <w:r w:rsidR="00BA76AC">
        <w:instrText>ADDIN CSL_CITATION {"citationItems":[{"id":"ITEM-1","itemData":{"DOI":"10.1257/AERI.20200350","ISSN":"2640-205X","abstract":"We study the determinants of factor shares in a neoclassical environment with capital-skill complementarity and endogenous education. In this environment estimates of the elasticity of substitution between capital and labor that fail to account for human capital levels will be biased upward. We develop a model with overlapping generations, technology-driven neoclassical growth, and ongoing increases in educational attainment. For a class of production functions featuring capital-skill complementarity, a balanced growth path exists and is characterized by an inverse relationship between the rates of capital-and labor-augmenting technological progress and the capital share in national income. (JEL D33, E25, J24, O33)","author":[{"dropping-particle":"","family":"Grossman","given":"Gene M.","non-dropping-particle":"","parse-names":false,"suffix":""},{"dropping-particle":"","family":"Helpman","given":"Elhanan","non-dropping-particle":"","parse-names":false,"suffix":""},{"dropping-particle":"","family":"Oberfield","given":"Ezra","non-dropping-particle":"","parse-names":false,"suffix":""},{"dropping-particle":"","family":"Sampson","given":"Thomas","non-dropping-particle":"","parse-names":false,"suffix":""}],"container-title":"American Economic Review: Insights","id":"ITEM-1","issue":"2","issued":{"date-parts":[["2021","6","1"]]},"page":"215-32","publisher":"American Economic Association","title":"Endogenous education and long-run factor shares","type":"article-journal","volume":"3"},"uris":["http://www.mendeley.com/documents/?uuid=2e4b5b38-f97f-3cae-b3d4-ad1d9d53f8c1"]}],"mendeley":{"formattedCitation":"(Grossman et al., 2021)","manualFormatting":"Grossman et al. (2021)","plainTextFormattedCitation":"(Grossman et al., 2021)","previouslyFormattedCitation":"(Grossman, Helpman, Oberfield, and Sampson 2021)"},"properties":{"noteIndex":0},"schema":"https://github.com/citation-style-language/schema/raw/master/csl-citation.json"}</w:instrText>
      </w:r>
      <w:r w:rsidRPr="00C1541A">
        <w:fldChar w:fldCharType="separate"/>
      </w:r>
      <w:r w:rsidRPr="00C1541A">
        <w:rPr>
          <w:noProof/>
        </w:rPr>
        <w:t>Grossman et al. (2021)</w:t>
      </w:r>
      <w:r w:rsidRPr="00C1541A">
        <w:fldChar w:fldCharType="end"/>
      </w:r>
      <w:r w:rsidRPr="00C1541A">
        <w:t xml:space="preserve"> show that a slowdown in labour productivity growth or capital-augmenting technological progress can eventually result in declining labour shares even if capital and labour are gross complements.</w:t>
      </w:r>
    </w:p>
    <w:p w14:paraId="1B8C9E10" w14:textId="2FAA9366" w:rsidR="00C1541A" w:rsidRPr="00C1541A" w:rsidRDefault="00C1541A" w:rsidP="00C1541A">
      <w:r w:rsidRPr="00C1541A">
        <w:t xml:space="preserve">Another stream of literature points to rising product market power, measured by mark-up or industry concentration, as a potential cause of declining labour share </w:t>
      </w:r>
      <w:r w:rsidRPr="00C1541A">
        <w:fldChar w:fldCharType="begin" w:fldLock="1"/>
      </w:r>
      <w:r w:rsidR="00BA76AC">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firms","type":"article-journal","volume":"135"},"uris":["http://www.mendeley.com/documents/?uuid=f6363795-3c75-399a-98f2-de75ec243b69"]},{"id":"ITEM-2","itemData":{"DOI":"10.1093/QJE/QJZ041","ISSN":"0033-5533","abstract":"We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Economics","id":"ITEM-2","issue":"2","issued":{"date-parts":[["2020","5","1"]]},"page":"561-644","publisher":"Oxford Academic","title":"The rise of market power and the macroeconomic implications","type":"article-journal","volume":"135"},"uris":["http://www.mendeley.com/documents/?uuid=c39dfd08-2bf8-3731-af07-bfbbc25c76de"]}],"mendeley":{"formattedCitation":"(Autor et al., 2020; De Loecker et al., 2020)","manualFormatting":"(e.g., Autor et al., 2020; De Loecker et al., 2020)","plainTextFormattedCitation":"(Autor et al., 2020; De Loecker et al., 2020)","previouslyFormattedCitation":"(Autor et al. 2020; De Loecker, Eeckhout, and Unger 2020)"},"properties":{"noteIndex":0},"schema":"https://github.com/citation-style-language/schema/raw/master/csl-citation.json"}</w:instrText>
      </w:r>
      <w:r w:rsidRPr="00C1541A">
        <w:fldChar w:fldCharType="separate"/>
      </w:r>
      <w:r w:rsidRPr="00C1541A">
        <w:rPr>
          <w:noProof/>
        </w:rPr>
        <w:t>(e.g., Autor et al., 2020; De Loecker et al., 2020)</w:t>
      </w:r>
      <w:r w:rsidRPr="00C1541A">
        <w:fldChar w:fldCharType="end"/>
      </w:r>
      <w:r w:rsidRPr="00C1541A">
        <w:t xml:space="preserve">. In the absence of competition, firms gain market power and price their goods above their marginal cost, leading to higher mark-up </w:t>
      </w:r>
      <w:r w:rsidRPr="00C1541A">
        <w:fldChar w:fldCharType="begin" w:fldLock="1"/>
      </w:r>
      <w:r w:rsidR="00BA76AC">
        <w:instrText>ADDIN CSL_CITATION {"citationItems":[{"id":"ITEM-1","itemData":{"DOI":"10.1093/QJE/QJZ041","ISSN":"0033-5533","abstract":"We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Economics","id":"ITEM-1","issue":"2","issued":{"date-parts":[["2020","5","1"]]},"page":"561-644","publisher":"Oxford Academic","title":"The rise of market power and the macroeconomic implications","type":"article-journal","volume":"135"},"uris":["http://www.mendeley.com/documents/?uuid=c39dfd08-2bf8-3731-af07-bfbbc25c76de"]}],"mendeley":{"formattedCitation":"(De Loecker et al., 2020)","plainTextFormattedCitation":"(De Loecker et al., 2020)","previouslyFormattedCitation":"(De Loecker, Eeckhout, and Unger 2020)"},"properties":{"noteIndex":0},"schema":"https://github.com/citation-style-language/schema/raw/master/csl-citation.json"}</w:instrText>
      </w:r>
      <w:r w:rsidRPr="00C1541A">
        <w:fldChar w:fldCharType="separate"/>
      </w:r>
      <w:r w:rsidR="00BA76AC" w:rsidRPr="00BA76AC">
        <w:rPr>
          <w:noProof/>
        </w:rPr>
        <w:t>(De Loecker et al., 2020)</w:t>
      </w:r>
      <w:r w:rsidRPr="00C1541A">
        <w:fldChar w:fldCharType="end"/>
      </w:r>
      <w:r w:rsidRPr="00C1541A">
        <w:t xml:space="preserve">. </w:t>
      </w:r>
      <w:proofErr w:type="spellStart"/>
      <w:r w:rsidRPr="00C1541A">
        <w:t>Bentolila</w:t>
      </w:r>
      <w:proofErr w:type="spellEnd"/>
      <w:r w:rsidRPr="00C1541A">
        <w:t xml:space="preserve"> and Saint-Paul (2003) theoretically and empirically show that the increase in mark-up is associated with a lower labour share. In addition, some studies show that an increase in the US aggregate mark-up, driven by the reallocation of economic activity toward large and high-mark-up firms with lower labour share, decreases the aggregate labour share </w:t>
      </w:r>
      <w:r w:rsidRPr="00C1541A">
        <w:fldChar w:fldCharType="begin" w:fldLock="1"/>
      </w:r>
      <w:r w:rsidR="00BA76AC">
        <w:instrText>ADDIN CSL_CITATION {"citationItems":[{"id":"ITEM-1","itemData":{"DOI":"10.1093/qje/qjz030","ISSN":"0033-5533","abstract":"This paper develops a general theory of aggregation in inefficient economies. We provide nonparametric formulas for aggregating microeconomic shocks in economies with distortions such as taxes, markups, frictions to resource reallocation, financial frictions, and nominal rigidities. We allow for arbitrary elasticities of substitution, returns to scale, factor mobility, and input-output network linkages. We show how to separately measure changes in technical and allocative efficiency. We also show how to compute the social cost of distortions. We pursue applications focusing on firm-level markups in the United States. We find that improvement in allocative efficiency, due to the reallocation over time of market share to high-markup firms, accounts for about half of aggregate TFP growth over the period 1997–2015. We also find that eliminating the misallocation resulting from the large and dispersed markups estimated in the data would raise aggregate TFP by about 15%, increasing the economy-wide cost of monopoly distortions by two orders of magnitude compared with the famous 0.1% estimate by Harberger (1954). These exact numbers should be interpreted with care because the data are imperfect and require substantial imputation.","author":[{"dropping-particle":"","family":"Baqaee","given":"David Rezza","non-dropping-particle":"","parse-names":false,"suffix":""},{"dropping-particle":"","family":"Farhi","given":"Emmanuel","non-dropping-particle":"","parse-names":false,"suffix":""}],"container-title":"The Quarterly Journal of Economics","id":"ITEM-1","issue":"1","issued":{"date-parts":[["2020","2","1"]]},"page":"105-163","title":"Productivity and misallocation in general equilibrium","type":"article-journal","volume":"135"},"uris":["http://www.mendeley.com/documents/?uuid=caae1b5f-eb90-3c74-bcc1-86ccc024049a"]},{"id":"ITEM-2","itemData":{"DOI":"10.1093/QJE/QJZ041","ISSN":"0033-5533","abstract":"We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Economics","id":"ITEM-2","issue":"2","issued":{"date-parts":[["2020","5","1"]]},"page":"561-644","publisher":"Oxford Academic","title":"The rise of market power and the macroeconomic implications","type":"article-journal","volume":"135"},"uris":["http://www.mendeley.com/documents/?uuid=c39dfd08-2bf8-3731-af07-bfbbc25c76de"]}],"mendeley":{"formattedCitation":"(Baqaee &amp; Farhi, 2020; De Loecker et al., 2020)","plainTextFormattedCitation":"(Baqaee &amp; Farhi, 2020; De Loecker et al., 2020)","previouslyFormattedCitation":"(Baqaee and Farhi 2020; De Loecker, Eeckhout, and Unger 2020)"},"properties":{"noteIndex":0},"schema":"https://github.com/citation-style-language/schema/raw/master/csl-citation.json"}</w:instrText>
      </w:r>
      <w:r w:rsidRPr="00C1541A">
        <w:fldChar w:fldCharType="separate"/>
      </w:r>
      <w:r w:rsidR="00BA76AC" w:rsidRPr="00BA76AC">
        <w:rPr>
          <w:noProof/>
        </w:rPr>
        <w:t xml:space="preserve">(Baqaee </w:t>
      </w:r>
      <w:r w:rsidR="00F25C01">
        <w:rPr>
          <w:noProof/>
        </w:rPr>
        <w:t>and</w:t>
      </w:r>
      <w:r w:rsidR="00BA76AC" w:rsidRPr="00BA76AC">
        <w:rPr>
          <w:noProof/>
        </w:rPr>
        <w:t xml:space="preserve"> Farhi, 2020; De Loecker et al., 2020)</w:t>
      </w:r>
      <w:r w:rsidRPr="00C1541A">
        <w:fldChar w:fldCharType="end"/>
      </w:r>
      <w:r w:rsidRPr="00C1541A">
        <w:t xml:space="preserve">. Similarly, </w:t>
      </w:r>
      <w:bookmarkStart w:id="6" w:name="_Hlk91057393"/>
      <w:r w:rsidRPr="00C1541A">
        <w:fldChar w:fldCharType="begin" w:fldLock="1"/>
      </w:r>
      <w:r w:rsidR="00BA76AC">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firms","type":"article-journal","volume":"135"},"uris":["http://www.mendeley.com/documents/?uuid=f6363795-3c75-399a-98f2-de75ec243b69"]}],"mendeley":{"formattedCitation":"(Autor et al., 2020)","manualFormatting":"Autor et al. (2020)","plainTextFormattedCitation":"(Autor et al., 2020)","previouslyFormattedCitation":"(Autor et al. 2020)"},"properties":{"noteIndex":0},"schema":"https://github.com/citation-style-language/schema/raw/master/csl-citation.json"}</w:instrText>
      </w:r>
      <w:r w:rsidRPr="00C1541A">
        <w:fldChar w:fldCharType="separate"/>
      </w:r>
      <w:r w:rsidRPr="00C1541A">
        <w:rPr>
          <w:noProof/>
        </w:rPr>
        <w:t>Autor et al. (2020)</w:t>
      </w:r>
      <w:r w:rsidRPr="00C1541A">
        <w:fldChar w:fldCharType="end"/>
      </w:r>
      <w:r w:rsidRPr="00C1541A">
        <w:t xml:space="preserve"> present evidence that the rise in the US industry concentration positively impacts the decline in the labour share across industries</w:t>
      </w:r>
      <w:bookmarkEnd w:id="6"/>
      <w:r w:rsidRPr="00C1541A">
        <w:t xml:space="preserve">. </w:t>
      </w:r>
    </w:p>
    <w:p w14:paraId="7C989CF5" w14:textId="63D43084" w:rsidR="00C1541A" w:rsidRPr="00C1541A" w:rsidRDefault="00C1541A" w:rsidP="00C1541A">
      <w:r w:rsidRPr="00C1541A">
        <w:lastRenderedPageBreak/>
        <w:t xml:space="preserve">Furthermore, some researchers assert that a decline in labour market power leads to a shift in functional income distribution </w:t>
      </w:r>
      <w:r w:rsidRPr="00C1541A">
        <w:fldChar w:fldCharType="begin" w:fldLock="1"/>
      </w:r>
      <w:r w:rsidR="00BA76AC">
        <w:instrText>ADDIN CSL_CITATION {"citationItems":[{"id":"ITEM-1","itemData":{"abstract":"I propose a tractable model of the labor share that emphasizes the interaction between labor market imperfections and productivity dispersion. I bring the model to the data using an administrative dataset covering the universe of firms in Canada. As in the data, most firms have a high labor share, yet the aggregate labor share is low due to the disproportionate effect of a small fraction of large, extremely productive \"superstar firms\". I find that a rise in the dispersion of firm productivity leads to a decline of the aggregate labor share in favor of firm profit. The mechanism is that productivity dispersion effectively shields high-productivity firms from wage competition. Reduced-form evidence from crosscountry and cross-industry data supports both the prediction and the mechanism. Through the lens of the model, rising productivity dispersion has caused the U.S. labor share to decline starting around 1990.","author":[{"dropping-particle":"","family":"Gouin-Bonenfant","given":"Emilien","non-dropping-particle":"","parse-names":false,"suffix":""}],"container-title":"In Society for Economic Dynamics. Meeting Papers","id":"ITEM-1","issued":{"date-parts":[["2018"]]},"title":"Productivity dispersion, between-firm competition, and the labor share","type":"article-journal","volume":"1171"},"uris":["http://www.mendeley.com/documents/?uuid=c337b6b2-9760-3115-940c-5006add9984f"]},{"id":"ITEM-2","itemData":{"DOI":"10.1093/QJE/QJAB012","ISSN":"0033-5533","abstract":"U.S. income inequality has varied inversely with union density over the past 100 years. But moving beyond this aggregate relationship has proven difficult, in part because of limited microdata on union membership prior to 1973</w:instrText>
      </w:r>
      <w:r w:rsidR="00BA76AC">
        <w:rPr>
          <w:rFonts w:hint="eastAsia"/>
        </w:rPr>
        <w:instrText xml:space="preserve">. We develop a new source of microdata on union membership dating back to 1936, survey data primarily from Gallup (N </w:instrText>
      </w:r>
      <w:r w:rsidR="00BA76AC">
        <w:rPr>
          <w:rFonts w:hint="eastAsia"/>
        </w:rPr>
        <w:instrText>≈</w:instrText>
      </w:r>
      <w:r w:rsidR="00BA76AC">
        <w:rPr>
          <w:rFonts w:hint="eastAsia"/>
        </w:rPr>
        <w:instrText xml:space="preserve"> 980,000), to examine the long-run relationship between unions and inequality. We document dramatic changes in the demographics of union </w:instrText>
      </w:r>
      <w:r w:rsidR="00BA76AC">
        <w:instrText>members: when density was at its mid-century peak, union households were much less educated and more nonwhite than other households, whereas pre-World War II and today they are more similar to nonunion households on these dimensions. However, despite large changes in composition and density since 1936, the household union premium holds relatively steady between 10 and 20 log points. We use our data to examine the effect of unions on income inequality. Using distributional decompositions, time series regressions, state-year regressions, as well as a new instrumental-variable strategy based on the 1935 legalization of unions and the World War II-era War Labor Board, we find consistent evidence that unions reduce inequality, explaining a significant share of the dramatic fall in inequality between the mid-1930s and late 1940s.","author":[{"dropping-particle":"","family":"Farber","given":"Henry S.","non-dropping-particle":"","parse-names":false,"suffix":""},{"dropping-particle":"","family":"Herbst","given":"Daniel","non-dropping-particle":"","parse-names":false,"suffix":""},{"dropping-particle":"","family":"Kuziemko","given":"Ilyana","non-dropping-particle":"","parse-names":false,"suffix":""},{"dropping-particle":"","family":"Naidu","given":"Suresh","non-dropping-particle":"","parse-names":false,"suffix":""}],"container-title":"The Quarterly Journal of Economics","id":"ITEM-2","issue":"3","issued":{"date-parts":[["2021","6","30"]]},"page":"1325-1385","publisher":"Oxford Academic","title":"Unions and inequality over the twentieth century: New evidence from survey data","type":"article-journal","volume":"136"},"uris":["http://www.mendeley.com/documents/?uuid=2cedb460-ba04-3509-bb94-01f1f0e05a4b"]}],"mendeley":{"formattedCitation":"(Farber et al., 2021; Gouin-Bonenfant, 2018)","manualFormatting":"(e.g., Farber et al., 2021; Gouin-Bonenfant, 2018)","plainTextFormattedCitation":"(Farber et al., 2021; Gouin-Bonenfant, 2018)","previouslyFormattedCitation":"(Gouin-Bonenfant 2018; Farber, Herbst, Kuziemko, and Naidu 2021)"},"properties":{"noteIndex":0},"schema":"https://github.com/citation-style-language/schema/raw/master/csl-citation.json"}</w:instrText>
      </w:r>
      <w:r w:rsidRPr="00C1541A">
        <w:fldChar w:fldCharType="separate"/>
      </w:r>
      <w:r w:rsidRPr="00C1541A">
        <w:rPr>
          <w:noProof/>
        </w:rPr>
        <w:t>(e.g., Farber et al., 2021; Gouin-Bonenfant, 2018)</w:t>
      </w:r>
      <w:r w:rsidRPr="00C1541A">
        <w:fldChar w:fldCharType="end"/>
      </w:r>
      <w:r w:rsidRPr="00C1541A">
        <w:t xml:space="preserve">. Declining labour market power may have allowed firms to exercise greater monopsony, and, as a result, stronger wage markdowns </w:t>
      </w:r>
      <w:r w:rsidRPr="00C1541A">
        <w:fldChar w:fldCharType="begin" w:fldLock="1"/>
      </w:r>
      <w:r w:rsidR="00BA76AC">
        <w:instrText>ADDIN CSL_CITATION {"citationItems":[{"id":"ITEM-1","itemData":{"DOI":"10.3386/W29165","abstract":"A vast literature seeks to measure and explain the apparent decline in the labor share in national income that has occurred in recent times in the United States and elsewhere. The culprits include technological change, increased globalization and the rise of China, the enhanced exercise of market power by large firms in concentrated product markets, the decline in unionization rates and the erosion in the bargaining power of workers in labor markets, and the changing composition of the workforce due to a slowdown in population growth and a rise in educational attaintment. We review this literature, with special emphasis on the pitfalls associated with using cross-sectional data to assess this phenomenon and the reasons why the body of papers collectively explains the phenomenon many times over.","author":[{"dropping-particle":"","family":"Grossman","given":"Gene M.","non-dropping-particle":"","parse-names":false,"suffix":""},{"dropping-particle":"","family":"Oberfield","given":"Ezra","non-dropping-particle":"","parse-names":false,"suffix":""}],"collection-title":"29165","id":"ITEM-1","issued":{"date-parts":[["2021","8","23"]]},"publisher-place":"Cambridge","title":"The elusive explanation for the declining labor share","type":"report"},"uris":["http://www.mendeley.com/documents/?uuid=97610be3-e3f2-385b-baba-88dd9fdca186"]}],"mendeley":{"formattedCitation":"(Grossman &amp; Oberfield, 2021)","plainTextFormattedCitation":"(Grossman &amp; Oberfield, 2021)","previouslyFormattedCitation":"(Grossman and Oberfield 2021)"},"properties":{"noteIndex":0},"schema":"https://github.com/citation-style-language/schema/raw/master/csl-citation.json"}</w:instrText>
      </w:r>
      <w:r w:rsidRPr="00C1541A">
        <w:fldChar w:fldCharType="separate"/>
      </w:r>
      <w:r w:rsidR="00BA76AC" w:rsidRPr="00BA76AC">
        <w:rPr>
          <w:noProof/>
        </w:rPr>
        <w:t xml:space="preserve">(Grossman </w:t>
      </w:r>
      <w:r w:rsidR="00F25C01">
        <w:rPr>
          <w:noProof/>
        </w:rPr>
        <w:t>and</w:t>
      </w:r>
      <w:r w:rsidR="00BA76AC" w:rsidRPr="00BA76AC">
        <w:rPr>
          <w:noProof/>
        </w:rPr>
        <w:t xml:space="preserve"> Oberfield, 2021)</w:t>
      </w:r>
      <w:r w:rsidRPr="00C1541A">
        <w:fldChar w:fldCharType="end"/>
      </w:r>
      <w:r w:rsidRPr="00C1541A">
        <w:t xml:space="preserve">. </w:t>
      </w:r>
      <w:r w:rsidRPr="00C1541A">
        <w:fldChar w:fldCharType="begin" w:fldLock="1"/>
      </w:r>
      <w:r w:rsidR="00BA76AC">
        <w:instrText>ADDIN CSL_CITATION {"citationItems":[{"id":"ITEM-1","itemData":{"DOI":"10.1093/QJE/QJAB002","ISSN":"0033-5533","abstract":"The labor share in U.S. manufacturing declined from 61% in 1967 to 41% in 2012. The labor share of the typical U.S. manufacturing establishment, in contrast, rose by over 3 percentage points during the same period. Using micro-level data, we document five salient facts: (i) since the 1980s, there has been a dramatic reallocation of value added toward the lower end of the labor share distribution; (ii) this aggregate reallocation is not due to entry/exit, to \"superstars\"growing faster, or to large establishments lowering their labor shares, but is instead due to units whose labor share fell as they grew in size; (iii) low labor share (LL) establishments benefit from high revenue labor productivity, not low wages; (iv) they also enjoy a product price premium relative to their peers; and (v) they have only temporarily lower labor shares that rebound after five to eight years. This transient pattern has become more pronounced over time, and the dynamics of value added and employment are increasingly disconnected. Taken together, we interpret these facts as pointing to a significant role for demand-side forces.","author":[{"dropping-particle":"","family":"Kehrig","given":"Matthias","non-dropping-particle":"","parse-names":false,"suffix":""},{"dropping-particle":"","family":"Vincent","given":"Nicolas","non-dropping-particle":"","parse-names":false,"suffix":""}],"container-title":"The Quarterly Journal of Economics","id":"ITEM-1","issue":"2","issued":{"date-parts":[["2021","3","24"]]},"page":"1031-1087","publisher":"Oxford Academic","title":"The micro-level anatomy of the labor share decline","type":"article-journal","volume":"136"},"uris":["http://www.mendeley.com/documents/?uuid=16dc3709-4769-3bdc-86d4-262f9f4ce8ee"]}],"mendeley":{"formattedCitation":"(Kehrig &amp; Vincent, 2021)","manualFormatting":"Kehrig and Vincent (2021)","plainTextFormattedCitation":"(Kehrig &amp; Vincent, 2021)","previouslyFormattedCitation":"(Kehrig and Vincent 2021)"},"properties":{"noteIndex":0},"schema":"https://github.com/citation-style-language/schema/raw/master/csl-citation.json"}</w:instrText>
      </w:r>
      <w:r w:rsidRPr="00C1541A">
        <w:fldChar w:fldCharType="separate"/>
      </w:r>
      <w:r w:rsidRPr="00C1541A">
        <w:rPr>
          <w:noProof/>
        </w:rPr>
        <w:t>Kehrig and Vincent (2021)</w:t>
      </w:r>
      <w:r w:rsidRPr="00C1541A">
        <w:fldChar w:fldCharType="end"/>
      </w:r>
      <w:r w:rsidRPr="00C1541A">
        <w:t xml:space="preserve"> theoretically show that a higher wage markdown leads to a lower labour share. A stronger wage markdown may result from labour market deregulation, such as de-unionisation</w:t>
      </w:r>
      <w:r w:rsidRPr="00C1541A">
        <w:rPr>
          <w:bCs/>
          <w:lang w:val="en-US"/>
        </w:rPr>
        <w:t xml:space="preserve"> or </w:t>
      </w:r>
      <w:r w:rsidRPr="00C1541A">
        <w:t xml:space="preserve">increasing labour market concentration. Many authors point to de-unionisation as an explanation for the decline in labour market power </w:t>
      </w:r>
      <w:r w:rsidRPr="00C1541A">
        <w:fldChar w:fldCharType="begin" w:fldLock="1"/>
      </w:r>
      <w:r w:rsidR="00BA76AC">
        <w:instrText>ADDIN CSL_CITATION {"citationItems":[{"id":"ITEM-1","itemData":{"DOI":"10.3386/W27193","ISSN":"1556-5068","abstract":"Rising profitability and market valuations of US businesses, sluggish wage growth and a declining labor share of income, and reduced unemployment and inflation, have defined the macroeconomic environment of the last generation. This paper offers a unified explanation for these phenomena based on reduced worker power. Using individual, industry, and state-level data, we demonstrate that measures of reduced worker power are associated with lower wage levels, higher profit shares, and reductions in measures of the NAIRU. We argue that the declining worker power hypothesis is more compelling as an explanation for observed changes than increases in firms’ market power, both because it can simultaneously explain a falling labor share and a reduced NAIRU, and because it is more directly supported by the data.","author":[{"dropping-particle":"","family":"Stansbury","given":"Anna","non-dropping-particle":"","parse-names":false,"suffix":""},{"dropping-particle":"","family":"Summers","given":"Lawrence H.","non-dropping-particle":"","parse-names":false,"suffix":""}],"collection-title":"27193","container-title":"SSRN","id":"ITEM-1","issued":{"date-parts":[["2020"]]},"title":"The Declining Worker Power Hypothesis: An explanation for the recent evolution of the American economy","type":"report"},"uris":["http://www.mendeley.com/documents/?uuid=48e6dc78-86f8-32d4-9a23-7fdabfe1cb43"]}],"mendeley":{"formattedCitation":"(Stansbury &amp; Summers, 2020)","plainTextFormattedCitation":"(Stansbury &amp; Summers, 2020)","previouslyFormattedCitation":"(Stansbury and Summers 2020)"},"properties":{"noteIndex":0},"schema":"https://github.com/citation-style-language/schema/raw/master/csl-citation.json"}</w:instrText>
      </w:r>
      <w:r w:rsidRPr="00C1541A">
        <w:fldChar w:fldCharType="separate"/>
      </w:r>
      <w:r w:rsidR="00BA76AC" w:rsidRPr="00BA76AC">
        <w:rPr>
          <w:noProof/>
        </w:rPr>
        <w:t xml:space="preserve">(Stansbury </w:t>
      </w:r>
      <w:r w:rsidR="00F25C01">
        <w:rPr>
          <w:noProof/>
        </w:rPr>
        <w:t>and</w:t>
      </w:r>
      <w:r w:rsidR="00BA76AC" w:rsidRPr="00BA76AC">
        <w:rPr>
          <w:noProof/>
        </w:rPr>
        <w:t xml:space="preserve"> Summers, 2020)</w:t>
      </w:r>
      <w:r w:rsidRPr="00C1541A">
        <w:fldChar w:fldCharType="end"/>
      </w:r>
      <w:r w:rsidRPr="00C1541A">
        <w:t xml:space="preserve">. For example, </w:t>
      </w:r>
      <w:r w:rsidRPr="00C1541A">
        <w:fldChar w:fldCharType="begin" w:fldLock="1"/>
      </w:r>
      <w:r w:rsidR="00BA76AC">
        <w:instrText>ADDIN CSL_CITATION {"citationItems":[{"id":"ITEM-1","itemData":{"DOI":"10.1093/QJE/QJAB012","ISSN":"0033-5533","abstract":"U.S. income inequality has varied inversely with union density over the past 100 years. But moving beyond this aggregate relationshi</w:instrText>
      </w:r>
      <w:r w:rsidR="00BA76AC">
        <w:rPr>
          <w:rFonts w:hint="eastAsia"/>
        </w:rPr>
        <w:instrText xml:space="preserve">p has proven difficult, in part because of limited microdata on union membership prior to 1973. We develop a new source of microdata on union membership dating back to 1936, survey data primarily from Gallup (N </w:instrText>
      </w:r>
      <w:r w:rsidR="00BA76AC">
        <w:rPr>
          <w:rFonts w:hint="eastAsia"/>
        </w:rPr>
        <w:instrText>≈</w:instrText>
      </w:r>
      <w:r w:rsidR="00BA76AC">
        <w:rPr>
          <w:rFonts w:hint="eastAsia"/>
        </w:rPr>
        <w:instrText xml:space="preserve"> 980,000), to examine the long-run relation</w:instrText>
      </w:r>
      <w:r w:rsidR="00BA76AC">
        <w:instrText>ship between unions and inequality. We document dramatic changes in the demographics of union members: when density was at its mid-century peak, union households were much less educated and more nonwhite than other households, whereas pre-World War II and today they are more similar to nonunion households on these dimensions. However, despite large changes in composition and density since 1936, the household union premium holds relatively steady between 10 and 20 log points. We use our data to examine the effect of unions on income inequality. Using distributional decompositions, time series regressions, state-year regressions, as well as a new instrumental-variable strategy based on the 1935 legalization of unions and the World War II-era War Labor Board, we find consistent evidence that unions reduce inequality, explaining a significant share of the dramatic fall in inequality between the mid-1930s and late 1940s.","author":[{"dropping-particle":"","family":"Farber","given":"Henry S.","non-dropping-particle":"","parse-names":false,"suffix":""},{"dropping-particle":"","family":"Herbst","given":"Daniel","non-dropping-particle":"","parse-names":false,"suffix":""},{"dropping-particle":"","family":"Kuziemko","given":"Ilyana","non-dropping-particle":"","parse-names":false,"suffix":""},{"dropping-particle":"","family":"Naidu","given":"Suresh","non-dropping-particle":"","parse-names":false,"suffix":""}],"container-title":"The Quarterly Journal of Economics","id":"ITEM-1","issue":"3","issued":{"date-parts":[["2021","6","30"]]},"page":"1325-1385","publisher":"Oxford Academic","title":"Unions and inequality over the twentieth century: New evidence from survey data","type":"article-journal","volume":"136"},"uris":["http://www.mendeley.com/documents/?uuid=2cedb460-ba04-3509-bb94-01f1f0e05a4b"]}],"mendeley":{"formattedCitation":"(Farber et al., 2021)","manualFormatting":"Farber et al. (2021)","plainTextFormattedCitation":"(Farber et al., 2021)","previouslyFormattedCitation":"(Farber, Herbst, Kuziemko, and Naidu 2021)"},"properties":{"noteIndex":0},"schema":"https://github.com/citation-style-language/schema/raw/master/csl-citation.json"}</w:instrText>
      </w:r>
      <w:r w:rsidRPr="00C1541A">
        <w:fldChar w:fldCharType="separate"/>
      </w:r>
      <w:r w:rsidRPr="00C1541A">
        <w:rPr>
          <w:noProof/>
        </w:rPr>
        <w:t>Farber et al. (2021)</w:t>
      </w:r>
      <w:r w:rsidRPr="00C1541A">
        <w:fldChar w:fldCharType="end"/>
      </w:r>
      <w:r w:rsidRPr="00C1541A">
        <w:t xml:space="preserve"> document a positive correlation between state-level labour share and state union membership rates. In addition, increasing a firm's labour concentration in the relevant labour markets could account for stronger markdowns of wages relative to marginal revenue productivity and perhaps to a smaller labour share. </w:t>
      </w:r>
      <w:r w:rsidRPr="00C1541A">
        <w:fldChar w:fldCharType="begin" w:fldLock="1"/>
      </w:r>
      <w:r w:rsidR="00BA76AC">
        <w:instrText>ADDIN CSL_CITATION {"citationItems":[{"id":"ITEM-1","itemData":{"abstract":"I propose a tractable model of the labor share that emphasizes the interaction between labor market imperfections and productivity dispersion. I bring the model to the data using an administrative dataset covering the universe of firms in Canada. As in the data, most firms have a high labor share, yet the aggregate labor share is low due to the disproportionate effect of a small fraction of large, extremely productive \"superstar firms\". I find that a rise in the dispersion of firm productivity leads to a decline of the aggregate labor share in favor of firm profit. The mechanism is that productivity dispersion effectively shields high-productivity firms from wage competition. Reduced-form evidence from crosscountry and cross-industry data supports both the prediction and the mechanism. Through the lens of the model, rising productivity dispersion has caused the U.S. labor share to decline starting around 1990.","author":[{"dropping-particle":"","family":"Gouin-Bonenfant","given":"Emilien","non-dropping-particle":"","parse-names":false,"suffix":""}],"container-title":"In Society for Economic Dynamics. Meeting Papers","id":"ITEM-1","issued":{"date-parts":[["2018"]]},"title":"Productivity dispersion, between-firm competition, and the labor share","type":"article-journal","volume":"1171"},"uris":["http://www.mendeley.com/documents/?uuid=c337b6b2-9760-3115-940c-5006add9984f"]}],"mendeley":{"formattedCitation":"(Gouin-Bonenfant, 2018)","manualFormatting":"Gouin-Bonenfant (2018)","plainTextFormattedCitation":"(Gouin-Bonenfant, 2018)","previouslyFormattedCitation":"(Gouin-Bonenfant 2018)"},"properties":{"noteIndex":0},"schema":"https://github.com/citation-style-language/schema/raw/master/csl-citation.json"}</w:instrText>
      </w:r>
      <w:r w:rsidRPr="00C1541A">
        <w:fldChar w:fldCharType="separate"/>
      </w:r>
      <w:r w:rsidRPr="00C1541A">
        <w:rPr>
          <w:noProof/>
        </w:rPr>
        <w:t>Gouin-Bonenfant (2018)</w:t>
      </w:r>
      <w:r w:rsidRPr="00C1541A">
        <w:fldChar w:fldCharType="end"/>
      </w:r>
      <w:r w:rsidRPr="00C1541A">
        <w:t xml:space="preserve"> shows that a higher dispersion of productivities, which implies a greater concentration of employment, results in a lower aggregate labour share. </w:t>
      </w:r>
      <w:r w:rsidRPr="00C1541A">
        <w:fldChar w:fldCharType="begin" w:fldLock="1"/>
      </w:r>
      <w:r w:rsidR="00BA76AC">
        <w:instrText>ADDIN CSL_CITATION {"citationItems":[{"id":"ITEM-1","itemData":{"DOI":"10.3368/jhr.monopsony.1218-9914R1","ISSN":"0022-166X","abstract":"Predicting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w:instrText>
      </w:r>
      <w:r w:rsidR="00BA76AC">
        <w:rPr>
          <w:rFonts w:hint="eastAsia"/>
        </w:rPr>
        <w:instrText xml:space="preserve">mpling for flexible polypeptides. In addition, scoring of the poses was improved by post-processing with physics-based implicit solvent MM- GBSA calculations. Using the best RMSD among the top 10 scoring poses as a metric, the success rate (RMSD </w:instrText>
      </w:r>
      <w:r w:rsidR="00BA76AC">
        <w:rPr>
          <w:rFonts w:hint="eastAsia"/>
        </w:rPr>
        <w:instrText>≤</w:instrText>
      </w:r>
      <w:r w:rsidR="00BA76AC">
        <w:rPr>
          <w:rFonts w:hint="eastAsia"/>
        </w:rPr>
        <w:instrText xml:space="preserve"> 2.0 Å f</w:instrText>
      </w:r>
      <w:r w:rsidR="00BA76AC">
        <w:instrText>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zar","given":"José","non-dropping-particle":"","parse-names":false,"suffix":""},{"dropping-particle":"","family":"Marinescu","given":"Ioana","non-dropping-particle":"","parse-names":false,"suffix":""},{"dropping-particle":"","family":"Steinbaum","given":"Marshall","non-dropping-particle":"","parse-names":false,"suffix":""}],"container-title":"Journal of Human Resources","id":"ITEM-1","issued":{"date-parts":[["2020","5","12"]]},"publisher":"University of Wisconsin Press","title":"Labor Market Concentration","type":"article-journal"},"uris":["http://www.mendeley.com/documents/?uuid=26add884-1499-305d-98a2-a49275794ce1"]}],"mendeley":{"formattedCitation":"(Azar et al., 2020)","manualFormatting":"Azar et al. (2020)","plainTextFormattedCitation":"(Azar et al., 2020)","previouslyFormattedCitation":"(Azar, Marinescu, and Steinbaum 2020)"},"properties":{"noteIndex":0},"schema":"https://github.com/citation-style-language/schema/raw/master/csl-citation.json"}</w:instrText>
      </w:r>
      <w:r w:rsidRPr="00C1541A">
        <w:fldChar w:fldCharType="separate"/>
      </w:r>
      <w:r w:rsidRPr="00C1541A">
        <w:rPr>
          <w:noProof/>
        </w:rPr>
        <w:t>Azar et al. (2020)</w:t>
      </w:r>
      <w:r w:rsidRPr="00C1541A">
        <w:fldChar w:fldCharType="end"/>
      </w:r>
      <w:r w:rsidRPr="00C1541A">
        <w:t xml:space="preserve"> use data from online job postings to show an inverse correlation between real wages and market concentration. Similarly, </w:t>
      </w:r>
      <w:r w:rsidRPr="00C1541A">
        <w:fldChar w:fldCharType="begin" w:fldLock="1"/>
      </w:r>
      <w:r w:rsidR="00BA76AC">
        <w:instrText>ADDIN CSL_CITATION {"citationItems":[{"id":"ITEM-1","itemData":{"DOI":"10.3368/JHR.MONOPSONY.0119-10007R1","ISSN":"0022-166X","abstract":"We analyze the effect of local-level labor market concentration on wages. Using Census data over the period 1977–2009, we find that: (1) local-level employer concentration exhibits substantial cross-sectional and time-series variation and increases over time; (2) consistent with labor market monopsony power, there is a negative relation between local-level employer concentration and wages that is more pronounced at high levels of concentration and increases over time; (3) the negative relation between labor market concentration and wages is stronger when unionization rates are low; (4) the link between productivity growth and wage growth is stronger when labor markets are less concentrated; and (5) exposure to greater import competition from China (the \"China Shock\") is associated with more concentrated labor markets. These five results emphasize the role of local-level labor market monopsonies in influencing firm wage-setting behavior and can potentially explain some of the stagnation of wages in the United States over the past several decades.","author":[{"dropping-particle":"","family":"Benmelech","given":"Efraim","non-dropping-particle":"","parse-names":false,"suffix":""},{"dropping-particle":"","family":"Bergman","given":"Nittai K.","non-dropping-particle":"","parse-names":false,"suffix":""},{"dropping-particle":"","family":"Kim","given":"Hyunseob","non-dropping-particle":"","parse-names":false,"suffix":""}],"container-title":"Journal of Human Resources","id":"ITEM-1","issued":{"date-parts":[["2020","12","14"]]},"publisher":"University of Wisconsin Press","title":"Strong employers and weak employees: How does employer concentration affect wages?","type":"article-journal"},"uris":["http://www.mendeley.com/documents/?uuid=b7b9945b-4bf3-3b06-afc3-ec4e59fa9ae1"]}],"mendeley":{"formattedCitation":"(Benmelech et al., 2020)","manualFormatting":"Benmelech et al. (2020)","plainTextFormattedCitation":"(Benmelech et al., 2020)","previouslyFormattedCitation":"(Benmelech, Bergman, and Kim 2020)"},"properties":{"noteIndex":0},"schema":"https://github.com/citation-style-language/schema/raw/master/csl-citation.json"}</w:instrText>
      </w:r>
      <w:r w:rsidRPr="00C1541A">
        <w:fldChar w:fldCharType="separate"/>
      </w:r>
      <w:r w:rsidRPr="00C1541A">
        <w:rPr>
          <w:noProof/>
        </w:rPr>
        <w:t>Benmelech et al. (2020)</w:t>
      </w:r>
      <w:r w:rsidRPr="00C1541A">
        <w:fldChar w:fldCharType="end"/>
      </w:r>
      <w:r w:rsidRPr="00C1541A">
        <w:t xml:space="preserve"> show that the negative correlation is stronger in the presence of low unionisation rates. </w:t>
      </w:r>
    </w:p>
    <w:p w14:paraId="05CA5858" w14:textId="7BC70283" w:rsidR="00C1541A" w:rsidRPr="00C1541A" w:rsidRDefault="00C1541A" w:rsidP="00C1541A">
      <w:r w:rsidRPr="00C1541A">
        <w:t xml:space="preserve">Empirical studies of labour share have used different levels of analysis. Most studies are based on country-level data </w:t>
      </w:r>
      <w:r w:rsidRPr="00C1541A">
        <w:fldChar w:fldCharType="begin" w:fldLock="1"/>
      </w:r>
      <w:r w:rsidR="00BA76AC">
        <w:instrText>ADDIN CSL_CITATION {"citationItems":[{"id":"ITEM-1","itemData":{"DOI":"10.1111/J.1468-0335.2009.00776.X","ISSN":"1468-0335","abstract":"A large literature has studied the impact of labour market institutions on wage inequality, but their effect on income inequality has received little attention. This paper argues that personal income inequality depends on the wage differential, the labour share and the unemployment rate. Labour market institutions affect income inequality through these three channels, and their overall effect is theoretically ambiguous. We use a panel of OECD countries for the period 1960-2000 to examine these effects. We find that greater unionization and greater wage bargaining coordination have opposite effects on inequality, implying conflicting effects of greater union presence on income inequality. © The London School of Economics and Political Science 2009.","author":[{"dropping-particle":"","family":"Checchi","given":"Daniele","non-dropping-particle":"","parse-names":false,"suffix":""},{"dropping-particle":"","family":"García-Ieñalosa","given":"Cecilia","non-dropping-particle":"","parse-names":false,"suffix":""}],"container-title":"Economica","id":"ITEM-1","issue":"307","issued":{"date-parts":[["2010","7","1"]]},"page":"413-450","publisher":"John Wiley &amp; Sons, Ltd","title":"Labour market institutions and the personal distribution of income in the OECD","type":"article-journal","volume":"77"},"uris":["http://www.mendeley.com/documents/?uuid=af0aa221-5f6b-378b-a69f-4a3a83a17530"]},{"id":"ITEM-2","itemData":{"DOI":"10.1007/s10888-012-9221-8","ISSN":"1573-8701","abstract":"The distribution of factor incomes from a macroeconomic perspective is an increasingly popular research topic—be it for its implications for the personal income distribution or the apparent mistake in previous research declaring it to be constant over time. The labour share has been decreasing across OECD countries since the 1980s, sparking a renewed interest in what is behind this trend. The aim of this paper is to take a systematic approach to estimating the coefficients of factors explaining these movements across countries. In particular, we focus on proper dynamic model specification and test the validity of the homogeneity assumption of slope coefficients frequently implied in previous studies. We employ fixed effect estimators as well as pooled mean group and mean group estimators, the latter in a dynamic heterogeneous panel framework. We find support for a dynamic estimation setup and derive statements regarding the homogeneity assumption with respect to the three most prominent explanatory variables in the literature: the capital-output ratio, total factor productivity and trade openness. We find the first two variables to decrease the labour share, to be better captured by dynamic estimators and to be better identified in more recent time periods. With regard to trade, we see it depressing the labour share since 1980 only. We furthermore provide evidence on increased cross-country homogeneity over time for all of the analysed driving forces of the labour share.","author":[{"dropping-particle":"","family":"Hogrefe","given":"Jan","non-dropping-particle":"","parse-names":false,"suffix":""},{"dropping-particle":"","family":"Kappler","given":"Marcus","non-dropping-particle":"","parse-names":false,"suffix":""}],"container-title":"The Journal of Economic Inequality","id":"ITEM-2","issue":"3","issued":{"date-parts":[["2013"]]},"page":"303-319","title":"The labour share of income: heterogeneous causes for parallel movements?","type":"article-journal","volume":"11"},"uris":["http://www.mendeley.com/documents/?uuid=422aaf11-0a1f-3613-bb2b-b72577604215"]},{"id":"ITEM-3","itemData":{"DOI":"10.1016/J.EJPOLECO.2013.11.006","ISSN":"0176-2680","abstract":"We examine the empirical relationship between the institutions of economic freedom and labor shares in a panel of up to 93 countries covering 1970 through 2009. We find that a standard deviation increase in the Fraser Institute's Economic Freedom of the World (EFW) score is associated with about a 1/3 standard deviation increase in a country's labor share. Starting from the sample mean labor share in our panel, this amounts to about 4.26. percentage points. This relationship is robust to considering OECD and non-OECD samples separately. It is also (both qualitatively and quantitatively) robust to controlling for differences in human capital levels, labor productivity, trade union density, and international economic flows. Breaking the EFW into its individual component areas, the regulation of credit, business and labor appears to be the most important source of the positive EFW-labor share relationship. © 2013 Elsevier B.V.","author":[{"dropping-particle":"","family":"Young","given":"Andrew T.","non-dropping-particle":"","parse-names":false,"suffix":""},{"dropping-particle":"","family":"Lawson","given":"Robert A.","non-dropping-particle":"","parse-names":false,"suffix":""}],"container-title":"European Journal of Political Economy","id":"ITEM-3","issued":{"date-parts":[["2014","3","1"]]},"page":"20-36","publisher":"North-Holland","title":"Capitalism and labor shares: A cross-country panel study","type":"article-journal","volume":"33"},"uris":["http://www.mendeley.com/documents/?uuid=d7ba67fa-c48d-36a6-804c-8705916d2861"]},{"id":"ITEM-4","itemData":{"DOI":"10.1016/J.EJPOLECO.2017.04.003","ISSN":"0176-2680","abstract":"We employ data from up to 125 countries during the 1970–2009 period to explore the relationship between globalization and labor share. Existing studies report a negative relationship between trade and investment flows and labor shares. While we also find that economic flows are often negatively related to labor shares, measures of social globalization tend to be positively related to labor shares. While greater mobility of goods and capital may be associated with increases in capital's bargaining power, all else equal, greater flows of information, ideas, and people may increase the bargaining power of workers.","author":[{"dropping-particle":"","family":"Young","given":"Andrew T.","non-dropping-particle":"","parse-names":false,"suffix":""},{"dropping-particle":"","family":"Tackett","given":"Maria Y.","non-dropping-particle":"","parse-names":false,"suffix":""}],"container-title":"European Journal of Political Economy","id":"ITEM-4","issued":{"date-parts":[["2018","3","1"]]},"page":"18-35","publisher":"North-Holland","title":"Globalization and the decline in labor shares: Exploring the relationship beyond trade and financial flows","type":"article-journal","volume":"52"},"uris":["http://www.mendeley.com/documents/?uuid=9bd2b4af-e474-37ca-9ac5-e4bbcf676c0e"]}],"mendeley":{"formattedCitation":"(Checchi &amp; García-Ieñalosa, 2010; Hogrefe &amp; Kappler, 2013; Young &amp; Lawson, 2014; Young &amp; Tackett, 2018)","manualFormatting":"(e.g., Checchi &amp; García-Ieñalosa, 2010; Hogrefe &amp; Kappler, 2013; Young &amp; Lawson, 2014; Young &amp; Tackett, 2018)","plainTextFormattedCitation":"(Checchi &amp; García-Ieñalosa, 2010; Hogrefe &amp; Kappler, 2013; Young &amp; Lawson, 2014; Young &amp; Tackett, 2018)","previouslyFormattedCitation":"(Checchi and García-Ieñalosa 2010; Hogrefe and Kappler 2013; Young and Lawson 2014; Young and Tackett 2018)"},"properties":{"noteIndex":0},"schema":"https://github.com/citation-style-language/schema/raw/master/csl-citation.json"}</w:instrText>
      </w:r>
      <w:r w:rsidRPr="00C1541A">
        <w:fldChar w:fldCharType="separate"/>
      </w:r>
      <w:r w:rsidRPr="00C1541A">
        <w:rPr>
          <w:noProof/>
        </w:rPr>
        <w:t xml:space="preserve">(e.g., Checchi </w:t>
      </w:r>
      <w:r w:rsidR="00F25C01">
        <w:rPr>
          <w:noProof/>
        </w:rPr>
        <w:t>and</w:t>
      </w:r>
      <w:r w:rsidRPr="00C1541A">
        <w:rPr>
          <w:noProof/>
        </w:rPr>
        <w:t xml:space="preserve"> García-Ieñalosa, 2010; Hogrefe </w:t>
      </w:r>
      <w:r w:rsidR="00F25C01">
        <w:rPr>
          <w:noProof/>
        </w:rPr>
        <w:t>and</w:t>
      </w:r>
      <w:r w:rsidRPr="00C1541A">
        <w:rPr>
          <w:noProof/>
        </w:rPr>
        <w:t xml:space="preserve"> Kappler, 2013; Young </w:t>
      </w:r>
      <w:r w:rsidR="00F25C01">
        <w:rPr>
          <w:noProof/>
        </w:rPr>
        <w:t>and</w:t>
      </w:r>
      <w:r w:rsidRPr="00C1541A">
        <w:rPr>
          <w:noProof/>
        </w:rPr>
        <w:t xml:space="preserve"> Lawson, 2014; Young </w:t>
      </w:r>
      <w:r w:rsidR="00F25C01">
        <w:rPr>
          <w:noProof/>
        </w:rPr>
        <w:t>and</w:t>
      </w:r>
      <w:r w:rsidRPr="00C1541A">
        <w:rPr>
          <w:noProof/>
        </w:rPr>
        <w:t xml:space="preserve"> Tackett, 2018)</w:t>
      </w:r>
      <w:r w:rsidRPr="00C1541A">
        <w:fldChar w:fldCharType="end"/>
      </w:r>
      <w:r w:rsidRPr="00C1541A">
        <w:t xml:space="preserve"> and industry-level data </w:t>
      </w:r>
      <w:r w:rsidRPr="00C1541A">
        <w:fldChar w:fldCharType="begin" w:fldLock="1"/>
      </w:r>
      <w:r w:rsidR="00BA76AC">
        <w:instrText>ADDIN CSL_CITATION {"citationItems":[{"id":"ITEM-1","itemData":{"DOI":"10.2753/PKE0160-3477310105","ISSN":"0160-3477","author":[{"dropping-particle":"","family":"Pianta","given":"Mario","non-dropping-particle":"","parse-names":false,"suffix":""},{"dropping-particle":"","family":"Tancioni","given":"Massimiliano","non-dropping-particle":"","parse-names":false,"suffix":""}],"container-title":"Journal of Post Keynesian Economics","id":"ITEM-1","issue":"1","issued":{"date-parts":[["2008","9","1"]]},"note":"doi: 10.2753/PKE0160-3477310105","page":"101-123","publisher":"Routledge","title":"Innovations, wages, and profits","type":"article-journal","volume":"31"},"uris":["http://www.mendeley.com/documents/?uuid=b92a4831-4af7-3020-be47-1d40567dd4b9"]},{"id":"ITEM-2","itemData":{"DOI":"10.1007/s10290-011-0112-z","abstract":"Over the last two decades the share of national income which accrues to labour has followed a marked downward trend across a host of industrialised countries. This paper reassesses the relative importance of several potential causes of this phenomenon. Overall, the findings suggest that lower trade costs and factors often associated with economic integration such as international low-wage competition and industry concentration have contributed to the decline in the labour share. However, their effects have been limited when compared to the effects of skill-based technological change and cyclical price changes of intermediary goods.","author":[{"dropping-particle":"","family":"Hutchinson","given":"John","non-dropping-particle":"","parse-names":false,"suffix":""},{"dropping-particle":"","family":"Persyn","given":"Damiaan","non-dropping-particle":"","parse-names":false,"suffix":""}],"container-title":"Review of World Economics","id":"ITEM-2","issue":"1","issued":{"date-parts":[["2012"]]},"page":"17-43","title":"Globalisation, concentration and footloose firms: in search of the main cause of the declining labour share","type":"article-journal","volume":"148"},"uris":["http://www.mendeley.com/documents/?uuid=ab47f8f6-2b9c-3bd9-9dde-326c93c5d59c"]},{"id":"ITEM-3","itemData":{"DOI":"10.1353/ECA.2013.0016","ISSN":"1533-4465","abstract":"ARRAY(0x563f1f1c3898)","author":[{"dropping-particle":"","family":"Elsby","given":"Michael W.L.","non-dropping-particle":"","parse-names":false,"suffix":""},{"dropping-particle":"","family":"Hobijn","given":"Bart","non-dropping-particle":"","parse-names":false,"suffix":""},{"dropping-particle":"","family":"Şahin","given":"Ayşegül","non-dropping-particle":"","parse-names":false,"suffix":""}],"container-title":"Brookings Papers on Economic Activity","id":"ITEM-3","issue":"2","issued":{"date-parts":[["2013"]]},"page":"1-63","publisher":"Brookings Institution Press","title":"The decline of the U.S. labor share","type":"article-journal","volume":"2013"},"uris":["http://www.mendeley.com/documents/?uuid=794de202-a755-3823-9eab-c5cb67f414c8"]},{"id":"ITEM-4","itemData":{"DOI":"10.1057/S41302-016-0086-6","ISSN":"1939-4632","abstract":"We explore the relationship between union membership rates and labor shares using panel data on 35 industries, spanning the entire US economy, for the years 1983–2005. For the full sample, a standard deviation increase in union membership rates is associated with an increase in an industry’s labor share of about 10%. Starting from the mean labor share in our sample (0.614), this effect amounts to about 6 percentage points. However, the effect is weaker and not statistically significant for manufacturing industries. We control for the capital-to-output ratio in all of our estimations, and the results are consistent with an elasticity of substitution between capital and labor that is less than unity. As such, the positive union effect on labor share is consistent with either the right-to-manage or the efficiency bargaining model of unions.","author":[{"dropping-particle":"","family":"Young","given":"Andrew T.","non-dropping-particle":"","parse-names":false,"suffix":""},{"dropping-particle":"","family":"Zuleta","given":"Hernando","non-dropping-particle":"","parse-names":false,"suffix":""}],"container-title":"Eastern Economic Journal","id":"ITEM-4","issue":"4","issued":{"date-parts":[["2017","12","9"]]},"page":"558-575","publisher":"Palgrave","title":"Do unions increase labor shares? Evidence from US industry-level data","type":"article-journal","volume":"44"},"uris":["http://www.mendeley.com/documents/?uuid=40755ee4-dcc6-3537-a641-c53bc2f33c2e"]},{"id":"ITEM-5","itemData":{"DOI":"10.1016/J.JEDC.2017.12.010","ISSN":"0165-1889","abstract":"Recent work has documented declines in the labor income share in the United States and beyond. This paper documents that this decline was more pronounced in manufacturing than in services in the U.S. and in a broad set of other industrialized economies, and shows that a model with cross-sectoral differences in productivity growth and in the degree of capital-labor substitutability is consistent with these trends. We calibrate the model exploiting additional information on the pace of structural change from manufacturing to services, on which the model also has predictions. We then conduct a decomposition to establish the relative importance of several potential drivers of changes in factor income shares and structural change that have been proposed in the literature. This exercise reveals that differences in the degree of capital bias of technical change across sectors, combined with differences in substitution possibilities, are key determinants of the observed patterns.","author":[{"dropping-particle":"","family":"Alvarez-Cuadrado","given":"Francisco","non-dropping-particle":"","parse-names":false,"suffix":""},{"dropping-particle":"Van","family":"Long","given":"Ngo","non-dropping-particle":"","parse-names":false,"suffix":""},{"dropping-particle":"","family":"Poschke","given":"Markus","non-dropping-particle":"","parse-names":false,"suffix":""}],"container-title":"Journal of Economic Dynamics and Control","id":"ITEM-5","issued":{"date-parts":[["2018","2","1"]]},"page":"206-231","publisher":"North-Holland","title":"Capital-labor substitution, structural change and the labor income share","type":"article-journal","volume":"87"},"uris":["http://www.mendeley.com/documents/?uuid=be9fff52-3154-3842-95ca-8fc188fbeb51"]}],"mendeley":{"formattedCitation":"(Alvarez-Cuadrado et al., 2018; Elsby et al., 2013; Hutchinson &amp; Persyn, 2012; Pianta &amp; Tancioni, 2008; Young &amp; Zuleta, 2017)","manualFormatting":"(e.g., Alvarez-Cuadrado et al., 2018; Elsby et al., 2013; Hutchinson &amp; Persyn, 2012; Pianta &amp; Tancioni, 2008; Young &amp; Zuleta, 2017)","plainTextFormattedCitation":"(Alvarez-Cuadrado et al., 2018; Elsby et al., 2013; Hutchinson &amp; Persyn, 2012; Pianta &amp; Tancioni, 2008; Young &amp; Zuleta, 2017)","previouslyFormattedCitation":"(Pianta and Tancioni 2008; Hutchinson and Persyn 2012; Elsby, Hobijn, and Şahin 2013; Young and Zuleta 2017; Alvarez-Cuadrado, Long, and Poschke 2018)"},"properties":{"noteIndex":0},"schema":"https://github.com/citation-style-language/schema/raw/master/csl-citation.json"}</w:instrText>
      </w:r>
      <w:r w:rsidRPr="00C1541A">
        <w:fldChar w:fldCharType="separate"/>
      </w:r>
      <w:r w:rsidRPr="00C1541A">
        <w:rPr>
          <w:noProof/>
        </w:rPr>
        <w:t xml:space="preserve">(e.g., Alvarez-Cuadrado et al., 2018; Elsby et al., 2013; Hutchinson </w:t>
      </w:r>
      <w:r w:rsidR="00F25C01">
        <w:rPr>
          <w:noProof/>
        </w:rPr>
        <w:t>and</w:t>
      </w:r>
      <w:r w:rsidRPr="00C1541A">
        <w:rPr>
          <w:noProof/>
        </w:rPr>
        <w:t xml:space="preserve"> Persyn, 2012; Pianta </w:t>
      </w:r>
      <w:r w:rsidR="00F25C01">
        <w:rPr>
          <w:noProof/>
        </w:rPr>
        <w:t>and</w:t>
      </w:r>
      <w:r w:rsidRPr="00C1541A">
        <w:rPr>
          <w:noProof/>
        </w:rPr>
        <w:t xml:space="preserve"> Tancioni, 2008; Young </w:t>
      </w:r>
      <w:r w:rsidR="00F25C01">
        <w:rPr>
          <w:noProof/>
        </w:rPr>
        <w:t>and</w:t>
      </w:r>
      <w:r w:rsidRPr="00C1541A">
        <w:rPr>
          <w:noProof/>
        </w:rPr>
        <w:t xml:space="preserve"> Zuleta, 2017)</w:t>
      </w:r>
      <w:r w:rsidRPr="00C1541A">
        <w:fldChar w:fldCharType="end"/>
      </w:r>
      <w:r w:rsidRPr="00C1541A">
        <w:t xml:space="preserve">. Only a few studies </w:t>
      </w:r>
      <w:r w:rsidRPr="00C1541A">
        <w:fldChar w:fldCharType="begin" w:fldLock="1"/>
      </w:r>
      <w:r w:rsidR="00BA76AC">
        <w:instrText>ADDIN CSL_CITATION {"citationItems":[{"id":"ITEM-1","itemData":{"DOI":"10.2753/EEE0012-8775500502","ISSN":"00128775","abstract":"This paper analyzes the sources of labor share variations and the general downward trend of the labor share observed recently in most European economies. Using a unique quarterly firm-level panel d...","author":[{"dropping-particle":"","family":"Growiec","given":"Jakub","non-dropping-particle":"","parse-names":false,"suffix":""}],"container-title":"Eastern European Economics ","id":"ITEM-1","issue":"5","issued":{"date-parts":[["2012","9","1"]]},"page":"23-65","publisher":" Routledge ","title":"Determinants of the labor share","type":"article-journal","volume":"50"},"uris":["http://www.mendeley.com/documents/?uuid=c3365c76-f6b3-33e0-8991-4a9d04973e1b"]},{"id":"ITEM-2","itemData":{"DOI":"10.1177/0019793915593952","abstract":"The authors are the first to study the factors determining labor’s share of income on the level of the individual firm, employing an unusually informative panel data set. The empirical examination ...","author":[{"dropping-particle":"","family":"Siegenthaler","given":"Michael","non-dropping-particle":"","parse-names":false,"suffix":""},{"dropping-particle":"","family":"Stucki","given":"Tobias","non-dropping-particle":"","parse-names":false,"suffix":""}],"container-title":"ILR Review","id":"ITEM-2","issue":"5","issued":{"date-parts":[["2015","7","27"]]},"page":"1157-1194","publisher":"SAGE PublicationsSage CA: Los Angeles, CA","title":"Dividing the pie: firm-level determinants of the labor share","type":"article-journal","volume":"68"},"uris":["http://www.mendeley.com/documents/?uuid=5e4064ee-7f5d-37a2-8ed0-daf411a37e3c"]},{"id":"ITEM-3","itemData":{"abstract":"This paper provides international evidence for the effect of financialisation on the labour share at the firm level. We test different hypotheses about the impact of financialisation on functional income distribution, while also controlling for the effect of technological change, market concentration, labour market institutions and globalisation. We use panel data for publicly listed non-financial companies globally and with a particular focus on the EU15 for the period of 1995-2016. We find a negative effect of financialisation on the labour share due to increased shareholder value orientation in all countries, while there is also evidence of a negative effect due to an increase in mark-ups in France and the UK. Additionally, our findings cast doubt on the hypotheses that the decline in the labour share in European publicly listed firms is due to technological change. Similarly, market concentration did not play an important role for the decline in the labour share. In contrast, we find that concentration has declined among publicly listed firms in Europe, and that concentration is not associated with declining labour shares.","author":[{"dropping-particle":"","family":"Guschanski","given":"Alexander","non-dropping-particle":"","parse-names":false,"suffix":""},{"dropping-particle":"","family":"Onaran","given":"Özlem","non-dropping-particle":"","parse-names":false,"suffix":""}],"container-title":"Greenwich Paper in Political Economy","id":"ITEM-3","issued":{"date-parts":[["2018","3","5"]]},"number":"19371","title":"The labour share and financialisation: Evidence from publicly listed firms","type":"report"},"uris":["http://www.mendeley.com/documents/?uuid=3cbb6586-3118-3630-8c60-b60817c9e248"]},{"id":"ITEM-4","itemData":{"DOI":"10.1093/qje/qjaa004","ISSN":"0033-5533","abstract":"The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Economics","id":"ITEM-4","issue":"2","issued":{"date-parts":[["2020","5","1"]]},"page":"645-709","title":"The fall of the labor share and the rise of superstar firms","type":"article-journal","volume":"135"},"uris":["http://www.mendeley.com/documents/?uuid=f6363795-3c75-399a-98f2-de75ec243b69"]},{"id":"ITEM-5","itemData":{"DOI":"10.1093/QJE/QJZ041","ISSN":"0033-5533","abstract":"We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Economics","id":"ITEM-5","issue":"2","issued":{"date-parts":[["2020","5","1"]]},"page":"561-644","publisher":"Oxford Academic","title":"The rise of market power and the macroeconomic implications","type":"article-journal","volume":"135"},"uris":["http://www.mendeley.com/documents/?uuid=c39dfd08-2bf8-3731-af07-bfbbc25c76de"]}],"mendeley":{"formattedCitation":"(Autor et al., 2020; De Loecker et al., 2020; Growiec, 2012; Guschanski &amp; Onaran, 2018; Siegenthaler &amp; Stucki, 2015)","manualFormatting":"(e.g., Autor et al., 2020; De Loecker et al., 2020; Growiec, 2012; Guschanski &amp; Onaran, 2018; Siegenthaler &amp; Stucki, 2015)","plainTextFormattedCitation":"(Autor et al., 2020; De Loecker et al., 2020; Growiec, 2012; Guschanski &amp; Onaran, 2018; Siegenthaler &amp; Stucki, 2015)","previouslyFormattedCitation":"(Growiec 2012; Siegenthaler and Stucki 2015; Guschanski and Onaran 2018; Autor et al. 2020; De Loecker, Eeckhout, and Unger 2020)"},"properties":{"noteIndex":0},"schema":"https://github.com/citation-style-language/schema/raw/master/csl-citation.json"}</w:instrText>
      </w:r>
      <w:r w:rsidRPr="00C1541A">
        <w:fldChar w:fldCharType="separate"/>
      </w:r>
      <w:r w:rsidRPr="00C1541A">
        <w:rPr>
          <w:noProof/>
        </w:rPr>
        <w:t xml:space="preserve">(e.g., Autor et al., 2020; De Loecker et al., 2020; Growiec, 2012; Guschanski </w:t>
      </w:r>
      <w:r w:rsidR="00F25C01">
        <w:rPr>
          <w:noProof/>
        </w:rPr>
        <w:t>and</w:t>
      </w:r>
      <w:r w:rsidRPr="00C1541A">
        <w:rPr>
          <w:noProof/>
        </w:rPr>
        <w:t xml:space="preserve"> Onaran, 2018; Siegenthaler </w:t>
      </w:r>
      <w:r w:rsidR="00F25C01">
        <w:rPr>
          <w:noProof/>
        </w:rPr>
        <w:t>and</w:t>
      </w:r>
      <w:r w:rsidRPr="00C1541A">
        <w:rPr>
          <w:noProof/>
        </w:rPr>
        <w:t xml:space="preserve"> Stucki, 2015)</w:t>
      </w:r>
      <w:r w:rsidRPr="00C1541A">
        <w:fldChar w:fldCharType="end"/>
      </w:r>
      <w:r w:rsidRPr="00C1541A">
        <w:t xml:space="preserve"> have focused on firm-level labour share. For example, </w:t>
      </w:r>
      <w:proofErr w:type="spellStart"/>
      <w:r w:rsidRPr="00C1541A">
        <w:t>Siegenthaler</w:t>
      </w:r>
      <w:proofErr w:type="spellEnd"/>
      <w:r w:rsidRPr="00C1541A">
        <w:t xml:space="preserve"> and Stucki (2015) examine the firm-level determinants of labour share in Switzerland. They find that the growth in the firm's share of workers using information and communication technology is the primary cause of the declining labour share. Similarly, </w:t>
      </w:r>
      <w:proofErr w:type="spellStart"/>
      <w:r w:rsidRPr="00C1541A">
        <w:t>Growiec</w:t>
      </w:r>
      <w:proofErr w:type="spellEnd"/>
      <w:r w:rsidRPr="00C1541A">
        <w:t xml:space="preserve"> (2012) investigate the sources of labour share variations in Poland using quarterly firm-level panel data. They show that changes in the ownership structure and human capital accumulation explain the downward trend in the labour share. In addition, </w:t>
      </w:r>
      <w:proofErr w:type="spellStart"/>
      <w:r w:rsidRPr="00C1541A">
        <w:t>Guschanski</w:t>
      </w:r>
      <w:proofErr w:type="spellEnd"/>
      <w:r w:rsidRPr="00C1541A">
        <w:t xml:space="preserve"> and </w:t>
      </w:r>
      <w:proofErr w:type="spellStart"/>
      <w:r w:rsidRPr="00C1541A">
        <w:t>Onaran</w:t>
      </w:r>
      <w:proofErr w:type="spellEnd"/>
      <w:r w:rsidRPr="00C1541A">
        <w:t xml:space="preserve"> (2018) provide international evidence for the negative impact of </w:t>
      </w:r>
      <w:proofErr w:type="spellStart"/>
      <w:r w:rsidRPr="00C1541A">
        <w:t>financialisation</w:t>
      </w:r>
      <w:proofErr w:type="spellEnd"/>
      <w:r w:rsidRPr="00C1541A">
        <w:t xml:space="preserve"> on firm-level labour share due to increased shareholder value orientation. The result of these studies emphasises the importance of firm-level analysis in investigating the movement in labour share. Hence, </w:t>
      </w:r>
      <w:proofErr w:type="gramStart"/>
      <w:r w:rsidRPr="00C1541A">
        <w:t>In</w:t>
      </w:r>
      <w:proofErr w:type="gramEnd"/>
      <w:r w:rsidRPr="00C1541A">
        <w:t xml:space="preserve"> this paper, first, we examine the impact of the three channels previously described – technological progress, product market power, and labour market power – on Australian firms' labour share. Given the related literature, our first hypothesis is as follows:  </w:t>
      </w:r>
    </w:p>
    <w:p w14:paraId="3EABECD4" w14:textId="77777777" w:rsidR="00C1541A" w:rsidRPr="00C1541A" w:rsidRDefault="00C1541A" w:rsidP="00C1541A">
      <w:pPr>
        <w:ind w:firstLine="0"/>
      </w:pPr>
      <w:r w:rsidRPr="00C1541A">
        <w:rPr>
          <w:b/>
          <w:bCs/>
        </w:rPr>
        <w:t>H1:</w:t>
      </w:r>
      <w:r w:rsidRPr="00C1541A">
        <w:t xml:space="preserve"> </w:t>
      </w:r>
      <w:r w:rsidRPr="00C1541A">
        <w:rPr>
          <w:i/>
          <w:iCs/>
        </w:rPr>
        <w:t>A firm's labour share decreases with technological progress and product market power and increases with labour market power.</w:t>
      </w:r>
      <w:r w:rsidRPr="00C1541A">
        <w:t xml:space="preserve"> </w:t>
      </w:r>
    </w:p>
    <w:p w14:paraId="0D85A023" w14:textId="77777777" w:rsidR="0009687F" w:rsidRPr="0009687F" w:rsidRDefault="0009687F" w:rsidP="00835C76">
      <w:pPr>
        <w:ind w:firstLine="0"/>
      </w:pPr>
    </w:p>
    <w:p w14:paraId="7909750D" w14:textId="06D7BC67" w:rsidR="00E53707" w:rsidRDefault="00E53707" w:rsidP="003276BA">
      <w:pPr>
        <w:pStyle w:val="Heading2"/>
      </w:pPr>
      <w:r>
        <w:lastRenderedPageBreak/>
        <w:t xml:space="preserve">2.2. </w:t>
      </w:r>
      <w:r w:rsidR="00835C76" w:rsidRPr="00835C76">
        <w:t xml:space="preserve">Labour share and pay inequality: a conceptual framework and </w:t>
      </w:r>
      <w:proofErr w:type="gramStart"/>
      <w:r w:rsidR="00835C76" w:rsidRPr="00835C76">
        <w:t>hypothesis</w:t>
      </w:r>
      <w:proofErr w:type="gramEnd"/>
    </w:p>
    <w:p w14:paraId="7C448CB5" w14:textId="70A57AB9" w:rsidR="008626DC" w:rsidRPr="008626DC" w:rsidRDefault="008626DC" w:rsidP="008626DC">
      <w:pPr>
        <w:ind w:firstLine="0"/>
      </w:pPr>
      <w:r w:rsidRPr="008626DC">
        <w:t xml:space="preserve">The decline in labour share has been associated with the debate on rising income inequality. As argued by </w:t>
      </w:r>
      <w:r w:rsidRPr="008626DC">
        <w:fldChar w:fldCharType="begin" w:fldLock="1"/>
      </w:r>
      <w:r w:rsidR="00BA76AC">
        <w:instrText>ADDIN CSL_CITATION {"citationItems":[{"id":"ITEM-1","itemData":{"DOI":"10.1093/OXFORDHB/9780199606061.013.0005","ISBN":"9780191743627","abstract":"This article focuses on the importance of functional distribution in discussions of economic inequality. Section 2 reviews theoretical perspectives on functional distribution while Section 3 discusses measurement issues. The USA is used as a case study to show how levels and trends in factor shares may be affected by measurement choices. The preferred measure of labour's share shows a very shallow inverted U-shaped pattern, peaking in the late 1970s. In Section 4, the more pronounced rise and decline of labour's share in the post-war period observed in the OECD outside the USA is noted, and the influences behind the recent decline in labour's share are surveyed. Section 5 reports longer-term trends in labour's share from early in the 20th century calculated from national sources. The article concludes by drawing attention to the need for more research to uncover the causes of swings in factor shares and to establish the links between the functional and personal distribution of income.","author":[{"dropping-particle":"","family":"Glyn","given":"Andrew","non-dropping-particle":"","parse-names":false,"suffix":""}],"container-title":"The Oxford Handbook of Economic Inequality","editor":[{"dropping-particle":"","family":"Nolan","given":"Brian","non-dropping-particle":"","parse-names":false,"suffix":""},{"dropping-particle":"","family":"Salverda","given":"Wiemer","non-dropping-particle":"","parse-names":false,"suffix":""},{"dropping-particle":"","family":"Smeeding","given":"Timothy M.","non-dropping-particle":"","parse-names":false,"suffix":""}],"id":"ITEM-1","issued":{"date-parts":[["2011","2","3"]]},"publisher":"Oxford University Press","title":"Functional distribution and inequality","type":"chapter"},"uris":["http://www.mendeley.com/documents/?uuid=e5047a14-c01d-306c-be16-8ad6c7984c5b"]},{"id":"ITEM-2","itemData":{"DOI":"10.1016/S1574-0056(00)80007-X","ISBN":"1574-0056","abstract":"The evolution of income distribution over two centuries is an attractive topic because it allows one to test the inverse U-curve hypothesis using long series instead of cross-section data. In Section 1 the distribution trends in countries where global data are available, is considered, that is in four Scandinavian countries, the Netherlands, the German states and Germany, and in France. The inverse U-curve hypothesis is verified in four of them. Section 2 presents in a consistent framework, using the Theil indicator, all available information on inequality trends between agricultural and nonagricultural sectors and on inequality trends within each sector in European countries. Finally Section 3 throws light on the political and economic factors explaining the long-term evolution of distribution. The economic factors playing a key role are the market structures, the diffusion of education and saving, and dualism.","author":[{"dropping-particle":"","family":"Morrisson","given":"Christian","non-dropping-particle":"","parse-names":false,"suffix":""}],"container-title":"Handbook of Income Distribution","id":"ITEM-2","issued":{"date-parts":[["2000"]]},"page":"217-260","publisher":"Elsevier","title":"Chapter 4 Historical perspectives on income distribution: The case of Europe","type":"chapter","volume":"1"},"uris":["http://www.mendeley.com/documents/?uuid=5b37fe83-b574-32bd-b614-f9906c9e5e3a"]},{"id":"ITEM-3","itemData":{"DOI":"10.4159/9780674982918/HTML","abstract":"What are the grand dynamics that drive the accumulation and distribution of capital? Questions about the long-term evolution of inequality, the concentration of wealth, and the prospects for economic growth lie at the heart of political economy. But satisfactory answers have been hard to find for lack of adequate data and clear guiding theories. In Capital in the Twenty-First Century, Thomas Piketty analyzes a unique collection of data from twenty countries, ranging as far back as the eighteenth century, to uncover key economic and social patterns. His findings will transform debate and set the agenda for the next generation of thought about wealth and inequality. Piketty shows that modern economic growth and the diffusion of knowledge have allowed us to avoid inequalities on the apocalyptic scale predicted by Karl Marx. But we have not modified the deep structures of capital and inequality as much as we thought in the optimistic decades following World War II. The main driver of inequality--the tendency of returns on capital to exceed the rate of economic growth--today threatens to generate extreme inequalities that stir discontent and undermine democratic values. But economic trends are not acts of God. Political action has curbed dangerous inequalities in the past, Piketty says, and may do so again. A work of extraordinary ambition, originality, and rigor, Capital in the Twenty-First Century reorients our understanding of economic history and confronts us with sobering lessons for today.","author":[{"dropping-particle":"","family":"Piketty","given":"Thomas","non-dropping-particle":"","parse-names":false,"suffix":""}],"container-title":"Capital in the Twenty-First Century","id":"ITEM-3","issued":{"date-parts":[["2014","12","31"]]},"publisher":"Harvard University Press","title":"Capital in the twenty-first century","type":"book"},"uris":["http://www.mendeley.com/documents/?uuid=1a637049-aada-3b7a-a6ca-520e1bbd29ba"]}],"mendeley":{"formattedCitation":"(Glyn, 2011; Morrisson, 2000; Piketty, 2014)","plainTextFormattedCitation":"(Glyn, 2011; Morrisson, 2000; Piketty, 2014)","previouslyFormattedCitation":"(Morrisson 2000; Glyn 2011; Piketty 2014)"},"properties":{"noteIndex":0},"schema":"https://github.com/citation-style-language/schema/raw/master/csl-citation.json"}</w:instrText>
      </w:r>
      <w:r w:rsidRPr="008626DC">
        <w:fldChar w:fldCharType="separate"/>
      </w:r>
      <w:r w:rsidR="00BA76AC" w:rsidRPr="00BA76AC">
        <w:rPr>
          <w:noProof/>
        </w:rPr>
        <w:t>(Glyn, 2011; Morrisson, 2000; Piketty, 2014)</w:t>
      </w:r>
      <w:r w:rsidRPr="008626DC">
        <w:fldChar w:fldCharType="end"/>
      </w:r>
      <w:r w:rsidRPr="008626DC">
        <w:t xml:space="preserve">, capital income tends to be more unequally distributed than labour income and hence a transfer from labour income to capital income leads to an increase in income inequality. For example, </w:t>
      </w:r>
      <w:r w:rsidRPr="008626DC">
        <w:fldChar w:fldCharType="begin" w:fldLock="1"/>
      </w:r>
      <w:r w:rsidR="00BA76AC">
        <w:instrText>ADDIN CSL_CITATION {"citationItems":[{"id":"ITEM-1","itemData":{"DOI":"10.2139/SSRN.1585409","abstract":"I find here that the early and mid-aughts (2001 to 2007) witnessed both exploding debt and a consequent “middle-class squeeze.” Median wealth grew briskly in the late 1990s. It grew even faster in the aughts, while the inequality of net worth was up slightly. Indebtedness, which fell substantially during the late 1990s, skyrocketed in the early and mid-aughts; among the middle class, the debt-to-income ratio reached its highest level in 24 years. The concentration of investment-type assets generally remained as high in 2007 as during the previous two decades. The racial and ethnic disparity in wealth holdings, after stabilizing throughout most of the 1990s, widened in the years between 1998 and 2001, but then narrowed during the early and midaughts.  Wealth also shifted in relative terms, away from young households (particularly those under age 45) and toward those in the 55–74 age group. Projections to July 2009, made on the basis of changes in stock and housing prices, indicate that median wealth plunged by 36 percent and there was a fairly steep rise in wealth inequality, with the Gini coefficient advancing from 0.834 to 0.865.","author":[{"dropping-particle":"","family":"Wolff","given":"Edward N.","non-dropping-particle":"","parse-names":false,"suffix":""}],"container-title":"SSRN Electronic Journal","id":"ITEM-1","issued":{"date-parts":[["2010","3","1"]]},"publisher":"Elsevier BV","title":"Recent Trends in Household Wealth in the United States:\nRising Debt and the Middle-Class Squeeze - An Update to 2007","type":"article-journal"},"uris":["http://www.mendeley.com/documents/?uuid=64552a7a-3d53-35d4-a721-b0bf8dc8c4fe"]}],"mendeley":{"formattedCitation":"(Wolff, 2010)","plainTextFormattedCitation":"(Wolff, 2010)","previouslyFormattedCitation":"(Wolff 2010)"},"properties":{"noteIndex":0},"schema":"https://github.com/citation-style-language/schema/raw/master/csl-citation.json"}</w:instrText>
      </w:r>
      <w:r w:rsidRPr="008626DC">
        <w:fldChar w:fldCharType="separate"/>
      </w:r>
      <w:r w:rsidR="00BA76AC" w:rsidRPr="00BA76AC">
        <w:rPr>
          <w:noProof/>
        </w:rPr>
        <w:t>(Wolff, 2010)</w:t>
      </w:r>
      <w:r w:rsidRPr="008626DC">
        <w:fldChar w:fldCharType="end"/>
      </w:r>
      <w:r w:rsidRPr="008626DC">
        <w:t xml:space="preserve"> shows that capital ownership (e.g., stock ownership, bonds, trust, and business equity) is mainly concentrated among the top of income distribution in the U.S. during the period 2001–2007. Furthermore, </w:t>
      </w:r>
      <w:r w:rsidRPr="008626DC">
        <w:fldChar w:fldCharType="begin" w:fldLock="1"/>
      </w:r>
      <w:r w:rsidR="00BA76AC">
        <w:instrText>ADDIN CSL_CITATION {"citationItems":[{"id":"ITEM-1","itemData":{"DOI":"10.1093/oxrep/grp007","ISSN":"0266-903X","abstract":"This paper identifies three reasons for studying factor shares: to make a link between incomes at the macroeconomic level (national accounts) and incomes at the level of the household; to help understand inequality in the personal distribution of income; and to address the concern of social justice with the fairness of different sources of income. In each case, I explore the implications and point to ways in which the analysis could be taken forward in a twenty-first-century treatment of the classical problem of political economy.","author":[{"dropping-particle":"","family":"Atkinson","given":"A B","non-dropping-particle":"","parse-names":false,"suffix":""}],"container-title":"Oxford Review of Economic Policy","id":"ITEM-1","issue":"1","issued":{"date-parts":[["2009","3","1"]]},"page":"3-16","title":"Factor shares: the principal problem of political economy?","type":"article-journal","volume":"25"},"uris":["http://www.mendeley.com/documents/?uuid=2b1d403c-f58d-3d01-a6e2-1ce6c3ea5287"]}],"mendeley":{"formattedCitation":"(Atkinson, 2009)","plainTextFormattedCitation":"(Atkinson, 2009)","previouslyFormattedCitation":"(Atkinson 2009)"},"properties":{"noteIndex":0},"schema":"https://github.com/citation-style-language/schema/raw/master/csl-citation.json"}</w:instrText>
      </w:r>
      <w:r w:rsidRPr="008626DC">
        <w:fldChar w:fldCharType="separate"/>
      </w:r>
      <w:r w:rsidR="00BA76AC" w:rsidRPr="00BA76AC">
        <w:rPr>
          <w:noProof/>
        </w:rPr>
        <w:t>(Atkinson, 2009)</w:t>
      </w:r>
      <w:r w:rsidRPr="008626DC">
        <w:fldChar w:fldCharType="end"/>
      </w:r>
      <w:r w:rsidRPr="008626DC">
        <w:t xml:space="preserve"> proposes a standard approach for analysing the relationship between functional income distribution (labour/capital share) and income inequality. His study asserts that the positive linkage between capital share and income inequality is possible under plausible characterisations of capital and labour incomes. </w:t>
      </w:r>
    </w:p>
    <w:p w14:paraId="6CD6E806" w14:textId="5D1D7E88" w:rsidR="008626DC" w:rsidRPr="008626DC" w:rsidRDefault="008626DC" w:rsidP="008626DC">
      <w:r w:rsidRPr="008626DC">
        <w:t xml:space="preserve">An empirical relationship between labour share and income inequality has been investigated by a few studies using macro-level data. For example, using a sample of 39 developed and developing countries between 1970 and 1994, </w:t>
      </w:r>
      <w:r w:rsidRPr="008626DC">
        <w:fldChar w:fldCharType="begin" w:fldLock="1"/>
      </w:r>
      <w:r w:rsidR="00BA76AC">
        <w:instrText>ADDIN CSL_CITATION {"citationItems":[{"id":"ITEM-1","itemData":{"DOI":"10.1080/00220380701384406","ISSN":"0022-0388","author":[{"dropping-particle":"","family":"Daudey","given":"Emilie","non-dropping-particle":"","parse-names":false,"suffix":""},{"dropping-particle":"","family":"García-Peñalosa","given":"Cecilia","non-dropping-particle":"","parse-names":false,"suffix":""}],"container-title":"The Journal of Development Studies","id":"ITEM-1","issue":"5","issued":{"date-parts":[["2007","7","1"]]},"note":"doi: 10.1080/00220380701384406","page":"812-829","publisher":"Routledge","title":"The personal and the factor distributions of income in a cross-section of countries","type":"article-journal","volume":"43"},"uris":["http://www.mendeley.com/documents/?uuid=65d4f2f8-c765-30dc-8c01-2767e0017de0"]}],"mendeley":{"formattedCitation":"(Daudey &amp; García-Peñalosa, 2007)","plainTextFormattedCitation":"(Daudey &amp; García-Peñalosa, 2007)","previouslyFormattedCitation":"(Daudey and García-Peñalosa 2007)"},"properties":{"noteIndex":0},"schema":"https://github.com/citation-style-language/schema/raw/master/csl-citation.json"}</w:instrText>
      </w:r>
      <w:r w:rsidRPr="008626DC">
        <w:fldChar w:fldCharType="separate"/>
      </w:r>
      <w:r w:rsidR="00BA76AC" w:rsidRPr="00BA76AC">
        <w:rPr>
          <w:noProof/>
        </w:rPr>
        <w:t xml:space="preserve">(Daudey </w:t>
      </w:r>
      <w:r w:rsidR="00F25C01">
        <w:rPr>
          <w:noProof/>
        </w:rPr>
        <w:t>and</w:t>
      </w:r>
      <w:r w:rsidR="00BA76AC" w:rsidRPr="00BA76AC">
        <w:rPr>
          <w:noProof/>
        </w:rPr>
        <w:t xml:space="preserve"> García-Peñalosa, 2007)</w:t>
      </w:r>
      <w:r w:rsidRPr="008626DC">
        <w:fldChar w:fldCharType="end"/>
      </w:r>
      <w:r w:rsidRPr="008626DC">
        <w:t xml:space="preserve"> find that a larger labour share is associated with a lower Gini coefficient. Similarly, </w:t>
      </w:r>
      <w:r w:rsidRPr="008626DC">
        <w:fldChar w:fldCharType="begin" w:fldLock="1"/>
      </w:r>
      <w:r w:rsidR="00BA76AC">
        <w:instrText>ADDIN CSL_CITATION {"citationItems":[{"id":"ITEM-1","itemData":{"DOI":"10.26509/FRBC-EC-201213","ISSN":"0428-1276","abstract":"Labor income has been declining as a share of total income earned in the United States for the past three decades. We look at the past effect of the labor share decline on income inequality, and we study the likely future path of the labor share and its implications for inequality.","author":[{"dropping-particle":"","family":"Jacobson","given":"Margaret","non-dropping-particle":"","parse-names":false,"suffix":""},{"dropping-particle":"","family":"Occhino","given":"Filippo","non-dropping-particle":"","parse-names":false,"suffix":""}],"container-title":"Economic Commentary","id":"ITEM-1","issue":"2012-13","issued":{"date-parts":[["2012","9","25"]]},"page":"1-6","publisher":"Federal Reserve Bank of Cleveland","title":"Labor’s Declining Share of Income and Rising Inequality","type":"article-journal"},"uris":["http://www.mendeley.com/documents/?uuid=4c3c55d7-d4f0-3430-87a4-4499f914664a"]}],"mendeley":{"formattedCitation":"(Jacobson &amp; Occhino, 2012)","plainTextFormattedCitation":"(Jacobson &amp; Occhino, 2012)","previouslyFormattedCitation":"(Jacobson and Occhino 2012)"},"properties":{"noteIndex":0},"schema":"https://github.com/citation-style-language/schema/raw/master/csl-citation.json"}</w:instrText>
      </w:r>
      <w:r w:rsidRPr="008626DC">
        <w:fldChar w:fldCharType="separate"/>
      </w:r>
      <w:r w:rsidR="00BA76AC" w:rsidRPr="00BA76AC">
        <w:rPr>
          <w:noProof/>
        </w:rPr>
        <w:t xml:space="preserve">(Jacobson </w:t>
      </w:r>
      <w:r w:rsidR="00F25C01">
        <w:rPr>
          <w:noProof/>
        </w:rPr>
        <w:t>and</w:t>
      </w:r>
      <w:r w:rsidR="00BA76AC" w:rsidRPr="00BA76AC">
        <w:rPr>
          <w:noProof/>
        </w:rPr>
        <w:t xml:space="preserve"> Occhino, 2012)</w:t>
      </w:r>
      <w:r w:rsidRPr="008626DC">
        <w:fldChar w:fldCharType="end"/>
      </w:r>
      <w:r w:rsidRPr="008626DC">
        <w:t xml:space="preserve"> show that a one per cent decreases in the U.S. labour share is associated with 0.15 to 0.33 per cent increase in the Gini index. A recent </w:t>
      </w:r>
      <w:r w:rsidRPr="008626DC">
        <w:fldChar w:fldCharType="begin" w:fldLock="1"/>
      </w:r>
      <w:r w:rsidR="00BA76AC">
        <w:instrText>ADDIN CSL_CITATION {"citationItems":[{"id":"ITEM-1","itemData":{"author":[{"dropping-particle":"","family":"IMF","given":"","non-dropping-particle":"","parse-names":false,"suffix":""}],"id":"ITEM-1","issued":{"date-parts":[["2017"]]},"title":"Why Is Labor Receiving a Smaller Share of Global Income? Theory and Empirical Evidence","type":"report"},"uris":["http://www.mendeley.com/documents/?uuid=89edfbb4-55d3-3157-b0c4-1f6b7dda5d51"]}],"mendeley":{"formattedCitation":"(IMF, 2017)","plainTextFormattedCitation":"(IMF, 2017)","previouslyFormattedCitation":"(IMF 2017)"},"properties":{"noteIndex":0},"schema":"https://github.com/citation-style-language/schema/raw/master/csl-citation.json"}</w:instrText>
      </w:r>
      <w:r w:rsidRPr="008626DC">
        <w:fldChar w:fldCharType="separate"/>
      </w:r>
      <w:r w:rsidR="00BA76AC" w:rsidRPr="00BA76AC">
        <w:rPr>
          <w:noProof/>
        </w:rPr>
        <w:t>(IMF, 2017)</w:t>
      </w:r>
      <w:r w:rsidRPr="008626DC">
        <w:fldChar w:fldCharType="end"/>
      </w:r>
      <w:r w:rsidRPr="008626DC">
        <w:t xml:space="preserve"> report suggests that lower labour share is associated with higher Gini coefficients for 49 countries (mostly advanced countries) between 1991 and 2014. </w:t>
      </w:r>
      <w:r w:rsidRPr="008626DC">
        <w:fldChar w:fldCharType="begin" w:fldLock="1"/>
      </w:r>
      <w:r w:rsidR="00BA76AC">
        <w:instrText>ADDIN CSL_CITATION {"citationItems":[{"id":"ITEM-1","itemData":{"DOI":"10.35188/UNU-WIDER/2020/822-1","ISBN":"9789292568221","author":[{"dropping-particle":"","family":"Sauer","given":"Petra","non-dropping-particle":"","parse-names":false,"suffix":""},{"dropping-particle":"","family":"Rao","given":"Narasimha D.","non-dropping-particle":"","parse-names":false,"suffix":""},{"dropping-particle":"","family":"Pachauri","given":"Shonali","non-dropping-particle":"","parse-names":false,"suffix":""}],"collection-title":"WIDER Working Paper","id":"ITEM-1","issued":{"date-parts":[["2020"]]},"number":"65/2020","publisher":"UNU-WIDER","title":"Explaining income inequality trends: An integrated approach","type":"report","volume":"2020"},"uris":["http://www.mendeley.com/documents/?uuid=4a9e103e-e81c-3441-bcdb-87d92e162b0d"]}],"mendeley":{"formattedCitation":"(Sauer, Rao, &amp; Pachauri, 2020)","plainTextFormattedCitation":"(Sauer, Rao, &amp; Pachauri, 2020)","previouslyFormattedCitation":"(Sauer, Rao, and Pachauri 2020)"},"properties":{"noteIndex":0},"schema":"https://github.com/citation-style-language/schema/raw/master/csl-citation.json"}</w:instrText>
      </w:r>
      <w:r w:rsidRPr="008626DC">
        <w:fldChar w:fldCharType="separate"/>
      </w:r>
      <w:r w:rsidR="00BA76AC" w:rsidRPr="00BA76AC">
        <w:rPr>
          <w:noProof/>
        </w:rPr>
        <w:t xml:space="preserve">(Sauer, Rao, </w:t>
      </w:r>
      <w:r w:rsidR="00F25C01">
        <w:rPr>
          <w:noProof/>
        </w:rPr>
        <w:t>and</w:t>
      </w:r>
      <w:r w:rsidR="00BA76AC" w:rsidRPr="00BA76AC">
        <w:rPr>
          <w:noProof/>
        </w:rPr>
        <w:t xml:space="preserve"> Pachauri, 2020)</w:t>
      </w:r>
      <w:r w:rsidRPr="008626DC">
        <w:fldChar w:fldCharType="end"/>
      </w:r>
      <w:r w:rsidRPr="008626DC">
        <w:t xml:space="preserve"> find that the most robust factor behind rising income inequality is declining labour share for 73 countries (mostly observations from advanced OECD countries) between 1981 and 2010.  Similarly,  using a sample of 62 developed and developing countries for the period 1990-2015, </w:t>
      </w:r>
      <w:r w:rsidRPr="008626DC">
        <w:fldChar w:fldCharType="begin" w:fldLock="1"/>
      </w:r>
      <w:r w:rsidR="00BA76AC">
        <w:instrText>ADDIN CSL_CITATION {"citationItems":[{"id":"ITEM-1","itemData":{"DOI":"10.1108/AEA-04-2020-0028/FULL/PDF","ISSN":"26327627","abstract":"Purpose: The purpose of this paper is to analyze empirically the relationship between the labor share and income inequality, as measured by the Gini coefficient and by the income shares for different quintiles, during the period 1990–2015 for 62 developed and developing countries. Design/methodology/approach: This study uses panel data techniques to analyze empirically the relationship between the labor share and income inequality. Findings: This paper finds that a lower labor share is associated with a higher Gini coefficient. A lower labor share is found to be strongly associated with a smaller income share for the lowest two quintiles and larger income share for the highest quintile and weakly associated with a smaller income share for the third and fourth quintiles. Moreover, this paper finds that the lower the quintile, the stronger the impact of the labor share on the income share of the quintile. Social implications: Policymakers should take into account the evolution of the labor share. Public policies that improve labor market outcomes, such as those aimed to promote participation in the labor market and strengthen the human capital of low-income groups, seem necessary to prevent the rise in economic inequalities. Moreover, as the digital transformation of society progresses, policies to promote skill deepening may have an important role in reversing excessive inequalities. Originality/value: How changes in the labor share are associated with changes in the Gini coefficient, and how this is driven by income shares for different quintiles, for a broad range of countries during the most recent period, has not been comprehensively studied using panel data techniques.","author":[{"dropping-particle":"","family":"Erauskin","given":"Iñaki","non-dropping-particle":"","parse-names":false,"suffix":""}],"container-title":"Applied Economic Analysis","id":"ITEM-1","issue":"84","issued":{"date-parts":[["2020","12","12"]]},"page":"173-195","publisher":"Emerald Group Holdings Ltd.","title":"The labor share and income inequality: some empirical evidence for the period 1990-2015","type":"article-journal","volume":"28"},"uris":["http://www.mendeley.com/documents/?uuid=424db745-0dc3-3055-8001-626c2e52e726"]}],"mendeley":{"formattedCitation":"(Erauskin, 2020)","plainTextFormattedCitation":"(Erauskin, 2020)","previouslyFormattedCitation":"(Erauskin 2020)"},"properties":{"noteIndex":0},"schema":"https://github.com/citation-style-language/schema/raw/master/csl-citation.json"}</w:instrText>
      </w:r>
      <w:r w:rsidRPr="008626DC">
        <w:fldChar w:fldCharType="separate"/>
      </w:r>
      <w:r w:rsidR="00BA76AC" w:rsidRPr="00BA76AC">
        <w:rPr>
          <w:noProof/>
        </w:rPr>
        <w:t>(Erauskin, 2020)</w:t>
      </w:r>
      <w:r w:rsidRPr="008626DC">
        <w:fldChar w:fldCharType="end"/>
      </w:r>
      <w:r w:rsidRPr="008626DC">
        <w:t xml:space="preserve"> shows that the declining labour share is strongly associated with a smaller income share for the lowest two quintiles and a larger income share for the highest quintile.</w:t>
      </w:r>
    </w:p>
    <w:p w14:paraId="0B901A28" w14:textId="06E215FB" w:rsidR="008626DC" w:rsidRPr="008626DC" w:rsidRDefault="008626DC" w:rsidP="008626DC">
      <w:r w:rsidRPr="008626DC">
        <w:t xml:space="preserve">The current literature on the relationship between functional income distribution and personal income distribution has focus mostly on macro-level data and obscured the relationship inside firm. However, the linkage between labour share and income inequality at the macro level can be extended into the firm level. At macro level, individuals’ income comes from two main sources, capital and labour. Since the distribution of capital income is more concentrated on the top of income distribution </w:t>
      </w:r>
      <w:r w:rsidRPr="008626DC">
        <w:fldChar w:fldCharType="begin" w:fldLock="1"/>
      </w:r>
      <w:r w:rsidR="00BA76AC">
        <w:instrText>ADDIN CSL_CITATION {"citationItems":[{"id":"ITEM-1","itemData":{"DOI":"10.2139/SSRN.1585409","abstract":"I find here that the early and mid-aughts (2001 to 2007) witnessed both exploding debt and a consequent “middle-class squeeze.” Median wealth grew briskly in the late 1990s. It grew even faster in the aughts, while the inequality of net worth was up slightly. Indebtedness, which fell substantially during the late 1990s, skyrocketed in the early and mid-aughts; among the middle class, the debt-to-income ratio reached its highest level in 24 years. The concentration of investment-type assets generally remained as high in 2007 as during the previous two decades. The racial and ethnic disparity in wealth holdings, after stabilizing throughout most of the 1990s, widened in the years between 1998 and 2001, but then narrowed during the early and midaughts.  Wealth also shifted in relative terms, away from young households (particularly those under age 45) and toward those in the 55–74 age group. Projections to July 2009, made on the basis of changes in stock and housing prices, indicate that median wealth plunged by 36 percent and there was a fairly steep rise in wealth inequality, with the Gini coefficient advancing from 0.834 to 0.865.","author":[{"dropping-particle":"","family":"Wolff","given":"Edward N.","non-dropping-particle":"","parse-names":false,"suffix":""}],"container-title":"SSRN Electronic Journal","id":"ITEM-1","issued":{"date-parts":[["2010","3","1"]]},"publisher":"Elsevier BV","title":"Recent Trends in Household Wealth in the United States:\nRising Debt and the Middle-Class Squeeze - An Update to 2007","type":"article-journal"},"uris":["http://www.mendeley.com/documents/?uuid=64552a7a-3d53-35d4-a721-b0bf8dc8c4fe"]},{"id":"ITEM-2","itemData":{"DOI":"10.4159/9780674982918/HTML","abstract":"What are the grand dynamics that drive the accumulation and distribution of capital? Questions about the long-term evolution of inequality, the concentration of wealth, and the prospects for economic growth lie at the heart of political economy. But satisfactory answers have been hard to find for lack of adequate data and clear guiding theories. In Capital in the Twenty-First Century, Thomas Piketty analyzes a unique collection of data from twenty countries, ranging as far back as the eighteenth century, to uncover key economic and social patterns. His findings will transform debate and set the agenda for the next generation of thought about wealth and inequality. Piketty shows that modern economic growth and the diffusion of knowledge have allowed us to avoid inequalities on the apocalyptic scale predicted by Karl Marx. But we have not modified the deep structures of capital and inequality as much as we thought in the optimistic decades following World War II. The main driver of inequality--the tendency of returns on capital to exceed the rate of economic growth--today threatens to generate extreme inequalities that stir discontent and undermine democratic values. But economic trends are not acts of God. Political action has curbed dangerous inequalities in the past, Piketty says, and may do so again. A work of extraordinary ambition, originality, and rigor, Capital in the Twenty-First Century reorients our understanding of economic history and confronts us with sobering lessons for today.","author":[{"dropping-particle":"","family":"Piketty","given":"Thomas","non-dropping-particle":"","parse-names":false,"suffix":""}],"container-title":"Capital in the Twenty-First Century","id":"ITEM-2","issued":{"date-parts":[["2014","12","31"]]},"publisher":"Harvard University Press","title":"Capital in the twenty-first century","type":"book"},"uris":["http://www.mendeley.com/documents/?uuid=1a637049-aada-3b7a-a6ca-520e1bbd29ba"]}],"mendeley":{"formattedCitation":"(Piketty, 2014; Wolff, 2010)","plainTextFormattedCitation":"(Piketty, 2014; Wolff, 2010)","previouslyFormattedCitation":"(Wolff 2010; Piketty 2014)"},"properties":{"noteIndex":0},"schema":"https://github.com/citation-style-language/schema/raw/master/csl-citation.json"}</w:instrText>
      </w:r>
      <w:r w:rsidRPr="008626DC">
        <w:fldChar w:fldCharType="separate"/>
      </w:r>
      <w:r w:rsidR="00BA76AC" w:rsidRPr="00BA76AC">
        <w:rPr>
          <w:noProof/>
        </w:rPr>
        <w:t>(Piketty, 2014; Wolff, 2010)</w:t>
      </w:r>
      <w:r w:rsidRPr="008626DC">
        <w:fldChar w:fldCharType="end"/>
      </w:r>
      <w:r w:rsidRPr="008626DC">
        <w:t>, declining labour share (increasing capital share) rises income inequality. The same argument can be implicitly applied at the firm level. Individual remuneration package inside firms consists of short-term pay (</w:t>
      </w:r>
      <w:proofErr w:type="gramStart"/>
      <w:r w:rsidRPr="008626DC">
        <w:t>e.g.</w:t>
      </w:r>
      <w:proofErr w:type="gramEnd"/>
      <w:r w:rsidRPr="008626DC">
        <w:t xml:space="preserve"> salary and fees, accrued bonus), post-employment benefits (e.g., superannuation) and share-based payments. Among them, share-based payments (such as stock options and stock appreciation rights), which is a type of compensation based on the share of the company, is an effective mechanism to align the divergent interests of executives and shareholders (Jensen </w:t>
      </w:r>
      <w:r w:rsidR="00F25C01">
        <w:t>and</w:t>
      </w:r>
      <w:r w:rsidRPr="008626DC">
        <w:t xml:space="preserve"> </w:t>
      </w:r>
      <w:proofErr w:type="spellStart"/>
      <w:r w:rsidRPr="008626DC">
        <w:t>Meckling</w:t>
      </w:r>
      <w:proofErr w:type="spellEnd"/>
      <w:r w:rsidRPr="008626DC">
        <w:t xml:space="preserve">, 1979). In another word, the part of employee’s compensation, share-based payment, is linked with shareholder wealth (capital share) inside a firm. </w:t>
      </w:r>
      <w:proofErr w:type="gramStart"/>
      <w:r w:rsidRPr="008626DC">
        <w:t>Similar to</w:t>
      </w:r>
      <w:proofErr w:type="gramEnd"/>
      <w:r w:rsidRPr="008626DC">
        <w:t xml:space="preserve"> capital income, share-based payment is not equally distributed among all individuals inside the firm and this inequality is more pronounced among individuals at different hierarchical levels in an </w:t>
      </w:r>
      <w:r w:rsidRPr="008626DC">
        <w:lastRenderedPageBreak/>
        <w:t xml:space="preserve">organisation. For example, </w:t>
      </w:r>
      <w:r w:rsidRPr="008626DC">
        <w:fldChar w:fldCharType="begin" w:fldLock="1"/>
      </w:r>
      <w:r w:rsidR="00F25C01">
        <w:instrText>ADDIN CSL_CITATION {"citationItems":[{"id":"ITEM-1","itemData":{"author":[{"dropping-particle":"","family":"Cheffins","given":"Brian R.","non-dropping-particle":"","parse-names":false,"suffix":""},{"dropping-particle":"","family":"Thomas","given":"Randall S.","non-dropping-particle":"","parse-names":false,"suffix":""}],"container-title":"Berkeley Business Law Journal","id":"ITEM-1","issue":"2","issued":{"date-parts":[["2004"]]},"page":"233-290","title":"The globalization (americanization) of executive pay","type":"article-journal","volume":"1"},"uris":["http://www.mendeley.com/documents/?uuid=2f847dd9-9eb2-3565-aaf7-318263388e8c"]}],"mendeley":{"formattedCitation":"(Cheffins &amp; Thomas, 2004)","manualFormatting":"(Cheffins and Thomas, 2004)","plainTextFormattedCitation":"(Cheffins &amp; Thomas, 2004)","previouslyFormattedCitation":"(Cheffins and Thomas 2004)"},"properties":{"noteIndex":0},"schema":"https://github.com/citation-style-language/schema/raw/master/csl-citation.json"}</w:instrText>
      </w:r>
      <w:r w:rsidRPr="008626DC">
        <w:fldChar w:fldCharType="separate"/>
      </w:r>
      <w:r w:rsidR="00BA76AC" w:rsidRPr="00BA76AC">
        <w:rPr>
          <w:noProof/>
        </w:rPr>
        <w:t xml:space="preserve">(Cheffins </w:t>
      </w:r>
      <w:r w:rsidR="00F25C01">
        <w:rPr>
          <w:noProof/>
        </w:rPr>
        <w:t>and</w:t>
      </w:r>
      <w:r w:rsidR="00BA76AC" w:rsidRPr="00BA76AC">
        <w:rPr>
          <w:noProof/>
        </w:rPr>
        <w:t xml:space="preserve"> Thomas, 2004)</w:t>
      </w:r>
      <w:r w:rsidRPr="008626DC">
        <w:fldChar w:fldCharType="end"/>
      </w:r>
      <w:r w:rsidRPr="008626DC">
        <w:t xml:space="preserve"> assert that CEOs receive vastly higher stock options in comparison with other counterparties. Empirical studies in Australia show that long-term incentives, such as share-ownership or share-option schemes, comprise the largest percentage of Australian CEO compensation </w:t>
      </w:r>
      <w:r w:rsidRPr="008626DC">
        <w:fldChar w:fldCharType="begin" w:fldLock="1"/>
      </w:r>
      <w:r w:rsidR="00BA76AC">
        <w:instrText>ADDIN CSL_CITATION {"citationItems":[{"id":"ITEM-1","itemData":{"author":[{"dropping-particle":"","family":"Little","given":"Phoebe","non-dropping-particle":"","parse-names":false,"suffix":""}],"container-title":"Plato Investment Management ","id":"ITEM-1","issued":{"date-parts":[["2021"]]},"title":"Assessing executive remuneration in Australia: Perhaps performance does pay?","type":"article-journal"},"uris":["http://www.mendeley.com/documents/?uuid=7f31401a-004e-3649-83b5-55bff8a2c6af"]}],"mendeley":{"formattedCitation":"(Little, 2021)","plainTextFormattedCitation":"(Little, 2021)","previouslyFormattedCitation":"(Little 2021)"},"properties":{"noteIndex":0},"schema":"https://github.com/citation-style-language/schema/raw/master/csl-citation.json"}</w:instrText>
      </w:r>
      <w:r w:rsidRPr="008626DC">
        <w:fldChar w:fldCharType="separate"/>
      </w:r>
      <w:r w:rsidR="00BA76AC" w:rsidRPr="00BA76AC">
        <w:rPr>
          <w:noProof/>
        </w:rPr>
        <w:t>(Little, 2021)</w:t>
      </w:r>
      <w:r w:rsidRPr="008626DC">
        <w:fldChar w:fldCharType="end"/>
      </w:r>
      <w:r w:rsidRPr="008626DC">
        <w:t xml:space="preserve"> and an increase in shareholder wealth leads to an increase in CEO compensation </w:t>
      </w:r>
      <w:r w:rsidRPr="008626DC">
        <w:fldChar w:fldCharType="begin" w:fldLock="1"/>
      </w:r>
      <w:r w:rsidR="00BA76AC">
        <w:instrText>ADDIN CSL_CITATION {"citationItems":[{"id":"ITEM-1","itemData":{"DOI":"10.1111/J.1467-629X.2006.00178.X","ISSN":"1467-629X","abstract":"International studies document strong evidence that chief executive officer (CEO) remuneration is positively correlated with corporate performance. Prior Australian studies, however, find no positive link between CEO pay and market performance. In the present paper we re-examine the association between Australian CEO remuneration and firm performance using standard empirical models from the international literature. We find that in every respect the Australian evidence is consistent with international findings for firms of the USA, UK and Canada. In particular, we document CEO pay-performance association as positive and statistically significant. © 2006 AFAANZ.","author":[{"dropping-particle":"","family":"Merhebi","given":"Rachel","non-dropping-particle":"","parse-names":false,"suffix":""},{"dropping-particle":"","family":"Pattenden","given":"Kerry","non-dropping-particle":"","parse-names":false,"suffix":""},{"dropping-particle":"","family":"Swan","given":"Peter L.","non-dropping-particle":"","parse-names":false,"suffix":""},{"dropping-particle":"","family":"Zhou","given":"Xianming","non-dropping-particle":"","parse-names":false,"suffix":""}],"container-title":"Accounting &amp; Finance","id":"ITEM-1","issue":"3","issued":{"date-parts":[["2006","9","1"]]},"page":"481-497","publisher":"John Wiley &amp; Sons, Ltd","title":"Australian chief executive officer remuneration: pay and performance","type":"article-journal","volume":"46"},"uris":["http://www.mendeley.com/documents/?uuid=6c0baebd-fc3d-357a-976d-c36440fe5701"]}],"mendeley":{"formattedCitation":"(Merhebi et al., 2006)","plainTextFormattedCitation":"(Merhebi et al., 2006)","previouslyFormattedCitation":"(Merhebi, Pattenden, Swan, and Zhou 2006)"},"properties":{"noteIndex":0},"schema":"https://github.com/citation-style-language/schema/raw/master/csl-citation.json"}</w:instrText>
      </w:r>
      <w:r w:rsidRPr="008626DC">
        <w:fldChar w:fldCharType="separate"/>
      </w:r>
      <w:r w:rsidR="00BA76AC" w:rsidRPr="00BA76AC">
        <w:rPr>
          <w:noProof/>
        </w:rPr>
        <w:t>(Merhebi et al., 2006)</w:t>
      </w:r>
      <w:r w:rsidRPr="008626DC">
        <w:fldChar w:fldCharType="end"/>
      </w:r>
      <w:r w:rsidRPr="008626DC">
        <w:t xml:space="preserve">. Since the distribution of share-based payment is not equal and mainly contributes to the top executives' compensation, we expect that a fall in labour share, resulting in a transfer from labour share to capital share, leads to a rise in pay inequality between CEO and average employee. This conceptual framework, though simple, provides a lens through which we can interpret the firm-level evidence on labour shares and pay inequality.  Hence, our second hypothesis is as follows:  </w:t>
      </w:r>
    </w:p>
    <w:p w14:paraId="755CB88D" w14:textId="0754F714" w:rsidR="007F15AC" w:rsidRPr="007F15AC" w:rsidRDefault="008626DC" w:rsidP="007E7B3C">
      <w:pPr>
        <w:ind w:firstLine="0"/>
      </w:pPr>
      <w:r w:rsidRPr="005C7194">
        <w:rPr>
          <w:b/>
          <w:bCs/>
        </w:rPr>
        <w:t>H2:</w:t>
      </w:r>
      <w:r w:rsidRPr="008626DC">
        <w:rPr>
          <w:i/>
          <w:iCs/>
        </w:rPr>
        <w:t xml:space="preserve"> Labour share is negatively associated with pay inequality within firms.</w:t>
      </w:r>
    </w:p>
    <w:p w14:paraId="7BC3C785" w14:textId="4B9E1798" w:rsidR="00D71EA9" w:rsidRDefault="004149C4" w:rsidP="00DB4EE3">
      <w:pPr>
        <w:pStyle w:val="Heading1"/>
        <w:numPr>
          <w:ilvl w:val="0"/>
          <w:numId w:val="1"/>
        </w:numPr>
      </w:pPr>
      <w:r w:rsidRPr="003276BA">
        <w:t>Methodology</w:t>
      </w:r>
    </w:p>
    <w:p w14:paraId="2D1E990A" w14:textId="0AFC0CFF" w:rsidR="00DB4EE3" w:rsidRDefault="00DB4EE3" w:rsidP="00DB4EE3">
      <w:pPr>
        <w:ind w:firstLine="0"/>
      </w:pPr>
      <w:r w:rsidRPr="00DB4EE3">
        <w:t xml:space="preserve">This section consists of two parts. The first part explains our empirical model to examine the impact of three main channels: technological progress, product market power, and labour market power on labour share. The second part describes the model for examining the impact of labour share on pay inequality within firms. </w:t>
      </w:r>
    </w:p>
    <w:p w14:paraId="20CA4489" w14:textId="7DF92676" w:rsidR="00D71EA9" w:rsidRDefault="00047F4C" w:rsidP="00047F4C">
      <w:pPr>
        <w:pStyle w:val="Heading2"/>
        <w:numPr>
          <w:ilvl w:val="1"/>
          <w:numId w:val="1"/>
        </w:numPr>
        <w:ind w:left="426"/>
      </w:pPr>
      <w:r w:rsidRPr="00047F4C">
        <w:t>Determinants of the Labour Share</w:t>
      </w:r>
    </w:p>
    <w:p w14:paraId="7E30A94C" w14:textId="6F483DF6" w:rsidR="00047F4C" w:rsidRPr="00047F4C" w:rsidRDefault="00047F4C" w:rsidP="00047F4C">
      <w:pPr>
        <w:ind w:firstLine="0"/>
      </w:pPr>
      <w:r w:rsidRPr="00047F4C">
        <w:t xml:space="preserve">Based on empirical studies that examine the impact of technological progress, product market power, and labour market power on labour share within firms </w:t>
      </w:r>
      <w:r w:rsidRPr="00047F4C">
        <w:fldChar w:fldCharType="begin" w:fldLock="1"/>
      </w:r>
      <w:r w:rsidR="00BA76AC">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share","type":"article-journal","volume":"3"},"uris":["http://www.mendeley.com/documents/?uuid=33b0cf32-68b0-3107-ab54-3977103c4d5d"]},{"id":"ITEM-2","itemData":{"DOI":"10.1093/qje/qjaa004","ISSN":"0033-5533","abstract":"The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Economics","id":"ITEM-2","issue":"2","issued":{"date-parts":[["2020","5","1"]]},"page":"645-709","title":"The fall of the labor share and the rise of superstar firms","type":"article-journal","volume":"135"},"uris":["http://www.mendeley.com/documents/?uuid=f6363795-3c75-399a-98f2-de75ec243b69"]},{"id":"ITEM-3","itemData":{"DOI":"10.1093/QJE/QJZ041","ISSN":"0033-5533","abstract":"We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Economics","id":"ITEM-3","issue":"2","issued":{"date-parts":[["2020","5","1"]]},"page":"561-644","publisher":"Oxford Academic","title":"The rise of market power and the macroeconomic implications","type":"article-journal","volume":"135"},"uris":["http://www.mendeley.com/documents/?uuid=c39dfd08-2bf8-3731-af07-bfbbc25c76de"]}],"mendeley":{"formattedCitation":"(Autor et al., 2020; Bentolila &amp; Saint-Paul, 2003; De Loecker et al., 2020)","manualFormatting":"(e.g., Autor et al., 2020; Bentolila &amp; Saint-Paul, 2003;)","plainTextFormattedCitation":"(Autor et al., 2020; Bentolila &amp; Saint-Paul, 2003; De Loecker et al., 2020)","previouslyFormattedCitation":"(Bentolila and Saint-Paul 2003; Autor et al. 2020; De Loecker, Eeckhout, and Unger 2020)"},"properties":{"noteIndex":0},"schema":"https://github.com/citation-style-language/schema/raw/master/csl-citation.json"}</w:instrText>
      </w:r>
      <w:r w:rsidRPr="00047F4C">
        <w:fldChar w:fldCharType="separate"/>
      </w:r>
      <w:r w:rsidRPr="00047F4C">
        <w:rPr>
          <w:noProof/>
        </w:rPr>
        <w:t xml:space="preserve">(e.g., Autor et al., 2020; Bentolila </w:t>
      </w:r>
      <w:r w:rsidR="00F25C01">
        <w:rPr>
          <w:noProof/>
        </w:rPr>
        <w:t>and</w:t>
      </w:r>
      <w:r w:rsidRPr="00047F4C">
        <w:rPr>
          <w:noProof/>
        </w:rPr>
        <w:t xml:space="preserve"> Saint-Paul, 2003;)</w:t>
      </w:r>
      <w:r w:rsidRPr="00047F4C">
        <w:fldChar w:fldCharType="end"/>
      </w:r>
      <w:r w:rsidRPr="00047F4C">
        <w:t xml:space="preserve">, we model the impact of these channels as follows: </w:t>
      </w:r>
    </w:p>
    <w:p w14:paraId="2BDBD64D" w14:textId="30FD7173" w:rsidR="00047F4C" w:rsidRPr="00047F4C" w:rsidRDefault="00000000" w:rsidP="00047F4C">
      <w:pPr>
        <w:rPr>
          <w:i/>
          <w:sz w:val="22"/>
        </w:rPr>
      </w:pPr>
      <m:oMath>
        <m:sSub>
          <m:sSubPr>
            <m:ctrlPr>
              <w:rPr>
                <w:rFonts w:ascii="Cambria Math" w:hAnsi="Cambria Math"/>
                <w:i/>
                <w:sz w:val="22"/>
              </w:rPr>
            </m:ctrlPr>
          </m:sSubPr>
          <m:e>
            <m:r>
              <w:rPr>
                <w:rFonts w:ascii="Cambria Math" w:hAnsi="Cambria Math"/>
                <w:sz w:val="22"/>
              </w:rPr>
              <m:t xml:space="preserve">LnLabourShare </m:t>
            </m:r>
          </m:e>
          <m:sub>
            <m:r>
              <w:rPr>
                <w:rFonts w:ascii="Cambria Math" w:hAnsi="Cambria Math"/>
                <w:sz w:val="22"/>
              </w:rPr>
              <m:t>i,t</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α</m:t>
            </m:r>
          </m:e>
          <m:sub>
            <m:r>
              <w:rPr>
                <w:rFonts w:ascii="Cambria Math" w:hAnsi="Cambria Math"/>
                <w:sz w:val="22"/>
              </w:rPr>
              <m:t>0</m:t>
            </m:r>
          </m:sub>
        </m:sSub>
        <m:r>
          <w:rPr>
            <w:rFonts w:ascii="Cambria Math" w:hAnsi="Cambria Math"/>
            <w:sz w:val="22"/>
          </w:rPr>
          <m:t>+</m:t>
        </m:r>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2"/>
                  </w:rPr>
                  <m:t>α</m:t>
                </m:r>
              </m:e>
              <m:sub>
                <m:r>
                  <w:rPr>
                    <w:rFonts w:ascii="Cambria Math" w:hAnsi="Cambria Math"/>
                    <w:sz w:val="22"/>
                  </w:rPr>
                  <m:t>1</m:t>
                </m:r>
              </m:sub>
            </m:sSub>
            <m:r>
              <w:rPr>
                <w:rFonts w:ascii="Cambria Math" w:hAnsi="Cambria Math"/>
                <w:sz w:val="22"/>
              </w:rPr>
              <m:t xml:space="preserve"> LnLabourShare </m:t>
            </m:r>
          </m:e>
          <m:sub>
            <m:r>
              <w:rPr>
                <w:rFonts w:ascii="Cambria Math" w:hAnsi="Cambria Math"/>
                <w:sz w:val="22"/>
              </w:rPr>
              <m:t>i,t-1</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1</m:t>
            </m:r>
          </m:sub>
        </m:sSub>
        <m:sSub>
          <m:sSubPr>
            <m:ctrlPr>
              <w:rPr>
                <w:rFonts w:ascii="Cambria Math" w:hAnsi="Cambria Math"/>
                <w:i/>
                <w:sz w:val="22"/>
              </w:rPr>
            </m:ctrlPr>
          </m:sSubPr>
          <m:e>
            <m:r>
              <w:rPr>
                <w:rFonts w:ascii="Cambria Math" w:hAnsi="Cambria Math"/>
                <w:sz w:val="22"/>
              </w:rPr>
              <m:t>LnCapital/VA</m:t>
            </m:r>
          </m:e>
          <m:sub>
            <m:r>
              <w:rPr>
                <w:rFonts w:ascii="Cambria Math" w:hAnsi="Cambria Math"/>
                <w:sz w:val="22"/>
              </w:rPr>
              <m:t>i,t</m:t>
            </m:r>
          </m:sub>
        </m:sSub>
        <m:r>
          <w:rPr>
            <w:rFonts w:ascii="Cambria Math" w:hAnsi="Cambria Math"/>
            <w:sz w:val="22"/>
          </w:rPr>
          <m:t xml:space="preserve">+ </m:t>
        </m:r>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2"/>
                  </w:rPr>
                  <m:t>β</m:t>
                </m:r>
              </m:e>
              <m:sub>
                <m:r>
                  <w:rPr>
                    <w:rFonts w:ascii="Cambria Math" w:hAnsi="Cambria Math"/>
                    <w:sz w:val="22"/>
                  </w:rPr>
                  <m:t>2</m:t>
                </m:r>
              </m:sub>
            </m:sSub>
            <m:r>
              <w:rPr>
                <w:rFonts w:ascii="Cambria Math" w:hAnsi="Cambria Math"/>
                <w:sz w:val="22"/>
              </w:rPr>
              <m:t xml:space="preserve"> TFP</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3</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 xml:space="preserve">LnMarkup </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4</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HHIEmp</m:t>
            </m:r>
          </m:e>
          <m:sub>
            <m:r>
              <w:rPr>
                <w:rFonts w:ascii="Cambria Math" w:hAnsi="Cambria Math"/>
                <w:sz w:val="22"/>
              </w:rPr>
              <m:t>j,t</m:t>
            </m:r>
          </m:sub>
        </m:sSub>
        <m:r>
          <w:rPr>
            <w:rFonts w:ascii="Cambria Math" w:hAnsi="Cambria Math"/>
            <w:sz w:val="22"/>
          </w:rPr>
          <m:t>+</m:t>
        </m:r>
        <m:sSub>
          <m:sSubPr>
            <m:ctrlPr>
              <w:rPr>
                <w:rFonts w:ascii="Cambria Math" w:hAnsi="Cambria Math"/>
                <w:sz w:val="22"/>
              </w:rPr>
            </m:ctrlPr>
          </m:sSubPr>
          <m:e>
            <m:sSub>
              <m:sSubPr>
                <m:ctrlPr>
                  <w:rPr>
                    <w:rFonts w:ascii="Cambria Math" w:hAnsi="Cambria Math"/>
                    <w:sz w:val="22"/>
                  </w:rPr>
                </m:ctrlPr>
              </m:sSubPr>
              <m:e>
                <m:r>
                  <w:rPr>
                    <w:rFonts w:ascii="Cambria Math" w:hAnsi="Cambria Math"/>
                    <w:sz w:val="22"/>
                  </w:rPr>
                  <m:t>β</m:t>
                </m:r>
              </m:e>
              <m:sub>
                <m:r>
                  <w:rPr>
                    <w:rFonts w:ascii="Cambria Math" w:hAnsi="Cambria Math"/>
                    <w:sz w:val="22"/>
                  </w:rPr>
                  <m:t>5</m:t>
                </m:r>
              </m:sub>
            </m:sSub>
            <m:r>
              <w:rPr>
                <w:rFonts w:ascii="Cambria Math" w:hAnsi="Cambria Math"/>
                <w:sz w:val="22"/>
              </w:rPr>
              <m:t xml:space="preserve"> Union</m:t>
            </m:r>
          </m:e>
          <m:sub>
            <m:r>
              <w:rPr>
                <w:rFonts w:ascii="Cambria Math" w:hAnsi="Cambria Math"/>
                <w:sz w:val="22"/>
              </w:rPr>
              <m:t>k,t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6</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delta.LnEmpNum</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β</m:t>
            </m:r>
          </m:e>
          <m:sub>
            <m:r>
              <w:rPr>
                <w:rFonts w:ascii="Cambria Math" w:hAnsi="Cambria Math"/>
                <w:sz w:val="22"/>
              </w:rPr>
              <m:t>7</m:t>
            </m:r>
          </m:sub>
        </m:sSub>
        <m:r>
          <w:rPr>
            <w:rFonts w:ascii="Cambria Math" w:hAnsi="Cambria Math"/>
            <w:sz w:val="22"/>
          </w:rPr>
          <m:t xml:space="preserve"> </m:t>
        </m:r>
        <m:sSub>
          <m:sSubPr>
            <m:ctrlPr>
              <w:rPr>
                <w:rFonts w:ascii="Cambria Math" w:hAnsi="Cambria Math"/>
                <w:sz w:val="22"/>
              </w:rPr>
            </m:ctrlPr>
          </m:sSubPr>
          <m:e>
            <m:r>
              <w:rPr>
                <w:rFonts w:ascii="Cambria Math" w:hAnsi="Cambria Math"/>
                <w:sz w:val="22"/>
              </w:rPr>
              <m:t>BTM</m:t>
            </m:r>
          </m:e>
          <m:sub>
            <m:r>
              <w:rPr>
                <w:rFonts w:ascii="Cambria Math" w:hAnsi="Cambria Math"/>
                <w:sz w:val="22"/>
              </w:rPr>
              <m:t>i,t</m:t>
            </m:r>
          </m:sub>
        </m:sSub>
        <m:r>
          <w:rPr>
            <w:rFonts w:ascii="Cambria Math" w:hAnsi="Cambria Math"/>
            <w:sz w:val="22"/>
          </w:rPr>
          <m:t>+</m:t>
        </m:r>
        <m:sSub>
          <m:sSubPr>
            <m:ctrlPr>
              <w:rPr>
                <w:rFonts w:ascii="Cambria Math" w:hAnsi="Cambria Math"/>
                <w:sz w:val="22"/>
              </w:rPr>
            </m:ctrlPr>
          </m:sSubPr>
          <m:e>
            <m:sSub>
              <m:sSubPr>
                <m:ctrlPr>
                  <w:rPr>
                    <w:rFonts w:ascii="Cambria Math" w:hAnsi="Cambria Math"/>
                    <w:sz w:val="22"/>
                  </w:rPr>
                </m:ctrlPr>
              </m:sSubPr>
              <m:e>
                <m:r>
                  <w:rPr>
                    <w:rFonts w:ascii="Cambria Math" w:hAnsi="Cambria Math"/>
                    <w:sz w:val="22"/>
                  </w:rPr>
                  <m:t>β</m:t>
                </m:r>
              </m:e>
              <m:sub>
                <m:r>
                  <w:rPr>
                    <w:rFonts w:ascii="Cambria Math" w:hAnsi="Cambria Math"/>
                    <w:sz w:val="22"/>
                  </w:rPr>
                  <m:t>8</m:t>
                </m:r>
              </m:sub>
            </m:sSub>
            <m:r>
              <w:rPr>
                <w:rFonts w:ascii="Cambria Math" w:hAnsi="Cambria Math"/>
                <w:sz w:val="22"/>
              </w:rPr>
              <m:t xml:space="preserve"> LnAge</m:t>
            </m:r>
          </m:e>
          <m:sub>
            <m:r>
              <w:rPr>
                <w:rFonts w:ascii="Cambria Math" w:hAnsi="Cambria Math"/>
                <w:sz w:val="22"/>
              </w:rPr>
              <m:t>i,t</m:t>
            </m:r>
          </m:sub>
        </m:sSub>
        <m:r>
          <w:rPr>
            <w:rFonts w:ascii="Cambria Math" w:hAnsi="Cambria Math"/>
            <w:sz w:val="22"/>
          </w:rPr>
          <m:t xml:space="preserve">+ </m:t>
        </m:r>
        <m:sSub>
          <m:sSubPr>
            <m:ctrlPr>
              <w:rPr>
                <w:rFonts w:ascii="Cambria Math" w:hAnsi="Cambria Math"/>
                <w:sz w:val="22"/>
              </w:rPr>
            </m:ctrlPr>
          </m:sSubPr>
          <m:e>
            <m:sSub>
              <m:sSubPr>
                <m:ctrlPr>
                  <w:rPr>
                    <w:rFonts w:ascii="Cambria Math" w:hAnsi="Cambria Math"/>
                    <w:sz w:val="22"/>
                  </w:rPr>
                </m:ctrlPr>
              </m:sSubPr>
              <m:e>
                <m:r>
                  <w:rPr>
                    <w:rFonts w:ascii="Cambria Math" w:hAnsi="Cambria Math"/>
                    <w:sz w:val="22"/>
                  </w:rPr>
                  <m:t>β</m:t>
                </m:r>
              </m:e>
              <m:sub>
                <m:r>
                  <w:rPr>
                    <w:rFonts w:ascii="Cambria Math" w:hAnsi="Cambria Math"/>
                    <w:sz w:val="22"/>
                  </w:rPr>
                  <m:t>9</m:t>
                </m:r>
              </m:sub>
            </m:sSub>
            <m:r>
              <w:rPr>
                <w:rFonts w:ascii="Cambria Math" w:hAnsi="Cambria Math"/>
                <w:sz w:val="22"/>
              </w:rPr>
              <m:t xml:space="preserve"> LnRevenue</m:t>
            </m:r>
          </m:e>
          <m:sub>
            <m:r>
              <w:rPr>
                <w:rFonts w:ascii="Cambria Math" w:hAnsi="Cambria Math"/>
                <w:sz w:val="22"/>
              </w:rPr>
              <m:t>i,t</m:t>
            </m:r>
          </m:sub>
        </m:sSub>
        <m:r>
          <w:rPr>
            <w:rFonts w:ascii="Cambria Math" w:hAnsi="Cambria Math"/>
            <w:sz w:val="22"/>
          </w:rPr>
          <m:t>+</m:t>
        </m:r>
        <m:sSub>
          <m:sSubPr>
            <m:ctrlPr>
              <w:rPr>
                <w:rFonts w:ascii="Cambria Math" w:hAnsi="Cambria Math"/>
                <w:sz w:val="22"/>
              </w:rPr>
            </m:ctrlPr>
          </m:sSubPr>
          <m:e>
            <m:r>
              <w:rPr>
                <w:rFonts w:ascii="Cambria Math" w:hAnsi="Cambria Math"/>
                <w:sz w:val="22"/>
              </w:rPr>
              <m:t>β</m:t>
            </m:r>
          </m:e>
          <m:sub>
            <m:r>
              <w:rPr>
                <w:rFonts w:ascii="Cambria Math" w:hAnsi="Cambria Math"/>
                <w:sz w:val="22"/>
              </w:rPr>
              <m:t>10</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Leverage</m:t>
            </m:r>
          </m:e>
          <m:sub>
            <m:r>
              <w:rPr>
                <w:rFonts w:ascii="Cambria Math" w:hAnsi="Cambria Math"/>
                <w:sz w:val="22"/>
              </w:rPr>
              <m:t>i,t</m:t>
            </m:r>
          </m:sub>
        </m:sSub>
        <m:r>
          <w:rPr>
            <w:rFonts w:ascii="Cambria Math" w:hAnsi="Cambria Math"/>
            <w:sz w:val="22"/>
          </w:rPr>
          <m:t>+</m:t>
        </m:r>
        <m:sSub>
          <m:sSubPr>
            <m:ctrlPr>
              <w:rPr>
                <w:rFonts w:ascii="Cambria Math" w:hAnsi="Cambria Math"/>
                <w:i/>
                <w:sz w:val="22"/>
              </w:rPr>
            </m:ctrlPr>
          </m:sSubPr>
          <m:e>
            <m:r>
              <w:rPr>
                <w:rFonts w:ascii="Cambria Math" w:hAnsi="Cambria Math"/>
                <w:sz w:val="22"/>
              </w:rPr>
              <m:t>u</m:t>
            </m:r>
          </m:e>
          <m:sub>
            <m:r>
              <w:rPr>
                <w:rFonts w:ascii="Cambria Math" w:hAnsi="Cambria Math"/>
                <w:sz w:val="22"/>
              </w:rPr>
              <m:t>i,j,k,t</m:t>
            </m:r>
          </m:sub>
        </m:sSub>
        <m:r>
          <w:rPr>
            <w:rFonts w:ascii="Cambria Math" w:hAnsi="Cambria Math"/>
            <w:sz w:val="22"/>
          </w:rPr>
          <m:t xml:space="preserve">    (1)</m:t>
        </m:r>
      </m:oMath>
      <w:r w:rsidR="00047F4C" w:rsidRPr="00047F4C">
        <w:rPr>
          <w:i/>
          <w:sz w:val="22"/>
        </w:rPr>
        <w:t xml:space="preserve">     </w:t>
      </w:r>
    </w:p>
    <w:p w14:paraId="2BB90E08" w14:textId="1A112953" w:rsidR="00047F4C" w:rsidRPr="00047F4C" w:rsidRDefault="00047F4C" w:rsidP="00047F4C">
      <w:r w:rsidRPr="00047F4C">
        <w:t xml:space="preserve">In the above equation, labour share is our dependent variable measured as labour expenses divided by value added in each firm year. The model includes a lagged dependent variable to reflect the persistence of labour share over time </w:t>
      </w:r>
      <w:r w:rsidRPr="00047F4C">
        <w:fldChar w:fldCharType="begin" w:fldLock="1"/>
      </w:r>
      <w:r w:rsidR="00BA76AC">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share","type":"article-journal","volume":"3"},"uris":["http://www.mendeley.com/documents/?uuid=33b0cf32-68b0-3107-ab54-3977103c4d5d"]}],"mendeley":{"formattedCitation":"(Bentolila &amp; Saint-Paul, 2003)","plainTextFormattedCitation":"(Bentolila &amp; Saint-Paul, 2003)","previouslyFormattedCitation":"(Bentolila and Saint-Paul 2003)"},"properties":{"noteIndex":0},"schema":"https://github.com/citation-style-language/schema/raw/master/csl-citation.json"}</w:instrText>
      </w:r>
      <w:r w:rsidRPr="00047F4C">
        <w:fldChar w:fldCharType="separate"/>
      </w:r>
      <w:r w:rsidR="00BA76AC" w:rsidRPr="00BA76AC">
        <w:rPr>
          <w:noProof/>
        </w:rPr>
        <w:t xml:space="preserve">(Bentolila </w:t>
      </w:r>
      <w:r w:rsidR="00F25C01">
        <w:rPr>
          <w:noProof/>
        </w:rPr>
        <w:t>and</w:t>
      </w:r>
      <w:r w:rsidR="00BA76AC" w:rsidRPr="00BA76AC">
        <w:rPr>
          <w:noProof/>
        </w:rPr>
        <w:t xml:space="preserve"> Saint-Paul, 2003)</w:t>
      </w:r>
      <w:r w:rsidRPr="00047F4C">
        <w:fldChar w:fldCharType="end"/>
      </w:r>
      <w:r w:rsidRPr="00047F4C">
        <w:t xml:space="preserve">. Subscript </w:t>
      </w:r>
      <w:proofErr w:type="spellStart"/>
      <w:r w:rsidRPr="00047F4C">
        <w:rPr>
          <w:i/>
          <w:iCs/>
        </w:rPr>
        <w:t>i</w:t>
      </w:r>
      <w:proofErr w:type="spellEnd"/>
      <w:r w:rsidRPr="00047F4C">
        <w:rPr>
          <w:i/>
          <w:iCs/>
        </w:rPr>
        <w:t xml:space="preserve"> </w:t>
      </w:r>
      <w:r w:rsidRPr="00047F4C">
        <w:t xml:space="preserve">is the firm identifier, </w:t>
      </w:r>
      <w:r w:rsidRPr="00047F4C">
        <w:rPr>
          <w:i/>
          <w:iCs/>
        </w:rPr>
        <w:t xml:space="preserve">j </w:t>
      </w:r>
      <w:r w:rsidRPr="00047F4C">
        <w:t>is the industry identifier, defined using a two-digit Global Industry Classification Standard (</w:t>
      </w:r>
      <w:r w:rsidRPr="00047F4C">
        <w:rPr>
          <w:i/>
          <w:iCs/>
        </w:rPr>
        <w:t>GICS</w:t>
      </w:r>
      <w:r w:rsidRPr="00047F4C">
        <w:t xml:space="preserve">) code, </w:t>
      </w:r>
      <w:r w:rsidRPr="00047F4C">
        <w:rPr>
          <w:i/>
          <w:iCs/>
        </w:rPr>
        <w:t xml:space="preserve">k </w:t>
      </w:r>
      <w:r w:rsidRPr="00047F4C">
        <w:t xml:space="preserve">is the region identifier, </w:t>
      </w:r>
      <w:r w:rsidRPr="00047F4C">
        <w:rPr>
          <w:i/>
          <w:iCs/>
        </w:rPr>
        <w:t xml:space="preserve">t </w:t>
      </w:r>
      <w:r w:rsidRPr="00047F4C">
        <w:t xml:space="preserve">is the fiscal year, and u is an error term that contains region, industry, firm and year fixed effect. </w:t>
      </w:r>
    </w:p>
    <w:p w14:paraId="755C1C60" w14:textId="150B1044" w:rsidR="00047F4C" w:rsidRPr="00047F4C" w:rsidRDefault="00000000" w:rsidP="00047F4C">
      <w:pPr>
        <w:rPr>
          <w:sz w:val="22"/>
        </w:rPr>
      </w:pPr>
      <m:oMathPara>
        <m:oMathParaPr>
          <m:jc m:val="left"/>
        </m:oMathParaPr>
        <m:oMath>
          <m:sSub>
            <m:sSubPr>
              <m:ctrlPr>
                <w:rPr>
                  <w:rFonts w:ascii="Cambria Math" w:hAnsi="Cambria Math"/>
                  <w:i/>
                  <w:sz w:val="22"/>
                </w:rPr>
              </m:ctrlPr>
            </m:sSubPr>
            <m:e>
              <m:r>
                <w:rPr>
                  <w:rFonts w:ascii="Cambria Math" w:hAnsi="Cambria Math"/>
                  <w:sz w:val="22"/>
                </w:rPr>
                <m:t>u</m:t>
              </m:r>
            </m:e>
            <m:sub>
              <m:r>
                <w:rPr>
                  <w:rFonts w:ascii="Cambria Math" w:hAnsi="Cambria Math"/>
                  <w:sz w:val="22"/>
                </w:rPr>
                <m:t>i,j,k,t</m:t>
              </m:r>
            </m:sub>
          </m:sSub>
          <m:r>
            <w:rPr>
              <w:rFonts w:ascii="Cambria Math" w:hAnsi="Cambria Math"/>
              <w:sz w:val="22"/>
            </w:rPr>
            <m:t>=</m:t>
          </m:r>
          <m:sSub>
            <m:sSubPr>
              <m:ctrlPr>
                <w:rPr>
                  <w:rFonts w:ascii="Cambria Math" w:hAnsi="Cambria Math"/>
                  <w:i/>
                  <w:sz w:val="22"/>
                </w:rPr>
              </m:ctrlPr>
            </m:sSubPr>
            <m:e>
              <m:r>
                <w:rPr>
                  <w:rFonts w:ascii="Cambria Math" w:hAnsi="Cambria Math"/>
                  <w:sz w:val="22"/>
                </w:rPr>
                <m:t>θ</m:t>
              </m:r>
            </m:e>
            <m:sub>
              <m:r>
                <w:rPr>
                  <w:rFonts w:ascii="Cambria Math" w:hAnsi="Cambria Math"/>
                  <w:sz w:val="22"/>
                </w:rPr>
                <m:t>k,j,i,t</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ε</m:t>
              </m:r>
            </m:e>
            <m:sub>
              <m:r>
                <w:rPr>
                  <w:rFonts w:ascii="Cambria Math" w:hAnsi="Cambria Math"/>
                  <w:sz w:val="22"/>
                </w:rPr>
                <m:t>i,t</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γ</m:t>
              </m:r>
            </m:e>
            <m:sub>
              <m:r>
                <w:rPr>
                  <w:rFonts w:ascii="Cambria Math" w:hAnsi="Cambria Math"/>
                  <w:sz w:val="22"/>
                </w:rPr>
                <m:t>k</m:t>
              </m:r>
            </m:sub>
          </m:sSub>
          <m:r>
            <w:rPr>
              <w:rFonts w:ascii="Cambria Math" w:hAnsi="Cambria Math"/>
              <w:sz w:val="22"/>
            </w:rPr>
            <m:t>+</m:t>
          </m:r>
          <m:sSub>
            <m:sSubPr>
              <m:ctrlPr>
                <w:rPr>
                  <w:rFonts w:ascii="Cambria Math" w:hAnsi="Cambria Math"/>
                  <w:i/>
                  <w:sz w:val="22"/>
                </w:rPr>
              </m:ctrlPr>
            </m:sSubPr>
            <m:e>
              <m:r>
                <w:rPr>
                  <w:rFonts w:ascii="Cambria Math" w:hAnsi="Cambria Math"/>
                  <w:sz w:val="22"/>
                </w:rPr>
                <m:t>δ</m:t>
              </m:r>
            </m:e>
            <m:sub>
              <m:r>
                <w:rPr>
                  <w:rFonts w:ascii="Cambria Math" w:hAnsi="Cambria Math"/>
                  <w:sz w:val="22"/>
                </w:rPr>
                <m:t>j</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μ</m:t>
              </m:r>
            </m:e>
            <m:sub>
              <m:r>
                <w:rPr>
                  <w:rFonts w:ascii="Cambria Math" w:hAnsi="Cambria Math"/>
                  <w:sz w:val="22"/>
                </w:rPr>
                <m:t>i</m:t>
              </m:r>
            </m:sub>
          </m:sSub>
          <m:r>
            <w:rPr>
              <w:rFonts w:ascii="Cambria Math" w:hAnsi="Cambria Math"/>
              <w:sz w:val="22"/>
            </w:rPr>
            <m:t>+</m:t>
          </m:r>
          <m:sSub>
            <m:sSubPr>
              <m:ctrlPr>
                <w:rPr>
                  <w:rFonts w:ascii="Cambria Math" w:hAnsi="Cambria Math"/>
                  <w:i/>
                  <w:sz w:val="22"/>
                </w:rPr>
              </m:ctrlPr>
            </m:sSubPr>
            <m:e>
              <m:r>
                <w:rPr>
                  <w:rFonts w:ascii="Cambria Math" w:hAnsi="Cambria Math"/>
                  <w:sz w:val="22"/>
                </w:rPr>
                <m:t>τ</m:t>
              </m:r>
            </m:e>
            <m:sub>
              <m:r>
                <w:rPr>
                  <w:rFonts w:ascii="Cambria Math" w:hAnsi="Cambria Math"/>
                  <w:sz w:val="22"/>
                </w:rPr>
                <m:t>t</m:t>
              </m:r>
            </m:sub>
          </m:sSub>
          <m:r>
            <w:rPr>
              <w:rFonts w:ascii="Cambria Math" w:hAnsi="Cambria Math"/>
              <w:sz w:val="22"/>
            </w:rPr>
            <m:t>+</m:t>
          </m:r>
          <m:sSub>
            <m:sSubPr>
              <m:ctrlPr>
                <w:rPr>
                  <w:rFonts w:ascii="Cambria Math" w:hAnsi="Cambria Math"/>
                  <w:i/>
                  <w:sz w:val="22"/>
                </w:rPr>
              </m:ctrlPr>
            </m:sSubPr>
            <m:e>
              <m:r>
                <w:rPr>
                  <w:rFonts w:ascii="Cambria Math" w:hAnsi="Cambria Math"/>
                  <w:sz w:val="22"/>
                </w:rPr>
                <m:t>ε</m:t>
              </m:r>
            </m:e>
            <m:sub>
              <m:r>
                <w:rPr>
                  <w:rFonts w:ascii="Cambria Math" w:hAnsi="Cambria Math"/>
                  <w:sz w:val="22"/>
                </w:rPr>
                <m:t>i,t</m:t>
              </m:r>
            </m:sub>
          </m:sSub>
        </m:oMath>
      </m:oMathPara>
    </w:p>
    <w:p w14:paraId="69B9760D" w14:textId="76E86767" w:rsidR="00047F4C" w:rsidRPr="00047F4C" w:rsidRDefault="00047F4C" w:rsidP="00047F4C">
      <w:r w:rsidRPr="00047F4C">
        <w:t xml:space="preserve">Where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Pr="00047F4C">
        <w:t xml:space="preserve"> assumed to be independent and identically distributed with mean zero and constant variance.</w:t>
      </w:r>
    </w:p>
    <w:p w14:paraId="0AF2AF36" w14:textId="48B5390F" w:rsidR="00047F4C" w:rsidRPr="00047F4C" w:rsidRDefault="00047F4C" w:rsidP="00047F4C">
      <w:r w:rsidRPr="00047F4C">
        <w:t>Three main labour share drivers in our equation are technological progress, product market power and labour market power. Technological progress is included into our model by using two proxies, capital to value-added ratio (</w:t>
      </w:r>
      <w:proofErr w:type="spellStart"/>
      <w:r w:rsidRPr="00047F4C">
        <w:rPr>
          <w:i/>
          <w:iCs/>
        </w:rPr>
        <w:t>LnCapital</w:t>
      </w:r>
      <w:proofErr w:type="spellEnd"/>
      <w:r w:rsidRPr="00047F4C">
        <w:rPr>
          <w:i/>
          <w:iCs/>
        </w:rPr>
        <w:t>/</w:t>
      </w:r>
      <w:proofErr w:type="spellStart"/>
      <w:proofErr w:type="gramStart"/>
      <w:r w:rsidRPr="00047F4C">
        <w:rPr>
          <w:i/>
          <w:iCs/>
        </w:rPr>
        <w:t>VA</w:t>
      </w:r>
      <w:r w:rsidRPr="00047F4C">
        <w:rPr>
          <w:i/>
          <w:iCs/>
          <w:vertAlign w:val="subscript"/>
        </w:rPr>
        <w:t>i,t</w:t>
      </w:r>
      <w:proofErr w:type="spellEnd"/>
      <w:proofErr w:type="gramEnd"/>
      <w:r w:rsidRPr="00047F4C">
        <w:t>) and Total Factor Productivity (</w:t>
      </w:r>
      <w:proofErr w:type="spellStart"/>
      <w:r w:rsidRPr="00047F4C">
        <w:rPr>
          <w:i/>
          <w:iCs/>
        </w:rPr>
        <w:t>TFP</w:t>
      </w:r>
      <w:r w:rsidRPr="00047F4C">
        <w:rPr>
          <w:i/>
          <w:iCs/>
          <w:vertAlign w:val="subscript"/>
        </w:rPr>
        <w:t>i,t</w:t>
      </w:r>
      <w:proofErr w:type="spellEnd"/>
      <w:r w:rsidRPr="00047F4C">
        <w:t xml:space="preserve">). Following </w:t>
      </w:r>
      <w:r w:rsidRPr="00047F4C">
        <w:fldChar w:fldCharType="begin" w:fldLock="1"/>
      </w:r>
      <w:r w:rsidR="00BA76AC">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id":"ITEM-2","itemData":{"DOI":"doi:10.2202/1534-6005.1103","author":[{"dropping-particle":"","family":"Bentolila","given":"Samuel","non-dropping-particle":"","parse-names":false,"suffix":""},{"dropping-particle":"","family":"Saint-Paul","given":"Gilles","non-dropping-particle":"","parse-names":false,"suffix":""}],"container-title":"Contributions in Macroeconomics","id":"ITEM-2","issue":"1","issued":{"date-parts":[["2003"]]},"title":"Explaining movements in the labor share","type":"article-journal","volume":"3"},"uris":["http://www.mendeley.com/documents/?uuid=33b0cf32-68b0-3107-ab54-3977103c4d5d"]},{"id":"ITEM-3","itemData":{"DOI":"10.3386/W28579","author":[{"dropping-particle":"","family":"Hubmer","given":"Joachim","non-dropping-particle":"","parse-names":false,"suffix":""},{"dropping-particle":"","family":"Restrepo","given":"Pascual","non-dropping-particle":"","parse-names":false,"suffix":""}],"id":"ITEM-3","issued":{"date-parts":[["2021","3","22"]]},"number":"w28579","publisher-place":"Cambridge","title":"Not a typical firm: The joint dynamics of firms, labor shares, and capital–labor substitution","type":"report"},"uris":["http://www.mendeley.com/documents/?uuid=d8b33b33-265f-3558-8422-8bf7a00520c8"]}],"mendeley":{"formattedCitation":"(Autor et al., 2020; Bentolila &amp; Saint-Paul, 2003; Hubmer &amp; Restrepo, 2021)","manualFormatting":"Bentolila and Saint-Paul (2003) and Autor et al. (2020),","plainTextFormattedCitation":"(Autor et al., 2020; Bentolila &amp; Saint-Paul, 2003; Hubmer &amp; Restrepo, 2021)","previouslyFormattedCitation":"(Bentolila and Saint-Paul 2003; Autor et al. 2020; Hubmer and Restrepo 2021)"},"properties":{"noteIndex":0},"schema":"https://github.com/citation-style-language/schema/raw/master/csl-citation.json"}</w:instrText>
      </w:r>
      <w:r w:rsidRPr="00047F4C">
        <w:fldChar w:fldCharType="separate"/>
      </w:r>
      <w:r w:rsidRPr="00047F4C">
        <w:rPr>
          <w:noProof/>
        </w:rPr>
        <w:t>Bentolila and Saint-Paul (2003) and Autor et al. (2020),</w:t>
      </w:r>
      <w:r w:rsidRPr="00047F4C">
        <w:fldChar w:fldCharType="end"/>
      </w:r>
      <w:r w:rsidRPr="00047F4C">
        <w:t xml:space="preserve"> </w:t>
      </w:r>
      <w:proofErr w:type="spellStart"/>
      <w:r w:rsidRPr="00047F4C">
        <w:rPr>
          <w:i/>
          <w:iCs/>
        </w:rPr>
        <w:t>LnCapital</w:t>
      </w:r>
      <w:proofErr w:type="spellEnd"/>
      <w:r w:rsidRPr="00047F4C">
        <w:rPr>
          <w:i/>
          <w:iCs/>
        </w:rPr>
        <w:t>/</w:t>
      </w:r>
      <w:proofErr w:type="spellStart"/>
      <w:r w:rsidRPr="00047F4C">
        <w:rPr>
          <w:i/>
          <w:iCs/>
        </w:rPr>
        <w:t>VA</w:t>
      </w:r>
      <w:r w:rsidRPr="00047F4C">
        <w:rPr>
          <w:i/>
          <w:iCs/>
          <w:vertAlign w:val="subscript"/>
        </w:rPr>
        <w:t>i,t</w:t>
      </w:r>
      <w:proofErr w:type="spellEnd"/>
      <w:r w:rsidRPr="00047F4C">
        <w:t xml:space="preserve"> is measured as the natural logarithm of gross property, plant and equipment to value-added ratio. </w:t>
      </w:r>
      <w:r w:rsidRPr="00047F4C">
        <w:lastRenderedPageBreak/>
        <w:t xml:space="preserve">Based on </w:t>
      </w:r>
      <w:proofErr w:type="spellStart"/>
      <w:r w:rsidRPr="00047F4C">
        <w:t>Bentolila</w:t>
      </w:r>
      <w:proofErr w:type="spellEnd"/>
      <w:r w:rsidRPr="00047F4C">
        <w:t xml:space="preserve"> and Saint-Paul's (2003) model, </w:t>
      </w:r>
      <w:proofErr w:type="spellStart"/>
      <w:r w:rsidRPr="00047F4C">
        <w:rPr>
          <w:i/>
          <w:iCs/>
        </w:rPr>
        <w:t>LnCapital</w:t>
      </w:r>
      <w:proofErr w:type="spellEnd"/>
      <w:r w:rsidRPr="00047F4C">
        <w:rPr>
          <w:i/>
          <w:iCs/>
        </w:rPr>
        <w:t>/</w:t>
      </w:r>
      <w:proofErr w:type="spellStart"/>
      <w:proofErr w:type="gramStart"/>
      <w:r w:rsidRPr="00047F4C">
        <w:rPr>
          <w:i/>
          <w:iCs/>
        </w:rPr>
        <w:t>VA</w:t>
      </w:r>
      <w:r w:rsidRPr="00047F4C">
        <w:rPr>
          <w:i/>
          <w:iCs/>
          <w:vertAlign w:val="subscript"/>
        </w:rPr>
        <w:t>i,t</w:t>
      </w:r>
      <w:proofErr w:type="spellEnd"/>
      <w:proofErr w:type="gramEnd"/>
      <w:r w:rsidRPr="00047F4C">
        <w:t xml:space="preserve"> and </w:t>
      </w:r>
      <w:proofErr w:type="spellStart"/>
      <w:r w:rsidRPr="00047F4C">
        <w:rPr>
          <w:i/>
          <w:iCs/>
        </w:rPr>
        <w:t>TFP</w:t>
      </w:r>
      <w:r w:rsidRPr="00047F4C">
        <w:rPr>
          <w:i/>
          <w:iCs/>
          <w:vertAlign w:val="subscript"/>
        </w:rPr>
        <w:t>i,t</w:t>
      </w:r>
      <w:proofErr w:type="spellEnd"/>
      <w:r w:rsidRPr="00047F4C">
        <w:t xml:space="preserve"> can be negatively or positively associated with labour share. If labour and capital are complements (negative elasticity of substitution), increasing </w:t>
      </w:r>
      <w:proofErr w:type="spellStart"/>
      <w:r w:rsidRPr="00047F4C">
        <w:rPr>
          <w:i/>
          <w:iCs/>
        </w:rPr>
        <w:t>LnCapital</w:t>
      </w:r>
      <w:proofErr w:type="spellEnd"/>
      <w:r w:rsidRPr="00047F4C">
        <w:rPr>
          <w:i/>
          <w:iCs/>
        </w:rPr>
        <w:t>/</w:t>
      </w:r>
      <w:proofErr w:type="spellStart"/>
      <w:proofErr w:type="gramStart"/>
      <w:r w:rsidRPr="00047F4C">
        <w:rPr>
          <w:i/>
          <w:iCs/>
        </w:rPr>
        <w:t>VA</w:t>
      </w:r>
      <w:r w:rsidRPr="00047F4C">
        <w:rPr>
          <w:i/>
          <w:iCs/>
          <w:vertAlign w:val="subscript"/>
        </w:rPr>
        <w:t>i,t</w:t>
      </w:r>
      <w:proofErr w:type="spellEnd"/>
      <w:proofErr w:type="gramEnd"/>
      <w:r w:rsidRPr="00047F4C">
        <w:t xml:space="preserve"> or </w:t>
      </w:r>
      <w:proofErr w:type="spellStart"/>
      <w:r w:rsidRPr="00047F4C">
        <w:rPr>
          <w:i/>
          <w:iCs/>
        </w:rPr>
        <w:t>TFP</w:t>
      </w:r>
      <w:r w:rsidRPr="00047F4C">
        <w:rPr>
          <w:i/>
          <w:iCs/>
          <w:vertAlign w:val="subscript"/>
        </w:rPr>
        <w:t>i,t</w:t>
      </w:r>
      <w:proofErr w:type="spellEnd"/>
      <w:r w:rsidRPr="00047F4C">
        <w:t xml:space="preserve"> increases labour share. The converse applies if labour and capital are substitutes.</w:t>
      </w:r>
      <w:r w:rsidRPr="00047F4C">
        <w:rPr>
          <w:vertAlign w:val="superscript"/>
        </w:rPr>
        <w:footnoteReference w:id="2"/>
      </w:r>
      <w:r w:rsidRPr="00047F4C">
        <w:t xml:space="preserve"> Therefore, we would expect a lower labour share in firms with higher technological progress if labour and capital are substitutes. Regarding product market power, we include firm-level mark-up (</w:t>
      </w:r>
      <w:proofErr w:type="spellStart"/>
      <w:r w:rsidRPr="00047F4C">
        <w:rPr>
          <w:i/>
          <w:iCs/>
        </w:rPr>
        <w:t>LnMarkup</w:t>
      </w:r>
      <w:proofErr w:type="spellEnd"/>
      <w:r w:rsidRPr="00047F4C">
        <w:t xml:space="preserve">), measured by </w:t>
      </w:r>
      <w:r w:rsidRPr="00047F4C">
        <w:fldChar w:fldCharType="begin" w:fldLock="1"/>
      </w:r>
      <w:r w:rsidR="00BA76AC">
        <w:instrText>ADDIN CSL_CITATION {"citationItems":[{"id":"ITEM-1","itemData":{"DOI":"10.1093/QJE/QJZ041","ISSN":"0033-5533","abstract":"We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Economics","id":"ITEM-1","issue":"2","issued":{"date-parts":[["2020","5","1"]]},"page":"561-644","publisher":"Oxford Academic","title":"The rise of market power and the macroeconomic implications","type":"article-journal","volume":"135"},"uris":["http://www.mendeley.com/documents/?uuid=c39dfd08-2bf8-3731-af07-bfbbc25c76de"]}],"mendeley":{"formattedCitation":"(De Loecker et al., 2020)","manualFormatting":"De Loecker et al.'s (2020)","plainTextFormattedCitation":"(De Loecker et al., 2020)","previouslyFormattedCitation":"(De Loecker, Eeckhout, and Unger 2020)"},"properties":{"noteIndex":0},"schema":"https://github.com/citation-style-language/schema/raw/master/csl-citation.json"}</w:instrText>
      </w:r>
      <w:r w:rsidRPr="00047F4C">
        <w:fldChar w:fldCharType="separate"/>
      </w:r>
      <w:r w:rsidRPr="00047F4C">
        <w:rPr>
          <w:noProof/>
        </w:rPr>
        <w:t>De Loecker et al.'s (2020)</w:t>
      </w:r>
      <w:r w:rsidRPr="00047F4C">
        <w:fldChar w:fldCharType="end"/>
      </w:r>
      <w:r w:rsidRPr="00047F4C">
        <w:t xml:space="preserve"> approach, in our equation. Lastly, labour market power is included using two proxies, labour market concentration (</w:t>
      </w:r>
      <w:proofErr w:type="spellStart"/>
      <w:r w:rsidRPr="00047F4C">
        <w:rPr>
          <w:i/>
          <w:iCs/>
        </w:rPr>
        <w:t>HHIEmp</w:t>
      </w:r>
      <w:proofErr w:type="spellEnd"/>
      <w:r w:rsidRPr="00047F4C">
        <w:t>) and union membership (</w:t>
      </w:r>
      <w:r w:rsidRPr="00047F4C">
        <w:rPr>
          <w:i/>
          <w:iCs/>
        </w:rPr>
        <w:t>Union</w:t>
      </w:r>
      <w:r w:rsidRPr="00047F4C">
        <w:t xml:space="preserve">). </w:t>
      </w:r>
    </w:p>
    <w:p w14:paraId="1B385FF8" w14:textId="3B7C6813" w:rsidR="00047F4C" w:rsidRPr="00047F4C" w:rsidRDefault="00047F4C" w:rsidP="00047F4C">
      <w:r w:rsidRPr="00047F4C">
        <w:t>In addition to these three channels, we control the effect of labour adjustment cost (</w:t>
      </w:r>
      <w:proofErr w:type="spellStart"/>
      <w:r w:rsidRPr="00047F4C">
        <w:rPr>
          <w:i/>
          <w:iCs/>
        </w:rPr>
        <w:t>delta.LnEmpNum</w:t>
      </w:r>
      <w:proofErr w:type="spellEnd"/>
      <w:r w:rsidRPr="00047F4C">
        <w:t xml:space="preserve">) by the growth rate of the number of employees, following </w:t>
      </w:r>
      <w:r w:rsidRPr="00047F4C">
        <w:fldChar w:fldCharType="begin" w:fldLock="1"/>
      </w:r>
      <w:r w:rsidR="00BA76AC">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share","type":"article-journal","volume":"3"},"uris":["http://www.mendeley.com/documents/?uuid=33b0cf32-68b0-3107-ab54-3977103c4d5d"]}],"mendeley":{"formattedCitation":"(Bentolila &amp; Saint-Paul, 2003)","manualFormatting":"Bentolila and Saint-Paul (2003)","plainTextFormattedCitation":"(Bentolila &amp; Saint-Paul, 2003)","previouslyFormattedCitation":"(Bentolila and Saint-Paul 2003)"},"properties":{"noteIndex":0},"schema":"https://github.com/citation-style-language/schema/raw/master/csl-citation.json"}</w:instrText>
      </w:r>
      <w:r w:rsidRPr="00047F4C">
        <w:fldChar w:fldCharType="separate"/>
      </w:r>
      <w:r w:rsidRPr="00047F4C">
        <w:rPr>
          <w:noProof/>
        </w:rPr>
        <w:t>Bentolila and Saint-Paul (2003)</w:t>
      </w:r>
      <w:r w:rsidRPr="00047F4C">
        <w:fldChar w:fldCharType="end"/>
      </w:r>
      <w:r w:rsidRPr="00047F4C">
        <w:t>. Firm size (</w:t>
      </w:r>
      <w:proofErr w:type="spellStart"/>
      <w:r w:rsidRPr="00047F4C">
        <w:rPr>
          <w:i/>
          <w:iCs/>
        </w:rPr>
        <w:t>LnRevenue</w:t>
      </w:r>
      <w:proofErr w:type="spellEnd"/>
      <w:r w:rsidRPr="00047F4C">
        <w:t>), firm age (</w:t>
      </w:r>
      <w:proofErr w:type="spellStart"/>
      <w:r w:rsidRPr="00047F4C">
        <w:rPr>
          <w:i/>
          <w:iCs/>
        </w:rPr>
        <w:t>LnAge</w:t>
      </w:r>
      <w:proofErr w:type="spellEnd"/>
      <w:r w:rsidRPr="00047F4C">
        <w:t>) and book to market ratio (</w:t>
      </w:r>
      <w:r w:rsidRPr="00047F4C">
        <w:rPr>
          <w:i/>
          <w:iCs/>
        </w:rPr>
        <w:t>BTM</w:t>
      </w:r>
      <w:r w:rsidRPr="00047F4C">
        <w:t>) are included to measure the complexity of a firm's operation and growth opportunities. The capital structure (</w:t>
      </w:r>
      <w:r w:rsidRPr="00047F4C">
        <w:rPr>
          <w:i/>
          <w:iCs/>
        </w:rPr>
        <w:t>Leverage</w:t>
      </w:r>
      <w:r w:rsidRPr="00047F4C">
        <w:t xml:space="preserve">), measured by total debt scaled by total assets, is also included. </w:t>
      </w:r>
      <w:r w:rsidRPr="00047F4C">
        <w:rPr>
          <w:i/>
          <w:iCs/>
        </w:rPr>
        <w:t>Leverage</w:t>
      </w:r>
      <w:r w:rsidRPr="00047F4C">
        <w:t xml:space="preserve"> may be negatively associated with compensation because it decreases companies' ability to make their payroll. However, leverage can be positively correlated with compensation since potential bankruptcy costs arising from high leverage should be compensated by higher pay.</w:t>
      </w:r>
    </w:p>
    <w:p w14:paraId="5CC66D28" w14:textId="2D18EB2F" w:rsidR="00047F4C" w:rsidRPr="00047F4C" w:rsidRDefault="00047F4C" w:rsidP="00047F4C">
      <w:r w:rsidRPr="00047F4C">
        <w:t>A potential problem arises when estimating the above equations. As discussed in the literature, the inclusion of the lagged dependent variable in the empirical model implies a correlation between the regressors and the error term, since lagged labour share depends on</w:t>
      </w:r>
      <m:oMath>
        <m:sSub>
          <m:sSubPr>
            <m:ctrlPr>
              <w:rPr>
                <w:rFonts w:ascii="Cambria Math" w:hAnsi="Cambria Math"/>
                <w:i/>
              </w:rPr>
            </m:ctrlPr>
          </m:sSubPr>
          <m:e>
            <m:r>
              <w:rPr>
                <w:rFonts w:ascii="Cambria Math" w:hAnsi="Cambria Math"/>
              </w:rPr>
              <m:t xml:space="preserve"> u</m:t>
            </m:r>
          </m:e>
          <m:sub>
            <m:r>
              <w:rPr>
                <w:rFonts w:ascii="Cambria Math" w:hAnsi="Cambria Math"/>
              </w:rPr>
              <m:t>i,j,k,t-1</m:t>
            </m:r>
          </m:sub>
        </m:sSub>
      </m:oMath>
      <w:r w:rsidRPr="00047F4C">
        <w:t xml:space="preserve">, a function of the region, </w:t>
      </w:r>
      <w:r w:rsidR="005C7194" w:rsidRPr="00047F4C">
        <w:t>industry,</w:t>
      </w:r>
      <w:r w:rsidRPr="00047F4C">
        <w:t xml:space="preserve"> and firm fixed effect, which could bias the coefficient estimates.</w:t>
      </w:r>
      <w:r w:rsidR="005C7194">
        <w:t xml:space="preserve"> </w:t>
      </w:r>
      <w:r w:rsidRPr="00047F4C">
        <w:t xml:space="preserve">In addition, region, </w:t>
      </w:r>
      <w:r w:rsidR="005C7194" w:rsidRPr="00047F4C">
        <w:t>industry,</w:t>
      </w:r>
      <w:r w:rsidRPr="00047F4C">
        <w:t xml:space="preserve"> and firm fixed effect are potentially correlated with our explanatory variables. As a result, the lag dependent variable endogeneity consideration, using standard two-stage least squares regressions and instruments for labour share, may bias our estimation since it does not control for the endogeneity of other explanatory variables. Therefore, the appropriate way to control the endogeneity problem is to use instrument variables that are not subject to reverse causality for all variables of interest. However, this method seems hardly possible since this would require exogenous variables for all the potentially endogenous drivers of the labour share. </w:t>
      </w:r>
    </w:p>
    <w:p w14:paraId="43567CFC" w14:textId="6957F09C" w:rsidR="00047F4C" w:rsidRPr="00047F4C" w:rsidRDefault="00047F4C" w:rsidP="00047F4C">
      <w:r w:rsidRPr="00047F4C">
        <w:t xml:space="preserve">Thus, the preferred estimator in this case, following other studies in this stream of literature </w:t>
      </w:r>
      <w:r w:rsidRPr="00047F4C">
        <w:fldChar w:fldCharType="begin" w:fldLock="1"/>
      </w:r>
      <w:r w:rsidR="00BA76AC">
        <w:instrText>ADDIN CSL_CITATION {"citationItems":[{"id":"ITEM-1","itemData":{"DOI":"doi:10.2202/1534-6005.1103","author":[{"dropping-particle":"","family":"Bentolila","given":"Samuel","non-dropping-particle":"","parse-names":false,"suffix":""},{"dropping-particle":"","family":"Saint-Paul","given":"Gilles","non-dropping-particle":"","parse-names":false,"suffix":""}],"container-title":"Contributions in Macroeconomics","id":"ITEM-1","issue":"1","issued":{"date-parts":[["2003"]]},"title":"Explaining movements in the labor share","type":"article-journal","volume":"3"},"uris":["http://www.mendeley.com/documents/?uuid=33b0cf32-68b0-3107-ab54-3977103c4d5d"]}],"mendeley":{"formattedCitation":"(Bentolila &amp; Saint-Paul, 2003)","manualFormatting":"(e.g., Bentolila &amp; Saint-Paul, 2003)","plainTextFormattedCitation":"(Bentolila &amp; Saint-Paul, 2003)","previouslyFormattedCitation":"(Bentolila and Saint-Paul 2003)"},"properties":{"noteIndex":0},"schema":"https://github.com/citation-style-language/schema/raw/master/csl-citation.json"}</w:instrText>
      </w:r>
      <w:r w:rsidRPr="00047F4C">
        <w:fldChar w:fldCharType="separate"/>
      </w:r>
      <w:r w:rsidRPr="00047F4C">
        <w:rPr>
          <w:noProof/>
        </w:rPr>
        <w:t xml:space="preserve">(e.g., Bentolila </w:t>
      </w:r>
      <w:r w:rsidR="00F25C01">
        <w:rPr>
          <w:noProof/>
        </w:rPr>
        <w:t>and</w:t>
      </w:r>
      <w:r w:rsidRPr="00047F4C">
        <w:rPr>
          <w:noProof/>
        </w:rPr>
        <w:t xml:space="preserve"> Saint-Paul, 2003)</w:t>
      </w:r>
      <w:r w:rsidRPr="00047F4C">
        <w:fldChar w:fldCharType="end"/>
      </w:r>
      <w:r w:rsidRPr="00047F4C">
        <w:t>, is the “system generalised method of moments (</w:t>
      </w:r>
      <w:r w:rsidRPr="00047F4C">
        <w:rPr>
          <w:i/>
          <w:iCs/>
        </w:rPr>
        <w:t>SGMM</w:t>
      </w:r>
      <w:r w:rsidRPr="00047F4C">
        <w:t xml:space="preserve">)” </w:t>
      </w:r>
      <w:r w:rsidRPr="00047F4C">
        <w:fldChar w:fldCharType="begin" w:fldLock="1"/>
      </w:r>
      <w:r w:rsidR="00BA76AC">
        <w:instrText>ADDIN CSL_CITATION {"citationItems":[{"id":"ITEM-1","itemData":{"DOI":"10.2307/2297968","ISSN":"0034-6527","abstract":"This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 © 1991 The Review of Economic Studies Limited.","author":[{"dropping-particle":"","family":"Arellano","given":"Manuel","non-dropping-particle":"","parse-names":false,"suffix":""},{"dropping-particle":"","family":"Bond","given":"Stephen","non-dropping-particle":"","parse-names":false,"suffix":""}],"container-title":"The Review of Economic Studies","id":"ITEM-1","issue":"2","issued":{"date-parts":[["1991","4","1"]]},"page":"277-297","publisher":"Oxford Academic","title":"Some tests of specification for panel data: Monte Carlo evidence and an application to employment equations","type":"article-journal","volume":"58"},"uris":["http://www.mendeley.com/documents/?uuid=a2e1da2f-bdb1-369c-8f95-30d5df46e677"]},{"id":"ITEM-2","itemData":{"DOI":"10.1016/0304-4076(94)01642-D","ISSN":"0304-4076","abstract":"This article develops a framework for efficient IV estimators of random effects models with information in levels which can accommodate predetermined variables. Our formulation clarifies the relationship between the existing estimators and the role of transformations in panel data models. We characterize the valid transformations for relevant models and show that optimal estimators are invariant to the transformation used to remove individual effects. We present an alternative transformation for models with predetermined instruments which preserves the orthogonality among the errors. Finally, we consider models with predetermined variables that have constant correlation with the effects and illustrate their importance with simulations. © 1995.","author":[{"dropping-particle":"","family":"Arellano","given":"Manuel","non-dropping-particle":"","parse-names":false,"suffix":""},{"dropping-particle":"","family":"Bover","given":"Olympia","non-dropping-particle":"","parse-names":false,"suffix":""}],"container-title":"Journal of Econometrics","id":"ITEM-2","issue":"1","issued":{"date-parts":[["1995","7","1"]]},"page":"29-51","publisher":"North-Holland","title":"Another look at the instrumental variable estimation of error-components models","type":"article-journal","volume":"68"},"uris":["http://www.mendeley.com/documents/?uuid=ef09aab2-b9c6-3464-9c8a-ef27eb0358eb"]}],"mendeley":{"formattedCitation":"(Arellano &amp; Bond, 1991; Arellano &amp; Bover, 1995)","plainTextFormattedCitation":"(Arellano &amp; Bond, 1991; Arellano &amp; Bover, 1995)","previouslyFormattedCitation":"(Arellano and Bond 1991; Arellano and Bover 1995)"},"properties":{"noteIndex":0},"schema":"https://github.com/citation-style-language/schema/raw/master/csl-citation.json"}</w:instrText>
      </w:r>
      <w:r w:rsidRPr="00047F4C">
        <w:fldChar w:fldCharType="separate"/>
      </w:r>
      <w:r w:rsidR="00BA76AC" w:rsidRPr="00BA76AC">
        <w:rPr>
          <w:noProof/>
        </w:rPr>
        <w:t xml:space="preserve">(Arellano </w:t>
      </w:r>
      <w:r w:rsidR="00F25C01">
        <w:rPr>
          <w:noProof/>
        </w:rPr>
        <w:t>and</w:t>
      </w:r>
      <w:r w:rsidR="00BA76AC" w:rsidRPr="00BA76AC">
        <w:rPr>
          <w:noProof/>
        </w:rPr>
        <w:t xml:space="preserve"> Bond, 1991; Arellano </w:t>
      </w:r>
      <w:r w:rsidR="00F25C01">
        <w:rPr>
          <w:noProof/>
        </w:rPr>
        <w:t>and</w:t>
      </w:r>
      <w:r w:rsidR="00BA76AC" w:rsidRPr="00BA76AC">
        <w:rPr>
          <w:noProof/>
        </w:rPr>
        <w:t xml:space="preserve"> Bover, 1995)</w:t>
      </w:r>
      <w:r w:rsidRPr="00047F4C">
        <w:fldChar w:fldCharType="end"/>
      </w:r>
      <w:r w:rsidRPr="00047F4C">
        <w:t xml:space="preserve"> with a robust standard error. The econometrics literature shows that the two-step </w:t>
      </w:r>
      <w:r w:rsidRPr="00047F4C">
        <w:rPr>
          <w:i/>
          <w:iCs/>
        </w:rPr>
        <w:t>SGMM</w:t>
      </w:r>
      <w:r w:rsidRPr="00047F4C">
        <w:t xml:space="preserve"> estimator is the most widely used technique to deal with potential endogeneity </w:t>
      </w:r>
      <w:r w:rsidRPr="00047F4C">
        <w:fldChar w:fldCharType="begin" w:fldLock="1"/>
      </w:r>
      <w:r w:rsidR="00BA76AC">
        <w:instrText>ADDIN CSL_CITATION {"citationItems":[{"id":"ITEM-1","itemData":{"DOI":"10.1016/J.JECONOM.2004.02.005","ISSN":"0304-4076","abstract":"Monte Carlo studies have shown that estimated asymptotic standard errors of the efficient two-step generalized method of moments (GMM) estimator can be severely downward biased in small samples. The weight matrix used in the calculation of the efficient two-step GMM estimator is based on initial consistent parameter estimates. In this paper it is shown that the extra variation due to the presence of these estimated parameters in the weight matrix accounts for much of the difference between the finite sample and the usual asymptotic variance of the two-step GMM estimator, when the moment conditions used are linear in the parameters. This difference can be estimated, resulting in a finite sample corrected estimate of the variance. In a Monte Carlo study of a panel data model it is shown that the corrected variance estimate approximates the finite sample variance well, leading to more accurate inference. © 2004 Elsevier B.V. All rights reserved.","author":[{"dropping-particle":"","family":"Windmeijer","given":"Frank","non-dropping-particle":"","parse-names":false,"suffix":""}],"container-title":"Journal of Econometrics","id":"ITEM-1","issue":"1","issued":{"date-parts":[["2005","5","1"]]},"page":"25-51","publisher":"North-Holland","title":"A finite sample correction for the variance of linear efficient two-step GMM estimators","type":"article-journal","volume":"126"},"uris":["http://www.mendeley.com/documents/?uuid=894d45fb-41d8-37b1-b559-cb3db1563365"]}],"mendeley":{"formattedCitation":"(Windmeijer, 2005)","plainTextFormattedCitation":"(Windmeijer, 2005)","previouslyFormattedCitation":"(Windmeijer 2005)"},"properties":{"noteIndex":0},"schema":"https://github.com/citation-style-language/schema/raw/master/csl-citation.json"}</w:instrText>
      </w:r>
      <w:r w:rsidRPr="00047F4C">
        <w:fldChar w:fldCharType="separate"/>
      </w:r>
      <w:r w:rsidR="00BA76AC" w:rsidRPr="00BA76AC">
        <w:rPr>
          <w:noProof/>
        </w:rPr>
        <w:t>(Windmeijer, 2005)</w:t>
      </w:r>
      <w:r w:rsidRPr="00047F4C">
        <w:fldChar w:fldCharType="end"/>
      </w:r>
      <w:r w:rsidRPr="00047F4C">
        <w:t xml:space="preserve">. In addition, </w:t>
      </w:r>
      <w:r w:rsidRPr="00047F4C">
        <w:rPr>
          <w:i/>
          <w:iCs/>
        </w:rPr>
        <w:t>SGMM</w:t>
      </w:r>
      <w:r w:rsidRPr="00047F4C">
        <w:t xml:space="preserve"> controls </w:t>
      </w:r>
      <w:r w:rsidRPr="00047F4C">
        <w:lastRenderedPageBreak/>
        <w:t>for unobserved heterogeneity and dynamics in the system since there is the possibility of persistence in labour share and mismeasurement of variables that may bias estimates.</w:t>
      </w:r>
    </w:p>
    <w:p w14:paraId="59236A31" w14:textId="7E9EA345" w:rsidR="005C5DAF" w:rsidRPr="005C5DAF" w:rsidRDefault="00047F4C" w:rsidP="00155747">
      <w:r w:rsidRPr="00047F4C">
        <w:rPr>
          <w:i/>
          <w:iCs/>
        </w:rPr>
        <w:t>SGMM</w:t>
      </w:r>
      <w:r w:rsidRPr="00047F4C">
        <w:t xml:space="preserve"> estimates a system of equations that express labour share as a function of the covariates in both levels and first differences. We treat the labour share and all right-hand side variables except </w:t>
      </w:r>
      <w:r w:rsidRPr="00047F4C">
        <w:rPr>
          <w:i/>
          <w:iCs/>
        </w:rPr>
        <w:t>Union</w:t>
      </w:r>
      <w:r w:rsidRPr="00047F4C">
        <w:t xml:space="preserve"> as potentially endogenous variables. Regarding the first differences equation, since differencing induces a </w:t>
      </w:r>
      <w:proofErr w:type="gramStart"/>
      <w:r w:rsidRPr="00047F4C">
        <w:t>first-order</w:t>
      </w:r>
      <w:proofErr w:type="gramEnd"/>
      <w:r w:rsidRPr="00047F4C">
        <w:t xml:space="preserve"> moving average of the residuals, we use the second and third, rather than first, lagged values of endogenous variables as instruments. Turning to level equations, we use the first and second lagged first differences of all endogenous variables. The identification assumption in this model are as follows. In the level equation, If there is a variable, say </w:t>
      </w:r>
      <m:oMath>
        <m:sSubSup>
          <m:sSubSupPr>
            <m:ctrlPr>
              <w:rPr>
                <w:rFonts w:ascii="Cambria Math" w:hAnsi="Cambria Math"/>
                <w:i/>
              </w:rPr>
            </m:ctrlPr>
          </m:sSubSupPr>
          <m:e>
            <m:r>
              <w:rPr>
                <w:rFonts w:ascii="Cambria Math" w:hAnsi="Cambria Math"/>
              </w:rPr>
              <m:t>Z</m:t>
            </m:r>
          </m:e>
          <m:sub>
            <m:r>
              <w:rPr>
                <w:rFonts w:ascii="Cambria Math" w:hAnsi="Cambria Math"/>
              </w:rPr>
              <m:t>i,j,k,t</m:t>
            </m:r>
          </m:sub>
          <m:sup>
            <m:r>
              <w:rPr>
                <w:rFonts w:ascii="Cambria Math" w:hAnsi="Cambria Math"/>
              </w:rPr>
              <m:t>L</m:t>
            </m:r>
          </m:sup>
        </m:sSubSup>
      </m:oMath>
      <w:r w:rsidRPr="00047F4C">
        <w:t>, satisfying the condition  E(</w:t>
      </w:r>
      <m:oMath>
        <m:sSubSup>
          <m:sSubSupPr>
            <m:ctrlPr>
              <w:rPr>
                <w:rFonts w:ascii="Cambria Math" w:hAnsi="Cambria Math"/>
                <w:i/>
              </w:rPr>
            </m:ctrlPr>
          </m:sSubSupPr>
          <m:e>
            <m:r>
              <w:rPr>
                <w:rFonts w:ascii="Cambria Math" w:hAnsi="Cambria Math"/>
              </w:rPr>
              <m:t>Z</m:t>
            </m:r>
          </m:e>
          <m:sub>
            <m:r>
              <w:rPr>
                <w:rFonts w:ascii="Cambria Math" w:hAnsi="Cambria Math"/>
              </w:rPr>
              <m:t>i,j,k,t</m:t>
            </m:r>
          </m:sub>
          <m:sup>
            <m:r>
              <w:rPr>
                <w:rFonts w:ascii="Cambria Math" w:hAnsi="Cambria Math"/>
              </w:rPr>
              <m:t>L</m:t>
            </m:r>
          </m:sup>
        </m:sSubSup>
      </m:oMath>
      <w:r w:rsidRPr="00047F4C">
        <w:rPr>
          <w:i/>
        </w:rPr>
        <w:t xml:space="preserve">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Pr="00047F4C">
        <w:rPr>
          <w:i/>
        </w:rPr>
        <w:t xml:space="preserve"> </w:t>
      </w:r>
      <w:r w:rsidRPr="00047F4C">
        <w:t>)=0  and we can assume that E(</w:t>
      </w:r>
      <m:oMath>
        <m:sSubSup>
          <m:sSubSupPr>
            <m:ctrlPr>
              <w:rPr>
                <w:rFonts w:ascii="Cambria Math" w:hAnsi="Cambria Math"/>
                <w:i/>
              </w:rPr>
            </m:ctrlPr>
          </m:sSubSupPr>
          <m:e>
            <m:r>
              <w:rPr>
                <w:rFonts w:ascii="Cambria Math" w:hAnsi="Cambria Math"/>
              </w:rPr>
              <m:t>Z</m:t>
            </m:r>
          </m:e>
          <m:sub>
            <m:r>
              <w:rPr>
                <w:rFonts w:ascii="Cambria Math" w:hAnsi="Cambria Math"/>
              </w:rPr>
              <m:t>i,j,k,t</m:t>
            </m:r>
          </m:sub>
          <m:sup>
            <m:r>
              <w:rPr>
                <w:rFonts w:ascii="Cambria Math" w:hAnsi="Cambria Math"/>
              </w:rPr>
              <m:t>L</m:t>
            </m:r>
          </m:sup>
        </m:sSubSup>
      </m:oMath>
      <w:r w:rsidRPr="00047F4C">
        <w:rPr>
          <w:i/>
        </w:rPr>
        <w:t xml:space="preserve"> </w:t>
      </w:r>
      <m:oMath>
        <m:sSub>
          <m:sSubPr>
            <m:ctrlPr>
              <w:rPr>
                <w:rFonts w:ascii="Cambria Math" w:hAnsi="Cambria Math"/>
                <w:i/>
              </w:rPr>
            </m:ctrlPr>
          </m:sSubPr>
          <m:e>
            <m:r>
              <w:rPr>
                <w:rFonts w:ascii="Cambria Math" w:hAnsi="Cambria Math"/>
              </w:rPr>
              <m:t>θ</m:t>
            </m:r>
          </m:e>
          <m:sub>
            <m:r>
              <w:rPr>
                <w:rFonts w:ascii="Cambria Math" w:hAnsi="Cambria Math"/>
              </w:rPr>
              <m:t>k,j,i,t</m:t>
            </m:r>
          </m:sub>
        </m:sSub>
      </m:oMath>
      <w:r w:rsidRPr="00047F4C">
        <w:rPr>
          <w:iCs/>
        </w:rPr>
        <w:t xml:space="preserve">) </w:t>
      </w:r>
      <w:r w:rsidRPr="00047F4C">
        <w:t>does not depend on t, then we have E(</w:t>
      </w:r>
      <m:oMath>
        <m:sSubSup>
          <m:sSubSupPr>
            <m:ctrlPr>
              <w:rPr>
                <w:rFonts w:ascii="Cambria Math" w:hAnsi="Cambria Math"/>
              </w:rPr>
            </m:ctrlPr>
          </m:sSubSupPr>
          <m:e>
            <m:r>
              <m:rPr>
                <m:sty m:val="p"/>
              </m:rPr>
              <w:rPr>
                <w:rFonts w:ascii="Cambria Math" w:hAnsi="Cambria Math"/>
              </w:rPr>
              <m:t>Δ</m:t>
            </m:r>
            <m:r>
              <w:rPr>
                <w:rFonts w:ascii="Cambria Math" w:hAnsi="Cambria Math"/>
              </w:rPr>
              <m:t>Z</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sub>
          <m:sup>
            <m:r>
              <w:rPr>
                <w:rFonts w:ascii="Cambria Math" w:hAnsi="Cambria Math"/>
              </w:rPr>
              <m:t>L</m:t>
            </m:r>
          </m:sup>
        </m:sSubSup>
      </m:oMath>
      <w:r w:rsidRPr="00047F4C">
        <w:t xml:space="preserve"> </w:t>
      </w:r>
      <m:oMath>
        <m:sSub>
          <m:sSubPr>
            <m:ctrlPr>
              <w:rPr>
                <w:rFonts w:ascii="Cambria Math" w:hAnsi="Cambria Math"/>
              </w:rPr>
            </m:ctrlPr>
          </m:sSubPr>
          <m:e>
            <m:r>
              <w:rPr>
                <w:rFonts w:ascii="Cambria Math" w:hAnsi="Cambria Math"/>
              </w:rPr>
              <m:t>u</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sub>
        </m:sSub>
      </m:oMath>
      <w:r w:rsidRPr="00047F4C">
        <w:t xml:space="preserve"> )= 0,  i .e.  </w:t>
      </w:r>
      <m:oMath>
        <m:sSubSup>
          <m:sSubSupPr>
            <m:ctrlPr>
              <w:rPr>
                <w:rFonts w:ascii="Cambria Math" w:hAnsi="Cambria Math"/>
              </w:rPr>
            </m:ctrlPr>
          </m:sSubSupPr>
          <m:e>
            <m:r>
              <m:rPr>
                <m:sty m:val="p"/>
              </m:rPr>
              <w:rPr>
                <w:rFonts w:ascii="Cambria Math" w:hAnsi="Cambria Math"/>
              </w:rPr>
              <m:t>Δ</m:t>
            </m:r>
            <m:r>
              <w:rPr>
                <w:rFonts w:ascii="Cambria Math" w:hAnsi="Cambria Math"/>
              </w:rPr>
              <m:t>Z</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sub>
          <m:sup>
            <m:r>
              <w:rPr>
                <w:rFonts w:ascii="Cambria Math" w:hAnsi="Cambria Math"/>
              </w:rPr>
              <m:t>L</m:t>
            </m:r>
          </m:sup>
        </m:sSubSup>
        <m:r>
          <m:rPr>
            <m:sty m:val="p"/>
          </m:rPr>
          <w:rPr>
            <w:rFonts w:ascii="Cambria Math" w:hAnsi="Cambria Math"/>
          </w:rPr>
          <m:t xml:space="preserve"> </m:t>
        </m:r>
      </m:oMath>
      <w:r w:rsidRPr="00047F4C">
        <w:t>is a valid instrument for the level equation. Similarly, for the equation estimated in the f</w:t>
      </w:r>
      <w:proofErr w:type="spellStart"/>
      <w:r w:rsidRPr="00047F4C">
        <w:t>irst</w:t>
      </w:r>
      <w:proofErr w:type="spellEnd"/>
      <w:r w:rsidRPr="00047F4C">
        <w:t xml:space="preserve"> difference </w:t>
      </w:r>
      <m:oMath>
        <m:sSubSup>
          <m:sSubSupPr>
            <m:ctrlPr>
              <w:rPr>
                <w:rFonts w:ascii="Cambria Math" w:hAnsi="Cambria Math"/>
              </w:rPr>
            </m:ctrlPr>
          </m:sSubSupPr>
          <m:e>
            <m:r>
              <w:rPr>
                <w:rFonts w:ascii="Cambria Math" w:hAnsi="Cambria Math"/>
              </w:rPr>
              <m:t>Z</m:t>
            </m:r>
          </m:e>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t</m:t>
            </m:r>
          </m:sub>
          <m:sup>
            <m:r>
              <w:rPr>
                <w:rFonts w:ascii="Cambria Math" w:hAnsi="Cambria Math"/>
              </w:rPr>
              <m:t>D</m:t>
            </m:r>
          </m:sup>
        </m:sSubSup>
      </m:oMath>
      <w:r w:rsidRPr="00047F4C">
        <w:t xml:space="preserve"> is a valid instrument. The specification is checked using the Hansen statistic, a test of over-identifying restrictions for the validity of the instrument set. We also report a statistic f</w:t>
      </w:r>
      <w:bookmarkStart w:id="7" w:name="_Hlk130642518"/>
      <w:r w:rsidRPr="00047F4C">
        <w:t>or the absence of second and third-order serial correlation</w:t>
      </w:r>
      <w:bookmarkEnd w:id="7"/>
      <w:r w:rsidRPr="00047F4C">
        <w:t xml:space="preserve"> in the first-differenced residuals. This is based on the standardized average residual autocovariance, which are asymptotically </w:t>
      </w:r>
      <w:proofErr w:type="gramStart"/>
      <w:r w:rsidRPr="00047F4C">
        <w:t>N(</w:t>
      </w:r>
      <w:proofErr w:type="gramEnd"/>
      <w:r w:rsidRPr="00047F4C">
        <w:t>0, 1) variables under the null of no autocorrelation, and should not be significantly different from zero if the residuals in levels are serially uncorrelated (note that, due to differencing, first-order autocorrelation is expected ex-ante).</w:t>
      </w:r>
    </w:p>
    <w:p w14:paraId="3933B751" w14:textId="58EDF308" w:rsidR="00DB4EE3" w:rsidRDefault="00463E85" w:rsidP="001B6DD7">
      <w:pPr>
        <w:pStyle w:val="Heading2"/>
        <w:numPr>
          <w:ilvl w:val="1"/>
          <w:numId w:val="1"/>
        </w:numPr>
        <w:ind w:left="426"/>
      </w:pPr>
      <w:r w:rsidRPr="00463E85">
        <w:t>Labour Share and Pay Inequality</w:t>
      </w:r>
    </w:p>
    <w:p w14:paraId="352723CE" w14:textId="77777777" w:rsidR="001B6DD7" w:rsidRPr="001B6DD7" w:rsidRDefault="001B6DD7" w:rsidP="001B6DD7">
      <w:pPr>
        <w:ind w:firstLine="0"/>
      </w:pPr>
      <w:r w:rsidRPr="001B6DD7">
        <w:t>In order to examine our second hypothesis, we assume a log-linear relation between the two variables of interest, labour share and pay inequality using the following equation:</w:t>
      </w:r>
    </w:p>
    <w:p w14:paraId="39956257" w14:textId="49DDD0D2" w:rsidR="001B6DD7" w:rsidRPr="001B6DD7" w:rsidRDefault="00000000" w:rsidP="001B6DD7">
      <w:pPr>
        <w:rPr>
          <w:bCs/>
          <w:i/>
          <w:sz w:val="22"/>
        </w:rPr>
      </w:pPr>
      <m:oMathPara>
        <m:oMathParaPr>
          <m:jc m:val="left"/>
        </m:oMathParaPr>
        <m:oMath>
          <m:sSub>
            <m:sSubPr>
              <m:ctrlPr>
                <w:rPr>
                  <w:rFonts w:ascii="Cambria Math" w:hAnsi="Cambria Math"/>
                  <w:bCs/>
                  <w:i/>
                  <w:sz w:val="22"/>
                </w:rPr>
              </m:ctrlPr>
            </m:sSubPr>
            <m:e>
              <m:r>
                <w:rPr>
                  <w:rFonts w:ascii="Cambria Math" w:hAnsi="Cambria Math"/>
                  <w:sz w:val="22"/>
                </w:rPr>
                <m:t>LnPayInequality</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α</m:t>
              </m:r>
            </m:e>
            <m:sub>
              <m:r>
                <w:rPr>
                  <w:rFonts w:ascii="Cambria Math" w:hAnsi="Cambria Math"/>
                  <w:sz w:val="22"/>
                </w:rPr>
                <m:t>0</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α</m:t>
              </m:r>
            </m:e>
            <m:sub>
              <m:r>
                <w:rPr>
                  <w:rFonts w:ascii="Cambria Math" w:hAnsi="Cambria Math"/>
                  <w:sz w:val="22"/>
                </w:rPr>
                <m:t>1</m:t>
              </m:r>
            </m:sub>
          </m:sSub>
          <m:sSub>
            <m:sSubPr>
              <m:ctrlPr>
                <w:rPr>
                  <w:rFonts w:ascii="Cambria Math" w:hAnsi="Cambria Math"/>
                  <w:bCs/>
                  <w:i/>
                  <w:sz w:val="22"/>
                </w:rPr>
              </m:ctrlPr>
            </m:sSubPr>
            <m:e>
              <m:r>
                <w:rPr>
                  <w:rFonts w:ascii="Cambria Math" w:hAnsi="Cambria Math"/>
                  <w:sz w:val="22"/>
                </w:rPr>
                <m:t>LnPayInequality</m:t>
              </m:r>
            </m:e>
            <m:sub>
              <m:r>
                <w:rPr>
                  <w:rFonts w:ascii="Cambria Math" w:hAnsi="Cambria Math"/>
                  <w:sz w:val="22"/>
                </w:rPr>
                <m:t>i,t-1</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LnLaborShare</m:t>
              </m:r>
            </m:e>
            <m:sub>
              <m:r>
                <w:rPr>
                  <w:rFonts w:ascii="Cambria Math" w:hAnsi="Cambria Math"/>
                  <w:sz w:val="22"/>
                </w:rPr>
                <m:t>i,t</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2</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LnRevenue</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3</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BTM</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4</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LnAge</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5</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ROA</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6</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Ret</m:t>
              </m:r>
            </m:e>
            <m:sub>
              <m:r>
                <w:rPr>
                  <w:rFonts w:ascii="Cambria Math" w:hAnsi="Cambria Math"/>
                  <w:sz w:val="22"/>
                </w:rPr>
                <m:t>i,t</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7</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STDRet</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8</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Leverage</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9</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IsCEOChair</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10</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BoardTenure</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11</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IndCommittee</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12</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PPEIntensity</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13</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RDIntensity</m:t>
              </m:r>
            </m:e>
            <m:sub>
              <m:r>
                <w:rPr>
                  <w:rFonts w:ascii="Cambria Math" w:hAnsi="Cambria Math"/>
                  <w:sz w:val="22"/>
                </w:rPr>
                <m:t>i,t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14</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IndConcentration</m:t>
              </m:r>
            </m:e>
            <m:sub>
              <m:r>
                <w:rPr>
                  <w:rFonts w:ascii="Cambria Math" w:hAnsi="Cambria Math"/>
                  <w:sz w:val="22"/>
                </w:rPr>
                <m:t>j,t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15</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Education</m:t>
              </m:r>
            </m:e>
            <m:sub>
              <m:r>
                <w:rPr>
                  <w:rFonts w:ascii="Cambria Math" w:hAnsi="Cambria Math"/>
                  <w:sz w:val="22"/>
                </w:rPr>
                <m:t>k,t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16</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Union</m:t>
              </m:r>
            </m:e>
            <m:sub>
              <m:r>
                <w:rPr>
                  <w:rFonts w:ascii="Cambria Math" w:hAnsi="Cambria Math"/>
                  <w:sz w:val="22"/>
                </w:rPr>
                <m:t>k,t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17</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UnemploymentRate</m:t>
              </m:r>
            </m:e>
            <m:sub>
              <m:r>
                <w:rPr>
                  <w:rFonts w:ascii="Cambria Math" w:hAnsi="Cambria Math"/>
                  <w:sz w:val="22"/>
                </w:rPr>
                <m:t>k,t</m:t>
              </m:r>
            </m:sub>
          </m:sSub>
          <m:r>
            <w:rPr>
              <w:rFonts w:ascii="Cambria Math" w:hAnsi="Cambria Math"/>
              <w:sz w:val="22"/>
            </w:rPr>
            <m:t>+</m:t>
          </m:r>
          <m:sSub>
            <m:sSubPr>
              <m:ctrlPr>
                <w:rPr>
                  <w:rFonts w:ascii="Cambria Math" w:hAnsi="Cambria Math"/>
                  <w:bCs/>
                  <w:i/>
                  <w:sz w:val="22"/>
                </w:rPr>
              </m:ctrlPr>
            </m:sSubPr>
            <m:e>
              <m:r>
                <w:rPr>
                  <w:rFonts w:ascii="Cambria Math" w:hAnsi="Cambria Math"/>
                  <w:sz w:val="22"/>
                </w:rPr>
                <m:t>β</m:t>
              </m:r>
            </m:e>
            <m:sub>
              <m:r>
                <w:rPr>
                  <w:rFonts w:ascii="Cambria Math" w:hAnsi="Cambria Math"/>
                  <w:sz w:val="22"/>
                </w:rPr>
                <m:t>18</m:t>
              </m:r>
            </m:sub>
          </m:sSub>
          <m:r>
            <w:rPr>
              <w:rFonts w:ascii="Cambria Math" w:hAnsi="Cambria Math"/>
              <w:sz w:val="22"/>
            </w:rPr>
            <m:t xml:space="preserve"> </m:t>
          </m:r>
          <m:sSub>
            <m:sSubPr>
              <m:ctrlPr>
                <w:rPr>
                  <w:rFonts w:ascii="Cambria Math" w:hAnsi="Cambria Math"/>
                  <w:bCs/>
                  <w:i/>
                  <w:sz w:val="22"/>
                </w:rPr>
              </m:ctrlPr>
            </m:sSubPr>
            <m:e>
              <m:r>
                <w:rPr>
                  <w:rFonts w:ascii="Cambria Math" w:hAnsi="Cambria Math"/>
                  <w:sz w:val="22"/>
                </w:rPr>
                <m:t>VacantJobRatio</m:t>
              </m:r>
            </m:e>
            <m:sub>
              <m:r>
                <w:rPr>
                  <w:rFonts w:ascii="Cambria Math" w:hAnsi="Cambria Math"/>
                  <w:sz w:val="22"/>
                </w:rPr>
                <m:t>j,t</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u</m:t>
              </m:r>
            </m:e>
            <m:sub>
              <m:r>
                <w:rPr>
                  <w:rFonts w:ascii="Cambria Math" w:hAnsi="Cambria Math"/>
                  <w:sz w:val="22"/>
                </w:rPr>
                <m:t>i,j,k,t</m:t>
              </m:r>
            </m:sub>
          </m:sSub>
          <m:r>
            <w:rPr>
              <w:rFonts w:ascii="Cambria Math" w:hAnsi="Cambria Math"/>
              <w:sz w:val="22"/>
            </w:rPr>
            <m:t xml:space="preserve">                                                   (2)</m:t>
          </m:r>
        </m:oMath>
      </m:oMathPara>
    </w:p>
    <w:p w14:paraId="32EA688A" w14:textId="4EE2B99D" w:rsidR="001B6DD7" w:rsidRPr="001B6DD7" w:rsidRDefault="001B6DD7" w:rsidP="001B6DD7">
      <w:r w:rsidRPr="001B6DD7">
        <w:t xml:space="preserve">In the above equation, pay inequality is calculated using the ratio of the total CEO compensation to the mean employee pay during the fiscal year. We also consider the persistence of pay inequality over time. The coefficient of interest,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1B6DD7">
        <w:t xml:space="preserve">, captures the association between the labour share and pay inequality. Subscript </w:t>
      </w:r>
      <w:proofErr w:type="spellStart"/>
      <w:r w:rsidRPr="001B6DD7">
        <w:t>i</w:t>
      </w:r>
      <w:proofErr w:type="spellEnd"/>
      <w:r w:rsidRPr="001B6DD7">
        <w:t xml:space="preserve"> is the firm identifier, j is the industry identifier, defined using a two-digit Global Industry Classification Standard (GICS) code, k is the region identifier, and t is the fiscal year, and u is an error term that contains region, industry, firm, year fixed effect and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sidRPr="001B6DD7">
        <w:t xml:space="preserve"> assumed to be independent and identically distributed with mean zero and constant variance.</w:t>
      </w:r>
    </w:p>
    <w:p w14:paraId="65B9542A" w14:textId="1A471C7D" w:rsidR="001B6DD7" w:rsidRPr="001B6DD7" w:rsidRDefault="001B6DD7" w:rsidP="001B6DD7">
      <w:r w:rsidRPr="001B6DD7">
        <w:lastRenderedPageBreak/>
        <w:t xml:space="preserve">Similar to prior studies </w:t>
      </w:r>
      <w:r w:rsidRPr="001B6DD7">
        <w:fldChar w:fldCharType="begin" w:fldLock="1"/>
      </w:r>
      <w:r w:rsidR="00BA76AC">
        <w:instrText>ADDIN CSL_CITATION {"citationItems":[{"id":"ITEM-1","itemData":{"DOI":"10.1016/S0304-405X(98)00058-0","ISSN":"0304405X","abstract":"We find that measures of board and ownership structure explain a significant amount of cross-sectional variation in CEO compensation, after controlling for standard economic determinants of pay. Moreover, the signs of the coefficients on the board and ownership structure variables suggest that CEOs earn greater compensation when governance structures are less effective. We also find that the predicted component of compensation arising from these characteristics of board and ownership structure has a statistically significant negative relation with subsequent firm operating and stock return performance. Overall, our results suggest that firms with weaker governance structures have greater agency problems; that CEOs at firms with greater agency problems receive greater compensation; and that firms with greater agency problems perform worse.","author":[{"dropping-particle":"","family":"Core","given":"John E.","non-dropping-particle":"","parse-names":false,"suffix":""},{"dropping-particle":"","family":"Holthausen","given":"Robert W.","non-dropping-particle":"","parse-names":false,"suffix":""},{"dropping-particle":"","family":"Larcker","given":"David F.","non-dropping-particle":"","parse-names":false,"suffix":""}],"container-title":"Journal of Financial Economics","id":"ITEM-1","issue":"3","issued":{"date-parts":[["1999","3","1"]]},"page":"371-406","publisher":"North-Holland","title":"Corporate governance, chief executive officer compensation, and firm performance","type":"article-journal","volume":"51"},"uris":["http://www.mendeley.com/documents/?uuid=661f9bce-a0e3-4b69-aaec-1f3a798f8631"]},{"id":"ITEM-2","itemData":{"DOI":"10.1016/j.jbankfin.2013.03.003","ISSN":"03784266","abstract":"We study the determinants and effects of the relative compensation of top executives and lower-level employees. First, we show that CEO-employee pay ratios depend on the balance of power between the CEO (relative to the board) and ordinary employees (relative to management). Second, our results suggest that employees do not perceive higher pay ratios as an inequitable outcome to be redressed via costly behaviors that lower productivity. We do not find a negative relation between relative pay and employee productivity, either in our full sample or in subsamples where employees are well-informed about executive pay and are protected against career retributions. Rather, we find that productivity increases with relative pay when the firm has fewer employees who are well-informed, and when promotion decisions are predominantly merit-based. We also find that firm value and operating performance both increase with relative pay. We conclude that ordinary employees appear to perceive an opportunity in higher pay ratios but the extent to which such perception incentivizes them depends on the likelihood of success in a series of sequential promotion tournaments. © 2013 Elsevier B.V.","author":[{"dropping-particle":"","family":"Faleye","given":"Olubunmi","non-dropping-particle":"","parse-names":false,"suffix":""},{"dropping-particle":"","family":"Reis","given":"Ebru","non-dropping-particle":"","parse-names":false,"suffix":""},{"dropping-particle":"","family":"Venkateswaran","given":"Anand","non-dropping-particle":"","parse-names":false,"suffix":""}],"container-title":"Journal of Banking and Finance","id":"ITEM-2","issue":"8","issued":{"date-parts":[["2013","8","1"]]},"page":"3258-3272","publisher":"North-Holland","title":"The determinants and effects of CEO-employee pay ratios","type":"article-journal","volume":"37"},"uris":["http://www.mendeley.com/documents/?uuid=e5f3f9b6-68e5-4bc4-9537-454d7779e4e7"]},{"id":"ITEM-3","itemData":{"abstract":"It is argued that pay inequality between CEOs and employees impacts employee performance, although empirical studies are inconsistent about the directionality of the effect. This paper shows that seemingly contradictory predictions of sociological and economic perspectives about the impact of pay inequality are more complementary than contradictory. Using data from a sample of public companies over the period 2004-2019, we show that pay inequality attributed to individualsâ€™ skills, company characteristics, and labour market is positively associated with employee performance. However, this positive impact on employee performance declines at high levels of pay disparity. In addition, pay inequality based on other unknown factors has a negative impact on employee performance.","author":[{"dropping-particle":"","family":"Taherifar","given":"Roya","non-dropping-particle":"","parse-names":false,"suffix":""},{"dropping-particle":"","family":"Holmes","given":"Mark J.","non-dropping-particle":"","parse-names":false,"suffix":""},{"dropping-particle":"","family":"Hassan","given":"Gazi M.","non-dropping-particle":"","parse-names":false,"suffix":""}],"collection-title":" Working Papers in Economics","container-title":"Working Papers in Economics","id":"ITEM-3","issued":{"date-parts":[["2021","11","6"]]},"number":"21/14","publisher":"University of Waikato","title":"Is performance affected by the CEO-Employee pay gap? Evidence from Australia","type":"report"},"uris":["http://www.mendeley.com/documents/?uuid=a2623f59-8a97-35a6-b2a0-fe5190e572fb"]}],"mendeley":{"formattedCitation":"(Core et al., 1999; Faleye et al., 2013; Taherifar et al., 2021)","plainTextFormattedCitation":"(Core et al., 1999; Faleye et al., 2013; Taherifar et al., 2021)","previouslyFormattedCitation":"(Core, Holthausen, and Larcker 1999; Faleye, Reis, and Venkateswaran 2013; Taherifar, Holmes, and Hassan 2021)"},"properties":{"noteIndex":0},"schema":"https://github.com/citation-style-language/schema/raw/master/csl-citation.json"}</w:instrText>
      </w:r>
      <w:r w:rsidRPr="001B6DD7">
        <w:fldChar w:fldCharType="separate"/>
      </w:r>
      <w:r w:rsidR="00BA76AC" w:rsidRPr="00BA76AC">
        <w:rPr>
          <w:noProof/>
        </w:rPr>
        <w:t>(Core et al., 1999; Faleye et al., 2013; Taherifar et al., 2021)</w:t>
      </w:r>
      <w:r w:rsidRPr="001B6DD7">
        <w:fldChar w:fldCharType="end"/>
      </w:r>
      <w:r w:rsidRPr="001B6DD7">
        <w:t>, we control firm and labour market characteristics that can potentially affect pay inequality and may also be related to labour share. Hence, we include the firm's operation and growth opportunity proxies such as firm size (</w:t>
      </w:r>
      <w:proofErr w:type="spellStart"/>
      <w:r w:rsidRPr="001B6DD7">
        <w:rPr>
          <w:i/>
          <w:iCs/>
        </w:rPr>
        <w:t>LnRevenue</w:t>
      </w:r>
      <w:proofErr w:type="spellEnd"/>
      <w:r w:rsidRPr="001B6DD7">
        <w:t>), firm age (</w:t>
      </w:r>
      <w:proofErr w:type="spellStart"/>
      <w:r w:rsidRPr="001B6DD7">
        <w:rPr>
          <w:i/>
          <w:iCs/>
        </w:rPr>
        <w:t>LnAge</w:t>
      </w:r>
      <w:proofErr w:type="spellEnd"/>
      <w:r w:rsidRPr="001B6DD7">
        <w:t>), book to market ratio (</w:t>
      </w:r>
      <w:r w:rsidRPr="001B6DD7">
        <w:rPr>
          <w:i/>
          <w:iCs/>
        </w:rPr>
        <w:t>BTM</w:t>
      </w:r>
      <w:r w:rsidRPr="001B6DD7">
        <w:t>), return on asset (</w:t>
      </w:r>
      <w:r w:rsidRPr="001B6DD7">
        <w:rPr>
          <w:i/>
          <w:iCs/>
        </w:rPr>
        <w:t>ROA</w:t>
      </w:r>
      <w:r w:rsidRPr="001B6DD7">
        <w:t>), annual stock return (</w:t>
      </w:r>
      <w:r w:rsidRPr="001B6DD7">
        <w:rPr>
          <w:i/>
          <w:iCs/>
        </w:rPr>
        <w:t>Ret</w:t>
      </w:r>
      <w:r w:rsidRPr="001B6DD7">
        <w:t>), the standard deviation of common stock returns (</w:t>
      </w:r>
      <w:proofErr w:type="spellStart"/>
      <w:r w:rsidRPr="001B6DD7">
        <w:rPr>
          <w:i/>
          <w:iCs/>
        </w:rPr>
        <w:t>STDRet</w:t>
      </w:r>
      <w:proofErr w:type="spellEnd"/>
      <w:r w:rsidRPr="001B6DD7">
        <w:t>), and capital structure (</w:t>
      </w:r>
      <w:r w:rsidRPr="001B6DD7">
        <w:rPr>
          <w:i/>
          <w:iCs/>
        </w:rPr>
        <w:t>Leverage</w:t>
      </w:r>
      <w:r w:rsidRPr="001B6DD7">
        <w:t xml:space="preserve">). Furthermore, executives' bargaining power </w:t>
      </w:r>
      <w:proofErr w:type="gramStart"/>
      <w:r w:rsidRPr="001B6DD7">
        <w:t>over board</w:t>
      </w:r>
      <w:proofErr w:type="gramEnd"/>
      <w:r w:rsidRPr="001B6DD7">
        <w:t xml:space="preserve"> members is controlled by including CEO chair duality (</w:t>
      </w:r>
      <w:proofErr w:type="spellStart"/>
      <w:r w:rsidRPr="001B6DD7">
        <w:rPr>
          <w:i/>
          <w:iCs/>
        </w:rPr>
        <w:t>IsCEOChair</w:t>
      </w:r>
      <w:proofErr w:type="spellEnd"/>
      <w:r w:rsidRPr="001B6DD7">
        <w:t>), Board tenure (</w:t>
      </w:r>
      <w:proofErr w:type="spellStart"/>
      <w:r w:rsidRPr="001B6DD7">
        <w:rPr>
          <w:i/>
          <w:iCs/>
        </w:rPr>
        <w:t>BoardTenure</w:t>
      </w:r>
      <w:proofErr w:type="spellEnd"/>
      <w:r w:rsidRPr="001B6DD7">
        <w:t>) and the percentage of independent board members on the compensation committee (</w:t>
      </w:r>
      <w:proofErr w:type="spellStart"/>
      <w:r w:rsidRPr="001B6DD7">
        <w:rPr>
          <w:i/>
          <w:iCs/>
        </w:rPr>
        <w:t>IndCommittee</w:t>
      </w:r>
      <w:proofErr w:type="spellEnd"/>
      <w:r w:rsidRPr="001B6DD7">
        <w:t>). Finally, labour bargaining power, measured by employees' skills and labour market characteristics, is also controlled. Employees' skills are measured by R</w:t>
      </w:r>
      <w:r w:rsidR="00F25C01">
        <w:t>&amp;</w:t>
      </w:r>
      <w:r w:rsidRPr="001B6DD7">
        <w:t>D intensity (</w:t>
      </w:r>
      <w:proofErr w:type="spellStart"/>
      <w:r w:rsidRPr="001B6DD7">
        <w:rPr>
          <w:i/>
          <w:iCs/>
        </w:rPr>
        <w:t>RDIntensity</w:t>
      </w:r>
      <w:proofErr w:type="spellEnd"/>
      <w:r w:rsidRPr="001B6DD7">
        <w:t>), physical capital intensity (</w:t>
      </w:r>
      <w:proofErr w:type="spellStart"/>
      <w:r w:rsidRPr="001B6DD7">
        <w:rPr>
          <w:i/>
          <w:iCs/>
        </w:rPr>
        <w:t>PPTIntensity</w:t>
      </w:r>
      <w:proofErr w:type="spellEnd"/>
      <w:r w:rsidRPr="001B6DD7">
        <w:t>), and workforce education (</w:t>
      </w:r>
      <w:r w:rsidRPr="001B6DD7">
        <w:rPr>
          <w:i/>
          <w:iCs/>
        </w:rPr>
        <w:t>Education</w:t>
      </w:r>
      <w:r w:rsidRPr="001B6DD7">
        <w:t>). Labour market characteristics, such as industry concentration (</w:t>
      </w:r>
      <w:proofErr w:type="spellStart"/>
      <w:r w:rsidRPr="001B6DD7">
        <w:rPr>
          <w:i/>
          <w:iCs/>
        </w:rPr>
        <w:t>IndConcentration</w:t>
      </w:r>
      <w:proofErr w:type="spellEnd"/>
      <w:r w:rsidRPr="001B6DD7">
        <w:t>), employee unionisation (</w:t>
      </w:r>
      <w:r w:rsidRPr="001B6DD7">
        <w:rPr>
          <w:i/>
          <w:iCs/>
        </w:rPr>
        <w:t>Union</w:t>
      </w:r>
      <w:r w:rsidRPr="001B6DD7">
        <w:t>), unemployment rate (</w:t>
      </w:r>
      <w:proofErr w:type="spellStart"/>
      <w:r w:rsidRPr="001B6DD7">
        <w:rPr>
          <w:i/>
          <w:iCs/>
        </w:rPr>
        <w:t>UnemploymentRate</w:t>
      </w:r>
      <w:proofErr w:type="spellEnd"/>
      <w:r w:rsidRPr="001B6DD7">
        <w:t>), and vacant job ratio (</w:t>
      </w:r>
      <w:proofErr w:type="spellStart"/>
      <w:r w:rsidRPr="001B6DD7">
        <w:rPr>
          <w:i/>
          <w:iCs/>
        </w:rPr>
        <w:t>VacantJob</w:t>
      </w:r>
      <w:proofErr w:type="spellEnd"/>
      <w:r w:rsidRPr="001B6DD7">
        <w:rPr>
          <w:i/>
          <w:iCs/>
        </w:rPr>
        <w:t xml:space="preserve">), </w:t>
      </w:r>
      <w:r w:rsidRPr="001B6DD7">
        <w:t>are included. All variables are explained in Appendix B.</w:t>
      </w:r>
    </w:p>
    <w:p w14:paraId="579EF001" w14:textId="62B9583C" w:rsidR="00DB4EE3" w:rsidRPr="00DB4EE3" w:rsidRDefault="001B6DD7" w:rsidP="001B6DD7">
      <w:r w:rsidRPr="001B6DD7">
        <w:t xml:space="preserve">The most critical concern in the estimation of equation 2 is the simultaneity problem because compensation decisions jointly impact labour share and pay inequality inside firms. Therefore, the causality may run in both directions, from labour share to pay inequality and vice versa. </w:t>
      </w:r>
      <w:proofErr w:type="gramStart"/>
      <w:r w:rsidRPr="001B6DD7">
        <w:t>Similar to</w:t>
      </w:r>
      <w:proofErr w:type="gramEnd"/>
      <w:r w:rsidRPr="001B6DD7">
        <w:t xml:space="preserve"> the previous section, we address this endogeneity problem using two-step </w:t>
      </w:r>
      <w:r w:rsidRPr="001B6DD7">
        <w:rPr>
          <w:i/>
          <w:iCs/>
        </w:rPr>
        <w:t>SGMM</w:t>
      </w:r>
      <w:r w:rsidRPr="001B6DD7">
        <w:t xml:space="preserve"> with robust standard errors. For the level equation, the second lagged first differences in pay inequality, labour share, firm performance and firm risk are used as instruments in our estimation. The level equation also uses the lagged values of all other right-hand side firm-level ratios as its instrument. The first differences equation uses the third lagged values of pay inequality, labour share, and firm performance. It also uses the second lagged first differences of all other right-hand side firm-level ratios as their instrument. Similarly, the specification is checked using the Hansen statistic. The first-order autocorrelation, second-order autocorrelation, third-order autocorrelation for testing the absence of serial correlation are reported.</w:t>
      </w:r>
    </w:p>
    <w:p w14:paraId="6A5251AA" w14:textId="3D3B15F1" w:rsidR="00A85F0D" w:rsidRDefault="00A85F0D" w:rsidP="00F04F23">
      <w:pPr>
        <w:pStyle w:val="Heading1"/>
        <w:numPr>
          <w:ilvl w:val="0"/>
          <w:numId w:val="1"/>
        </w:numPr>
      </w:pPr>
      <w:r>
        <w:t>Sample and Data</w:t>
      </w:r>
      <w:r w:rsidR="005D2451" w:rsidRPr="005D2451">
        <w:t>, and Measurement</w:t>
      </w:r>
    </w:p>
    <w:p w14:paraId="189456AC" w14:textId="77777777" w:rsidR="00F04F23" w:rsidRPr="00F04F23" w:rsidRDefault="00F04F23" w:rsidP="00F04F23">
      <w:pPr>
        <w:ind w:firstLine="0"/>
      </w:pPr>
      <w:r w:rsidRPr="00F04F23">
        <w:t>The financial data for this research are obtained from the Thomson Reuters DataStream database (</w:t>
      </w:r>
      <w:r w:rsidRPr="00F04F23">
        <w:rPr>
          <w:i/>
          <w:iCs/>
        </w:rPr>
        <w:t>TRD</w:t>
      </w:r>
      <w:r w:rsidRPr="00F04F23">
        <w:t>).</w:t>
      </w:r>
      <w:r w:rsidRPr="00F04F23">
        <w:rPr>
          <w:vertAlign w:val="superscript"/>
        </w:rPr>
        <w:footnoteReference w:id="3"/>
      </w:r>
      <w:r w:rsidRPr="00F04F23">
        <w:t xml:space="preserve"> We start with all Australian listed ﬁrms covering all sectors of the economy over the period 2004–2019. In addition, Australian regional and industry-level data are collected from the Australian Bureau of Statistics (</w:t>
      </w:r>
      <w:r w:rsidRPr="00F04F23">
        <w:rPr>
          <w:i/>
          <w:iCs/>
        </w:rPr>
        <w:t>ABS</w:t>
      </w:r>
      <w:r w:rsidRPr="00F04F23">
        <w:t xml:space="preserve">). In order to merge </w:t>
      </w:r>
      <w:r w:rsidRPr="00F04F23">
        <w:rPr>
          <w:i/>
          <w:iCs/>
        </w:rPr>
        <w:t>TRD</w:t>
      </w:r>
      <w:r w:rsidRPr="00F04F23">
        <w:t xml:space="preserve"> and </w:t>
      </w:r>
      <w:r w:rsidRPr="00F04F23">
        <w:rPr>
          <w:i/>
          <w:iCs/>
        </w:rPr>
        <w:t>ABS</w:t>
      </w:r>
      <w:r w:rsidRPr="00F04F23">
        <w:t xml:space="preserve"> databases, industry groups and the region of incorporation are required for all firms. However, there are two issues. First, the state of incorporation for all companies and the </w:t>
      </w:r>
      <w:r w:rsidRPr="00F04F23">
        <w:rPr>
          <w:i/>
          <w:iCs/>
        </w:rPr>
        <w:t>GICS</w:t>
      </w:r>
      <w:r w:rsidRPr="00F04F23">
        <w:t xml:space="preserve"> codes are not available in </w:t>
      </w:r>
      <w:r w:rsidRPr="00F04F23">
        <w:rPr>
          <w:i/>
          <w:iCs/>
        </w:rPr>
        <w:t>TRD</w:t>
      </w:r>
      <w:r w:rsidRPr="00F04F23">
        <w:t xml:space="preserve">. To address this problem, the country of incorporation, registered office region and </w:t>
      </w:r>
      <w:r w:rsidRPr="00F04F23">
        <w:rPr>
          <w:i/>
          <w:iCs/>
        </w:rPr>
        <w:t>GICS</w:t>
      </w:r>
      <w:r w:rsidRPr="00F04F23">
        <w:t xml:space="preserve"> for all companies are retrieved from </w:t>
      </w:r>
      <w:proofErr w:type="spellStart"/>
      <w:r w:rsidRPr="00F04F23">
        <w:t>MorningStar</w:t>
      </w:r>
      <w:proofErr w:type="spellEnd"/>
      <w:r w:rsidRPr="00F04F23">
        <w:t xml:space="preserve"> </w:t>
      </w:r>
      <w:proofErr w:type="spellStart"/>
      <w:r w:rsidRPr="00F04F23">
        <w:t>DatAnalysis</w:t>
      </w:r>
      <w:proofErr w:type="spellEnd"/>
      <w:r w:rsidRPr="00F04F23">
        <w:t xml:space="preserve"> (</w:t>
      </w:r>
      <w:r w:rsidRPr="00F04F23">
        <w:rPr>
          <w:i/>
          <w:iCs/>
        </w:rPr>
        <w:t>MD</w:t>
      </w:r>
      <w:r w:rsidRPr="00F04F23">
        <w:t xml:space="preserve">). Then, </w:t>
      </w:r>
      <w:r w:rsidRPr="00F04F23">
        <w:lastRenderedPageBreak/>
        <w:t xml:space="preserve">the missing values of the country of incorporation and registered office region in </w:t>
      </w:r>
      <w:r w:rsidRPr="00F04F23">
        <w:rPr>
          <w:i/>
          <w:iCs/>
        </w:rPr>
        <w:t>TRD</w:t>
      </w:r>
      <w:r w:rsidRPr="00F04F23">
        <w:t xml:space="preserve"> are completed using data from </w:t>
      </w:r>
      <w:r w:rsidRPr="00F04F23">
        <w:rPr>
          <w:i/>
          <w:iCs/>
        </w:rPr>
        <w:t>MD</w:t>
      </w:r>
      <w:r w:rsidRPr="00F04F23">
        <w:t xml:space="preserve">. Second, the industry identifiers differ in </w:t>
      </w:r>
      <w:r w:rsidRPr="00F04F23">
        <w:rPr>
          <w:i/>
          <w:iCs/>
        </w:rPr>
        <w:t>MD</w:t>
      </w:r>
      <w:r w:rsidRPr="00F04F23">
        <w:t xml:space="preserve"> and </w:t>
      </w:r>
      <w:r w:rsidRPr="00F04F23">
        <w:rPr>
          <w:i/>
          <w:iCs/>
        </w:rPr>
        <w:t>ABS</w:t>
      </w:r>
      <w:r w:rsidRPr="00F04F23">
        <w:t xml:space="preserve">; the former uses </w:t>
      </w:r>
      <w:r w:rsidRPr="00F04F23">
        <w:rPr>
          <w:i/>
          <w:iCs/>
        </w:rPr>
        <w:t>GICS</w:t>
      </w:r>
      <w:r w:rsidRPr="00F04F23">
        <w:t xml:space="preserve"> and the latter uses Australian and New Zealand Standard Industrial Classification (</w:t>
      </w:r>
      <w:r w:rsidRPr="00F04F23">
        <w:rPr>
          <w:i/>
          <w:iCs/>
        </w:rPr>
        <w:t>ANZSIC</w:t>
      </w:r>
      <w:r w:rsidRPr="00F04F23">
        <w:t xml:space="preserve">). To overcome this problem, we relate each two-digit </w:t>
      </w:r>
      <w:r w:rsidRPr="00F04F23">
        <w:rPr>
          <w:i/>
          <w:iCs/>
        </w:rPr>
        <w:t>GICS</w:t>
      </w:r>
      <w:r w:rsidRPr="00F04F23">
        <w:t xml:space="preserve"> industry code to a two-digit </w:t>
      </w:r>
      <w:r w:rsidRPr="00F04F23">
        <w:rPr>
          <w:i/>
          <w:iCs/>
        </w:rPr>
        <w:t>ANZSIC</w:t>
      </w:r>
      <w:r w:rsidRPr="00F04F23">
        <w:t xml:space="preserve"> code. If an exact match is not possible for the two-digit </w:t>
      </w:r>
      <w:r w:rsidRPr="00F04F23">
        <w:rPr>
          <w:i/>
          <w:iCs/>
        </w:rPr>
        <w:t>ANZSIC</w:t>
      </w:r>
      <w:r w:rsidRPr="00F04F23">
        <w:t xml:space="preserve"> code, we use the broadest level of the </w:t>
      </w:r>
      <w:r w:rsidRPr="00F04F23">
        <w:rPr>
          <w:i/>
          <w:iCs/>
        </w:rPr>
        <w:t>ANZSIC</w:t>
      </w:r>
      <w:r w:rsidRPr="00F04F23">
        <w:t xml:space="preserve"> code that potentially maps to the </w:t>
      </w:r>
      <w:r w:rsidRPr="00F04F23">
        <w:rPr>
          <w:i/>
          <w:iCs/>
        </w:rPr>
        <w:t>GICS</w:t>
      </w:r>
      <w:r w:rsidRPr="00F04F23">
        <w:t xml:space="preserve"> industry code (Appendix C illustrates the industry map). Using these steps, our primary required dataset, including firm-level, industry-level, and region-level data, is constructed.</w:t>
      </w:r>
    </w:p>
    <w:p w14:paraId="0DCDCF91" w14:textId="67F626BF" w:rsidR="00F04F23" w:rsidRPr="00F04F23" w:rsidRDefault="00F04F23" w:rsidP="00F04F23">
      <w:r w:rsidRPr="00F04F23">
        <w:t xml:space="preserve">Our primary variable of interest is the firm-level labour share. Following </w:t>
      </w:r>
      <w:r w:rsidRPr="00F04F23">
        <w:fldChar w:fldCharType="begin" w:fldLock="1"/>
      </w:r>
      <w:r w:rsidR="00BA76AC">
        <w:instrText>ADDIN CSL_CITATION {"citationItems":[{"id":"ITEM-1","itemData":{"DOI":"10.1093/RFS/HHAA022","ISSN":"0893-9454","abstract":"This paper quantifies the relative importance of labor-induced operating leverage at explaining the value premium. I extend a traditional variance decomposition methodology using labor shares to disentangle labor leverage from the value premium and from the value spread and from the variation in profitability levels and growth. My extended decomposition shows that labor leverage explains approximately 50% of the value premium, whereas profitability and growth-based mechanisms explain the other 50%. I propose a tractable production-based asset-pricing model that qualitatively and quantitatively explains this finding, as well as the relation between book-to-market ratios, discount rates, profitability, and future growth.","author":[{"dropping-particle":"","family":"Donangelo","given":"Andres","non-dropping-particle":"","parse-names":false,"suffix":""}],"container-title":"The Review of Financial Studies","id":"ITEM-1","issue":"1","issued":{"date-parts":[["2021","1","1"]]},"page":"451-508","publisher":"Oxford Academic","title":"Untangling the value premium with labor shares","type":"article-journal","volume":"34"},"uris":["http://www.mendeley.com/documents/?uuid=546010a4-557c-30d2-b547-cb3ba9d0b43a"]},{"id":"ITEM-2","itemData":{"DOI":"10.1111/JOFI.12773","ISSN":"1540-6261","abstract":"Although the aggregate capital share of U.S. firms has increased, capital share at the firm-level has decreased. This divergence is due to mega-firms that produce a larger output share without a proportionate increase in labor compensation. We develop a model in which firms insure workers against firm-specific shocks, with more productive firms allocating more rents to shareholders, while less productive firms endogenously exit. Increasing firm-level risk delays exit and increases the measure of mega-firms, raising (lowering) the aggregate (average) capital share. An increase in the level of rents magnifies this effect. We present evidence that supports this mechanism.","author":[{"dropping-particle":"","family":"Hartman-Glaser","given":"Barney","non-dropping-particle":"","parse-names":false,"suffix":""},{"dropping-particle":"","family":"Lustig","given":"Hanno","non-dropping-particle":"","parse-names":false,"suffix":""},{"dropping-particle":"","family":"Xiaolan","given":"Mindy Z.","non-dropping-particle":"","parse-names":false,"suffix":""}],"container-title":"The Journal of Finance","id":"ITEM-2","issue":"4","issued":{"date-parts":[["2019","8","1"]]},"page":"1707-1751","publisher":"John Wiley &amp; Sons, Ltd","title":"Capital share dynamics when firms insure workers","type":"article-journal","volume":"74"},"uris":["http://www.mendeley.com/documents/?uuid=7f9d27b5-22a2-3372-98b4-82b67827dd73"]}],"mendeley":{"formattedCitation":"(Donangelo, 2021; Hartman-Glaser et al., 2019)","manualFormatting":"Hartman-Glaser et al. (2019) and Donangelo (2021)","plainTextFormattedCitation":"(Donangelo, 2021; Hartman-Glaser et al., 2019)","previouslyFormattedCitation":"(Hartman-Glaser, Lustig, and Xiaolan 2019; Donangelo 2021)"},"properties":{"noteIndex":0},"schema":"https://github.com/citation-style-language/schema/raw/master/csl-citation.json"}</w:instrText>
      </w:r>
      <w:r w:rsidRPr="00F04F23">
        <w:fldChar w:fldCharType="separate"/>
      </w:r>
      <w:r w:rsidRPr="00F04F23">
        <w:rPr>
          <w:noProof/>
        </w:rPr>
        <w:t>Hartman-Glaser et al. (2019) and Donangelo (2021)</w:t>
      </w:r>
      <w:r w:rsidRPr="00F04F23">
        <w:fldChar w:fldCharType="end"/>
      </w:r>
      <w:r w:rsidRPr="00F04F23">
        <w:t xml:space="preserve">, labour share is defined as labour cost divided by value added in each firm at the end of the fiscal year. Labour cost is proxied by staff expenses, including wages and benefits such as health insurance and contributions to pension plans. In addition, value-added is defined as earnings before interest, tax, depreciation, and amortisation plus labour cost. We follow </w:t>
      </w:r>
      <w:r w:rsidRPr="00F04F23">
        <w:fldChar w:fldCharType="begin" w:fldLock="1"/>
      </w:r>
      <w:r w:rsidR="00BA76AC">
        <w:instrText>ADDIN CSL_CITATION {"citationItems":[{"id":"ITEM-1","itemData":{"DOI":"10.1111/JOFI.12773","ISSN":"1540-6261","abstract":"Although the aggregate capital share of U.S. firms has increased, capital share at the firm-level has decreased. This divergence is due to mega-firms that produce a larger output share without a proportionate increase in labor compensation. We develop a model in which firms insure workers against firm-specific shocks, with more productive firms allocating more rents to shareholders, while less productive firms endogenously exit. Increasing firm-level risk delays exit and increases the measure of mega-firms, raising (lowering) the aggregate (average) capital share. An increase in the level of rents magnifies this effect. We present evidence that supports this mechanism.","author":[{"dropping-particle":"","family":"Hartman-Glaser","given":"Barney","non-dropping-particle":"","parse-names":false,"suffix":""},{"dropping-particle":"","family":"Lustig","given":"Hanno","non-dropping-particle":"","parse-names":false,"suffix":""},{"dropping-particle":"","family":"Xiaolan","given":"Mindy Z.","non-dropping-particle":"","parse-names":false,"suffix":""}],"container-title":"The Journal of Finance","id":"ITEM-1","issue":"4","issued":{"date-parts":[["2019","8","1"]]},"page":"1707-1751","publisher":"John Wiley &amp; Sons, Ltd","title":"Capital share dynamics when firms insure workers","type":"article-journal","volume":"74"},"uris":["http://www.mendeley.com/documents/?uuid=7f9d27b5-22a2-3372-98b4-82b67827dd73"]}],"mendeley":{"formattedCitation":"(Hartman-Glaser et al., 2019)","manualFormatting":"Hartman-Glaser et al. (2019)","plainTextFormattedCitation":"(Hartman-Glaser et al., 2019)","previouslyFormattedCitation":"(Hartman-Glaser, Lustig, and Xiaolan 2019)"},"properties":{"noteIndex":0},"schema":"https://github.com/citation-style-language/schema/raw/master/csl-citation.json"}</w:instrText>
      </w:r>
      <w:r w:rsidRPr="00F04F23">
        <w:fldChar w:fldCharType="separate"/>
      </w:r>
      <w:r w:rsidRPr="00F04F23">
        <w:rPr>
          <w:noProof/>
        </w:rPr>
        <w:t>Hartman-Glaser et al. (2019)</w:t>
      </w:r>
      <w:r w:rsidRPr="00F04F23">
        <w:fldChar w:fldCharType="end"/>
      </w:r>
      <w:r w:rsidRPr="00F04F23">
        <w:t xml:space="preserve"> and exclude firm-year observations with negative sales, negative number of employees, negative total assets, and negative staff expenses from our primary analysis. In addition, we eliminate firm-year observations with zero asset turnover. We also exclude firms that do not report a sector code. Consistent with the literature </w:t>
      </w:r>
      <w:r w:rsidRPr="00F04F23">
        <w:fldChar w:fldCharType="begin" w:fldLock="1"/>
      </w:r>
      <w:r w:rsidR="00BA76AC">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firms","type":"article-journal","volume":"135"},"uris":["http://www.mendeley.com/documents/?uuid=f6363795-3c75-399a-98f2-de75ec243b69"]},{"id":"ITEM-2","itemData":{"DOI":"10.1093/RFS/HHAA022","ISSN":"0893-9454","abstract":"This paper quantifies the relative importance of labor-induced operating leverage at explaining the value premium. I extend a traditional variance decomposition methodology using labor shares to disentangle labor leverage from the value premium and from the value spread and from the variation in profitability levels and growth. My extended decomposition shows that labor leverage explains approximately 50% of the value premium, whereas profitability and growth-based mechanisms explain the other 50%. I propose a tractable production-based asset-pricing model that qualitatively and quantitatively explains this finding, as well as the relation between book-to-market ratios, discount rates, profitability, and future growth.","author":[{"dropping-particle":"","family":"Donangelo","given":"Andres","non-dropping-particle":"","parse-names":false,"suffix":""}],"container-title":"The Review of Financial Studies","id":"ITEM-2","issue":"1","issued":{"date-parts":[["2021","1","1"]]},"page":"451-508","publisher":"Oxford Academic","title":"Untangling the value premium with labor shares","type":"article-journal","volume":"34"},"uris":["http://www.mendeley.com/documents/?uuid=546010a4-557c-30d2-b547-cb3ba9d0b43a"]},{"id":"ITEM-3","itemData":{"DOI":"10.1016/j.jfineco.2018.10.016","ISSN":"0304405X","abstract":"The relative size and inflexibility of labor expenses lead to a form of operating leverage, which we call labor leverage. We derive a set of conditions for the existence of labor leverage even when labor markets are frictionless. Our model provides theoretical support for the use of firm-level labor share as a measure of labor leverage. Using Compustat/CRSP and confidential Census data, we provide evidence for the existence and for the economic significance of labor leverage: high labor share firms have operating profits that are more sensitive to economic shocks and have higher expected returns.","author":[{"dropping-particle":"","family":"Donangelo","given":"Andres","non-dropping-particle":"","parse-names":false,"suffix":""},{"dropping-particle":"","family":"Gourio","given":"François","non-dropping-particle":"","parse-names":false,"suffix":""},{"dropping-particle":"","family":"Kehrig","given":"Matthias","non-dropping-particle":"","parse-names":false,"suffix":""},{"dropping-particle":"","family":"Palacios","given":"Miguel","non-dropping-particle":"","parse-names":false,"suffix":""}],"container-title":"Journal of Financial Economics","id":"ITEM-3","issue":"2","issued":{"date-parts":[["2019","5","1"]]},"page":"497-518","publisher":"Elsevier B.V.","title":"The cross-section of labor leverage and equity returns","type":"article-journal","volume":"132"},"uris":["http://www.mendeley.com/documents/?uuid=439c8f27-2933-3fec-90f5-f680cda9af93"]}],"mendeley":{"formattedCitation":"(Autor et al., 2020; Donangelo, 2021; Donangelo et al., 2019)","plainTextFormattedCitation":"(Autor et al., 2020; Donangelo, 2021; Donangelo et al., 2019)","previouslyFormattedCitation":"(Donangelo, Gourio, Kehrig, and Palacios 2019; Autor et al. 2020; Donangelo 2021)"},"properties":{"noteIndex":0},"schema":"https://github.com/citation-style-language/schema/raw/master/csl-citation.json"}</w:instrText>
      </w:r>
      <w:r w:rsidRPr="00F04F23">
        <w:fldChar w:fldCharType="separate"/>
      </w:r>
      <w:r w:rsidR="00BA76AC" w:rsidRPr="00BA76AC">
        <w:rPr>
          <w:noProof/>
        </w:rPr>
        <w:t>(Autor et al., 2020; Donangelo, 2021; Donangelo et al., 2019)</w:t>
      </w:r>
      <w:r w:rsidRPr="00F04F23">
        <w:fldChar w:fldCharType="end"/>
      </w:r>
      <w:r w:rsidRPr="00F04F23">
        <w:t>,</w:t>
      </w:r>
      <w:r w:rsidRPr="00F04F23">
        <w:rPr>
          <w:vertAlign w:val="superscript"/>
        </w:rPr>
        <w:t xml:space="preserve"> </w:t>
      </w:r>
      <w:r w:rsidRPr="00F04F23">
        <w:t xml:space="preserve">all observations in which labour share is negative or greater than one are excluded from the sample. Our final sample of firm-level labour share includes 8,515 firm-year observations and 1,592 unique firms. </w:t>
      </w:r>
    </w:p>
    <w:p w14:paraId="2BA0A14E" w14:textId="16A1D775" w:rsidR="00F04F23" w:rsidRDefault="00F04F23" w:rsidP="00F04F23">
      <w:r w:rsidRPr="00F04F23">
        <w:t xml:space="preserve">Figure 1 demonstrates a correspondence between the aggregate firm-level labour share and the national account labour share. The aggregate labour share is calculated as the weighted average of labour share based on the share of value added in our sample, and the national account labour share is the ratio of employee compensation to total factor income, which is equal to GDP </w:t>
      </w:r>
      <w:proofErr w:type="gramStart"/>
      <w:r w:rsidRPr="00F04F23">
        <w:t>less</w:t>
      </w:r>
      <w:proofErr w:type="gramEnd"/>
      <w:r w:rsidRPr="00F04F23">
        <w:t xml:space="preserve"> net taxes on production and imports. Figure 1 shows that the aggregate labour share and national account labour share movement is quite similar. However, the national account labour share is larger and smoother than the aggregate labour share from 2004 to 2019. As </w:t>
      </w:r>
      <w:r w:rsidRPr="00F04F23">
        <w:fldChar w:fldCharType="begin" w:fldLock="1"/>
      </w:r>
      <w:r w:rsidR="00BA76AC">
        <w:instrText>ADDIN CSL_CITATION {"citationItems":[{"id":"ITEM-1","itemData":{"DOI":"10.1093/QJE/QJZ041","ISSN":"0033-5533","abstract":"We document the evolution of market power based on firm-level data for the U.S. economy since 1955. We measure both markups and profitability. In 1980, aggregate markups start to rise from 21% above marginal cost to 61% now. The increase is driven mainly by the upper tail of the markup distribution: The upper percentiles have increased sharply. Quite strikingly, the median is unchanged. In addition to the fattening upper tail of the markup distribution, there is reallocation of market share from low-to high-markup firms. This rise occurs mostly within industry. We also find an increase in the average profit rate from 1% to 8%. Although there is also an increase in overhead costs, the markup increase is in excess of overhead. We discuss the macroeconomic implications of an increase in averagemarket power,which can account for a number of secular trends in the past four decades, most notably the declining labor and capital shares as well as the decrease in labor market dynamism. JEL Codes: E2, D2, D4, J3, K2, L1.","author":[{"dropping-particle":"","family":"Loecker","given":"Jan","non-dropping-particle":"De","parse-names":false,"suffix":""},{"dropping-particle":"","family":"Eeckhout","given":"Jan","non-dropping-particle":"","parse-names":false,"suffix":""},{"dropping-particle":"","family":"Unger","given":"Gabriel","non-dropping-particle":"","parse-names":false,"suffix":""}],"container-title":"The Quarterly Journal of Economics","id":"ITEM-1","issue":"2","issued":{"date-parts":[["2020","5","1"]]},"page":"561-644","publisher":"Oxford Academic","title":"The rise of market power and the macroeconomic implications","type":"article-journal","volume":"135"},"uris":["http://www.mendeley.com/documents/?uuid=c39dfd08-2bf8-3731-af07-bfbbc25c76de"]}],"mendeley":{"formattedCitation":"(De Loecker et al., 2020)","manualFormatting":"De Loecker et al. (2020)","plainTextFormattedCitation":"(De Loecker et al., 2020)","previouslyFormattedCitation":"(De Loecker, Eeckhout, and Unger 2020)"},"properties":{"noteIndex":0},"schema":"https://github.com/citation-style-language/schema/raw/master/csl-citation.json"}</w:instrText>
      </w:r>
      <w:r w:rsidRPr="00F04F23">
        <w:fldChar w:fldCharType="separate"/>
      </w:r>
      <w:r w:rsidRPr="00F04F23">
        <w:rPr>
          <w:noProof/>
        </w:rPr>
        <w:t>De Loecker et al. (2020)</w:t>
      </w:r>
      <w:r w:rsidRPr="00F04F23">
        <w:fldChar w:fldCharType="end"/>
      </w:r>
      <w:r w:rsidRPr="00F04F23">
        <w:t xml:space="preserve"> discussed, listed ﬁrms are larger, older, more capital-intensive, and involve a more significant role for multinationals, which may cause a lower labour share among listed firms than in the whole economy. Generally, this correspondence provides some confidence that our estimation is a robust proxy of the aggregate labour share and can be employed to shed some light on the determinants of the labour share over the period 2004 -2019.</w:t>
      </w:r>
    </w:p>
    <w:p w14:paraId="47A02426" w14:textId="77777777" w:rsidR="006419DE" w:rsidRDefault="006419DE" w:rsidP="00F04F23"/>
    <w:p w14:paraId="12AFD930" w14:textId="77777777" w:rsidR="006419DE" w:rsidRDefault="006419DE" w:rsidP="00F04F23"/>
    <w:p w14:paraId="4CAD4A7D" w14:textId="77777777" w:rsidR="006419DE" w:rsidRDefault="006419DE" w:rsidP="00F04F23"/>
    <w:p w14:paraId="5529932B" w14:textId="77777777" w:rsidR="006419DE" w:rsidRDefault="006419DE" w:rsidP="00F04F23"/>
    <w:p w14:paraId="7F8CA1D9" w14:textId="77777777" w:rsidR="006419DE" w:rsidRDefault="006419DE" w:rsidP="00F04F23"/>
    <w:p w14:paraId="1968873F" w14:textId="3A7E9631" w:rsidR="006419DE" w:rsidRPr="006419DE" w:rsidRDefault="006419DE" w:rsidP="006419DE">
      <w:pPr>
        <w:ind w:firstLine="0"/>
        <w:jc w:val="center"/>
        <w:rPr>
          <w:rFonts w:cs="Times New Roman"/>
          <w:b/>
          <w:bCs/>
          <w:sz w:val="22"/>
        </w:rPr>
      </w:pPr>
      <w:r w:rsidRPr="006419DE">
        <w:rPr>
          <w:rFonts w:cs="Times New Roman"/>
          <w:b/>
          <w:bCs/>
          <w:sz w:val="22"/>
        </w:rPr>
        <w:lastRenderedPageBreak/>
        <w:t xml:space="preserve">Figure </w:t>
      </w:r>
      <w:r w:rsidR="00CB3875">
        <w:rPr>
          <w:rFonts w:cs="Times New Roman"/>
          <w:b/>
          <w:bCs/>
          <w:sz w:val="22"/>
        </w:rPr>
        <w:t>1</w:t>
      </w:r>
      <w:r w:rsidRPr="006419DE">
        <w:rPr>
          <w:rFonts w:cs="Times New Roman"/>
          <w:b/>
          <w:bCs/>
          <w:sz w:val="22"/>
        </w:rPr>
        <w:t>. The relationship between firm-level aggregate labour share and national account's labour share</w:t>
      </w:r>
    </w:p>
    <w:p w14:paraId="5A192F36" w14:textId="77777777" w:rsidR="006419DE" w:rsidRPr="009E5520" w:rsidRDefault="006419DE" w:rsidP="006419DE">
      <w:pPr>
        <w:ind w:firstLine="0"/>
        <w:jc w:val="center"/>
        <w:rPr>
          <w:rFonts w:cs="Times New Roman"/>
          <w:b/>
          <w:bCs/>
          <w:i/>
          <w:iCs/>
          <w:sz w:val="20"/>
          <w:szCs w:val="20"/>
        </w:rPr>
      </w:pPr>
      <w:r w:rsidRPr="009E5520">
        <w:rPr>
          <w:noProof/>
        </w:rPr>
        <w:drawing>
          <wp:inline distT="0" distB="0" distL="0" distR="0" wp14:anchorId="7668921C" wp14:editId="24BA3003">
            <wp:extent cx="5251450" cy="3276600"/>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24F682" w14:textId="16C21C72" w:rsidR="006419DE" w:rsidRPr="006419DE" w:rsidRDefault="006419DE" w:rsidP="006419DE">
      <w:pPr>
        <w:pStyle w:val="Caption"/>
        <w:jc w:val="left"/>
        <w:rPr>
          <w:i w:val="0"/>
          <w:iCs w:val="0"/>
          <w:color w:val="auto"/>
          <w:sz w:val="22"/>
          <w:szCs w:val="22"/>
        </w:rPr>
      </w:pPr>
      <w:r w:rsidRPr="006419DE">
        <w:rPr>
          <w:i w:val="0"/>
          <w:iCs w:val="0"/>
          <w:color w:val="auto"/>
          <w:sz w:val="22"/>
          <w:szCs w:val="22"/>
        </w:rPr>
        <w:t>Source: https://www.abs.gov.au/statistics/economy/national-accounts/australian-system-national-accounts/2019-20</w:t>
      </w:r>
    </w:p>
    <w:p w14:paraId="0992B348" w14:textId="77777777" w:rsidR="00F04F23" w:rsidRPr="00F04F23" w:rsidRDefault="00F04F23" w:rsidP="00F04F23">
      <w:r w:rsidRPr="00F04F23">
        <w:t xml:space="preserve">In addition to labour share, other financial variables are also calculated based on data availability in the </w:t>
      </w:r>
      <w:r w:rsidRPr="00F04F23">
        <w:rPr>
          <w:i/>
          <w:iCs/>
        </w:rPr>
        <w:t>TRD</w:t>
      </w:r>
      <w:r w:rsidRPr="00F04F23">
        <w:t xml:space="preserve"> database. The second variable of interest, pay inequality, is calculated as the ratio of total CEO compensation to the mean employee expenses during the fiscal year. CEO’s compensation is defined in the </w:t>
      </w:r>
      <w:r w:rsidRPr="00F04F23">
        <w:rPr>
          <w:i/>
          <w:iCs/>
        </w:rPr>
        <w:t>TRD</w:t>
      </w:r>
      <w:r w:rsidRPr="00F04F23">
        <w:t xml:space="preserve"> database as the highest remuneration within a firm.</w:t>
      </w:r>
      <w:r w:rsidRPr="00F04F23">
        <w:rPr>
          <w:vertAlign w:val="superscript"/>
        </w:rPr>
        <w:footnoteReference w:id="4"/>
      </w:r>
      <w:r w:rsidRPr="00F04F23">
        <w:t xml:space="preserve"> Employees’ average compensation is calculated as the ratio of employee expenses minus the highest remuneration to the number of employees minus one.</w:t>
      </w:r>
      <w:r w:rsidRPr="00F04F23">
        <w:rPr>
          <w:vertAlign w:val="superscript"/>
        </w:rPr>
        <w:footnoteReference w:id="5"/>
      </w:r>
      <w:r w:rsidRPr="00F04F23">
        <w:t xml:space="preserve"> Appendix A details the measurement of all significant variables such as </w:t>
      </w:r>
      <w:proofErr w:type="spellStart"/>
      <w:r w:rsidRPr="00F04F23">
        <w:rPr>
          <w:i/>
          <w:iCs/>
        </w:rPr>
        <w:t>LnCapital</w:t>
      </w:r>
      <w:proofErr w:type="spellEnd"/>
      <w:r w:rsidRPr="00F04F23">
        <w:rPr>
          <w:i/>
          <w:iCs/>
        </w:rPr>
        <w:t>/VA</w:t>
      </w:r>
      <w:r w:rsidRPr="00F04F23">
        <w:t xml:space="preserve">, </w:t>
      </w:r>
      <w:r w:rsidRPr="00F04F23">
        <w:rPr>
          <w:i/>
          <w:iCs/>
        </w:rPr>
        <w:t>TFP</w:t>
      </w:r>
      <w:r w:rsidRPr="00F04F23">
        <w:t xml:space="preserve">, </w:t>
      </w:r>
      <w:proofErr w:type="spellStart"/>
      <w:r w:rsidRPr="00F04F23">
        <w:rPr>
          <w:i/>
          <w:iCs/>
        </w:rPr>
        <w:t>LnMarkup</w:t>
      </w:r>
      <w:proofErr w:type="spellEnd"/>
      <w:r w:rsidRPr="00F04F23">
        <w:t xml:space="preserve">, and </w:t>
      </w:r>
      <w:proofErr w:type="spellStart"/>
      <w:r w:rsidRPr="00F04F23">
        <w:rPr>
          <w:i/>
          <w:iCs/>
        </w:rPr>
        <w:t>HHIEmp</w:t>
      </w:r>
      <w:proofErr w:type="spellEnd"/>
      <w:r w:rsidRPr="00F04F23">
        <w:t xml:space="preserve">. For all variables, we exclude observations with missing values, resulting in a sample of 3292 firm-year observations with 659 unique firms. In addition, all continuous financial variables are </w:t>
      </w:r>
      <w:proofErr w:type="spellStart"/>
      <w:r w:rsidRPr="00F04F23">
        <w:t>winsorised</w:t>
      </w:r>
      <w:proofErr w:type="spellEnd"/>
      <w:r w:rsidRPr="00F04F23">
        <w:t xml:space="preserve"> at the 1% level in each two-digit GICS to reduce the influence of possible outliers.</w:t>
      </w:r>
    </w:p>
    <w:p w14:paraId="299D3C4F" w14:textId="19D2DE87" w:rsidR="006419DE" w:rsidRPr="006419DE" w:rsidRDefault="00F04F23" w:rsidP="006419DE">
      <w:r w:rsidRPr="00F04F23">
        <w:t xml:space="preserve">Table 1 provides descriptive statistics for all variables in the sample of 3292 observations. On average, the proportion of Australian firms’ value-added paid to labour is 55 per cent over the period 2004-2019. Fifty per cent of the labour share in our sample lies between 37.7% and </w:t>
      </w:r>
      <w:r w:rsidRPr="00F04F23">
        <w:lastRenderedPageBreak/>
        <w:t>73.3%. In addition, the average mark-up in our sample is 1.48 (</w:t>
      </w:r>
      <w:proofErr w:type="spellStart"/>
      <w:r w:rsidRPr="00F04F23">
        <w:rPr>
          <w:i/>
          <w:iCs/>
        </w:rPr>
        <w:t>LnMarkupOP</w:t>
      </w:r>
      <w:proofErr w:type="spellEnd"/>
      <w:r w:rsidRPr="00F04F23">
        <w:t xml:space="preserve"> is equal to 0.395), which means that the average mark-up charged is 48% over marginal cost. Moreover, our further primary analysis shows that none of variables are highly correlated, and the signs of the correlations are consistent with our expectations. Technological progress and product market power are negatively correlated with labour share, while a negligible positive correlation exists between Union and labour share. In addition, there is a negative correlation between labour share and pay inequality.  </w:t>
      </w:r>
    </w:p>
    <w:p w14:paraId="101F6EFB" w14:textId="629B594B" w:rsidR="006419DE" w:rsidRPr="00331897" w:rsidRDefault="006419DE" w:rsidP="006419DE">
      <w:pPr>
        <w:ind w:firstLine="0"/>
        <w:jc w:val="center"/>
        <w:rPr>
          <w:b/>
          <w:bCs/>
        </w:rPr>
      </w:pPr>
      <w:r w:rsidRPr="00331897">
        <w:rPr>
          <w:b/>
          <w:bCs/>
          <w:sz w:val="22"/>
        </w:rPr>
        <w:t xml:space="preserve">Table </w:t>
      </w:r>
      <w:r w:rsidR="0086170C">
        <w:rPr>
          <w:b/>
          <w:bCs/>
          <w:sz w:val="22"/>
        </w:rPr>
        <w:t>1.</w:t>
      </w:r>
      <w:r w:rsidRPr="00331897">
        <w:rPr>
          <w:b/>
          <w:bCs/>
          <w:sz w:val="22"/>
        </w:rPr>
        <w:t xml:space="preserve"> Summary statistic of all variables</w:t>
      </w:r>
    </w:p>
    <w:tbl>
      <w:tblPr>
        <w:tblW w:w="9356" w:type="dxa"/>
        <w:tblLook w:val="04A0" w:firstRow="1" w:lastRow="0" w:firstColumn="1" w:lastColumn="0" w:noHBand="0" w:noVBand="1"/>
      </w:tblPr>
      <w:tblGrid>
        <w:gridCol w:w="2640"/>
        <w:gridCol w:w="1140"/>
        <w:gridCol w:w="1020"/>
        <w:gridCol w:w="1020"/>
        <w:gridCol w:w="1300"/>
        <w:gridCol w:w="1020"/>
        <w:gridCol w:w="1216"/>
      </w:tblGrid>
      <w:tr w:rsidR="006419DE" w:rsidRPr="009E5520" w14:paraId="6B380DE1" w14:textId="77777777" w:rsidTr="00114EAB">
        <w:trPr>
          <w:trHeight w:hRule="exact" w:val="283"/>
        </w:trPr>
        <w:tc>
          <w:tcPr>
            <w:tcW w:w="2640" w:type="dxa"/>
            <w:tcBorders>
              <w:top w:val="nil"/>
              <w:left w:val="nil"/>
              <w:bottom w:val="single" w:sz="4" w:space="0" w:color="auto"/>
              <w:right w:val="nil"/>
            </w:tcBorders>
            <w:shd w:val="clear" w:color="auto" w:fill="auto"/>
            <w:noWrap/>
            <w:vAlign w:val="center"/>
            <w:hideMark/>
          </w:tcPr>
          <w:p w14:paraId="20F1433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Variable</w:t>
            </w:r>
          </w:p>
        </w:tc>
        <w:tc>
          <w:tcPr>
            <w:tcW w:w="1140" w:type="dxa"/>
            <w:tcBorders>
              <w:top w:val="nil"/>
              <w:left w:val="nil"/>
              <w:bottom w:val="single" w:sz="4" w:space="0" w:color="auto"/>
              <w:right w:val="nil"/>
            </w:tcBorders>
            <w:shd w:val="clear" w:color="auto" w:fill="auto"/>
            <w:noWrap/>
            <w:vAlign w:val="center"/>
            <w:hideMark/>
          </w:tcPr>
          <w:p w14:paraId="62AC590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Obs.</w:t>
            </w:r>
          </w:p>
        </w:tc>
        <w:tc>
          <w:tcPr>
            <w:tcW w:w="1020" w:type="dxa"/>
            <w:tcBorders>
              <w:top w:val="nil"/>
              <w:left w:val="nil"/>
              <w:bottom w:val="single" w:sz="4" w:space="0" w:color="auto"/>
              <w:right w:val="nil"/>
            </w:tcBorders>
            <w:shd w:val="clear" w:color="auto" w:fill="auto"/>
            <w:noWrap/>
            <w:vAlign w:val="center"/>
            <w:hideMark/>
          </w:tcPr>
          <w:p w14:paraId="08DFC59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Mean</w:t>
            </w:r>
          </w:p>
        </w:tc>
        <w:tc>
          <w:tcPr>
            <w:tcW w:w="1020" w:type="dxa"/>
            <w:tcBorders>
              <w:top w:val="nil"/>
              <w:left w:val="nil"/>
              <w:bottom w:val="single" w:sz="4" w:space="0" w:color="auto"/>
              <w:right w:val="nil"/>
            </w:tcBorders>
            <w:shd w:val="clear" w:color="auto" w:fill="auto"/>
            <w:noWrap/>
            <w:vAlign w:val="center"/>
            <w:hideMark/>
          </w:tcPr>
          <w:p w14:paraId="0BAC3B9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SD.</w:t>
            </w:r>
          </w:p>
        </w:tc>
        <w:tc>
          <w:tcPr>
            <w:tcW w:w="1300" w:type="dxa"/>
            <w:tcBorders>
              <w:top w:val="nil"/>
              <w:left w:val="nil"/>
              <w:bottom w:val="single" w:sz="4" w:space="0" w:color="auto"/>
              <w:right w:val="nil"/>
            </w:tcBorders>
            <w:shd w:val="clear" w:color="auto" w:fill="auto"/>
            <w:noWrap/>
            <w:vAlign w:val="center"/>
            <w:hideMark/>
          </w:tcPr>
          <w:p w14:paraId="69764AB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1st quartile</w:t>
            </w:r>
          </w:p>
        </w:tc>
        <w:tc>
          <w:tcPr>
            <w:tcW w:w="1020" w:type="dxa"/>
            <w:tcBorders>
              <w:top w:val="nil"/>
              <w:left w:val="nil"/>
              <w:bottom w:val="single" w:sz="4" w:space="0" w:color="auto"/>
              <w:right w:val="nil"/>
            </w:tcBorders>
            <w:shd w:val="clear" w:color="auto" w:fill="auto"/>
            <w:noWrap/>
            <w:vAlign w:val="center"/>
            <w:hideMark/>
          </w:tcPr>
          <w:p w14:paraId="7A1C75C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Median</w:t>
            </w:r>
          </w:p>
        </w:tc>
        <w:tc>
          <w:tcPr>
            <w:tcW w:w="1216" w:type="dxa"/>
            <w:tcBorders>
              <w:top w:val="nil"/>
              <w:left w:val="nil"/>
              <w:bottom w:val="single" w:sz="4" w:space="0" w:color="auto"/>
              <w:right w:val="nil"/>
            </w:tcBorders>
            <w:shd w:val="clear" w:color="auto" w:fill="auto"/>
            <w:noWrap/>
            <w:vAlign w:val="center"/>
            <w:hideMark/>
          </w:tcPr>
          <w:p w14:paraId="30DEB7A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3rd quartile</w:t>
            </w:r>
          </w:p>
        </w:tc>
      </w:tr>
      <w:tr w:rsidR="006419DE" w:rsidRPr="009E5520" w14:paraId="561B8AF1" w14:textId="77777777" w:rsidTr="00114EAB">
        <w:trPr>
          <w:trHeight w:hRule="exact" w:val="283"/>
        </w:trPr>
        <w:tc>
          <w:tcPr>
            <w:tcW w:w="2640" w:type="dxa"/>
            <w:tcBorders>
              <w:top w:val="single" w:sz="4" w:space="0" w:color="auto"/>
              <w:left w:val="nil"/>
              <w:bottom w:val="nil"/>
              <w:right w:val="nil"/>
            </w:tcBorders>
            <w:shd w:val="clear" w:color="auto" w:fill="auto"/>
            <w:noWrap/>
            <w:vAlign w:val="center"/>
            <w:hideMark/>
          </w:tcPr>
          <w:p w14:paraId="607961E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Labo</w:t>
            </w:r>
            <w:r>
              <w:rPr>
                <w:rFonts w:cs="Times New Roman"/>
                <w:color w:val="000000"/>
                <w:sz w:val="20"/>
                <w:szCs w:val="20"/>
              </w:rPr>
              <w:t>u</w:t>
            </w:r>
            <w:r w:rsidRPr="009E5520">
              <w:rPr>
                <w:rFonts w:cs="Times New Roman"/>
                <w:color w:val="000000"/>
                <w:sz w:val="20"/>
                <w:szCs w:val="20"/>
              </w:rPr>
              <w:t>rShare</w:t>
            </w:r>
            <w:proofErr w:type="spellEnd"/>
          </w:p>
        </w:tc>
        <w:tc>
          <w:tcPr>
            <w:tcW w:w="1140" w:type="dxa"/>
            <w:tcBorders>
              <w:top w:val="single" w:sz="4" w:space="0" w:color="auto"/>
              <w:left w:val="nil"/>
              <w:bottom w:val="nil"/>
              <w:right w:val="nil"/>
            </w:tcBorders>
            <w:shd w:val="clear" w:color="auto" w:fill="auto"/>
            <w:noWrap/>
            <w:vAlign w:val="center"/>
            <w:hideMark/>
          </w:tcPr>
          <w:p w14:paraId="2BACD95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single" w:sz="4" w:space="0" w:color="auto"/>
              <w:left w:val="nil"/>
              <w:bottom w:val="nil"/>
              <w:right w:val="nil"/>
            </w:tcBorders>
            <w:shd w:val="clear" w:color="auto" w:fill="auto"/>
            <w:noWrap/>
            <w:vAlign w:val="center"/>
            <w:hideMark/>
          </w:tcPr>
          <w:p w14:paraId="211BC2D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0.550</w:t>
            </w:r>
          </w:p>
        </w:tc>
        <w:tc>
          <w:tcPr>
            <w:tcW w:w="1020" w:type="dxa"/>
            <w:tcBorders>
              <w:top w:val="single" w:sz="4" w:space="0" w:color="auto"/>
              <w:left w:val="nil"/>
              <w:bottom w:val="nil"/>
              <w:right w:val="nil"/>
            </w:tcBorders>
            <w:shd w:val="clear" w:color="auto" w:fill="auto"/>
            <w:noWrap/>
            <w:vAlign w:val="center"/>
            <w:hideMark/>
          </w:tcPr>
          <w:p w14:paraId="410D935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0.243</w:t>
            </w:r>
          </w:p>
        </w:tc>
        <w:tc>
          <w:tcPr>
            <w:tcW w:w="1300" w:type="dxa"/>
            <w:tcBorders>
              <w:top w:val="single" w:sz="4" w:space="0" w:color="auto"/>
              <w:left w:val="nil"/>
              <w:bottom w:val="nil"/>
              <w:right w:val="nil"/>
            </w:tcBorders>
            <w:shd w:val="clear" w:color="auto" w:fill="auto"/>
            <w:noWrap/>
            <w:vAlign w:val="center"/>
            <w:hideMark/>
          </w:tcPr>
          <w:p w14:paraId="40DA01B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0.377</w:t>
            </w:r>
          </w:p>
        </w:tc>
        <w:tc>
          <w:tcPr>
            <w:tcW w:w="1020" w:type="dxa"/>
            <w:tcBorders>
              <w:top w:val="single" w:sz="4" w:space="0" w:color="auto"/>
              <w:left w:val="nil"/>
              <w:bottom w:val="nil"/>
              <w:right w:val="nil"/>
            </w:tcBorders>
            <w:shd w:val="clear" w:color="auto" w:fill="auto"/>
            <w:noWrap/>
            <w:vAlign w:val="center"/>
            <w:hideMark/>
          </w:tcPr>
          <w:p w14:paraId="067FA6A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0.593</w:t>
            </w:r>
          </w:p>
        </w:tc>
        <w:tc>
          <w:tcPr>
            <w:tcW w:w="1216" w:type="dxa"/>
            <w:tcBorders>
              <w:top w:val="single" w:sz="4" w:space="0" w:color="auto"/>
              <w:left w:val="nil"/>
              <w:bottom w:val="nil"/>
              <w:right w:val="nil"/>
            </w:tcBorders>
            <w:shd w:val="clear" w:color="auto" w:fill="auto"/>
            <w:noWrap/>
            <w:vAlign w:val="center"/>
            <w:hideMark/>
          </w:tcPr>
          <w:p w14:paraId="6A29868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0.733</w:t>
            </w:r>
          </w:p>
        </w:tc>
      </w:tr>
      <w:tr w:rsidR="006419DE" w:rsidRPr="009E5520" w14:paraId="292AFFAB" w14:textId="77777777" w:rsidTr="00114EAB">
        <w:trPr>
          <w:trHeight w:hRule="exact" w:val="283"/>
        </w:trPr>
        <w:tc>
          <w:tcPr>
            <w:tcW w:w="2640" w:type="dxa"/>
            <w:tcBorders>
              <w:top w:val="nil"/>
              <w:left w:val="nil"/>
              <w:bottom w:val="nil"/>
              <w:right w:val="nil"/>
            </w:tcBorders>
            <w:shd w:val="clear" w:color="auto" w:fill="auto"/>
            <w:noWrap/>
            <w:vAlign w:val="center"/>
            <w:hideMark/>
          </w:tcPr>
          <w:p w14:paraId="79AE107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LnPayInequality</w:t>
            </w:r>
            <w:proofErr w:type="spellEnd"/>
          </w:p>
        </w:tc>
        <w:tc>
          <w:tcPr>
            <w:tcW w:w="1140" w:type="dxa"/>
            <w:tcBorders>
              <w:top w:val="nil"/>
              <w:left w:val="nil"/>
              <w:bottom w:val="nil"/>
              <w:right w:val="nil"/>
            </w:tcBorders>
            <w:shd w:val="clear" w:color="auto" w:fill="auto"/>
            <w:noWrap/>
            <w:vAlign w:val="center"/>
            <w:hideMark/>
          </w:tcPr>
          <w:p w14:paraId="25BAD26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1,352</w:t>
            </w:r>
          </w:p>
        </w:tc>
        <w:tc>
          <w:tcPr>
            <w:tcW w:w="1020" w:type="dxa"/>
            <w:tcBorders>
              <w:top w:val="nil"/>
              <w:left w:val="nil"/>
              <w:bottom w:val="nil"/>
              <w:right w:val="nil"/>
            </w:tcBorders>
            <w:shd w:val="clear" w:color="auto" w:fill="auto"/>
            <w:noWrap/>
            <w:vAlign w:val="center"/>
            <w:hideMark/>
          </w:tcPr>
          <w:p w14:paraId="0B26177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3.223</w:t>
            </w:r>
          </w:p>
        </w:tc>
        <w:tc>
          <w:tcPr>
            <w:tcW w:w="1020" w:type="dxa"/>
            <w:tcBorders>
              <w:top w:val="nil"/>
              <w:left w:val="nil"/>
              <w:bottom w:val="nil"/>
              <w:right w:val="nil"/>
            </w:tcBorders>
            <w:shd w:val="clear" w:color="auto" w:fill="auto"/>
            <w:noWrap/>
            <w:vAlign w:val="center"/>
            <w:hideMark/>
          </w:tcPr>
          <w:p w14:paraId="4F5F724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1.096</w:t>
            </w:r>
          </w:p>
        </w:tc>
        <w:tc>
          <w:tcPr>
            <w:tcW w:w="1300" w:type="dxa"/>
            <w:tcBorders>
              <w:top w:val="nil"/>
              <w:left w:val="nil"/>
              <w:bottom w:val="nil"/>
              <w:right w:val="nil"/>
            </w:tcBorders>
            <w:shd w:val="clear" w:color="auto" w:fill="auto"/>
            <w:noWrap/>
            <w:vAlign w:val="center"/>
            <w:hideMark/>
          </w:tcPr>
          <w:p w14:paraId="1BB0925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2.458</w:t>
            </w:r>
          </w:p>
        </w:tc>
        <w:tc>
          <w:tcPr>
            <w:tcW w:w="1020" w:type="dxa"/>
            <w:tcBorders>
              <w:top w:val="nil"/>
              <w:left w:val="nil"/>
              <w:bottom w:val="nil"/>
              <w:right w:val="nil"/>
            </w:tcBorders>
            <w:shd w:val="clear" w:color="auto" w:fill="auto"/>
            <w:noWrap/>
            <w:vAlign w:val="center"/>
            <w:hideMark/>
          </w:tcPr>
          <w:p w14:paraId="5FEA1CE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3.234</w:t>
            </w:r>
          </w:p>
        </w:tc>
        <w:tc>
          <w:tcPr>
            <w:tcW w:w="1216" w:type="dxa"/>
            <w:tcBorders>
              <w:top w:val="nil"/>
              <w:left w:val="nil"/>
              <w:bottom w:val="nil"/>
              <w:right w:val="nil"/>
            </w:tcBorders>
            <w:shd w:val="clear" w:color="auto" w:fill="auto"/>
            <w:noWrap/>
            <w:vAlign w:val="center"/>
            <w:hideMark/>
          </w:tcPr>
          <w:p w14:paraId="3364480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3.928</w:t>
            </w:r>
          </w:p>
        </w:tc>
      </w:tr>
      <w:tr w:rsidR="006419DE" w:rsidRPr="009E5520" w14:paraId="0FCA7414" w14:textId="77777777" w:rsidTr="00114EAB">
        <w:trPr>
          <w:trHeight w:hRule="exact" w:val="283"/>
        </w:trPr>
        <w:tc>
          <w:tcPr>
            <w:tcW w:w="2640" w:type="dxa"/>
            <w:tcBorders>
              <w:top w:val="nil"/>
              <w:left w:val="nil"/>
              <w:bottom w:val="nil"/>
              <w:right w:val="nil"/>
            </w:tcBorders>
            <w:shd w:val="clear" w:color="auto" w:fill="auto"/>
            <w:noWrap/>
            <w:vAlign w:val="center"/>
            <w:hideMark/>
          </w:tcPr>
          <w:p w14:paraId="719F0A8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LnCapital</w:t>
            </w:r>
            <w:proofErr w:type="spellEnd"/>
            <w:r w:rsidRPr="009E5520">
              <w:rPr>
                <w:rFonts w:cs="Times New Roman"/>
                <w:color w:val="000000"/>
                <w:sz w:val="20"/>
                <w:szCs w:val="20"/>
              </w:rPr>
              <w:t>/VA</w:t>
            </w:r>
          </w:p>
        </w:tc>
        <w:tc>
          <w:tcPr>
            <w:tcW w:w="1140" w:type="dxa"/>
            <w:tcBorders>
              <w:top w:val="nil"/>
              <w:left w:val="nil"/>
              <w:bottom w:val="nil"/>
              <w:right w:val="nil"/>
            </w:tcBorders>
            <w:shd w:val="clear" w:color="auto" w:fill="auto"/>
            <w:noWrap/>
            <w:vAlign w:val="center"/>
            <w:hideMark/>
          </w:tcPr>
          <w:p w14:paraId="7D63BAD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760426E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c>
          <w:tcPr>
            <w:tcW w:w="1020" w:type="dxa"/>
            <w:tcBorders>
              <w:top w:val="nil"/>
              <w:left w:val="nil"/>
              <w:bottom w:val="nil"/>
              <w:right w:val="nil"/>
            </w:tcBorders>
            <w:shd w:val="clear" w:color="auto" w:fill="auto"/>
            <w:noWrap/>
            <w:vAlign w:val="center"/>
            <w:hideMark/>
          </w:tcPr>
          <w:p w14:paraId="1855EA9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1.305</w:t>
            </w:r>
          </w:p>
        </w:tc>
        <w:tc>
          <w:tcPr>
            <w:tcW w:w="1300" w:type="dxa"/>
            <w:tcBorders>
              <w:top w:val="nil"/>
              <w:left w:val="nil"/>
              <w:bottom w:val="nil"/>
              <w:right w:val="nil"/>
            </w:tcBorders>
            <w:shd w:val="clear" w:color="auto" w:fill="auto"/>
            <w:noWrap/>
            <w:vAlign w:val="center"/>
            <w:hideMark/>
          </w:tcPr>
          <w:p w14:paraId="3315D8B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-0.875</w:t>
            </w:r>
          </w:p>
        </w:tc>
        <w:tc>
          <w:tcPr>
            <w:tcW w:w="1020" w:type="dxa"/>
            <w:tcBorders>
              <w:top w:val="nil"/>
              <w:left w:val="nil"/>
              <w:bottom w:val="nil"/>
              <w:right w:val="nil"/>
            </w:tcBorders>
            <w:shd w:val="clear" w:color="auto" w:fill="auto"/>
            <w:noWrap/>
            <w:vAlign w:val="center"/>
            <w:hideMark/>
          </w:tcPr>
          <w:p w14:paraId="68276B8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0.099</w:t>
            </w:r>
          </w:p>
        </w:tc>
        <w:tc>
          <w:tcPr>
            <w:tcW w:w="1216" w:type="dxa"/>
            <w:tcBorders>
              <w:top w:val="nil"/>
              <w:left w:val="nil"/>
              <w:bottom w:val="nil"/>
              <w:right w:val="nil"/>
            </w:tcBorders>
            <w:shd w:val="clear" w:color="auto" w:fill="auto"/>
            <w:noWrap/>
            <w:vAlign w:val="center"/>
            <w:hideMark/>
          </w:tcPr>
          <w:p w14:paraId="4B54D05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0.949</w:t>
            </w:r>
          </w:p>
        </w:tc>
      </w:tr>
      <w:tr w:rsidR="006419DE" w:rsidRPr="009E5520" w14:paraId="38AAC06D" w14:textId="77777777" w:rsidTr="00114EAB">
        <w:trPr>
          <w:trHeight w:hRule="exact" w:val="283"/>
        </w:trPr>
        <w:tc>
          <w:tcPr>
            <w:tcW w:w="2640" w:type="dxa"/>
            <w:tcBorders>
              <w:top w:val="nil"/>
              <w:left w:val="nil"/>
              <w:bottom w:val="nil"/>
              <w:right w:val="nil"/>
            </w:tcBorders>
            <w:shd w:val="clear" w:color="auto" w:fill="auto"/>
            <w:noWrap/>
            <w:vAlign w:val="center"/>
            <w:hideMark/>
          </w:tcPr>
          <w:p w14:paraId="64D3D32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TFPOLS</w:t>
            </w:r>
          </w:p>
        </w:tc>
        <w:tc>
          <w:tcPr>
            <w:tcW w:w="1140" w:type="dxa"/>
            <w:tcBorders>
              <w:top w:val="nil"/>
              <w:left w:val="nil"/>
              <w:bottom w:val="nil"/>
              <w:right w:val="nil"/>
            </w:tcBorders>
            <w:shd w:val="clear" w:color="auto" w:fill="auto"/>
            <w:noWrap/>
            <w:vAlign w:val="center"/>
            <w:hideMark/>
          </w:tcPr>
          <w:p w14:paraId="2D580EE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2640934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0.034</w:t>
            </w:r>
          </w:p>
        </w:tc>
        <w:tc>
          <w:tcPr>
            <w:tcW w:w="1020" w:type="dxa"/>
            <w:tcBorders>
              <w:top w:val="nil"/>
              <w:left w:val="nil"/>
              <w:bottom w:val="nil"/>
              <w:right w:val="nil"/>
            </w:tcBorders>
            <w:shd w:val="clear" w:color="auto" w:fill="auto"/>
            <w:noWrap/>
            <w:vAlign w:val="center"/>
            <w:hideMark/>
          </w:tcPr>
          <w:p w14:paraId="165FD39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0.656</w:t>
            </w:r>
          </w:p>
        </w:tc>
        <w:tc>
          <w:tcPr>
            <w:tcW w:w="1300" w:type="dxa"/>
            <w:tcBorders>
              <w:top w:val="nil"/>
              <w:left w:val="nil"/>
              <w:bottom w:val="nil"/>
              <w:right w:val="nil"/>
            </w:tcBorders>
            <w:shd w:val="clear" w:color="auto" w:fill="auto"/>
            <w:noWrap/>
            <w:vAlign w:val="center"/>
            <w:hideMark/>
          </w:tcPr>
          <w:p w14:paraId="7544B01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-0.336</w:t>
            </w:r>
          </w:p>
        </w:tc>
        <w:tc>
          <w:tcPr>
            <w:tcW w:w="1020" w:type="dxa"/>
            <w:tcBorders>
              <w:top w:val="nil"/>
              <w:left w:val="nil"/>
              <w:bottom w:val="nil"/>
              <w:right w:val="nil"/>
            </w:tcBorders>
            <w:shd w:val="clear" w:color="auto" w:fill="auto"/>
            <w:noWrap/>
            <w:vAlign w:val="center"/>
            <w:hideMark/>
          </w:tcPr>
          <w:p w14:paraId="6724BF6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0.030</w:t>
            </w:r>
          </w:p>
        </w:tc>
        <w:tc>
          <w:tcPr>
            <w:tcW w:w="1216" w:type="dxa"/>
            <w:tcBorders>
              <w:top w:val="nil"/>
              <w:left w:val="nil"/>
              <w:bottom w:val="nil"/>
              <w:right w:val="nil"/>
            </w:tcBorders>
            <w:shd w:val="clear" w:color="auto" w:fill="auto"/>
            <w:noWrap/>
            <w:vAlign w:val="center"/>
            <w:hideMark/>
          </w:tcPr>
          <w:p w14:paraId="07CF598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0.420</w:t>
            </w:r>
          </w:p>
        </w:tc>
      </w:tr>
      <w:tr w:rsidR="006419DE" w:rsidRPr="009E5520" w14:paraId="7340D40C" w14:textId="77777777" w:rsidTr="00114EAB">
        <w:trPr>
          <w:trHeight w:hRule="exact" w:val="283"/>
        </w:trPr>
        <w:tc>
          <w:tcPr>
            <w:tcW w:w="2640" w:type="dxa"/>
            <w:tcBorders>
              <w:top w:val="nil"/>
              <w:left w:val="nil"/>
              <w:bottom w:val="nil"/>
              <w:right w:val="nil"/>
            </w:tcBorders>
            <w:shd w:val="clear" w:color="auto" w:fill="auto"/>
            <w:noWrap/>
            <w:vAlign w:val="center"/>
            <w:hideMark/>
          </w:tcPr>
          <w:p w14:paraId="09A4DF6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LnMarkupOLS</w:t>
            </w:r>
            <w:proofErr w:type="spellEnd"/>
          </w:p>
        </w:tc>
        <w:tc>
          <w:tcPr>
            <w:tcW w:w="1140" w:type="dxa"/>
            <w:tcBorders>
              <w:top w:val="nil"/>
              <w:left w:val="nil"/>
              <w:bottom w:val="nil"/>
              <w:right w:val="nil"/>
            </w:tcBorders>
            <w:shd w:val="clear" w:color="auto" w:fill="auto"/>
            <w:noWrap/>
            <w:vAlign w:val="center"/>
            <w:hideMark/>
          </w:tcPr>
          <w:p w14:paraId="151B490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52CDB73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0.408</w:t>
            </w:r>
          </w:p>
        </w:tc>
        <w:tc>
          <w:tcPr>
            <w:tcW w:w="1020" w:type="dxa"/>
            <w:tcBorders>
              <w:top w:val="nil"/>
              <w:left w:val="nil"/>
              <w:bottom w:val="nil"/>
              <w:right w:val="nil"/>
            </w:tcBorders>
            <w:shd w:val="clear" w:color="auto" w:fill="auto"/>
            <w:noWrap/>
            <w:vAlign w:val="center"/>
            <w:hideMark/>
          </w:tcPr>
          <w:p w14:paraId="38FA5D6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0.649</w:t>
            </w:r>
          </w:p>
        </w:tc>
        <w:tc>
          <w:tcPr>
            <w:tcW w:w="1300" w:type="dxa"/>
            <w:tcBorders>
              <w:top w:val="nil"/>
              <w:left w:val="nil"/>
              <w:bottom w:val="nil"/>
              <w:right w:val="nil"/>
            </w:tcBorders>
            <w:shd w:val="clear" w:color="auto" w:fill="auto"/>
            <w:noWrap/>
            <w:vAlign w:val="center"/>
            <w:hideMark/>
          </w:tcPr>
          <w:p w14:paraId="77DDD02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0.044</w:t>
            </w:r>
          </w:p>
        </w:tc>
        <w:tc>
          <w:tcPr>
            <w:tcW w:w="1020" w:type="dxa"/>
            <w:tcBorders>
              <w:top w:val="nil"/>
              <w:left w:val="nil"/>
              <w:bottom w:val="nil"/>
              <w:right w:val="nil"/>
            </w:tcBorders>
            <w:shd w:val="clear" w:color="auto" w:fill="auto"/>
            <w:noWrap/>
            <w:vAlign w:val="center"/>
            <w:hideMark/>
          </w:tcPr>
          <w:p w14:paraId="1387F1B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0.281</w:t>
            </w:r>
          </w:p>
        </w:tc>
        <w:tc>
          <w:tcPr>
            <w:tcW w:w="1216" w:type="dxa"/>
            <w:tcBorders>
              <w:top w:val="nil"/>
              <w:left w:val="nil"/>
              <w:bottom w:val="nil"/>
              <w:right w:val="nil"/>
            </w:tcBorders>
            <w:shd w:val="clear" w:color="auto" w:fill="auto"/>
            <w:noWrap/>
            <w:vAlign w:val="center"/>
            <w:hideMark/>
          </w:tcPr>
          <w:p w14:paraId="6150C92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0.596</w:t>
            </w:r>
          </w:p>
        </w:tc>
      </w:tr>
      <w:tr w:rsidR="006419DE" w:rsidRPr="009E5520" w14:paraId="72645336" w14:textId="77777777" w:rsidTr="00114EAB">
        <w:trPr>
          <w:trHeight w:hRule="exact" w:val="283"/>
        </w:trPr>
        <w:tc>
          <w:tcPr>
            <w:tcW w:w="2640" w:type="dxa"/>
            <w:tcBorders>
              <w:top w:val="nil"/>
              <w:left w:val="nil"/>
              <w:bottom w:val="nil"/>
              <w:right w:val="nil"/>
            </w:tcBorders>
            <w:shd w:val="clear" w:color="auto" w:fill="auto"/>
            <w:noWrap/>
            <w:vAlign w:val="center"/>
            <w:hideMark/>
          </w:tcPr>
          <w:p w14:paraId="1913C12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TFPOP</w:t>
            </w:r>
          </w:p>
        </w:tc>
        <w:tc>
          <w:tcPr>
            <w:tcW w:w="1140" w:type="dxa"/>
            <w:tcBorders>
              <w:top w:val="nil"/>
              <w:left w:val="nil"/>
              <w:bottom w:val="nil"/>
              <w:right w:val="nil"/>
            </w:tcBorders>
            <w:shd w:val="clear" w:color="auto" w:fill="auto"/>
            <w:noWrap/>
            <w:vAlign w:val="center"/>
            <w:hideMark/>
          </w:tcPr>
          <w:p w14:paraId="25E4D0B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5627485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0.745</w:t>
            </w:r>
          </w:p>
        </w:tc>
        <w:tc>
          <w:tcPr>
            <w:tcW w:w="1020" w:type="dxa"/>
            <w:tcBorders>
              <w:top w:val="nil"/>
              <w:left w:val="nil"/>
              <w:bottom w:val="nil"/>
              <w:right w:val="nil"/>
            </w:tcBorders>
            <w:shd w:val="clear" w:color="auto" w:fill="auto"/>
            <w:noWrap/>
            <w:vAlign w:val="center"/>
            <w:hideMark/>
          </w:tcPr>
          <w:p w14:paraId="3C0EAE8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1.848</w:t>
            </w:r>
          </w:p>
        </w:tc>
        <w:tc>
          <w:tcPr>
            <w:tcW w:w="1300" w:type="dxa"/>
            <w:tcBorders>
              <w:top w:val="nil"/>
              <w:left w:val="nil"/>
              <w:bottom w:val="nil"/>
              <w:right w:val="nil"/>
            </w:tcBorders>
            <w:shd w:val="clear" w:color="auto" w:fill="auto"/>
            <w:noWrap/>
            <w:vAlign w:val="center"/>
            <w:hideMark/>
          </w:tcPr>
          <w:p w14:paraId="1A4A867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-0.433</w:t>
            </w:r>
          </w:p>
        </w:tc>
        <w:tc>
          <w:tcPr>
            <w:tcW w:w="1020" w:type="dxa"/>
            <w:tcBorders>
              <w:top w:val="nil"/>
              <w:left w:val="nil"/>
              <w:bottom w:val="nil"/>
              <w:right w:val="nil"/>
            </w:tcBorders>
            <w:shd w:val="clear" w:color="auto" w:fill="auto"/>
            <w:noWrap/>
            <w:vAlign w:val="center"/>
            <w:hideMark/>
          </w:tcPr>
          <w:p w14:paraId="3814CAF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0.739</w:t>
            </w:r>
          </w:p>
        </w:tc>
        <w:tc>
          <w:tcPr>
            <w:tcW w:w="1216" w:type="dxa"/>
            <w:tcBorders>
              <w:top w:val="nil"/>
              <w:left w:val="nil"/>
              <w:bottom w:val="nil"/>
              <w:right w:val="nil"/>
            </w:tcBorders>
            <w:shd w:val="clear" w:color="auto" w:fill="auto"/>
            <w:noWrap/>
            <w:vAlign w:val="center"/>
            <w:hideMark/>
          </w:tcPr>
          <w:p w14:paraId="10BB096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2.022</w:t>
            </w:r>
          </w:p>
        </w:tc>
      </w:tr>
      <w:tr w:rsidR="006419DE" w:rsidRPr="009E5520" w14:paraId="2278138E" w14:textId="77777777" w:rsidTr="00114EAB">
        <w:trPr>
          <w:trHeight w:hRule="exact" w:val="283"/>
        </w:trPr>
        <w:tc>
          <w:tcPr>
            <w:tcW w:w="2640" w:type="dxa"/>
            <w:tcBorders>
              <w:top w:val="nil"/>
              <w:left w:val="nil"/>
              <w:bottom w:val="nil"/>
              <w:right w:val="nil"/>
            </w:tcBorders>
            <w:shd w:val="clear" w:color="auto" w:fill="auto"/>
            <w:noWrap/>
            <w:vAlign w:val="center"/>
            <w:hideMark/>
          </w:tcPr>
          <w:p w14:paraId="0DD9319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LnMarkupOP</w:t>
            </w:r>
            <w:proofErr w:type="spellEnd"/>
          </w:p>
        </w:tc>
        <w:tc>
          <w:tcPr>
            <w:tcW w:w="1140" w:type="dxa"/>
            <w:tcBorders>
              <w:top w:val="nil"/>
              <w:left w:val="nil"/>
              <w:bottom w:val="nil"/>
              <w:right w:val="nil"/>
            </w:tcBorders>
            <w:shd w:val="clear" w:color="auto" w:fill="auto"/>
            <w:noWrap/>
            <w:vAlign w:val="center"/>
            <w:hideMark/>
          </w:tcPr>
          <w:p w14:paraId="604F070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52CC72D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0.395</w:t>
            </w:r>
          </w:p>
        </w:tc>
        <w:tc>
          <w:tcPr>
            <w:tcW w:w="1020" w:type="dxa"/>
            <w:tcBorders>
              <w:top w:val="nil"/>
              <w:left w:val="nil"/>
              <w:bottom w:val="nil"/>
              <w:right w:val="nil"/>
            </w:tcBorders>
            <w:shd w:val="clear" w:color="auto" w:fill="auto"/>
            <w:noWrap/>
            <w:vAlign w:val="center"/>
            <w:hideMark/>
          </w:tcPr>
          <w:p w14:paraId="085EE59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0.643</w:t>
            </w:r>
          </w:p>
        </w:tc>
        <w:tc>
          <w:tcPr>
            <w:tcW w:w="1300" w:type="dxa"/>
            <w:tcBorders>
              <w:top w:val="nil"/>
              <w:left w:val="nil"/>
              <w:bottom w:val="nil"/>
              <w:right w:val="nil"/>
            </w:tcBorders>
            <w:shd w:val="clear" w:color="auto" w:fill="auto"/>
            <w:noWrap/>
            <w:vAlign w:val="center"/>
            <w:hideMark/>
          </w:tcPr>
          <w:p w14:paraId="3B9ACE3D"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0.037</w:t>
            </w:r>
          </w:p>
        </w:tc>
        <w:tc>
          <w:tcPr>
            <w:tcW w:w="1020" w:type="dxa"/>
            <w:tcBorders>
              <w:top w:val="nil"/>
              <w:left w:val="nil"/>
              <w:bottom w:val="nil"/>
              <w:right w:val="nil"/>
            </w:tcBorders>
            <w:shd w:val="clear" w:color="auto" w:fill="auto"/>
            <w:noWrap/>
            <w:vAlign w:val="center"/>
            <w:hideMark/>
          </w:tcPr>
          <w:p w14:paraId="3CE6C1B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0.256</w:t>
            </w:r>
          </w:p>
        </w:tc>
        <w:tc>
          <w:tcPr>
            <w:tcW w:w="1216" w:type="dxa"/>
            <w:tcBorders>
              <w:top w:val="nil"/>
              <w:left w:val="nil"/>
              <w:bottom w:val="nil"/>
              <w:right w:val="nil"/>
            </w:tcBorders>
            <w:shd w:val="clear" w:color="auto" w:fill="auto"/>
            <w:noWrap/>
            <w:vAlign w:val="center"/>
            <w:hideMark/>
          </w:tcPr>
          <w:p w14:paraId="7BA2753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0.568</w:t>
            </w:r>
          </w:p>
        </w:tc>
      </w:tr>
      <w:tr w:rsidR="006419DE" w:rsidRPr="009E5520" w14:paraId="441D8E8F" w14:textId="77777777" w:rsidTr="00114EAB">
        <w:trPr>
          <w:trHeight w:hRule="exact" w:val="283"/>
        </w:trPr>
        <w:tc>
          <w:tcPr>
            <w:tcW w:w="2640" w:type="dxa"/>
            <w:tcBorders>
              <w:top w:val="nil"/>
              <w:left w:val="nil"/>
              <w:bottom w:val="nil"/>
              <w:right w:val="nil"/>
            </w:tcBorders>
            <w:shd w:val="clear" w:color="auto" w:fill="auto"/>
            <w:noWrap/>
            <w:vAlign w:val="center"/>
            <w:hideMark/>
          </w:tcPr>
          <w:p w14:paraId="7392EE3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TFPWRDG</w:t>
            </w:r>
          </w:p>
        </w:tc>
        <w:tc>
          <w:tcPr>
            <w:tcW w:w="1140" w:type="dxa"/>
            <w:tcBorders>
              <w:top w:val="nil"/>
              <w:left w:val="nil"/>
              <w:bottom w:val="nil"/>
              <w:right w:val="nil"/>
            </w:tcBorders>
            <w:shd w:val="clear" w:color="auto" w:fill="auto"/>
            <w:noWrap/>
            <w:vAlign w:val="center"/>
            <w:hideMark/>
          </w:tcPr>
          <w:p w14:paraId="66C8FC8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478CDDB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0.652</w:t>
            </w:r>
          </w:p>
        </w:tc>
        <w:tc>
          <w:tcPr>
            <w:tcW w:w="1020" w:type="dxa"/>
            <w:tcBorders>
              <w:top w:val="nil"/>
              <w:left w:val="nil"/>
              <w:bottom w:val="nil"/>
              <w:right w:val="nil"/>
            </w:tcBorders>
            <w:shd w:val="clear" w:color="auto" w:fill="auto"/>
            <w:noWrap/>
            <w:vAlign w:val="center"/>
            <w:hideMark/>
          </w:tcPr>
          <w:p w14:paraId="0222E6C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1.711</w:t>
            </w:r>
          </w:p>
        </w:tc>
        <w:tc>
          <w:tcPr>
            <w:tcW w:w="1300" w:type="dxa"/>
            <w:tcBorders>
              <w:top w:val="nil"/>
              <w:left w:val="nil"/>
              <w:bottom w:val="nil"/>
              <w:right w:val="nil"/>
            </w:tcBorders>
            <w:shd w:val="clear" w:color="auto" w:fill="auto"/>
            <w:noWrap/>
            <w:vAlign w:val="center"/>
            <w:hideMark/>
          </w:tcPr>
          <w:p w14:paraId="0FFB978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-0.354</w:t>
            </w:r>
          </w:p>
        </w:tc>
        <w:tc>
          <w:tcPr>
            <w:tcW w:w="1020" w:type="dxa"/>
            <w:tcBorders>
              <w:top w:val="nil"/>
              <w:left w:val="nil"/>
              <w:bottom w:val="nil"/>
              <w:right w:val="nil"/>
            </w:tcBorders>
            <w:shd w:val="clear" w:color="auto" w:fill="auto"/>
            <w:noWrap/>
            <w:vAlign w:val="center"/>
            <w:hideMark/>
          </w:tcPr>
          <w:p w14:paraId="41F154A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0.600</w:t>
            </w:r>
          </w:p>
        </w:tc>
        <w:tc>
          <w:tcPr>
            <w:tcW w:w="1216" w:type="dxa"/>
            <w:tcBorders>
              <w:top w:val="nil"/>
              <w:left w:val="nil"/>
              <w:bottom w:val="nil"/>
              <w:right w:val="nil"/>
            </w:tcBorders>
            <w:shd w:val="clear" w:color="auto" w:fill="auto"/>
            <w:noWrap/>
            <w:vAlign w:val="center"/>
            <w:hideMark/>
          </w:tcPr>
          <w:p w14:paraId="6249CBD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1.857</w:t>
            </w:r>
          </w:p>
        </w:tc>
      </w:tr>
      <w:tr w:rsidR="006419DE" w:rsidRPr="009E5520" w14:paraId="0DB60BE6" w14:textId="77777777" w:rsidTr="00114EAB">
        <w:trPr>
          <w:trHeight w:hRule="exact" w:val="283"/>
        </w:trPr>
        <w:tc>
          <w:tcPr>
            <w:tcW w:w="2640" w:type="dxa"/>
            <w:tcBorders>
              <w:top w:val="nil"/>
              <w:left w:val="nil"/>
              <w:bottom w:val="nil"/>
              <w:right w:val="nil"/>
            </w:tcBorders>
            <w:shd w:val="clear" w:color="auto" w:fill="auto"/>
            <w:noWrap/>
            <w:vAlign w:val="center"/>
            <w:hideMark/>
          </w:tcPr>
          <w:p w14:paraId="3CF2D82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LnMarkupWRDG</w:t>
            </w:r>
            <w:proofErr w:type="spellEnd"/>
          </w:p>
        </w:tc>
        <w:tc>
          <w:tcPr>
            <w:tcW w:w="1140" w:type="dxa"/>
            <w:tcBorders>
              <w:top w:val="nil"/>
              <w:left w:val="nil"/>
              <w:bottom w:val="nil"/>
              <w:right w:val="nil"/>
            </w:tcBorders>
            <w:shd w:val="clear" w:color="auto" w:fill="auto"/>
            <w:noWrap/>
            <w:vAlign w:val="center"/>
            <w:hideMark/>
          </w:tcPr>
          <w:p w14:paraId="4B5BC9C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1B57CCA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0.415</w:t>
            </w:r>
          </w:p>
        </w:tc>
        <w:tc>
          <w:tcPr>
            <w:tcW w:w="1020" w:type="dxa"/>
            <w:tcBorders>
              <w:top w:val="nil"/>
              <w:left w:val="nil"/>
              <w:bottom w:val="nil"/>
              <w:right w:val="nil"/>
            </w:tcBorders>
            <w:shd w:val="clear" w:color="auto" w:fill="auto"/>
            <w:noWrap/>
            <w:vAlign w:val="center"/>
            <w:hideMark/>
          </w:tcPr>
          <w:p w14:paraId="1253E15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0.652</w:t>
            </w:r>
          </w:p>
        </w:tc>
        <w:tc>
          <w:tcPr>
            <w:tcW w:w="1300" w:type="dxa"/>
            <w:tcBorders>
              <w:top w:val="nil"/>
              <w:left w:val="nil"/>
              <w:bottom w:val="nil"/>
              <w:right w:val="nil"/>
            </w:tcBorders>
            <w:shd w:val="clear" w:color="auto" w:fill="auto"/>
            <w:noWrap/>
            <w:vAlign w:val="center"/>
            <w:hideMark/>
          </w:tcPr>
          <w:p w14:paraId="36F88DF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0.020</w:t>
            </w:r>
          </w:p>
        </w:tc>
        <w:tc>
          <w:tcPr>
            <w:tcW w:w="1020" w:type="dxa"/>
            <w:tcBorders>
              <w:top w:val="nil"/>
              <w:left w:val="nil"/>
              <w:bottom w:val="nil"/>
              <w:right w:val="nil"/>
            </w:tcBorders>
            <w:shd w:val="clear" w:color="auto" w:fill="auto"/>
            <w:noWrap/>
            <w:vAlign w:val="center"/>
            <w:hideMark/>
          </w:tcPr>
          <w:p w14:paraId="786A070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0.297</w:t>
            </w:r>
          </w:p>
        </w:tc>
        <w:tc>
          <w:tcPr>
            <w:tcW w:w="1216" w:type="dxa"/>
            <w:tcBorders>
              <w:top w:val="nil"/>
              <w:left w:val="nil"/>
              <w:bottom w:val="nil"/>
              <w:right w:val="nil"/>
            </w:tcBorders>
            <w:shd w:val="clear" w:color="auto" w:fill="auto"/>
            <w:noWrap/>
            <w:vAlign w:val="center"/>
            <w:hideMark/>
          </w:tcPr>
          <w:p w14:paraId="169C856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0.620</w:t>
            </w:r>
          </w:p>
        </w:tc>
      </w:tr>
      <w:tr w:rsidR="006419DE" w:rsidRPr="009E5520" w14:paraId="6D84CFED" w14:textId="77777777" w:rsidTr="00114EAB">
        <w:trPr>
          <w:trHeight w:hRule="exact" w:val="283"/>
        </w:trPr>
        <w:tc>
          <w:tcPr>
            <w:tcW w:w="2640" w:type="dxa"/>
            <w:tcBorders>
              <w:top w:val="nil"/>
              <w:left w:val="nil"/>
              <w:bottom w:val="nil"/>
              <w:right w:val="nil"/>
            </w:tcBorders>
            <w:shd w:val="clear" w:color="auto" w:fill="auto"/>
            <w:noWrap/>
            <w:vAlign w:val="center"/>
            <w:hideMark/>
          </w:tcPr>
          <w:p w14:paraId="1BF31D5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IndHHIEmp</w:t>
            </w:r>
            <w:proofErr w:type="spellEnd"/>
          </w:p>
        </w:tc>
        <w:tc>
          <w:tcPr>
            <w:tcW w:w="1140" w:type="dxa"/>
            <w:tcBorders>
              <w:top w:val="nil"/>
              <w:left w:val="nil"/>
              <w:bottom w:val="nil"/>
              <w:right w:val="nil"/>
            </w:tcBorders>
            <w:shd w:val="clear" w:color="auto" w:fill="auto"/>
            <w:noWrap/>
            <w:vAlign w:val="center"/>
            <w:hideMark/>
          </w:tcPr>
          <w:p w14:paraId="58BA7C6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05448DA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0.181</w:t>
            </w:r>
          </w:p>
        </w:tc>
        <w:tc>
          <w:tcPr>
            <w:tcW w:w="1020" w:type="dxa"/>
            <w:tcBorders>
              <w:top w:val="nil"/>
              <w:left w:val="nil"/>
              <w:bottom w:val="nil"/>
              <w:right w:val="nil"/>
            </w:tcBorders>
            <w:shd w:val="clear" w:color="auto" w:fill="auto"/>
            <w:noWrap/>
            <w:vAlign w:val="center"/>
            <w:hideMark/>
          </w:tcPr>
          <w:p w14:paraId="31FA5B7D"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0.134</w:t>
            </w:r>
          </w:p>
        </w:tc>
        <w:tc>
          <w:tcPr>
            <w:tcW w:w="1300" w:type="dxa"/>
            <w:tcBorders>
              <w:top w:val="nil"/>
              <w:left w:val="nil"/>
              <w:bottom w:val="nil"/>
              <w:right w:val="nil"/>
            </w:tcBorders>
            <w:shd w:val="clear" w:color="auto" w:fill="auto"/>
            <w:noWrap/>
            <w:vAlign w:val="center"/>
            <w:hideMark/>
          </w:tcPr>
          <w:p w14:paraId="6C94A9D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0.099</w:t>
            </w:r>
          </w:p>
        </w:tc>
        <w:tc>
          <w:tcPr>
            <w:tcW w:w="1020" w:type="dxa"/>
            <w:tcBorders>
              <w:top w:val="nil"/>
              <w:left w:val="nil"/>
              <w:bottom w:val="nil"/>
              <w:right w:val="nil"/>
            </w:tcBorders>
            <w:shd w:val="clear" w:color="auto" w:fill="auto"/>
            <w:noWrap/>
            <w:vAlign w:val="center"/>
            <w:hideMark/>
          </w:tcPr>
          <w:p w14:paraId="1E45933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0.150</w:t>
            </w:r>
          </w:p>
        </w:tc>
        <w:tc>
          <w:tcPr>
            <w:tcW w:w="1216" w:type="dxa"/>
            <w:tcBorders>
              <w:top w:val="nil"/>
              <w:left w:val="nil"/>
              <w:bottom w:val="nil"/>
              <w:right w:val="nil"/>
            </w:tcBorders>
            <w:shd w:val="clear" w:color="auto" w:fill="auto"/>
            <w:noWrap/>
            <w:vAlign w:val="center"/>
            <w:hideMark/>
          </w:tcPr>
          <w:p w14:paraId="6E2DC8F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0.190</w:t>
            </w:r>
          </w:p>
        </w:tc>
      </w:tr>
      <w:tr w:rsidR="006419DE" w:rsidRPr="009E5520" w14:paraId="7A89C03A" w14:textId="77777777" w:rsidTr="00114EAB">
        <w:trPr>
          <w:trHeight w:hRule="exact" w:val="283"/>
        </w:trPr>
        <w:tc>
          <w:tcPr>
            <w:tcW w:w="2640" w:type="dxa"/>
            <w:tcBorders>
              <w:top w:val="nil"/>
              <w:left w:val="nil"/>
              <w:bottom w:val="nil"/>
              <w:right w:val="nil"/>
            </w:tcBorders>
            <w:shd w:val="clear" w:color="auto" w:fill="auto"/>
            <w:noWrap/>
            <w:vAlign w:val="center"/>
            <w:hideMark/>
          </w:tcPr>
          <w:p w14:paraId="1B29A98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Union</w:t>
            </w:r>
          </w:p>
        </w:tc>
        <w:tc>
          <w:tcPr>
            <w:tcW w:w="1140" w:type="dxa"/>
            <w:tcBorders>
              <w:top w:val="nil"/>
              <w:left w:val="nil"/>
              <w:bottom w:val="nil"/>
              <w:right w:val="nil"/>
            </w:tcBorders>
            <w:shd w:val="clear" w:color="auto" w:fill="auto"/>
            <w:noWrap/>
            <w:vAlign w:val="center"/>
            <w:hideMark/>
          </w:tcPr>
          <w:p w14:paraId="2858EE8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76C3155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15.081</w:t>
            </w:r>
          </w:p>
        </w:tc>
        <w:tc>
          <w:tcPr>
            <w:tcW w:w="1020" w:type="dxa"/>
            <w:tcBorders>
              <w:top w:val="nil"/>
              <w:left w:val="nil"/>
              <w:bottom w:val="nil"/>
              <w:right w:val="nil"/>
            </w:tcBorders>
            <w:shd w:val="clear" w:color="auto" w:fill="auto"/>
            <w:noWrap/>
            <w:vAlign w:val="center"/>
            <w:hideMark/>
          </w:tcPr>
          <w:p w14:paraId="3515BCB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2.446</w:t>
            </w:r>
          </w:p>
        </w:tc>
        <w:tc>
          <w:tcPr>
            <w:tcW w:w="1300" w:type="dxa"/>
            <w:tcBorders>
              <w:top w:val="nil"/>
              <w:left w:val="nil"/>
              <w:bottom w:val="nil"/>
              <w:right w:val="nil"/>
            </w:tcBorders>
            <w:shd w:val="clear" w:color="auto" w:fill="auto"/>
            <w:noWrap/>
            <w:vAlign w:val="center"/>
            <w:hideMark/>
          </w:tcPr>
          <w:p w14:paraId="1DF473F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12.924</w:t>
            </w:r>
          </w:p>
        </w:tc>
        <w:tc>
          <w:tcPr>
            <w:tcW w:w="1020" w:type="dxa"/>
            <w:tcBorders>
              <w:top w:val="nil"/>
              <w:left w:val="nil"/>
              <w:bottom w:val="nil"/>
              <w:right w:val="nil"/>
            </w:tcBorders>
            <w:shd w:val="clear" w:color="auto" w:fill="auto"/>
            <w:noWrap/>
            <w:vAlign w:val="center"/>
            <w:hideMark/>
          </w:tcPr>
          <w:p w14:paraId="4610D3B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15.372</w:t>
            </w:r>
          </w:p>
        </w:tc>
        <w:tc>
          <w:tcPr>
            <w:tcW w:w="1216" w:type="dxa"/>
            <w:tcBorders>
              <w:top w:val="nil"/>
              <w:left w:val="nil"/>
              <w:bottom w:val="nil"/>
              <w:right w:val="nil"/>
            </w:tcBorders>
            <w:shd w:val="clear" w:color="auto" w:fill="auto"/>
            <w:noWrap/>
            <w:vAlign w:val="center"/>
            <w:hideMark/>
          </w:tcPr>
          <w:p w14:paraId="0E980F2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16.674</w:t>
            </w:r>
          </w:p>
        </w:tc>
      </w:tr>
      <w:tr w:rsidR="006419DE" w:rsidRPr="009E5520" w14:paraId="282574F6" w14:textId="77777777" w:rsidTr="00114EAB">
        <w:trPr>
          <w:trHeight w:hRule="exact" w:val="283"/>
        </w:trPr>
        <w:tc>
          <w:tcPr>
            <w:tcW w:w="2640" w:type="dxa"/>
            <w:tcBorders>
              <w:top w:val="nil"/>
              <w:left w:val="nil"/>
              <w:bottom w:val="nil"/>
              <w:right w:val="nil"/>
            </w:tcBorders>
            <w:shd w:val="clear" w:color="auto" w:fill="auto"/>
            <w:noWrap/>
            <w:vAlign w:val="center"/>
            <w:hideMark/>
          </w:tcPr>
          <w:p w14:paraId="11A05D5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LnEmployeeNumber</w:t>
            </w:r>
            <w:proofErr w:type="spellEnd"/>
          </w:p>
        </w:tc>
        <w:tc>
          <w:tcPr>
            <w:tcW w:w="1140" w:type="dxa"/>
            <w:tcBorders>
              <w:top w:val="nil"/>
              <w:left w:val="nil"/>
              <w:bottom w:val="nil"/>
              <w:right w:val="nil"/>
            </w:tcBorders>
            <w:shd w:val="clear" w:color="auto" w:fill="auto"/>
            <w:noWrap/>
            <w:vAlign w:val="center"/>
            <w:hideMark/>
          </w:tcPr>
          <w:p w14:paraId="5029BE9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6C8103C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6.433</w:t>
            </w:r>
          </w:p>
        </w:tc>
        <w:tc>
          <w:tcPr>
            <w:tcW w:w="1020" w:type="dxa"/>
            <w:tcBorders>
              <w:top w:val="nil"/>
              <w:left w:val="nil"/>
              <w:bottom w:val="nil"/>
              <w:right w:val="nil"/>
            </w:tcBorders>
            <w:shd w:val="clear" w:color="auto" w:fill="auto"/>
            <w:noWrap/>
            <w:vAlign w:val="center"/>
            <w:hideMark/>
          </w:tcPr>
          <w:p w14:paraId="2C7B35E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2.079</w:t>
            </w:r>
          </w:p>
        </w:tc>
        <w:tc>
          <w:tcPr>
            <w:tcW w:w="1300" w:type="dxa"/>
            <w:tcBorders>
              <w:top w:val="nil"/>
              <w:left w:val="nil"/>
              <w:bottom w:val="nil"/>
              <w:right w:val="nil"/>
            </w:tcBorders>
            <w:shd w:val="clear" w:color="auto" w:fill="auto"/>
            <w:noWrap/>
            <w:vAlign w:val="center"/>
            <w:hideMark/>
          </w:tcPr>
          <w:p w14:paraId="0DD07AF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5.187</w:t>
            </w:r>
          </w:p>
        </w:tc>
        <w:tc>
          <w:tcPr>
            <w:tcW w:w="1020" w:type="dxa"/>
            <w:tcBorders>
              <w:top w:val="nil"/>
              <w:left w:val="nil"/>
              <w:bottom w:val="nil"/>
              <w:right w:val="nil"/>
            </w:tcBorders>
            <w:shd w:val="clear" w:color="auto" w:fill="auto"/>
            <w:noWrap/>
            <w:vAlign w:val="center"/>
            <w:hideMark/>
          </w:tcPr>
          <w:p w14:paraId="120A6CF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6.460</w:t>
            </w:r>
          </w:p>
        </w:tc>
        <w:tc>
          <w:tcPr>
            <w:tcW w:w="1216" w:type="dxa"/>
            <w:tcBorders>
              <w:top w:val="nil"/>
              <w:left w:val="nil"/>
              <w:bottom w:val="nil"/>
              <w:right w:val="nil"/>
            </w:tcBorders>
            <w:shd w:val="clear" w:color="auto" w:fill="auto"/>
            <w:noWrap/>
            <w:vAlign w:val="center"/>
            <w:hideMark/>
          </w:tcPr>
          <w:p w14:paraId="3501FBC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7.770</w:t>
            </w:r>
          </w:p>
        </w:tc>
      </w:tr>
      <w:tr w:rsidR="006419DE" w:rsidRPr="009E5520" w14:paraId="73EE23BF" w14:textId="77777777" w:rsidTr="00114EAB">
        <w:trPr>
          <w:trHeight w:hRule="exact" w:val="283"/>
        </w:trPr>
        <w:tc>
          <w:tcPr>
            <w:tcW w:w="2640" w:type="dxa"/>
            <w:tcBorders>
              <w:top w:val="nil"/>
              <w:left w:val="nil"/>
              <w:bottom w:val="nil"/>
              <w:right w:val="nil"/>
            </w:tcBorders>
            <w:shd w:val="clear" w:color="auto" w:fill="auto"/>
            <w:noWrap/>
            <w:vAlign w:val="center"/>
            <w:hideMark/>
          </w:tcPr>
          <w:p w14:paraId="4004CF8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BTM</w:t>
            </w:r>
          </w:p>
        </w:tc>
        <w:tc>
          <w:tcPr>
            <w:tcW w:w="1140" w:type="dxa"/>
            <w:tcBorders>
              <w:top w:val="nil"/>
              <w:left w:val="nil"/>
              <w:bottom w:val="nil"/>
              <w:right w:val="nil"/>
            </w:tcBorders>
            <w:shd w:val="clear" w:color="auto" w:fill="auto"/>
            <w:noWrap/>
            <w:vAlign w:val="center"/>
            <w:hideMark/>
          </w:tcPr>
          <w:p w14:paraId="1399E61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121D438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0.825</w:t>
            </w:r>
          </w:p>
        </w:tc>
        <w:tc>
          <w:tcPr>
            <w:tcW w:w="1020" w:type="dxa"/>
            <w:tcBorders>
              <w:top w:val="nil"/>
              <w:left w:val="nil"/>
              <w:bottom w:val="nil"/>
              <w:right w:val="nil"/>
            </w:tcBorders>
            <w:shd w:val="clear" w:color="auto" w:fill="auto"/>
            <w:noWrap/>
            <w:vAlign w:val="center"/>
            <w:hideMark/>
          </w:tcPr>
          <w:p w14:paraId="07B50C0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0.763</w:t>
            </w:r>
          </w:p>
        </w:tc>
        <w:tc>
          <w:tcPr>
            <w:tcW w:w="1300" w:type="dxa"/>
            <w:tcBorders>
              <w:top w:val="nil"/>
              <w:left w:val="nil"/>
              <w:bottom w:val="nil"/>
              <w:right w:val="nil"/>
            </w:tcBorders>
            <w:shd w:val="clear" w:color="auto" w:fill="auto"/>
            <w:noWrap/>
            <w:vAlign w:val="center"/>
            <w:hideMark/>
          </w:tcPr>
          <w:p w14:paraId="479A5A6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0.375</w:t>
            </w:r>
          </w:p>
        </w:tc>
        <w:tc>
          <w:tcPr>
            <w:tcW w:w="1020" w:type="dxa"/>
            <w:tcBorders>
              <w:top w:val="nil"/>
              <w:left w:val="nil"/>
              <w:bottom w:val="nil"/>
              <w:right w:val="nil"/>
            </w:tcBorders>
            <w:shd w:val="clear" w:color="auto" w:fill="auto"/>
            <w:noWrap/>
            <w:vAlign w:val="center"/>
            <w:hideMark/>
          </w:tcPr>
          <w:p w14:paraId="078B0BA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0.629</w:t>
            </w:r>
          </w:p>
        </w:tc>
        <w:tc>
          <w:tcPr>
            <w:tcW w:w="1216" w:type="dxa"/>
            <w:tcBorders>
              <w:top w:val="nil"/>
              <w:left w:val="nil"/>
              <w:bottom w:val="nil"/>
              <w:right w:val="nil"/>
            </w:tcBorders>
            <w:shd w:val="clear" w:color="auto" w:fill="auto"/>
            <w:noWrap/>
            <w:vAlign w:val="center"/>
            <w:hideMark/>
          </w:tcPr>
          <w:p w14:paraId="7C4B685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1.053</w:t>
            </w:r>
          </w:p>
        </w:tc>
      </w:tr>
      <w:tr w:rsidR="006419DE" w:rsidRPr="009E5520" w14:paraId="4255E368" w14:textId="77777777" w:rsidTr="00114EAB">
        <w:trPr>
          <w:trHeight w:hRule="exact" w:val="283"/>
        </w:trPr>
        <w:tc>
          <w:tcPr>
            <w:tcW w:w="2640" w:type="dxa"/>
            <w:tcBorders>
              <w:top w:val="nil"/>
              <w:left w:val="nil"/>
              <w:bottom w:val="nil"/>
              <w:right w:val="nil"/>
            </w:tcBorders>
            <w:shd w:val="clear" w:color="auto" w:fill="auto"/>
            <w:noWrap/>
            <w:vAlign w:val="center"/>
            <w:hideMark/>
          </w:tcPr>
          <w:p w14:paraId="11DE504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LnAge</w:t>
            </w:r>
            <w:proofErr w:type="spellEnd"/>
          </w:p>
        </w:tc>
        <w:tc>
          <w:tcPr>
            <w:tcW w:w="1140" w:type="dxa"/>
            <w:tcBorders>
              <w:top w:val="nil"/>
              <w:left w:val="nil"/>
              <w:bottom w:val="nil"/>
              <w:right w:val="nil"/>
            </w:tcBorders>
            <w:shd w:val="clear" w:color="auto" w:fill="auto"/>
            <w:noWrap/>
            <w:vAlign w:val="center"/>
            <w:hideMark/>
          </w:tcPr>
          <w:p w14:paraId="18BB3B7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61E5257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2.540</w:t>
            </w:r>
          </w:p>
        </w:tc>
        <w:tc>
          <w:tcPr>
            <w:tcW w:w="1020" w:type="dxa"/>
            <w:tcBorders>
              <w:top w:val="nil"/>
              <w:left w:val="nil"/>
              <w:bottom w:val="nil"/>
              <w:right w:val="nil"/>
            </w:tcBorders>
            <w:shd w:val="clear" w:color="auto" w:fill="auto"/>
            <w:noWrap/>
            <w:vAlign w:val="center"/>
            <w:hideMark/>
          </w:tcPr>
          <w:p w14:paraId="2EDBFD6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0.904</w:t>
            </w:r>
          </w:p>
        </w:tc>
        <w:tc>
          <w:tcPr>
            <w:tcW w:w="1300" w:type="dxa"/>
            <w:tcBorders>
              <w:top w:val="nil"/>
              <w:left w:val="nil"/>
              <w:bottom w:val="nil"/>
              <w:right w:val="nil"/>
            </w:tcBorders>
            <w:shd w:val="clear" w:color="auto" w:fill="auto"/>
            <w:noWrap/>
            <w:vAlign w:val="center"/>
            <w:hideMark/>
          </w:tcPr>
          <w:p w14:paraId="4895662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2.036</w:t>
            </w:r>
          </w:p>
        </w:tc>
        <w:tc>
          <w:tcPr>
            <w:tcW w:w="1020" w:type="dxa"/>
            <w:tcBorders>
              <w:top w:val="nil"/>
              <w:left w:val="nil"/>
              <w:bottom w:val="nil"/>
              <w:right w:val="nil"/>
            </w:tcBorders>
            <w:shd w:val="clear" w:color="auto" w:fill="auto"/>
            <w:noWrap/>
            <w:vAlign w:val="center"/>
            <w:hideMark/>
          </w:tcPr>
          <w:p w14:paraId="267DE60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2.618</w:t>
            </w:r>
          </w:p>
        </w:tc>
        <w:tc>
          <w:tcPr>
            <w:tcW w:w="1216" w:type="dxa"/>
            <w:tcBorders>
              <w:top w:val="nil"/>
              <w:left w:val="nil"/>
              <w:bottom w:val="nil"/>
              <w:right w:val="nil"/>
            </w:tcBorders>
            <w:shd w:val="clear" w:color="auto" w:fill="auto"/>
            <w:noWrap/>
            <w:vAlign w:val="center"/>
            <w:hideMark/>
          </w:tcPr>
          <w:p w14:paraId="46EE62E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3.130</w:t>
            </w:r>
          </w:p>
        </w:tc>
      </w:tr>
      <w:tr w:rsidR="006419DE" w:rsidRPr="009E5520" w14:paraId="26B680AA" w14:textId="77777777" w:rsidTr="00114EAB">
        <w:trPr>
          <w:trHeight w:hRule="exact" w:val="283"/>
        </w:trPr>
        <w:tc>
          <w:tcPr>
            <w:tcW w:w="2640" w:type="dxa"/>
            <w:tcBorders>
              <w:top w:val="nil"/>
              <w:left w:val="nil"/>
              <w:bottom w:val="nil"/>
              <w:right w:val="nil"/>
            </w:tcBorders>
            <w:shd w:val="clear" w:color="auto" w:fill="auto"/>
            <w:noWrap/>
            <w:vAlign w:val="center"/>
            <w:hideMark/>
          </w:tcPr>
          <w:p w14:paraId="7401E74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LnRevenue</w:t>
            </w:r>
            <w:proofErr w:type="spellEnd"/>
          </w:p>
        </w:tc>
        <w:tc>
          <w:tcPr>
            <w:tcW w:w="1140" w:type="dxa"/>
            <w:tcBorders>
              <w:top w:val="nil"/>
              <w:left w:val="nil"/>
              <w:bottom w:val="nil"/>
              <w:right w:val="nil"/>
            </w:tcBorders>
            <w:shd w:val="clear" w:color="auto" w:fill="auto"/>
            <w:noWrap/>
            <w:vAlign w:val="center"/>
            <w:hideMark/>
          </w:tcPr>
          <w:p w14:paraId="0813124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5EB0BBC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5.729</w:t>
            </w:r>
          </w:p>
        </w:tc>
        <w:tc>
          <w:tcPr>
            <w:tcW w:w="1020" w:type="dxa"/>
            <w:tcBorders>
              <w:top w:val="nil"/>
              <w:left w:val="nil"/>
              <w:bottom w:val="nil"/>
              <w:right w:val="nil"/>
            </w:tcBorders>
            <w:shd w:val="clear" w:color="auto" w:fill="auto"/>
            <w:noWrap/>
            <w:vAlign w:val="center"/>
            <w:hideMark/>
          </w:tcPr>
          <w:p w14:paraId="3D21A66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1.886</w:t>
            </w:r>
          </w:p>
        </w:tc>
        <w:tc>
          <w:tcPr>
            <w:tcW w:w="1300" w:type="dxa"/>
            <w:tcBorders>
              <w:top w:val="nil"/>
              <w:left w:val="nil"/>
              <w:bottom w:val="nil"/>
              <w:right w:val="nil"/>
            </w:tcBorders>
            <w:shd w:val="clear" w:color="auto" w:fill="auto"/>
            <w:noWrap/>
            <w:vAlign w:val="center"/>
            <w:hideMark/>
          </w:tcPr>
          <w:p w14:paraId="4EF98BB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4.474</w:t>
            </w:r>
          </w:p>
        </w:tc>
        <w:tc>
          <w:tcPr>
            <w:tcW w:w="1020" w:type="dxa"/>
            <w:tcBorders>
              <w:top w:val="nil"/>
              <w:left w:val="nil"/>
              <w:bottom w:val="nil"/>
              <w:right w:val="nil"/>
            </w:tcBorders>
            <w:shd w:val="clear" w:color="auto" w:fill="auto"/>
            <w:noWrap/>
            <w:vAlign w:val="center"/>
            <w:hideMark/>
          </w:tcPr>
          <w:p w14:paraId="5671E49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5.677</w:t>
            </w:r>
          </w:p>
        </w:tc>
        <w:tc>
          <w:tcPr>
            <w:tcW w:w="1216" w:type="dxa"/>
            <w:tcBorders>
              <w:top w:val="nil"/>
              <w:left w:val="nil"/>
              <w:bottom w:val="nil"/>
              <w:right w:val="nil"/>
            </w:tcBorders>
            <w:shd w:val="clear" w:color="auto" w:fill="auto"/>
            <w:noWrap/>
            <w:vAlign w:val="center"/>
            <w:hideMark/>
          </w:tcPr>
          <w:p w14:paraId="6A5A568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6.977</w:t>
            </w:r>
          </w:p>
        </w:tc>
      </w:tr>
      <w:tr w:rsidR="006419DE" w:rsidRPr="009E5520" w14:paraId="70EE0B07" w14:textId="77777777" w:rsidTr="00114EAB">
        <w:trPr>
          <w:trHeight w:hRule="exact" w:val="283"/>
        </w:trPr>
        <w:tc>
          <w:tcPr>
            <w:tcW w:w="2640" w:type="dxa"/>
            <w:tcBorders>
              <w:top w:val="nil"/>
              <w:left w:val="nil"/>
              <w:bottom w:val="nil"/>
              <w:right w:val="nil"/>
            </w:tcBorders>
            <w:shd w:val="clear" w:color="auto" w:fill="auto"/>
            <w:noWrap/>
            <w:vAlign w:val="center"/>
            <w:hideMark/>
          </w:tcPr>
          <w:p w14:paraId="4272CAC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Leverage</w:t>
            </w:r>
          </w:p>
        </w:tc>
        <w:tc>
          <w:tcPr>
            <w:tcW w:w="1140" w:type="dxa"/>
            <w:tcBorders>
              <w:top w:val="nil"/>
              <w:left w:val="nil"/>
              <w:bottom w:val="nil"/>
              <w:right w:val="nil"/>
            </w:tcBorders>
            <w:shd w:val="clear" w:color="auto" w:fill="auto"/>
            <w:noWrap/>
            <w:vAlign w:val="center"/>
            <w:hideMark/>
          </w:tcPr>
          <w:p w14:paraId="48D9358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4FE6D5E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2.651</w:t>
            </w:r>
          </w:p>
        </w:tc>
        <w:tc>
          <w:tcPr>
            <w:tcW w:w="1020" w:type="dxa"/>
            <w:tcBorders>
              <w:top w:val="nil"/>
              <w:left w:val="nil"/>
              <w:bottom w:val="nil"/>
              <w:right w:val="nil"/>
            </w:tcBorders>
            <w:shd w:val="clear" w:color="auto" w:fill="auto"/>
            <w:noWrap/>
            <w:vAlign w:val="center"/>
            <w:hideMark/>
          </w:tcPr>
          <w:p w14:paraId="65A8EDA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1.374</w:t>
            </w:r>
          </w:p>
        </w:tc>
        <w:tc>
          <w:tcPr>
            <w:tcW w:w="1300" w:type="dxa"/>
            <w:tcBorders>
              <w:top w:val="nil"/>
              <w:left w:val="nil"/>
              <w:bottom w:val="nil"/>
              <w:right w:val="nil"/>
            </w:tcBorders>
            <w:shd w:val="clear" w:color="auto" w:fill="auto"/>
            <w:noWrap/>
            <w:vAlign w:val="center"/>
            <w:hideMark/>
          </w:tcPr>
          <w:p w14:paraId="1CB2581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2.334</w:t>
            </w:r>
          </w:p>
        </w:tc>
        <w:tc>
          <w:tcPr>
            <w:tcW w:w="1020" w:type="dxa"/>
            <w:tcBorders>
              <w:top w:val="nil"/>
              <w:left w:val="nil"/>
              <w:bottom w:val="nil"/>
              <w:right w:val="nil"/>
            </w:tcBorders>
            <w:shd w:val="clear" w:color="auto" w:fill="auto"/>
            <w:noWrap/>
            <w:vAlign w:val="center"/>
            <w:hideMark/>
          </w:tcPr>
          <w:p w14:paraId="00E95EB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3.067</w:t>
            </w:r>
          </w:p>
        </w:tc>
        <w:tc>
          <w:tcPr>
            <w:tcW w:w="1216" w:type="dxa"/>
            <w:tcBorders>
              <w:top w:val="nil"/>
              <w:left w:val="nil"/>
              <w:bottom w:val="nil"/>
              <w:right w:val="nil"/>
            </w:tcBorders>
            <w:shd w:val="clear" w:color="auto" w:fill="auto"/>
            <w:noWrap/>
            <w:vAlign w:val="center"/>
            <w:hideMark/>
          </w:tcPr>
          <w:p w14:paraId="13E26FF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3.495</w:t>
            </w:r>
          </w:p>
        </w:tc>
      </w:tr>
      <w:tr w:rsidR="006419DE" w:rsidRPr="009E5520" w14:paraId="12B25A5F" w14:textId="77777777" w:rsidTr="00114EAB">
        <w:trPr>
          <w:trHeight w:hRule="exact" w:val="283"/>
        </w:trPr>
        <w:tc>
          <w:tcPr>
            <w:tcW w:w="2640" w:type="dxa"/>
            <w:tcBorders>
              <w:top w:val="nil"/>
              <w:left w:val="nil"/>
              <w:bottom w:val="nil"/>
              <w:right w:val="nil"/>
            </w:tcBorders>
            <w:shd w:val="clear" w:color="auto" w:fill="auto"/>
            <w:noWrap/>
            <w:vAlign w:val="center"/>
            <w:hideMark/>
          </w:tcPr>
          <w:p w14:paraId="772A0F0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ROA</w:t>
            </w:r>
          </w:p>
        </w:tc>
        <w:tc>
          <w:tcPr>
            <w:tcW w:w="1140" w:type="dxa"/>
            <w:tcBorders>
              <w:top w:val="nil"/>
              <w:left w:val="nil"/>
              <w:bottom w:val="nil"/>
              <w:right w:val="nil"/>
            </w:tcBorders>
            <w:shd w:val="clear" w:color="auto" w:fill="auto"/>
            <w:noWrap/>
            <w:vAlign w:val="center"/>
            <w:hideMark/>
          </w:tcPr>
          <w:p w14:paraId="238E7A8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3,284</w:t>
            </w:r>
          </w:p>
        </w:tc>
        <w:tc>
          <w:tcPr>
            <w:tcW w:w="1020" w:type="dxa"/>
            <w:tcBorders>
              <w:top w:val="nil"/>
              <w:left w:val="nil"/>
              <w:bottom w:val="nil"/>
              <w:right w:val="nil"/>
            </w:tcBorders>
            <w:shd w:val="clear" w:color="auto" w:fill="auto"/>
            <w:noWrap/>
            <w:vAlign w:val="center"/>
            <w:hideMark/>
          </w:tcPr>
          <w:p w14:paraId="2C0016F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8.578</w:t>
            </w:r>
          </w:p>
        </w:tc>
        <w:tc>
          <w:tcPr>
            <w:tcW w:w="1020" w:type="dxa"/>
            <w:tcBorders>
              <w:top w:val="nil"/>
              <w:left w:val="nil"/>
              <w:bottom w:val="nil"/>
              <w:right w:val="nil"/>
            </w:tcBorders>
            <w:shd w:val="clear" w:color="auto" w:fill="auto"/>
            <w:noWrap/>
            <w:vAlign w:val="center"/>
            <w:hideMark/>
          </w:tcPr>
          <w:p w14:paraId="1A7DCDD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7.850</w:t>
            </w:r>
          </w:p>
        </w:tc>
        <w:tc>
          <w:tcPr>
            <w:tcW w:w="1300" w:type="dxa"/>
            <w:tcBorders>
              <w:top w:val="nil"/>
              <w:left w:val="nil"/>
              <w:bottom w:val="nil"/>
              <w:right w:val="nil"/>
            </w:tcBorders>
            <w:shd w:val="clear" w:color="auto" w:fill="auto"/>
            <w:noWrap/>
            <w:vAlign w:val="center"/>
            <w:hideMark/>
          </w:tcPr>
          <w:p w14:paraId="674F396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4.165</w:t>
            </w:r>
          </w:p>
        </w:tc>
        <w:tc>
          <w:tcPr>
            <w:tcW w:w="1020" w:type="dxa"/>
            <w:tcBorders>
              <w:top w:val="nil"/>
              <w:left w:val="nil"/>
              <w:bottom w:val="nil"/>
              <w:right w:val="nil"/>
            </w:tcBorders>
            <w:shd w:val="clear" w:color="auto" w:fill="auto"/>
            <w:noWrap/>
            <w:vAlign w:val="center"/>
            <w:hideMark/>
          </w:tcPr>
          <w:p w14:paraId="65590A8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7.225</w:t>
            </w:r>
          </w:p>
        </w:tc>
        <w:tc>
          <w:tcPr>
            <w:tcW w:w="1216" w:type="dxa"/>
            <w:tcBorders>
              <w:top w:val="nil"/>
              <w:left w:val="nil"/>
              <w:bottom w:val="nil"/>
              <w:right w:val="nil"/>
            </w:tcBorders>
            <w:shd w:val="clear" w:color="auto" w:fill="auto"/>
            <w:noWrap/>
            <w:vAlign w:val="center"/>
            <w:hideMark/>
          </w:tcPr>
          <w:p w14:paraId="23F5405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11.510</w:t>
            </w:r>
          </w:p>
        </w:tc>
      </w:tr>
      <w:tr w:rsidR="006419DE" w:rsidRPr="009E5520" w14:paraId="673C104C" w14:textId="77777777" w:rsidTr="00114EAB">
        <w:trPr>
          <w:trHeight w:hRule="exact" w:val="283"/>
        </w:trPr>
        <w:tc>
          <w:tcPr>
            <w:tcW w:w="2640" w:type="dxa"/>
            <w:tcBorders>
              <w:top w:val="nil"/>
              <w:left w:val="nil"/>
              <w:bottom w:val="nil"/>
              <w:right w:val="nil"/>
            </w:tcBorders>
            <w:shd w:val="clear" w:color="auto" w:fill="auto"/>
            <w:noWrap/>
            <w:vAlign w:val="center"/>
            <w:hideMark/>
          </w:tcPr>
          <w:p w14:paraId="5F419F4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Ret</w:t>
            </w:r>
          </w:p>
        </w:tc>
        <w:tc>
          <w:tcPr>
            <w:tcW w:w="1140" w:type="dxa"/>
            <w:tcBorders>
              <w:top w:val="nil"/>
              <w:left w:val="nil"/>
              <w:bottom w:val="nil"/>
              <w:right w:val="nil"/>
            </w:tcBorders>
            <w:shd w:val="clear" w:color="auto" w:fill="auto"/>
            <w:noWrap/>
            <w:vAlign w:val="center"/>
            <w:hideMark/>
          </w:tcPr>
          <w:p w14:paraId="7388BD3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3,260</w:t>
            </w:r>
          </w:p>
        </w:tc>
        <w:tc>
          <w:tcPr>
            <w:tcW w:w="1020" w:type="dxa"/>
            <w:tcBorders>
              <w:top w:val="nil"/>
              <w:left w:val="nil"/>
              <w:bottom w:val="nil"/>
              <w:right w:val="nil"/>
            </w:tcBorders>
            <w:shd w:val="clear" w:color="auto" w:fill="auto"/>
            <w:noWrap/>
            <w:vAlign w:val="center"/>
            <w:hideMark/>
          </w:tcPr>
          <w:p w14:paraId="5FD0A17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0.057</w:t>
            </w:r>
          </w:p>
        </w:tc>
        <w:tc>
          <w:tcPr>
            <w:tcW w:w="1020" w:type="dxa"/>
            <w:tcBorders>
              <w:top w:val="nil"/>
              <w:left w:val="nil"/>
              <w:bottom w:val="nil"/>
              <w:right w:val="nil"/>
            </w:tcBorders>
            <w:shd w:val="clear" w:color="auto" w:fill="auto"/>
            <w:noWrap/>
            <w:vAlign w:val="center"/>
            <w:hideMark/>
          </w:tcPr>
          <w:p w14:paraId="61CEC65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0.477</w:t>
            </w:r>
          </w:p>
        </w:tc>
        <w:tc>
          <w:tcPr>
            <w:tcW w:w="1300" w:type="dxa"/>
            <w:tcBorders>
              <w:top w:val="nil"/>
              <w:left w:val="nil"/>
              <w:bottom w:val="nil"/>
              <w:right w:val="nil"/>
            </w:tcBorders>
            <w:shd w:val="clear" w:color="auto" w:fill="auto"/>
            <w:noWrap/>
            <w:vAlign w:val="center"/>
            <w:hideMark/>
          </w:tcPr>
          <w:p w14:paraId="549AEFD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-0.185</w:t>
            </w:r>
          </w:p>
        </w:tc>
        <w:tc>
          <w:tcPr>
            <w:tcW w:w="1020" w:type="dxa"/>
            <w:tcBorders>
              <w:top w:val="nil"/>
              <w:left w:val="nil"/>
              <w:bottom w:val="nil"/>
              <w:right w:val="nil"/>
            </w:tcBorders>
            <w:shd w:val="clear" w:color="auto" w:fill="auto"/>
            <w:noWrap/>
            <w:vAlign w:val="center"/>
            <w:hideMark/>
          </w:tcPr>
          <w:p w14:paraId="56EFB97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0.086</w:t>
            </w:r>
          </w:p>
        </w:tc>
        <w:tc>
          <w:tcPr>
            <w:tcW w:w="1216" w:type="dxa"/>
            <w:tcBorders>
              <w:top w:val="nil"/>
              <w:left w:val="nil"/>
              <w:bottom w:val="nil"/>
              <w:right w:val="nil"/>
            </w:tcBorders>
            <w:shd w:val="clear" w:color="auto" w:fill="auto"/>
            <w:noWrap/>
            <w:vAlign w:val="center"/>
            <w:hideMark/>
          </w:tcPr>
          <w:p w14:paraId="45ABB49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0.322</w:t>
            </w:r>
          </w:p>
        </w:tc>
      </w:tr>
      <w:tr w:rsidR="006419DE" w:rsidRPr="009E5520" w14:paraId="5C26B8D4" w14:textId="77777777" w:rsidTr="00114EAB">
        <w:trPr>
          <w:trHeight w:hRule="exact" w:val="283"/>
        </w:trPr>
        <w:tc>
          <w:tcPr>
            <w:tcW w:w="2640" w:type="dxa"/>
            <w:tcBorders>
              <w:top w:val="nil"/>
              <w:left w:val="nil"/>
              <w:bottom w:val="nil"/>
              <w:right w:val="nil"/>
            </w:tcBorders>
            <w:shd w:val="clear" w:color="auto" w:fill="auto"/>
            <w:noWrap/>
            <w:vAlign w:val="center"/>
            <w:hideMark/>
          </w:tcPr>
          <w:p w14:paraId="064A0EB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STDRet</w:t>
            </w:r>
            <w:proofErr w:type="spellEnd"/>
          </w:p>
        </w:tc>
        <w:tc>
          <w:tcPr>
            <w:tcW w:w="1140" w:type="dxa"/>
            <w:tcBorders>
              <w:top w:val="nil"/>
              <w:left w:val="nil"/>
              <w:bottom w:val="nil"/>
              <w:right w:val="nil"/>
            </w:tcBorders>
            <w:shd w:val="clear" w:color="auto" w:fill="auto"/>
            <w:noWrap/>
            <w:vAlign w:val="center"/>
            <w:hideMark/>
          </w:tcPr>
          <w:p w14:paraId="6223A44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2,717</w:t>
            </w:r>
          </w:p>
        </w:tc>
        <w:tc>
          <w:tcPr>
            <w:tcW w:w="1020" w:type="dxa"/>
            <w:tcBorders>
              <w:top w:val="nil"/>
              <w:left w:val="nil"/>
              <w:bottom w:val="nil"/>
              <w:right w:val="nil"/>
            </w:tcBorders>
            <w:shd w:val="clear" w:color="auto" w:fill="auto"/>
            <w:noWrap/>
            <w:vAlign w:val="center"/>
            <w:hideMark/>
          </w:tcPr>
          <w:p w14:paraId="0C610B5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0.126</w:t>
            </w:r>
          </w:p>
        </w:tc>
        <w:tc>
          <w:tcPr>
            <w:tcW w:w="1020" w:type="dxa"/>
            <w:tcBorders>
              <w:top w:val="nil"/>
              <w:left w:val="nil"/>
              <w:bottom w:val="nil"/>
              <w:right w:val="nil"/>
            </w:tcBorders>
            <w:shd w:val="clear" w:color="auto" w:fill="auto"/>
            <w:noWrap/>
            <w:vAlign w:val="center"/>
            <w:hideMark/>
          </w:tcPr>
          <w:p w14:paraId="01FBAA4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0.067</w:t>
            </w:r>
          </w:p>
        </w:tc>
        <w:tc>
          <w:tcPr>
            <w:tcW w:w="1300" w:type="dxa"/>
            <w:tcBorders>
              <w:top w:val="nil"/>
              <w:left w:val="nil"/>
              <w:bottom w:val="nil"/>
              <w:right w:val="nil"/>
            </w:tcBorders>
            <w:shd w:val="clear" w:color="auto" w:fill="auto"/>
            <w:noWrap/>
            <w:vAlign w:val="center"/>
            <w:hideMark/>
          </w:tcPr>
          <w:p w14:paraId="2EC0DBD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0.081</w:t>
            </w:r>
          </w:p>
        </w:tc>
        <w:tc>
          <w:tcPr>
            <w:tcW w:w="1020" w:type="dxa"/>
            <w:tcBorders>
              <w:top w:val="nil"/>
              <w:left w:val="nil"/>
              <w:bottom w:val="nil"/>
              <w:right w:val="nil"/>
            </w:tcBorders>
            <w:shd w:val="clear" w:color="auto" w:fill="auto"/>
            <w:noWrap/>
            <w:vAlign w:val="center"/>
            <w:hideMark/>
          </w:tcPr>
          <w:p w14:paraId="37BF4DE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0.111</w:t>
            </w:r>
          </w:p>
        </w:tc>
        <w:tc>
          <w:tcPr>
            <w:tcW w:w="1216" w:type="dxa"/>
            <w:tcBorders>
              <w:top w:val="nil"/>
              <w:left w:val="nil"/>
              <w:bottom w:val="nil"/>
              <w:right w:val="nil"/>
            </w:tcBorders>
            <w:shd w:val="clear" w:color="auto" w:fill="auto"/>
            <w:noWrap/>
            <w:vAlign w:val="center"/>
            <w:hideMark/>
          </w:tcPr>
          <w:p w14:paraId="411BA21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0.154</w:t>
            </w:r>
          </w:p>
        </w:tc>
      </w:tr>
      <w:tr w:rsidR="006419DE" w:rsidRPr="009E5520" w14:paraId="1414161D" w14:textId="77777777" w:rsidTr="00114EAB">
        <w:trPr>
          <w:trHeight w:hRule="exact" w:val="283"/>
        </w:trPr>
        <w:tc>
          <w:tcPr>
            <w:tcW w:w="2640" w:type="dxa"/>
            <w:tcBorders>
              <w:top w:val="nil"/>
              <w:left w:val="nil"/>
              <w:bottom w:val="nil"/>
              <w:right w:val="nil"/>
            </w:tcBorders>
            <w:shd w:val="clear" w:color="auto" w:fill="auto"/>
            <w:noWrap/>
            <w:vAlign w:val="center"/>
            <w:hideMark/>
          </w:tcPr>
          <w:p w14:paraId="548D80B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IsCEOChair</w:t>
            </w:r>
            <w:proofErr w:type="spellEnd"/>
          </w:p>
        </w:tc>
        <w:tc>
          <w:tcPr>
            <w:tcW w:w="1140" w:type="dxa"/>
            <w:tcBorders>
              <w:top w:val="nil"/>
              <w:left w:val="nil"/>
              <w:bottom w:val="nil"/>
              <w:right w:val="nil"/>
            </w:tcBorders>
            <w:shd w:val="clear" w:color="auto" w:fill="auto"/>
            <w:noWrap/>
            <w:vAlign w:val="center"/>
            <w:hideMark/>
          </w:tcPr>
          <w:p w14:paraId="5390F02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1,425</w:t>
            </w:r>
          </w:p>
        </w:tc>
        <w:tc>
          <w:tcPr>
            <w:tcW w:w="1020" w:type="dxa"/>
            <w:tcBorders>
              <w:top w:val="nil"/>
              <w:left w:val="nil"/>
              <w:bottom w:val="nil"/>
              <w:right w:val="nil"/>
            </w:tcBorders>
            <w:shd w:val="clear" w:color="auto" w:fill="auto"/>
            <w:noWrap/>
            <w:vAlign w:val="center"/>
            <w:hideMark/>
          </w:tcPr>
          <w:p w14:paraId="7A5A276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0.103</w:t>
            </w:r>
          </w:p>
        </w:tc>
        <w:tc>
          <w:tcPr>
            <w:tcW w:w="1020" w:type="dxa"/>
            <w:tcBorders>
              <w:top w:val="nil"/>
              <w:left w:val="nil"/>
              <w:bottom w:val="nil"/>
              <w:right w:val="nil"/>
            </w:tcBorders>
            <w:shd w:val="clear" w:color="auto" w:fill="auto"/>
            <w:noWrap/>
            <w:vAlign w:val="center"/>
            <w:hideMark/>
          </w:tcPr>
          <w:p w14:paraId="6FA600A4"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0.304</w:t>
            </w:r>
          </w:p>
        </w:tc>
        <w:tc>
          <w:tcPr>
            <w:tcW w:w="1300" w:type="dxa"/>
            <w:tcBorders>
              <w:top w:val="nil"/>
              <w:left w:val="nil"/>
              <w:bottom w:val="nil"/>
              <w:right w:val="nil"/>
            </w:tcBorders>
            <w:shd w:val="clear" w:color="auto" w:fill="auto"/>
            <w:noWrap/>
            <w:vAlign w:val="center"/>
            <w:hideMark/>
          </w:tcPr>
          <w:p w14:paraId="4E73813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c>
          <w:tcPr>
            <w:tcW w:w="1020" w:type="dxa"/>
            <w:tcBorders>
              <w:top w:val="nil"/>
              <w:left w:val="nil"/>
              <w:bottom w:val="nil"/>
              <w:right w:val="nil"/>
            </w:tcBorders>
            <w:shd w:val="clear" w:color="auto" w:fill="auto"/>
            <w:noWrap/>
            <w:vAlign w:val="center"/>
            <w:hideMark/>
          </w:tcPr>
          <w:p w14:paraId="4030517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c>
          <w:tcPr>
            <w:tcW w:w="1216" w:type="dxa"/>
            <w:tcBorders>
              <w:top w:val="nil"/>
              <w:left w:val="nil"/>
              <w:bottom w:val="nil"/>
              <w:right w:val="nil"/>
            </w:tcBorders>
            <w:shd w:val="clear" w:color="auto" w:fill="auto"/>
            <w:noWrap/>
            <w:vAlign w:val="center"/>
            <w:hideMark/>
          </w:tcPr>
          <w:p w14:paraId="18B287E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r>
      <w:tr w:rsidR="006419DE" w:rsidRPr="009E5520" w14:paraId="63171885" w14:textId="77777777" w:rsidTr="00114EAB">
        <w:trPr>
          <w:trHeight w:hRule="exact" w:val="283"/>
        </w:trPr>
        <w:tc>
          <w:tcPr>
            <w:tcW w:w="2640" w:type="dxa"/>
            <w:tcBorders>
              <w:top w:val="nil"/>
              <w:left w:val="nil"/>
              <w:bottom w:val="nil"/>
              <w:right w:val="nil"/>
            </w:tcBorders>
            <w:shd w:val="clear" w:color="auto" w:fill="auto"/>
            <w:noWrap/>
            <w:vAlign w:val="center"/>
            <w:hideMark/>
          </w:tcPr>
          <w:p w14:paraId="61A119A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BoardTenure</w:t>
            </w:r>
            <w:proofErr w:type="spellEnd"/>
          </w:p>
        </w:tc>
        <w:tc>
          <w:tcPr>
            <w:tcW w:w="1140" w:type="dxa"/>
            <w:tcBorders>
              <w:top w:val="nil"/>
              <w:left w:val="nil"/>
              <w:bottom w:val="nil"/>
              <w:right w:val="nil"/>
            </w:tcBorders>
            <w:shd w:val="clear" w:color="auto" w:fill="auto"/>
            <w:noWrap/>
            <w:vAlign w:val="center"/>
            <w:hideMark/>
          </w:tcPr>
          <w:p w14:paraId="7C62ABB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1,413</w:t>
            </w:r>
          </w:p>
        </w:tc>
        <w:tc>
          <w:tcPr>
            <w:tcW w:w="1020" w:type="dxa"/>
            <w:tcBorders>
              <w:top w:val="nil"/>
              <w:left w:val="nil"/>
              <w:bottom w:val="nil"/>
              <w:right w:val="nil"/>
            </w:tcBorders>
            <w:shd w:val="clear" w:color="auto" w:fill="auto"/>
            <w:noWrap/>
            <w:vAlign w:val="center"/>
            <w:hideMark/>
          </w:tcPr>
          <w:p w14:paraId="7063136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6.684</w:t>
            </w:r>
          </w:p>
        </w:tc>
        <w:tc>
          <w:tcPr>
            <w:tcW w:w="1020" w:type="dxa"/>
            <w:tcBorders>
              <w:top w:val="nil"/>
              <w:left w:val="nil"/>
              <w:bottom w:val="nil"/>
              <w:right w:val="nil"/>
            </w:tcBorders>
            <w:shd w:val="clear" w:color="auto" w:fill="auto"/>
            <w:noWrap/>
            <w:vAlign w:val="center"/>
            <w:hideMark/>
          </w:tcPr>
          <w:p w14:paraId="23EB403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3.168</w:t>
            </w:r>
          </w:p>
        </w:tc>
        <w:tc>
          <w:tcPr>
            <w:tcW w:w="1300" w:type="dxa"/>
            <w:tcBorders>
              <w:top w:val="nil"/>
              <w:left w:val="nil"/>
              <w:bottom w:val="nil"/>
              <w:right w:val="nil"/>
            </w:tcBorders>
            <w:shd w:val="clear" w:color="auto" w:fill="auto"/>
            <w:noWrap/>
            <w:vAlign w:val="center"/>
            <w:hideMark/>
          </w:tcPr>
          <w:p w14:paraId="130A441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4.560</w:t>
            </w:r>
          </w:p>
        </w:tc>
        <w:tc>
          <w:tcPr>
            <w:tcW w:w="1020" w:type="dxa"/>
            <w:tcBorders>
              <w:top w:val="nil"/>
              <w:left w:val="nil"/>
              <w:bottom w:val="nil"/>
              <w:right w:val="nil"/>
            </w:tcBorders>
            <w:shd w:val="clear" w:color="auto" w:fill="auto"/>
            <w:noWrap/>
            <w:vAlign w:val="center"/>
            <w:hideMark/>
          </w:tcPr>
          <w:p w14:paraId="0BE2C0E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6.130</w:t>
            </w:r>
          </w:p>
        </w:tc>
        <w:tc>
          <w:tcPr>
            <w:tcW w:w="1216" w:type="dxa"/>
            <w:tcBorders>
              <w:top w:val="nil"/>
              <w:left w:val="nil"/>
              <w:bottom w:val="nil"/>
              <w:right w:val="nil"/>
            </w:tcBorders>
            <w:shd w:val="clear" w:color="auto" w:fill="auto"/>
            <w:noWrap/>
            <w:vAlign w:val="center"/>
            <w:hideMark/>
          </w:tcPr>
          <w:p w14:paraId="150E5D1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8.050</w:t>
            </w:r>
          </w:p>
        </w:tc>
      </w:tr>
      <w:tr w:rsidR="006419DE" w:rsidRPr="009E5520" w14:paraId="1B67750C" w14:textId="77777777" w:rsidTr="00114EAB">
        <w:trPr>
          <w:trHeight w:hRule="exact" w:val="283"/>
        </w:trPr>
        <w:tc>
          <w:tcPr>
            <w:tcW w:w="2640" w:type="dxa"/>
            <w:tcBorders>
              <w:top w:val="nil"/>
              <w:left w:val="nil"/>
              <w:bottom w:val="nil"/>
              <w:right w:val="nil"/>
            </w:tcBorders>
            <w:shd w:val="clear" w:color="auto" w:fill="auto"/>
            <w:noWrap/>
            <w:vAlign w:val="center"/>
            <w:hideMark/>
          </w:tcPr>
          <w:p w14:paraId="0814913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IndCommittee</w:t>
            </w:r>
            <w:proofErr w:type="spellEnd"/>
          </w:p>
        </w:tc>
        <w:tc>
          <w:tcPr>
            <w:tcW w:w="1140" w:type="dxa"/>
            <w:tcBorders>
              <w:top w:val="nil"/>
              <w:left w:val="nil"/>
              <w:bottom w:val="nil"/>
              <w:right w:val="nil"/>
            </w:tcBorders>
            <w:shd w:val="clear" w:color="auto" w:fill="auto"/>
            <w:noWrap/>
            <w:vAlign w:val="center"/>
            <w:hideMark/>
          </w:tcPr>
          <w:p w14:paraId="1814B2B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1,389</w:t>
            </w:r>
          </w:p>
        </w:tc>
        <w:tc>
          <w:tcPr>
            <w:tcW w:w="1020" w:type="dxa"/>
            <w:tcBorders>
              <w:top w:val="nil"/>
              <w:left w:val="nil"/>
              <w:bottom w:val="nil"/>
              <w:right w:val="nil"/>
            </w:tcBorders>
            <w:shd w:val="clear" w:color="auto" w:fill="auto"/>
            <w:noWrap/>
            <w:vAlign w:val="center"/>
            <w:hideMark/>
          </w:tcPr>
          <w:p w14:paraId="6D19035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84.013</w:t>
            </w:r>
          </w:p>
        </w:tc>
        <w:tc>
          <w:tcPr>
            <w:tcW w:w="1020" w:type="dxa"/>
            <w:tcBorders>
              <w:top w:val="nil"/>
              <w:left w:val="nil"/>
              <w:bottom w:val="nil"/>
              <w:right w:val="nil"/>
            </w:tcBorders>
            <w:shd w:val="clear" w:color="auto" w:fill="auto"/>
            <w:noWrap/>
            <w:vAlign w:val="center"/>
            <w:hideMark/>
          </w:tcPr>
          <w:p w14:paraId="73A26A9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22.079</w:t>
            </w:r>
          </w:p>
        </w:tc>
        <w:tc>
          <w:tcPr>
            <w:tcW w:w="1300" w:type="dxa"/>
            <w:tcBorders>
              <w:top w:val="nil"/>
              <w:left w:val="nil"/>
              <w:bottom w:val="nil"/>
              <w:right w:val="nil"/>
            </w:tcBorders>
            <w:shd w:val="clear" w:color="auto" w:fill="auto"/>
            <w:noWrap/>
            <w:vAlign w:val="center"/>
            <w:hideMark/>
          </w:tcPr>
          <w:p w14:paraId="38E0D77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67.000</w:t>
            </w:r>
          </w:p>
        </w:tc>
        <w:tc>
          <w:tcPr>
            <w:tcW w:w="1020" w:type="dxa"/>
            <w:tcBorders>
              <w:top w:val="nil"/>
              <w:left w:val="nil"/>
              <w:bottom w:val="nil"/>
              <w:right w:val="nil"/>
            </w:tcBorders>
            <w:shd w:val="clear" w:color="auto" w:fill="auto"/>
            <w:noWrap/>
            <w:vAlign w:val="center"/>
            <w:hideMark/>
          </w:tcPr>
          <w:p w14:paraId="24B790C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100.000</w:t>
            </w:r>
          </w:p>
        </w:tc>
        <w:tc>
          <w:tcPr>
            <w:tcW w:w="1216" w:type="dxa"/>
            <w:tcBorders>
              <w:top w:val="nil"/>
              <w:left w:val="nil"/>
              <w:bottom w:val="nil"/>
              <w:right w:val="nil"/>
            </w:tcBorders>
            <w:shd w:val="clear" w:color="auto" w:fill="auto"/>
            <w:noWrap/>
            <w:vAlign w:val="center"/>
            <w:hideMark/>
          </w:tcPr>
          <w:p w14:paraId="313A0F3D"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100.000</w:t>
            </w:r>
          </w:p>
        </w:tc>
      </w:tr>
      <w:tr w:rsidR="006419DE" w:rsidRPr="009E5520" w14:paraId="266F916A" w14:textId="77777777" w:rsidTr="00114EAB">
        <w:trPr>
          <w:trHeight w:hRule="exact" w:val="283"/>
        </w:trPr>
        <w:tc>
          <w:tcPr>
            <w:tcW w:w="2640" w:type="dxa"/>
            <w:tcBorders>
              <w:top w:val="nil"/>
              <w:left w:val="nil"/>
              <w:bottom w:val="nil"/>
              <w:right w:val="nil"/>
            </w:tcBorders>
            <w:shd w:val="clear" w:color="auto" w:fill="auto"/>
            <w:noWrap/>
            <w:vAlign w:val="center"/>
            <w:hideMark/>
          </w:tcPr>
          <w:p w14:paraId="6B0217B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PPEIntensity</w:t>
            </w:r>
            <w:proofErr w:type="spellEnd"/>
          </w:p>
        </w:tc>
        <w:tc>
          <w:tcPr>
            <w:tcW w:w="1140" w:type="dxa"/>
            <w:tcBorders>
              <w:top w:val="nil"/>
              <w:left w:val="nil"/>
              <w:bottom w:val="nil"/>
              <w:right w:val="nil"/>
            </w:tcBorders>
            <w:shd w:val="clear" w:color="auto" w:fill="auto"/>
            <w:noWrap/>
            <w:vAlign w:val="center"/>
            <w:hideMark/>
          </w:tcPr>
          <w:p w14:paraId="4A539BF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04935BA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2.286</w:t>
            </w:r>
          </w:p>
        </w:tc>
        <w:tc>
          <w:tcPr>
            <w:tcW w:w="1020" w:type="dxa"/>
            <w:tcBorders>
              <w:top w:val="nil"/>
              <w:left w:val="nil"/>
              <w:bottom w:val="nil"/>
              <w:right w:val="nil"/>
            </w:tcBorders>
            <w:shd w:val="clear" w:color="auto" w:fill="auto"/>
            <w:noWrap/>
            <w:vAlign w:val="center"/>
            <w:hideMark/>
          </w:tcPr>
          <w:p w14:paraId="242EDD7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16.679</w:t>
            </w:r>
          </w:p>
        </w:tc>
        <w:tc>
          <w:tcPr>
            <w:tcW w:w="1300" w:type="dxa"/>
            <w:tcBorders>
              <w:top w:val="nil"/>
              <w:left w:val="nil"/>
              <w:bottom w:val="nil"/>
              <w:right w:val="nil"/>
            </w:tcBorders>
            <w:shd w:val="clear" w:color="auto" w:fill="auto"/>
            <w:noWrap/>
            <w:vAlign w:val="center"/>
            <w:hideMark/>
          </w:tcPr>
          <w:p w14:paraId="34F418D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0.023</w:t>
            </w:r>
          </w:p>
        </w:tc>
        <w:tc>
          <w:tcPr>
            <w:tcW w:w="1020" w:type="dxa"/>
            <w:tcBorders>
              <w:top w:val="nil"/>
              <w:left w:val="nil"/>
              <w:bottom w:val="nil"/>
              <w:right w:val="nil"/>
            </w:tcBorders>
            <w:shd w:val="clear" w:color="auto" w:fill="auto"/>
            <w:noWrap/>
            <w:vAlign w:val="center"/>
            <w:hideMark/>
          </w:tcPr>
          <w:p w14:paraId="1369E9C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0.087</w:t>
            </w:r>
          </w:p>
        </w:tc>
        <w:tc>
          <w:tcPr>
            <w:tcW w:w="1216" w:type="dxa"/>
            <w:tcBorders>
              <w:top w:val="nil"/>
              <w:left w:val="nil"/>
              <w:bottom w:val="nil"/>
              <w:right w:val="nil"/>
            </w:tcBorders>
            <w:shd w:val="clear" w:color="auto" w:fill="auto"/>
            <w:noWrap/>
            <w:vAlign w:val="center"/>
            <w:hideMark/>
          </w:tcPr>
          <w:p w14:paraId="613AC39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0.340</w:t>
            </w:r>
          </w:p>
        </w:tc>
      </w:tr>
      <w:tr w:rsidR="006419DE" w:rsidRPr="009E5520" w14:paraId="41998005" w14:textId="77777777" w:rsidTr="00114EAB">
        <w:trPr>
          <w:trHeight w:hRule="exact" w:val="283"/>
        </w:trPr>
        <w:tc>
          <w:tcPr>
            <w:tcW w:w="2640" w:type="dxa"/>
            <w:tcBorders>
              <w:top w:val="nil"/>
              <w:left w:val="nil"/>
              <w:bottom w:val="nil"/>
              <w:right w:val="nil"/>
            </w:tcBorders>
            <w:shd w:val="clear" w:color="auto" w:fill="auto"/>
            <w:noWrap/>
            <w:vAlign w:val="center"/>
            <w:hideMark/>
          </w:tcPr>
          <w:p w14:paraId="212A638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RDIntensity</w:t>
            </w:r>
            <w:proofErr w:type="spellEnd"/>
          </w:p>
        </w:tc>
        <w:tc>
          <w:tcPr>
            <w:tcW w:w="1140" w:type="dxa"/>
            <w:tcBorders>
              <w:top w:val="nil"/>
              <w:left w:val="nil"/>
              <w:bottom w:val="nil"/>
              <w:right w:val="nil"/>
            </w:tcBorders>
            <w:shd w:val="clear" w:color="auto" w:fill="auto"/>
            <w:noWrap/>
            <w:vAlign w:val="center"/>
            <w:hideMark/>
          </w:tcPr>
          <w:p w14:paraId="7238171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6CDAB54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0.447</w:t>
            </w:r>
          </w:p>
        </w:tc>
        <w:tc>
          <w:tcPr>
            <w:tcW w:w="1020" w:type="dxa"/>
            <w:tcBorders>
              <w:top w:val="nil"/>
              <w:left w:val="nil"/>
              <w:bottom w:val="nil"/>
              <w:right w:val="nil"/>
            </w:tcBorders>
            <w:shd w:val="clear" w:color="auto" w:fill="auto"/>
            <w:noWrap/>
            <w:vAlign w:val="center"/>
            <w:hideMark/>
          </w:tcPr>
          <w:p w14:paraId="1D69629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2.461</w:t>
            </w:r>
          </w:p>
        </w:tc>
        <w:tc>
          <w:tcPr>
            <w:tcW w:w="1300" w:type="dxa"/>
            <w:tcBorders>
              <w:top w:val="nil"/>
              <w:left w:val="nil"/>
              <w:bottom w:val="nil"/>
              <w:right w:val="nil"/>
            </w:tcBorders>
            <w:shd w:val="clear" w:color="auto" w:fill="auto"/>
            <w:noWrap/>
            <w:vAlign w:val="center"/>
            <w:hideMark/>
          </w:tcPr>
          <w:p w14:paraId="6EF8608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c>
          <w:tcPr>
            <w:tcW w:w="1020" w:type="dxa"/>
            <w:tcBorders>
              <w:top w:val="nil"/>
              <w:left w:val="nil"/>
              <w:bottom w:val="nil"/>
              <w:right w:val="nil"/>
            </w:tcBorders>
            <w:shd w:val="clear" w:color="auto" w:fill="auto"/>
            <w:noWrap/>
            <w:vAlign w:val="center"/>
            <w:hideMark/>
          </w:tcPr>
          <w:p w14:paraId="499BBF7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c>
          <w:tcPr>
            <w:tcW w:w="1216" w:type="dxa"/>
            <w:tcBorders>
              <w:top w:val="nil"/>
              <w:left w:val="nil"/>
              <w:bottom w:val="nil"/>
              <w:right w:val="nil"/>
            </w:tcBorders>
            <w:shd w:val="clear" w:color="auto" w:fill="auto"/>
            <w:noWrap/>
            <w:vAlign w:val="center"/>
            <w:hideMark/>
          </w:tcPr>
          <w:p w14:paraId="770CD021"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0.000</w:t>
            </w:r>
          </w:p>
        </w:tc>
      </w:tr>
      <w:tr w:rsidR="006419DE" w:rsidRPr="009E5520" w14:paraId="3B114EF3" w14:textId="77777777" w:rsidTr="00114EAB">
        <w:trPr>
          <w:trHeight w:hRule="exact" w:val="283"/>
        </w:trPr>
        <w:tc>
          <w:tcPr>
            <w:tcW w:w="2640" w:type="dxa"/>
            <w:tcBorders>
              <w:top w:val="nil"/>
              <w:left w:val="nil"/>
              <w:bottom w:val="nil"/>
              <w:right w:val="nil"/>
            </w:tcBorders>
            <w:shd w:val="clear" w:color="auto" w:fill="auto"/>
            <w:noWrap/>
            <w:vAlign w:val="center"/>
            <w:hideMark/>
          </w:tcPr>
          <w:p w14:paraId="38D1076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IndConcentration</w:t>
            </w:r>
            <w:proofErr w:type="spellEnd"/>
          </w:p>
        </w:tc>
        <w:tc>
          <w:tcPr>
            <w:tcW w:w="1140" w:type="dxa"/>
            <w:tcBorders>
              <w:top w:val="nil"/>
              <w:left w:val="nil"/>
              <w:bottom w:val="nil"/>
              <w:right w:val="nil"/>
            </w:tcBorders>
            <w:shd w:val="clear" w:color="auto" w:fill="auto"/>
            <w:noWrap/>
            <w:vAlign w:val="center"/>
            <w:hideMark/>
          </w:tcPr>
          <w:p w14:paraId="4614B34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232DCC7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0.093</w:t>
            </w:r>
          </w:p>
        </w:tc>
        <w:tc>
          <w:tcPr>
            <w:tcW w:w="1020" w:type="dxa"/>
            <w:tcBorders>
              <w:top w:val="nil"/>
              <w:left w:val="nil"/>
              <w:bottom w:val="nil"/>
              <w:right w:val="nil"/>
            </w:tcBorders>
            <w:shd w:val="clear" w:color="auto" w:fill="auto"/>
            <w:noWrap/>
            <w:vAlign w:val="center"/>
            <w:hideMark/>
          </w:tcPr>
          <w:p w14:paraId="2F098A6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0.070</w:t>
            </w:r>
          </w:p>
        </w:tc>
        <w:tc>
          <w:tcPr>
            <w:tcW w:w="1300" w:type="dxa"/>
            <w:tcBorders>
              <w:top w:val="nil"/>
              <w:left w:val="nil"/>
              <w:bottom w:val="nil"/>
              <w:right w:val="nil"/>
            </w:tcBorders>
            <w:shd w:val="clear" w:color="auto" w:fill="auto"/>
            <w:noWrap/>
            <w:vAlign w:val="center"/>
            <w:hideMark/>
          </w:tcPr>
          <w:p w14:paraId="1C0F92D2"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0.044</w:t>
            </w:r>
          </w:p>
        </w:tc>
        <w:tc>
          <w:tcPr>
            <w:tcW w:w="1020" w:type="dxa"/>
            <w:tcBorders>
              <w:top w:val="nil"/>
              <w:left w:val="nil"/>
              <w:bottom w:val="nil"/>
              <w:right w:val="nil"/>
            </w:tcBorders>
            <w:shd w:val="clear" w:color="auto" w:fill="auto"/>
            <w:noWrap/>
            <w:vAlign w:val="center"/>
            <w:hideMark/>
          </w:tcPr>
          <w:p w14:paraId="1C80505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0.069</w:t>
            </w:r>
          </w:p>
        </w:tc>
        <w:tc>
          <w:tcPr>
            <w:tcW w:w="1216" w:type="dxa"/>
            <w:tcBorders>
              <w:top w:val="nil"/>
              <w:left w:val="nil"/>
              <w:bottom w:val="nil"/>
              <w:right w:val="nil"/>
            </w:tcBorders>
            <w:shd w:val="clear" w:color="auto" w:fill="auto"/>
            <w:noWrap/>
            <w:vAlign w:val="center"/>
            <w:hideMark/>
          </w:tcPr>
          <w:p w14:paraId="0197E3F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0.125</w:t>
            </w:r>
          </w:p>
        </w:tc>
      </w:tr>
      <w:tr w:rsidR="006419DE" w:rsidRPr="009E5520" w14:paraId="343DA90A" w14:textId="77777777" w:rsidTr="00114EAB">
        <w:trPr>
          <w:trHeight w:hRule="exact" w:val="283"/>
        </w:trPr>
        <w:tc>
          <w:tcPr>
            <w:tcW w:w="2640" w:type="dxa"/>
            <w:tcBorders>
              <w:top w:val="nil"/>
              <w:left w:val="nil"/>
              <w:bottom w:val="nil"/>
              <w:right w:val="nil"/>
            </w:tcBorders>
            <w:shd w:val="clear" w:color="auto" w:fill="auto"/>
            <w:noWrap/>
            <w:vAlign w:val="center"/>
            <w:hideMark/>
          </w:tcPr>
          <w:p w14:paraId="220EA06A"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Education</w:t>
            </w:r>
          </w:p>
        </w:tc>
        <w:tc>
          <w:tcPr>
            <w:tcW w:w="1140" w:type="dxa"/>
            <w:tcBorders>
              <w:top w:val="nil"/>
              <w:left w:val="nil"/>
              <w:bottom w:val="nil"/>
              <w:right w:val="nil"/>
            </w:tcBorders>
            <w:shd w:val="clear" w:color="auto" w:fill="auto"/>
            <w:noWrap/>
            <w:vAlign w:val="center"/>
            <w:hideMark/>
          </w:tcPr>
          <w:p w14:paraId="262CC32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1E483F7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18.509</w:t>
            </w:r>
          </w:p>
        </w:tc>
        <w:tc>
          <w:tcPr>
            <w:tcW w:w="1020" w:type="dxa"/>
            <w:tcBorders>
              <w:top w:val="nil"/>
              <w:left w:val="nil"/>
              <w:bottom w:val="nil"/>
              <w:right w:val="nil"/>
            </w:tcBorders>
            <w:shd w:val="clear" w:color="auto" w:fill="auto"/>
            <w:noWrap/>
            <w:vAlign w:val="center"/>
            <w:hideMark/>
          </w:tcPr>
          <w:p w14:paraId="54B7487D"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3.224</w:t>
            </w:r>
          </w:p>
        </w:tc>
        <w:tc>
          <w:tcPr>
            <w:tcW w:w="1300" w:type="dxa"/>
            <w:tcBorders>
              <w:top w:val="nil"/>
              <w:left w:val="nil"/>
              <w:bottom w:val="nil"/>
              <w:right w:val="nil"/>
            </w:tcBorders>
            <w:shd w:val="clear" w:color="auto" w:fill="auto"/>
            <w:noWrap/>
            <w:vAlign w:val="center"/>
            <w:hideMark/>
          </w:tcPr>
          <w:p w14:paraId="1664CD36"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16.124</w:t>
            </w:r>
          </w:p>
        </w:tc>
        <w:tc>
          <w:tcPr>
            <w:tcW w:w="1020" w:type="dxa"/>
            <w:tcBorders>
              <w:top w:val="nil"/>
              <w:left w:val="nil"/>
              <w:bottom w:val="nil"/>
              <w:right w:val="nil"/>
            </w:tcBorders>
            <w:shd w:val="clear" w:color="auto" w:fill="auto"/>
            <w:noWrap/>
            <w:vAlign w:val="center"/>
            <w:hideMark/>
          </w:tcPr>
          <w:p w14:paraId="34215660"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18.107</w:t>
            </w:r>
          </w:p>
        </w:tc>
        <w:tc>
          <w:tcPr>
            <w:tcW w:w="1216" w:type="dxa"/>
            <w:tcBorders>
              <w:top w:val="nil"/>
              <w:left w:val="nil"/>
              <w:bottom w:val="nil"/>
              <w:right w:val="nil"/>
            </w:tcBorders>
            <w:shd w:val="clear" w:color="auto" w:fill="auto"/>
            <w:noWrap/>
            <w:vAlign w:val="center"/>
            <w:hideMark/>
          </w:tcPr>
          <w:p w14:paraId="7DFB7ED5"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20.831</w:t>
            </w:r>
          </w:p>
        </w:tc>
      </w:tr>
      <w:tr w:rsidR="006419DE" w:rsidRPr="009E5520" w14:paraId="102B831B" w14:textId="77777777" w:rsidTr="00114EAB">
        <w:trPr>
          <w:trHeight w:hRule="exact" w:val="283"/>
        </w:trPr>
        <w:tc>
          <w:tcPr>
            <w:tcW w:w="2640" w:type="dxa"/>
            <w:tcBorders>
              <w:top w:val="nil"/>
              <w:left w:val="nil"/>
              <w:bottom w:val="nil"/>
              <w:right w:val="nil"/>
            </w:tcBorders>
            <w:shd w:val="clear" w:color="auto" w:fill="auto"/>
            <w:noWrap/>
            <w:vAlign w:val="center"/>
            <w:hideMark/>
          </w:tcPr>
          <w:p w14:paraId="3C8AC19F"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Unemployment</w:t>
            </w:r>
          </w:p>
        </w:tc>
        <w:tc>
          <w:tcPr>
            <w:tcW w:w="1140" w:type="dxa"/>
            <w:tcBorders>
              <w:top w:val="nil"/>
              <w:left w:val="nil"/>
              <w:bottom w:val="nil"/>
              <w:right w:val="nil"/>
            </w:tcBorders>
            <w:shd w:val="clear" w:color="auto" w:fill="auto"/>
            <w:noWrap/>
            <w:vAlign w:val="center"/>
            <w:hideMark/>
          </w:tcPr>
          <w:p w14:paraId="3232B433"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bottom w:val="nil"/>
              <w:right w:val="nil"/>
            </w:tcBorders>
            <w:shd w:val="clear" w:color="auto" w:fill="auto"/>
            <w:noWrap/>
            <w:vAlign w:val="center"/>
            <w:hideMark/>
          </w:tcPr>
          <w:p w14:paraId="5E37CE4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5.174</w:t>
            </w:r>
          </w:p>
        </w:tc>
        <w:tc>
          <w:tcPr>
            <w:tcW w:w="1020" w:type="dxa"/>
            <w:tcBorders>
              <w:top w:val="nil"/>
              <w:left w:val="nil"/>
              <w:bottom w:val="nil"/>
              <w:right w:val="nil"/>
            </w:tcBorders>
            <w:shd w:val="clear" w:color="auto" w:fill="auto"/>
            <w:noWrap/>
            <w:vAlign w:val="center"/>
            <w:hideMark/>
          </w:tcPr>
          <w:p w14:paraId="1DF1A47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0.728</w:t>
            </w:r>
          </w:p>
        </w:tc>
        <w:tc>
          <w:tcPr>
            <w:tcW w:w="1300" w:type="dxa"/>
            <w:tcBorders>
              <w:top w:val="nil"/>
              <w:left w:val="nil"/>
              <w:bottom w:val="nil"/>
              <w:right w:val="nil"/>
            </w:tcBorders>
            <w:shd w:val="clear" w:color="auto" w:fill="auto"/>
            <w:noWrap/>
            <w:vAlign w:val="center"/>
            <w:hideMark/>
          </w:tcPr>
          <w:p w14:paraId="5A3FD3FB"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4.761</w:t>
            </w:r>
          </w:p>
        </w:tc>
        <w:tc>
          <w:tcPr>
            <w:tcW w:w="1020" w:type="dxa"/>
            <w:tcBorders>
              <w:top w:val="nil"/>
              <w:left w:val="nil"/>
              <w:bottom w:val="nil"/>
              <w:right w:val="nil"/>
            </w:tcBorders>
            <w:shd w:val="clear" w:color="auto" w:fill="auto"/>
            <w:noWrap/>
            <w:vAlign w:val="center"/>
            <w:hideMark/>
          </w:tcPr>
          <w:p w14:paraId="5DB42118"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5.143</w:t>
            </w:r>
          </w:p>
        </w:tc>
        <w:tc>
          <w:tcPr>
            <w:tcW w:w="1216" w:type="dxa"/>
            <w:tcBorders>
              <w:top w:val="nil"/>
              <w:left w:val="nil"/>
              <w:bottom w:val="nil"/>
              <w:right w:val="nil"/>
            </w:tcBorders>
            <w:shd w:val="clear" w:color="auto" w:fill="auto"/>
            <w:noWrap/>
            <w:vAlign w:val="center"/>
            <w:hideMark/>
          </w:tcPr>
          <w:p w14:paraId="6266788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5.747</w:t>
            </w:r>
          </w:p>
        </w:tc>
      </w:tr>
      <w:tr w:rsidR="006419DE" w:rsidRPr="009E5520" w14:paraId="2F6D65EB" w14:textId="77777777" w:rsidTr="00114EAB">
        <w:trPr>
          <w:trHeight w:hRule="exact" w:val="283"/>
        </w:trPr>
        <w:tc>
          <w:tcPr>
            <w:tcW w:w="2640" w:type="dxa"/>
            <w:tcBorders>
              <w:top w:val="nil"/>
              <w:left w:val="nil"/>
              <w:bottom w:val="single" w:sz="4" w:space="0" w:color="auto"/>
              <w:right w:val="nil"/>
            </w:tcBorders>
            <w:shd w:val="clear" w:color="auto" w:fill="auto"/>
            <w:noWrap/>
            <w:vAlign w:val="center"/>
            <w:hideMark/>
          </w:tcPr>
          <w:p w14:paraId="70515A07"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cs="Times New Roman"/>
                <w:color w:val="000000"/>
                <w:sz w:val="20"/>
                <w:szCs w:val="20"/>
              </w:rPr>
              <w:t>VacantJob</w:t>
            </w:r>
            <w:proofErr w:type="spellEnd"/>
          </w:p>
        </w:tc>
        <w:tc>
          <w:tcPr>
            <w:tcW w:w="1140" w:type="dxa"/>
            <w:tcBorders>
              <w:top w:val="nil"/>
              <w:left w:val="nil"/>
              <w:right w:val="nil"/>
            </w:tcBorders>
            <w:shd w:val="clear" w:color="auto" w:fill="auto"/>
            <w:noWrap/>
            <w:vAlign w:val="center"/>
            <w:hideMark/>
          </w:tcPr>
          <w:p w14:paraId="7BF7B9B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3,292</w:t>
            </w:r>
          </w:p>
        </w:tc>
        <w:tc>
          <w:tcPr>
            <w:tcW w:w="1020" w:type="dxa"/>
            <w:tcBorders>
              <w:top w:val="nil"/>
              <w:left w:val="nil"/>
              <w:right w:val="nil"/>
            </w:tcBorders>
            <w:shd w:val="clear" w:color="auto" w:fill="auto"/>
            <w:noWrap/>
            <w:vAlign w:val="center"/>
            <w:hideMark/>
          </w:tcPr>
          <w:p w14:paraId="699CDFB9"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1.898</w:t>
            </w:r>
          </w:p>
        </w:tc>
        <w:tc>
          <w:tcPr>
            <w:tcW w:w="1020" w:type="dxa"/>
            <w:tcBorders>
              <w:top w:val="nil"/>
              <w:left w:val="nil"/>
              <w:right w:val="nil"/>
            </w:tcBorders>
            <w:shd w:val="clear" w:color="auto" w:fill="auto"/>
            <w:noWrap/>
            <w:vAlign w:val="center"/>
            <w:hideMark/>
          </w:tcPr>
          <w:p w14:paraId="423F9D3D"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1.084</w:t>
            </w:r>
          </w:p>
        </w:tc>
        <w:tc>
          <w:tcPr>
            <w:tcW w:w="1300" w:type="dxa"/>
            <w:tcBorders>
              <w:top w:val="nil"/>
              <w:left w:val="nil"/>
              <w:right w:val="nil"/>
            </w:tcBorders>
            <w:shd w:val="clear" w:color="auto" w:fill="auto"/>
            <w:noWrap/>
            <w:vAlign w:val="center"/>
            <w:hideMark/>
          </w:tcPr>
          <w:p w14:paraId="1D800F9E"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1.143</w:t>
            </w:r>
          </w:p>
        </w:tc>
        <w:tc>
          <w:tcPr>
            <w:tcW w:w="1020" w:type="dxa"/>
            <w:tcBorders>
              <w:top w:val="nil"/>
              <w:left w:val="nil"/>
              <w:right w:val="nil"/>
            </w:tcBorders>
            <w:shd w:val="clear" w:color="auto" w:fill="auto"/>
            <w:noWrap/>
            <w:vAlign w:val="center"/>
            <w:hideMark/>
          </w:tcPr>
          <w:p w14:paraId="54E3EDCC"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1.516</w:t>
            </w:r>
          </w:p>
        </w:tc>
        <w:tc>
          <w:tcPr>
            <w:tcW w:w="1216" w:type="dxa"/>
            <w:tcBorders>
              <w:top w:val="nil"/>
              <w:left w:val="nil"/>
              <w:right w:val="nil"/>
            </w:tcBorders>
            <w:shd w:val="clear" w:color="auto" w:fill="auto"/>
            <w:noWrap/>
            <w:vAlign w:val="center"/>
            <w:hideMark/>
          </w:tcPr>
          <w:p w14:paraId="47269D4D" w14:textId="77777777" w:rsidR="006419DE" w:rsidRPr="009E5520" w:rsidRDefault="006419DE"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2.282</w:t>
            </w:r>
          </w:p>
        </w:tc>
      </w:tr>
      <w:tr w:rsidR="006419DE" w:rsidRPr="009E5520" w14:paraId="00560903" w14:textId="77777777" w:rsidTr="00114EAB">
        <w:trPr>
          <w:trHeight w:hRule="exact" w:val="1052"/>
        </w:trPr>
        <w:tc>
          <w:tcPr>
            <w:tcW w:w="9356" w:type="dxa"/>
            <w:gridSpan w:val="7"/>
            <w:tcBorders>
              <w:left w:val="nil"/>
              <w:bottom w:val="single" w:sz="4" w:space="0" w:color="auto"/>
              <w:right w:val="nil"/>
            </w:tcBorders>
            <w:shd w:val="clear" w:color="auto" w:fill="auto"/>
            <w:noWrap/>
            <w:vAlign w:val="center"/>
          </w:tcPr>
          <w:p w14:paraId="12EBC523" w14:textId="77777777" w:rsidR="006419DE" w:rsidRPr="009E5520" w:rsidRDefault="006419DE" w:rsidP="00114EAB">
            <w:pPr>
              <w:pStyle w:val="Footnoot"/>
              <w:rPr>
                <w:lang w:eastAsia="en-NZ"/>
              </w:rPr>
            </w:pPr>
            <w:r w:rsidRPr="009E5520">
              <w:rPr>
                <w:lang w:eastAsia="en-NZ"/>
              </w:rPr>
              <w:t xml:space="preserve">Notes: Table 1 presents summary statistics for the main variables in our samples. Firm characteristic Continuous variables are </w:t>
            </w:r>
            <w:proofErr w:type="spellStart"/>
            <w:r w:rsidRPr="009E5520">
              <w:rPr>
                <w:lang w:eastAsia="en-NZ"/>
              </w:rPr>
              <w:t>winsorised</w:t>
            </w:r>
            <w:proofErr w:type="spellEnd"/>
            <w:r w:rsidRPr="009E5520">
              <w:rPr>
                <w:lang w:eastAsia="en-NZ"/>
              </w:rPr>
              <w:t xml:space="preserve"> at 1 per cent and 99 per cent in each two-digit GICS.</w:t>
            </w:r>
          </w:p>
          <w:p w14:paraId="79F67E3E" w14:textId="77777777" w:rsidR="006419DE" w:rsidRPr="009E5520" w:rsidRDefault="006419DE" w:rsidP="00114EAB">
            <w:pPr>
              <w:pStyle w:val="Footnoot"/>
              <w:rPr>
                <w:lang w:eastAsia="en-NZ"/>
              </w:rPr>
            </w:pPr>
            <w:r w:rsidRPr="009E5520">
              <w:rPr>
                <w:lang w:eastAsia="en-NZ"/>
              </w:rPr>
              <w:t>All variables are defined in Appendix B.</w:t>
            </w:r>
          </w:p>
        </w:tc>
      </w:tr>
    </w:tbl>
    <w:p w14:paraId="7FA46E8F" w14:textId="77777777" w:rsidR="006419DE" w:rsidRPr="009E5520" w:rsidRDefault="006419DE" w:rsidP="006419DE">
      <w:pPr>
        <w:ind w:firstLine="0"/>
      </w:pPr>
    </w:p>
    <w:p w14:paraId="0BEBF036" w14:textId="77777777" w:rsidR="006419DE" w:rsidRDefault="006419DE" w:rsidP="00F04F23"/>
    <w:p w14:paraId="24DC11A2" w14:textId="77777777" w:rsidR="006419DE" w:rsidRPr="00F04F23" w:rsidRDefault="006419DE" w:rsidP="00F04F23"/>
    <w:p w14:paraId="52581D3D" w14:textId="77777777" w:rsidR="00147360" w:rsidRPr="00B355F8" w:rsidRDefault="00147360" w:rsidP="00B355F8">
      <w:pPr>
        <w:pStyle w:val="Heading1"/>
      </w:pPr>
      <w:r w:rsidRPr="00B355F8">
        <w:lastRenderedPageBreak/>
        <w:t>5. Empirical analysis</w:t>
      </w:r>
    </w:p>
    <w:p w14:paraId="4ECA1E03" w14:textId="4E2669F6" w:rsidR="00147360" w:rsidRDefault="00020A47" w:rsidP="00020A47">
      <w:pPr>
        <w:ind w:firstLine="0"/>
      </w:pPr>
      <w:r w:rsidRPr="00020A47">
        <w:t xml:space="preserve">This section starts by examining the firm-level determinants of labour share. It then follows the relationship between labour share and pay inequality within firms.  </w:t>
      </w:r>
    </w:p>
    <w:p w14:paraId="497A93DB" w14:textId="7E870E6C" w:rsidR="00457F4D" w:rsidRPr="00B355F8" w:rsidRDefault="003D21A9" w:rsidP="001E4AB0">
      <w:pPr>
        <w:pStyle w:val="Heading2"/>
      </w:pPr>
      <w:r w:rsidRPr="00B355F8">
        <w:t>5.</w:t>
      </w:r>
      <w:r w:rsidR="003064E0" w:rsidRPr="00B355F8">
        <w:t>1</w:t>
      </w:r>
      <w:r w:rsidRPr="00B355F8">
        <w:t xml:space="preserve">. </w:t>
      </w:r>
      <w:r w:rsidR="00020A47" w:rsidRPr="00B355F8">
        <w:t>Determinants of Labour Share</w:t>
      </w:r>
      <w:bookmarkStart w:id="8" w:name="_Hlk86053399"/>
    </w:p>
    <w:p w14:paraId="3EA34AC4" w14:textId="2CBE6206" w:rsidR="006419DE" w:rsidRDefault="00457F4D" w:rsidP="006419DE">
      <w:pPr>
        <w:ind w:firstLine="0"/>
      </w:pPr>
      <w:r w:rsidRPr="00457F4D">
        <w:t>Table 2 illustrates the impact of three leading channels, technological progress, product market power and labour market power on labour share. In all columns, our dependent variable is the natural logarithm of labour share. The first three columns report the estimation of our regression model in equation 1 using SGMM including region, industry, firm and year-fixed effects with robust standard error. For robustness check, we also estimate the static linear regression using the ordinary least squares (</w:t>
      </w:r>
      <w:r w:rsidRPr="00457F4D">
        <w:rPr>
          <w:i/>
          <w:iCs/>
        </w:rPr>
        <w:t>OLS</w:t>
      </w:r>
      <w:r w:rsidRPr="00457F4D">
        <w:t xml:space="preserve">) method, including region, industry, and year fixed effects. The result is shown in columns 4, 5, and 6. In all columns, robust standard errors clustered at the firm level are reported in parentheses. </w:t>
      </w:r>
    </w:p>
    <w:p w14:paraId="05B178B3" w14:textId="77777777" w:rsidR="00331897" w:rsidRDefault="00331897" w:rsidP="00331897">
      <w:r w:rsidRPr="00457F4D">
        <w:t xml:space="preserve">Table 2 shows that technological progress significantly negatively impacts labour share. The negative and significant coefficient of </w:t>
      </w:r>
      <w:proofErr w:type="spellStart"/>
      <w:r w:rsidRPr="00457F4D">
        <w:rPr>
          <w:i/>
          <w:iCs/>
        </w:rPr>
        <w:t>LnCapital</w:t>
      </w:r>
      <w:proofErr w:type="spellEnd"/>
      <w:r w:rsidRPr="00457F4D">
        <w:rPr>
          <w:i/>
          <w:iCs/>
        </w:rPr>
        <w:t xml:space="preserve">/VA </w:t>
      </w:r>
      <w:r w:rsidRPr="00457F4D">
        <w:t xml:space="preserve">across all columns, shown in the second row, indicates that capital and labour are substitutes. Therefore, a capital increase is associated with a decline in labour share. The next three rows illustrate the estimated coefficient of </w:t>
      </w:r>
      <w:r w:rsidRPr="00457F4D">
        <w:rPr>
          <w:i/>
          <w:iCs/>
        </w:rPr>
        <w:t>TFP</w:t>
      </w:r>
      <w:r w:rsidRPr="00457F4D">
        <w:t xml:space="preserve">, calculated based on the estimation of the Cobb-Douglas production function by </w:t>
      </w:r>
      <w:r w:rsidRPr="00457F4D">
        <w:fldChar w:fldCharType="begin" w:fldLock="1"/>
      </w:r>
      <w:r>
        <w:instrText>ADDIN CSL_CITATION {"citationItems":[{"id":"ITEM-1","itemData":{"DOI":"10.2307/2171831","ISSN":"00129682","abstract":"Technological change and deregulation have caused a major restructuring of the telecommunications equipment industry over the last two decades. Our empirical focus is on estimating the parameters of a production function for the equipment industry, and then using those estimates to analyze the evolution of plant-level productivity. The restructuring involved significant entry and exit and large changes in the sizes of incum bents. Firms' choices on whether to liquidate, and on input quantities should they continue, depended on their productivity. This generates a selection and a simultaneity problem when estimating production functions. Our theoretical focus is on providing an estimation algorithm which takes explicit account of these issues. We find that our algorithm produces markedly different and more plausible estimates of production func tion coefficients than do traditional estimation procedures. Using our estimates we find increases in the rate of aggregate productivity growth after deregulation. Since we have plant-level data we can introduce indices which delve deeper into how this productivity growth occurred. These indices indicate that productivity increases were primarily a result of a reallocation of capital towards more productive establishments.","author":[{"dropping-particle":"","family":"Olley","given":"G. Steven","non-dropping-particle":"","parse-names":false,"suffix":""},{"dropping-particle":"","family":"Pakes","given":"Ariel","non-dropping-particle":"","parse-names":false,"suffix":""}],"container-title":"Econometrica","id":"ITEM-1","issue":"6","issued":{"date-parts":[["1996","11"]]},"page":"1263-1297","publisher":"JSTOR","title":"The dynamics of productivity in the telecommunications equipment industry","type":"article-journal","volume":"64"},"uris":["http://www.mendeley.com/documents/?uuid=8aae240d-043b-3431-b1a5-2bab082b8ee2"]}],"mendeley":{"formattedCitation":"(Olley &amp; Pakes, 1996)","manualFormatting":"Olley and Pakes' (1996)","plainTextFormattedCitation":"(Olley &amp; Pakes, 1996)","previouslyFormattedCitation":"(Olley and Pakes 1996)"},"properties":{"noteIndex":0},"schema":"https://github.com/citation-style-language/schema/raw/master/csl-citation.json"}</w:instrText>
      </w:r>
      <w:r w:rsidRPr="00457F4D">
        <w:fldChar w:fldCharType="separate"/>
      </w:r>
      <w:r w:rsidRPr="00457F4D">
        <w:rPr>
          <w:noProof/>
        </w:rPr>
        <w:t>Olley and Pakes' (1996)</w:t>
      </w:r>
      <w:r w:rsidRPr="00457F4D">
        <w:fldChar w:fldCharType="end"/>
      </w:r>
      <w:r w:rsidRPr="00457F4D">
        <w:t xml:space="preserve"> method (</w:t>
      </w:r>
      <w:r w:rsidRPr="00457F4D">
        <w:rPr>
          <w:i/>
          <w:iCs/>
        </w:rPr>
        <w:t>TFPOP</w:t>
      </w:r>
      <w:r w:rsidRPr="00457F4D">
        <w:t>), the Ordinary Least Squares method (</w:t>
      </w:r>
      <w:r w:rsidRPr="00457F4D">
        <w:rPr>
          <w:i/>
          <w:iCs/>
        </w:rPr>
        <w:t>TFPOLS</w:t>
      </w:r>
      <w:r w:rsidRPr="00457F4D">
        <w:t xml:space="preserve">) and the one-step GMM </w:t>
      </w:r>
      <w:r w:rsidRPr="00457F4D">
        <w:fldChar w:fldCharType="begin" w:fldLock="1"/>
      </w:r>
      <w:r>
        <w:instrText>ADDIN CSL_CITATION {"citationItems":[{"id":"ITEM-1","itemData":{"DOI":"10.1016/J.ECONLET.2009.04.026","ISSN":"0165-1765","abstract":"In the common case where polynomial approximations are used for unknown functions, I show how proxy variable approaches to controlling for unobserved productivity, proposed by Olley and Pakes [Olley, S. and Pakes, A., 1996. The dynamics of productivity in the telecommunications equipment industry. Econometrica 64, 1263-1298.] and Levinsohn and Petrin (Levinsohn, J. and Petrin, A., 2003. Estimating production functions using inputs to control for unobservables. Review of Economic Studies 70, 317-341.], can be implemented by specifying different instruments for different equations and applying generalized method of moments. Studying the parameters within a two-equation system clarifies some key identification issues, and joint estimation of the parameters leads to simple inference and more efficient estimators. © 2009 Elsevier B.V. All rights reserved.","author":[{"dropping-particle":"","family":"Wooldridge","given":"Jeffrey M.","non-dropping-particle":"","parse-names":false,"suffix":""}],"container-title":"Economics Letters","id":"ITEM-1","issue":"3","issued":{"date-parts":[["2009","9","1"]]},"page":"112-114","publisher":"North-Holland","title":"On estimating firm-level production functions using proxy variables to control for unobservables","type":"article-journal","volume":"104"},"uris":["http://www.mendeley.com/documents/?uuid=6e2d31c6-9571-37ae-93fd-e2255190da9a"]}],"mendeley":{"formattedCitation":"(Wooldridge, 2009)","plainTextFormattedCitation":"(Wooldridge, 2009)","previouslyFormattedCitation":"(Wooldridge 2009)"},"properties":{"noteIndex":0},"schema":"https://github.com/citation-style-language/schema/raw/master/csl-citation.json"}</w:instrText>
      </w:r>
      <w:r w:rsidRPr="00457F4D">
        <w:fldChar w:fldCharType="separate"/>
      </w:r>
      <w:r w:rsidRPr="00BA76AC">
        <w:rPr>
          <w:noProof/>
        </w:rPr>
        <w:t>(Wooldridge, 2009)</w:t>
      </w:r>
      <w:r w:rsidRPr="00457F4D">
        <w:fldChar w:fldCharType="end"/>
      </w:r>
      <w:r w:rsidRPr="00457F4D">
        <w:t xml:space="preserve"> method (</w:t>
      </w:r>
      <w:r w:rsidRPr="00457F4D">
        <w:rPr>
          <w:i/>
          <w:iCs/>
        </w:rPr>
        <w:t>TFPWDRG</w:t>
      </w:r>
      <w:r w:rsidRPr="00457F4D">
        <w:t xml:space="preserve">). Regardless of our estimation method, we find a negative and significant association between </w:t>
      </w:r>
      <w:r w:rsidRPr="00457F4D">
        <w:rPr>
          <w:i/>
          <w:iCs/>
        </w:rPr>
        <w:t>TFP</w:t>
      </w:r>
      <w:r w:rsidRPr="00457F4D">
        <w:t xml:space="preserve"> and labour share. </w:t>
      </w:r>
      <w:proofErr w:type="spellStart"/>
      <w:r w:rsidRPr="00457F4D">
        <w:t>Bentolila</w:t>
      </w:r>
      <w:proofErr w:type="spellEnd"/>
      <w:r w:rsidRPr="00457F4D">
        <w:t xml:space="preserve"> and Saint-Paul (2003) point out that the similar coefficient sign of </w:t>
      </w:r>
      <w:proofErr w:type="spellStart"/>
      <w:r w:rsidRPr="00457F4D">
        <w:rPr>
          <w:i/>
          <w:iCs/>
        </w:rPr>
        <w:t>LnCapital</w:t>
      </w:r>
      <w:proofErr w:type="spellEnd"/>
      <w:r w:rsidRPr="00457F4D">
        <w:rPr>
          <w:i/>
          <w:iCs/>
        </w:rPr>
        <w:t xml:space="preserve">/VA </w:t>
      </w:r>
      <w:r w:rsidRPr="00457F4D">
        <w:t>and</w:t>
      </w:r>
      <w:r w:rsidRPr="00457F4D">
        <w:rPr>
          <w:i/>
          <w:iCs/>
        </w:rPr>
        <w:t xml:space="preserve"> TFP</w:t>
      </w:r>
      <w:r w:rsidRPr="00457F4D">
        <w:t xml:space="preserve"> shows that total factor productivity captures strictly capital-augmenting technological progress. Hence, Australian firms with higher capital-output ratios and capital-augmenting technological progress have lower labour share, consistent with our first hypothesis.</w:t>
      </w:r>
    </w:p>
    <w:p w14:paraId="40A0A674" w14:textId="209816DA" w:rsidR="00331897" w:rsidRDefault="00331897" w:rsidP="00331897">
      <w:r w:rsidRPr="00457F4D">
        <w:t xml:space="preserve">Turning to product market power, we investigate the relationship between </w:t>
      </w:r>
      <w:proofErr w:type="spellStart"/>
      <w:r w:rsidRPr="00457F4D">
        <w:rPr>
          <w:i/>
          <w:iCs/>
        </w:rPr>
        <w:t>LnMarkup</w:t>
      </w:r>
      <w:proofErr w:type="spellEnd"/>
      <w:r w:rsidRPr="00457F4D">
        <w:t xml:space="preserve"> and labour share. To calculate firm-level mark-up, we need to estimate the Cobb-Douglas production function for each two-digit GICS industry. </w:t>
      </w:r>
      <w:proofErr w:type="gramStart"/>
      <w:r w:rsidRPr="00457F4D">
        <w:t>Similar to</w:t>
      </w:r>
      <w:proofErr w:type="gramEnd"/>
      <w:r w:rsidRPr="00457F4D">
        <w:t xml:space="preserve"> </w:t>
      </w:r>
      <w:r w:rsidRPr="00457F4D">
        <w:rPr>
          <w:i/>
          <w:iCs/>
        </w:rPr>
        <w:t>TFP</w:t>
      </w:r>
      <w:r w:rsidRPr="00457F4D">
        <w:t xml:space="preserve"> estimation, we employ three different methods of estimating a Cobb-Douglas production function. Hence, </w:t>
      </w:r>
      <w:proofErr w:type="spellStart"/>
      <w:r w:rsidRPr="00457F4D">
        <w:rPr>
          <w:i/>
          <w:iCs/>
        </w:rPr>
        <w:t>LnMarkupOP</w:t>
      </w:r>
      <w:proofErr w:type="spellEnd"/>
      <w:r w:rsidRPr="00457F4D">
        <w:rPr>
          <w:i/>
          <w:iCs/>
        </w:rPr>
        <w:t xml:space="preserve">, </w:t>
      </w:r>
      <w:proofErr w:type="spellStart"/>
      <w:r w:rsidRPr="00457F4D">
        <w:rPr>
          <w:i/>
          <w:iCs/>
        </w:rPr>
        <w:t>LnMarkupOLS</w:t>
      </w:r>
      <w:proofErr w:type="spellEnd"/>
      <w:r w:rsidRPr="00457F4D">
        <w:rPr>
          <w:i/>
          <w:iCs/>
        </w:rPr>
        <w:t xml:space="preserve"> </w:t>
      </w:r>
      <w:r w:rsidRPr="00457F4D">
        <w:t>and</w:t>
      </w:r>
      <w:r w:rsidRPr="00457F4D">
        <w:rPr>
          <w:i/>
          <w:iCs/>
        </w:rPr>
        <w:t xml:space="preserve"> </w:t>
      </w:r>
      <w:proofErr w:type="spellStart"/>
      <w:r w:rsidRPr="00457F4D">
        <w:rPr>
          <w:i/>
          <w:iCs/>
        </w:rPr>
        <w:t>LnMarkupWRDG</w:t>
      </w:r>
      <w:proofErr w:type="spellEnd"/>
      <w:r w:rsidRPr="00457F4D">
        <w:rPr>
          <w:i/>
          <w:iCs/>
        </w:rPr>
        <w:t xml:space="preserve"> </w:t>
      </w:r>
      <w:r w:rsidRPr="00457F4D">
        <w:t xml:space="preserve">present the natural logarithm of mark-up, in which the Cobb-Douglas production function is estimated by the methods of </w:t>
      </w:r>
      <w:r w:rsidRPr="00457F4D">
        <w:fldChar w:fldCharType="begin" w:fldLock="1"/>
      </w:r>
      <w:r>
        <w:instrText>ADDIN CSL_CITATION {"citationItems":[{"id":"ITEM-1","itemData":{"DOI":"10.2307/2171831","ISSN":"00129682","abstract":"Technological change and deregulation have caused a major restructuring of the telecommunications equipment industry over the last two decades. Our empirical focus is on estimating the parameters of a production function for the equipment industry, and then using those estimates to analyze the evolution of plant-level productivity. The restructuring involved significant entry and exit and large changes in the sizes of incum bents. Firms' choices on whether to liquidate, and on input quantities should they continue, depended on their productivity. This generates a selection and a simultaneity problem when estimating production functions. Our theoretical focus is on providing an estimation algorithm which takes explicit account of these issues. We find that our algorithm produces markedly different and more plausible estimates of production func tion coefficients than do traditional estimation procedures. Using our estimates we find increases in the rate of aggregate productivity growth after deregulation. Since we have plant-level data we can introduce indices which delve deeper into how this productivity growth occurred. These indices indicate that productivity increases were primarily a result of a reallocation of capital towards more productive establishments.","author":[{"dropping-particle":"","family":"Olley","given":"G. Steven","non-dropping-particle":"","parse-names":false,"suffix":""},{"dropping-particle":"","family":"Pakes","given":"Ariel","non-dropping-particle":"","parse-names":false,"suffix":""}],"container-title":"Econometrica","id":"ITEM-1","issue":"6","issued":{"date-parts":[["1996","11"]]},"page":"1263-1297","publisher":"JSTOR","title":"The dynamics of productivity in the telecommunications equipment industry","type":"article-journal","volume":"64"},"uris":["http://www.mendeley.com/documents/?uuid=8aae240d-043b-3431-b1a5-2bab082b8ee2"]}],"mendeley":{"formattedCitation":"(Olley &amp; Pakes, 1996)","manualFormatting":"Olley and Pakes (1996)","plainTextFormattedCitation":"(Olley &amp; Pakes, 1996)","previouslyFormattedCitation":"(Olley and Pakes 1996)"},"properties":{"noteIndex":0},"schema":"https://github.com/citation-style-language/schema/raw/master/csl-citation.json"}</w:instrText>
      </w:r>
      <w:r w:rsidRPr="00457F4D">
        <w:fldChar w:fldCharType="separate"/>
      </w:r>
      <w:r w:rsidRPr="00457F4D">
        <w:rPr>
          <w:noProof/>
        </w:rPr>
        <w:t>Olley and Pakes (1996)</w:t>
      </w:r>
      <w:r w:rsidRPr="00457F4D">
        <w:fldChar w:fldCharType="end"/>
      </w:r>
      <w:r w:rsidRPr="00457F4D">
        <w:t>, OLS, and</w:t>
      </w:r>
      <w:r w:rsidRPr="00457F4D">
        <w:fldChar w:fldCharType="begin" w:fldLock="1"/>
      </w:r>
      <w:r>
        <w:instrText>ADDIN CSL_CITATION {"citationItems":[{"id":"ITEM-1","itemData":{"DOI":"10.1016/J.ECONLET.2009.04.026","ISSN":"0165-1765","abstract":"In the common case where polynomial approximations are used for unknown functions, I show how proxy variable approaches to controlling for unobserved productivity, proposed by Olley and Pakes [Olley, S. and Pakes, A., 1996. The dynamics of productivity in the telecommunications equipment industry. Econometrica 64, 1263-1298.] and Levinsohn and Petrin (Levinsohn, J. and Petrin, A., 2003. Estimating production functions using inputs to control for unobservables. Review of Economic Studies 70, 317-341.], can be implemented by specifying different instruments for different equations and applying generalized method of moments. Studying the parameters within a two-equation system clarifies some key identification issues, and joint estimation of the parameters leads to simple inference and more efficient estimators. © 2009 Elsevier B.V. All rights reserved.","author":[{"dropping-particle":"","family":"Wooldridge","given":"Jeffrey M.","non-dropping-particle":"","parse-names":false,"suffix":""}],"container-title":"Economics Letters","id":"ITEM-1","issue":"3","issued":{"date-parts":[["2009","9","1"]]},"page":"112-114","publisher":"North-Holland","title":"On estimating firm-level production functions using proxy variables to control for unobservables","type":"article-journal","volume":"104"},"uris":["http://www.mendeley.com/documents/?uuid=6e2d31c6-9571-37ae-93fd-e2255190da9a"]}],"mendeley":{"formattedCitation":"(Wooldridge, 2009)","manualFormatting":" Wooldridge (2009)","plainTextFormattedCitation":"(Wooldridge, 2009)","previouslyFormattedCitation":"(Wooldridge 2009)"},"properties":{"noteIndex":0},"schema":"https://github.com/citation-style-language/schema/raw/master/csl-citation.json"}</w:instrText>
      </w:r>
      <w:r w:rsidRPr="00457F4D">
        <w:fldChar w:fldCharType="separate"/>
      </w:r>
      <w:r w:rsidRPr="00457F4D">
        <w:rPr>
          <w:noProof/>
        </w:rPr>
        <w:t xml:space="preserve"> Wooldridge (2009)</w:t>
      </w:r>
      <w:r w:rsidRPr="00457F4D">
        <w:fldChar w:fldCharType="end"/>
      </w:r>
      <w:r w:rsidRPr="00457F4D">
        <w:t xml:space="preserve">, respectively. Rows 6, 7 and 8 report a negative and significant association between mark-up and labour share across all columns. In other words, 10% increase in the firm's mark-up decrease the labour share by 0.55% to 0.67% based on two-step </w:t>
      </w:r>
      <w:r w:rsidRPr="00457F4D">
        <w:rPr>
          <w:i/>
          <w:iCs/>
        </w:rPr>
        <w:t>SGMM and</w:t>
      </w:r>
      <w:r w:rsidRPr="00457F4D">
        <w:t xml:space="preserve"> 2.1% to 2.4 % based on OLS estimation. Although the coefficient of the mark-up differs across our estimation method, the broad pattern is quite similar. In sum, we find firm-level evidence of a direct inverse relation between mark-up and labour share, consistent with our first hypothesis.</w:t>
      </w:r>
    </w:p>
    <w:p w14:paraId="5AB3FF07" w14:textId="77777777" w:rsidR="00331897" w:rsidRDefault="00331897" w:rsidP="006419DE">
      <w:pPr>
        <w:ind w:firstLine="0"/>
      </w:pPr>
    </w:p>
    <w:p w14:paraId="5CE4CF1F" w14:textId="77777777" w:rsidR="00331897" w:rsidRDefault="00331897" w:rsidP="006419DE">
      <w:pPr>
        <w:pStyle w:val="Caption"/>
        <w:spacing w:before="0"/>
        <w:jc w:val="center"/>
        <w:rPr>
          <w:b/>
          <w:bCs/>
          <w:i w:val="0"/>
          <w:color w:val="auto"/>
          <w:sz w:val="22"/>
          <w:szCs w:val="22"/>
        </w:rPr>
      </w:pPr>
    </w:p>
    <w:p w14:paraId="19782649" w14:textId="6D3D8DAA" w:rsidR="006419DE" w:rsidRPr="00331897" w:rsidRDefault="006419DE" w:rsidP="006419DE">
      <w:pPr>
        <w:pStyle w:val="Caption"/>
        <w:spacing w:before="0"/>
        <w:jc w:val="center"/>
        <w:rPr>
          <w:b/>
          <w:bCs/>
          <w:i w:val="0"/>
          <w:sz w:val="16"/>
          <w:szCs w:val="22"/>
        </w:rPr>
      </w:pPr>
      <w:r w:rsidRPr="00331897">
        <w:rPr>
          <w:b/>
          <w:bCs/>
          <w:i w:val="0"/>
          <w:color w:val="auto"/>
          <w:sz w:val="22"/>
          <w:szCs w:val="22"/>
        </w:rPr>
        <w:lastRenderedPageBreak/>
        <w:t xml:space="preserve">Table </w:t>
      </w:r>
      <w:r w:rsidR="00C618D0">
        <w:rPr>
          <w:b/>
          <w:bCs/>
          <w:i w:val="0"/>
          <w:color w:val="auto"/>
          <w:sz w:val="22"/>
          <w:szCs w:val="22"/>
        </w:rPr>
        <w:t>2</w:t>
      </w:r>
      <w:r w:rsidR="0086170C">
        <w:rPr>
          <w:b/>
          <w:bCs/>
          <w:i w:val="0"/>
          <w:color w:val="auto"/>
          <w:sz w:val="22"/>
          <w:szCs w:val="22"/>
        </w:rPr>
        <w:t>.</w:t>
      </w:r>
      <w:r w:rsidRPr="00331897">
        <w:rPr>
          <w:b/>
          <w:bCs/>
          <w:i w:val="0"/>
          <w:color w:val="auto"/>
          <w:sz w:val="22"/>
          <w:szCs w:val="22"/>
        </w:rPr>
        <w:t xml:space="preserve"> Determinants of labour share</w:t>
      </w:r>
    </w:p>
    <w:tbl>
      <w:tblPr>
        <w:tblpPr w:leftFromText="180" w:rightFromText="180" w:vertAnchor="text" w:tblpXSpec="center" w:tblpY="1"/>
        <w:tblOverlap w:val="never"/>
        <w:tblW w:w="8417" w:type="dxa"/>
        <w:tblLayout w:type="fixed"/>
        <w:tblLook w:val="04A0" w:firstRow="1" w:lastRow="0" w:firstColumn="1" w:lastColumn="0" w:noHBand="0" w:noVBand="1"/>
      </w:tblPr>
      <w:tblGrid>
        <w:gridCol w:w="2642"/>
        <w:gridCol w:w="962"/>
        <w:gridCol w:w="962"/>
        <w:gridCol w:w="962"/>
        <w:gridCol w:w="962"/>
        <w:gridCol w:w="962"/>
        <w:gridCol w:w="965"/>
      </w:tblGrid>
      <w:tr w:rsidR="006419DE" w:rsidRPr="009E5520" w14:paraId="676E593A" w14:textId="77777777" w:rsidTr="00521FEF">
        <w:trPr>
          <w:trHeight w:hRule="exact" w:val="218"/>
        </w:trPr>
        <w:tc>
          <w:tcPr>
            <w:tcW w:w="2642" w:type="dxa"/>
            <w:shd w:val="clear" w:color="auto" w:fill="auto"/>
            <w:noWrap/>
            <w:hideMark/>
          </w:tcPr>
          <w:p w14:paraId="31617345" w14:textId="77777777" w:rsidR="006419DE" w:rsidRPr="009E5520" w:rsidRDefault="006419DE" w:rsidP="00114EAB">
            <w:pPr>
              <w:spacing w:after="0"/>
              <w:ind w:firstLine="0"/>
              <w:rPr>
                <w:rFonts w:cs="Times New Roman"/>
                <w:sz w:val="18"/>
                <w:szCs w:val="18"/>
              </w:rPr>
            </w:pPr>
          </w:p>
        </w:tc>
        <w:tc>
          <w:tcPr>
            <w:tcW w:w="5775" w:type="dxa"/>
            <w:gridSpan w:val="6"/>
            <w:tcBorders>
              <w:bottom w:val="single" w:sz="4" w:space="0" w:color="auto"/>
            </w:tcBorders>
            <w:shd w:val="clear" w:color="auto" w:fill="auto"/>
            <w:noWrap/>
            <w:hideMark/>
          </w:tcPr>
          <w:p w14:paraId="028FF31D" w14:textId="77777777" w:rsidR="006419DE" w:rsidRPr="009E5520" w:rsidRDefault="006419DE" w:rsidP="00114EAB">
            <w:pPr>
              <w:spacing w:after="0"/>
              <w:ind w:firstLine="0"/>
              <w:jc w:val="center"/>
              <w:rPr>
                <w:rFonts w:cs="Times New Roman"/>
                <w:sz w:val="18"/>
                <w:szCs w:val="18"/>
              </w:rPr>
            </w:pPr>
            <w:proofErr w:type="spellStart"/>
            <w:r w:rsidRPr="009E5520">
              <w:rPr>
                <w:rFonts w:cs="Times New Roman"/>
                <w:sz w:val="18"/>
                <w:szCs w:val="18"/>
              </w:rPr>
              <w:t>LnLabourShare</w:t>
            </w:r>
            <w:proofErr w:type="spellEnd"/>
          </w:p>
        </w:tc>
      </w:tr>
      <w:tr w:rsidR="006419DE" w:rsidRPr="009E5520" w14:paraId="4CF5EA3F" w14:textId="77777777" w:rsidTr="00521FEF">
        <w:trPr>
          <w:trHeight w:hRule="exact" w:val="746"/>
        </w:trPr>
        <w:tc>
          <w:tcPr>
            <w:tcW w:w="2642" w:type="dxa"/>
            <w:tcBorders>
              <w:bottom w:val="single" w:sz="4" w:space="0" w:color="auto"/>
            </w:tcBorders>
            <w:shd w:val="clear" w:color="auto" w:fill="auto"/>
            <w:noWrap/>
            <w:hideMark/>
          </w:tcPr>
          <w:p w14:paraId="0F620109" w14:textId="77777777" w:rsidR="006419DE" w:rsidRPr="009E5520" w:rsidRDefault="006419DE" w:rsidP="00114EAB">
            <w:pPr>
              <w:spacing w:after="0" w:line="240" w:lineRule="auto"/>
              <w:ind w:firstLine="0"/>
              <w:rPr>
                <w:rFonts w:cs="Times New Roman"/>
                <w:sz w:val="18"/>
                <w:szCs w:val="18"/>
              </w:rPr>
            </w:pPr>
            <w:r>
              <w:rPr>
                <w:rFonts w:cs="Times New Roman"/>
                <w:sz w:val="18"/>
                <w:szCs w:val="18"/>
              </w:rPr>
              <w:t>Variable</w:t>
            </w:r>
          </w:p>
        </w:tc>
        <w:tc>
          <w:tcPr>
            <w:tcW w:w="962" w:type="dxa"/>
            <w:tcBorders>
              <w:top w:val="single" w:sz="4" w:space="0" w:color="auto"/>
              <w:bottom w:val="single" w:sz="4" w:space="0" w:color="auto"/>
            </w:tcBorders>
            <w:shd w:val="clear" w:color="auto" w:fill="auto"/>
            <w:vAlign w:val="center"/>
            <w:hideMark/>
          </w:tcPr>
          <w:p w14:paraId="3DCE5D28" w14:textId="77777777" w:rsidR="006419DE" w:rsidRPr="00331897" w:rsidRDefault="006419DE" w:rsidP="00114EAB">
            <w:pPr>
              <w:spacing w:after="0" w:line="240" w:lineRule="auto"/>
              <w:ind w:firstLine="0"/>
              <w:rPr>
                <w:rFonts w:cs="Times New Roman"/>
                <w:color w:val="000000"/>
                <w:sz w:val="18"/>
                <w:szCs w:val="18"/>
              </w:rPr>
            </w:pPr>
            <w:r w:rsidRPr="00331897">
              <w:rPr>
                <w:rFonts w:cs="Times New Roman"/>
                <w:color w:val="000000"/>
                <w:sz w:val="18"/>
                <w:szCs w:val="18"/>
              </w:rPr>
              <w:t>SGMM-OP</w:t>
            </w:r>
            <w:r w:rsidRPr="00331897">
              <w:rPr>
                <w:rFonts w:cs="Times New Roman"/>
                <w:color w:val="000000"/>
                <w:sz w:val="18"/>
                <w:szCs w:val="18"/>
              </w:rPr>
              <w:br/>
              <w:t>(1)</w:t>
            </w:r>
          </w:p>
        </w:tc>
        <w:tc>
          <w:tcPr>
            <w:tcW w:w="962" w:type="dxa"/>
            <w:tcBorders>
              <w:top w:val="single" w:sz="4" w:space="0" w:color="auto"/>
              <w:bottom w:val="single" w:sz="4" w:space="0" w:color="auto"/>
            </w:tcBorders>
            <w:shd w:val="clear" w:color="auto" w:fill="auto"/>
            <w:vAlign w:val="center"/>
            <w:hideMark/>
          </w:tcPr>
          <w:p w14:paraId="30D8ABC9" w14:textId="77777777" w:rsidR="006419DE" w:rsidRPr="00331897" w:rsidRDefault="006419DE" w:rsidP="00114EAB">
            <w:pPr>
              <w:spacing w:after="0" w:line="240" w:lineRule="auto"/>
              <w:ind w:firstLine="0"/>
              <w:rPr>
                <w:rFonts w:cs="Times New Roman"/>
                <w:color w:val="000000"/>
                <w:sz w:val="18"/>
                <w:szCs w:val="18"/>
              </w:rPr>
            </w:pPr>
            <w:r w:rsidRPr="00331897">
              <w:rPr>
                <w:rFonts w:cs="Times New Roman"/>
                <w:color w:val="000000"/>
                <w:sz w:val="18"/>
                <w:szCs w:val="18"/>
              </w:rPr>
              <w:t>SGMM-OLS</w:t>
            </w:r>
            <w:r w:rsidRPr="00331897">
              <w:rPr>
                <w:rFonts w:cs="Times New Roman"/>
                <w:color w:val="000000"/>
                <w:sz w:val="18"/>
                <w:szCs w:val="18"/>
              </w:rPr>
              <w:br/>
              <w:t>(2)</w:t>
            </w:r>
          </w:p>
        </w:tc>
        <w:tc>
          <w:tcPr>
            <w:tcW w:w="962" w:type="dxa"/>
            <w:tcBorders>
              <w:top w:val="single" w:sz="4" w:space="0" w:color="auto"/>
              <w:bottom w:val="single" w:sz="4" w:space="0" w:color="auto"/>
            </w:tcBorders>
            <w:shd w:val="clear" w:color="auto" w:fill="auto"/>
            <w:vAlign w:val="center"/>
            <w:hideMark/>
          </w:tcPr>
          <w:p w14:paraId="03431936" w14:textId="77777777" w:rsidR="006419DE" w:rsidRPr="00331897" w:rsidRDefault="006419DE" w:rsidP="00114EAB">
            <w:pPr>
              <w:spacing w:after="0" w:line="240" w:lineRule="auto"/>
              <w:ind w:firstLine="0"/>
              <w:rPr>
                <w:rFonts w:cs="Times New Roman"/>
                <w:color w:val="000000"/>
                <w:sz w:val="18"/>
                <w:szCs w:val="18"/>
              </w:rPr>
            </w:pPr>
            <w:r w:rsidRPr="00331897">
              <w:rPr>
                <w:rFonts w:cs="Times New Roman"/>
                <w:color w:val="000000"/>
                <w:sz w:val="18"/>
                <w:szCs w:val="18"/>
              </w:rPr>
              <w:t>SGMM-WDRG</w:t>
            </w:r>
            <w:r w:rsidRPr="00331897">
              <w:rPr>
                <w:rFonts w:cs="Times New Roman"/>
                <w:color w:val="000000"/>
                <w:sz w:val="18"/>
                <w:szCs w:val="18"/>
              </w:rPr>
              <w:br/>
              <w:t>(3)</w:t>
            </w:r>
          </w:p>
        </w:tc>
        <w:tc>
          <w:tcPr>
            <w:tcW w:w="962" w:type="dxa"/>
            <w:tcBorders>
              <w:top w:val="single" w:sz="4" w:space="0" w:color="auto"/>
              <w:bottom w:val="single" w:sz="4" w:space="0" w:color="auto"/>
            </w:tcBorders>
            <w:shd w:val="clear" w:color="auto" w:fill="auto"/>
            <w:vAlign w:val="center"/>
            <w:hideMark/>
          </w:tcPr>
          <w:p w14:paraId="402AE244" w14:textId="77777777" w:rsidR="006419DE" w:rsidRPr="00331897" w:rsidRDefault="006419DE" w:rsidP="00114EAB">
            <w:pPr>
              <w:spacing w:after="0" w:line="240" w:lineRule="auto"/>
              <w:ind w:firstLine="0"/>
              <w:rPr>
                <w:rFonts w:cs="Times New Roman"/>
                <w:color w:val="000000"/>
                <w:sz w:val="18"/>
                <w:szCs w:val="18"/>
              </w:rPr>
            </w:pPr>
            <w:r w:rsidRPr="00331897">
              <w:rPr>
                <w:rFonts w:cs="Times New Roman"/>
                <w:color w:val="000000"/>
                <w:sz w:val="18"/>
                <w:szCs w:val="18"/>
              </w:rPr>
              <w:t>OP</w:t>
            </w:r>
            <w:r w:rsidRPr="00331897">
              <w:rPr>
                <w:rFonts w:cs="Times New Roman"/>
                <w:color w:val="000000"/>
                <w:sz w:val="18"/>
                <w:szCs w:val="18"/>
              </w:rPr>
              <w:br/>
              <w:t>(4)</w:t>
            </w:r>
          </w:p>
        </w:tc>
        <w:tc>
          <w:tcPr>
            <w:tcW w:w="962" w:type="dxa"/>
            <w:tcBorders>
              <w:top w:val="single" w:sz="4" w:space="0" w:color="auto"/>
              <w:bottom w:val="single" w:sz="4" w:space="0" w:color="auto"/>
            </w:tcBorders>
            <w:shd w:val="clear" w:color="auto" w:fill="auto"/>
            <w:vAlign w:val="center"/>
            <w:hideMark/>
          </w:tcPr>
          <w:p w14:paraId="483726A4" w14:textId="77777777" w:rsidR="006419DE" w:rsidRPr="00331897" w:rsidRDefault="006419DE" w:rsidP="00114EAB">
            <w:pPr>
              <w:spacing w:after="0" w:line="240" w:lineRule="auto"/>
              <w:ind w:firstLine="0"/>
              <w:rPr>
                <w:rFonts w:cs="Times New Roman"/>
                <w:color w:val="000000"/>
                <w:sz w:val="18"/>
                <w:szCs w:val="18"/>
              </w:rPr>
            </w:pPr>
            <w:r w:rsidRPr="00331897">
              <w:rPr>
                <w:rFonts w:cs="Times New Roman"/>
                <w:color w:val="000000"/>
                <w:sz w:val="18"/>
                <w:szCs w:val="18"/>
              </w:rPr>
              <w:t>OLS</w:t>
            </w:r>
            <w:r w:rsidRPr="00331897">
              <w:rPr>
                <w:rFonts w:cs="Times New Roman"/>
                <w:color w:val="000000"/>
                <w:sz w:val="18"/>
                <w:szCs w:val="18"/>
              </w:rPr>
              <w:br/>
              <w:t>(5)</w:t>
            </w:r>
          </w:p>
        </w:tc>
        <w:tc>
          <w:tcPr>
            <w:tcW w:w="965" w:type="dxa"/>
            <w:tcBorders>
              <w:top w:val="single" w:sz="4" w:space="0" w:color="auto"/>
              <w:bottom w:val="single" w:sz="4" w:space="0" w:color="auto"/>
            </w:tcBorders>
            <w:shd w:val="clear" w:color="auto" w:fill="auto"/>
            <w:vAlign w:val="center"/>
            <w:hideMark/>
          </w:tcPr>
          <w:p w14:paraId="06D24D8E" w14:textId="77777777" w:rsidR="006419DE" w:rsidRPr="00331897" w:rsidRDefault="006419DE" w:rsidP="00114EAB">
            <w:pPr>
              <w:spacing w:after="0" w:line="240" w:lineRule="auto"/>
              <w:ind w:firstLine="0"/>
              <w:rPr>
                <w:rFonts w:cs="Times New Roman"/>
                <w:color w:val="000000"/>
                <w:sz w:val="18"/>
                <w:szCs w:val="18"/>
              </w:rPr>
            </w:pPr>
            <w:r w:rsidRPr="00331897">
              <w:rPr>
                <w:rFonts w:cs="Times New Roman"/>
                <w:color w:val="000000"/>
                <w:sz w:val="18"/>
                <w:szCs w:val="18"/>
              </w:rPr>
              <w:t>WDRG</w:t>
            </w:r>
            <w:r w:rsidRPr="00331897">
              <w:rPr>
                <w:rFonts w:cs="Times New Roman"/>
                <w:color w:val="000000"/>
                <w:sz w:val="18"/>
                <w:szCs w:val="18"/>
              </w:rPr>
              <w:br/>
              <w:t>(6)</w:t>
            </w:r>
          </w:p>
        </w:tc>
      </w:tr>
      <w:tr w:rsidR="006419DE" w:rsidRPr="009E5520" w14:paraId="2CAD2AF9" w14:textId="77777777" w:rsidTr="00521FEF">
        <w:trPr>
          <w:trHeight w:hRule="exact" w:val="218"/>
        </w:trPr>
        <w:tc>
          <w:tcPr>
            <w:tcW w:w="2642" w:type="dxa"/>
            <w:tcBorders>
              <w:top w:val="single" w:sz="4" w:space="0" w:color="auto"/>
            </w:tcBorders>
            <w:shd w:val="clear" w:color="auto" w:fill="auto"/>
            <w:noWrap/>
            <w:vAlign w:val="bottom"/>
            <w:hideMark/>
          </w:tcPr>
          <w:p w14:paraId="11284C6E"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Lag.LnLabo</w:t>
            </w:r>
            <w:r>
              <w:rPr>
                <w:rFonts w:cs="Times New Roman"/>
                <w:color w:val="000000"/>
                <w:sz w:val="18"/>
                <w:szCs w:val="18"/>
              </w:rPr>
              <w:t>u</w:t>
            </w:r>
            <w:r w:rsidRPr="009E5520">
              <w:rPr>
                <w:rFonts w:cs="Times New Roman"/>
                <w:color w:val="000000"/>
                <w:sz w:val="18"/>
                <w:szCs w:val="18"/>
              </w:rPr>
              <w:t>rShare</w:t>
            </w:r>
            <w:proofErr w:type="spellEnd"/>
          </w:p>
        </w:tc>
        <w:tc>
          <w:tcPr>
            <w:tcW w:w="962" w:type="dxa"/>
            <w:tcBorders>
              <w:top w:val="single" w:sz="4" w:space="0" w:color="auto"/>
            </w:tcBorders>
            <w:shd w:val="clear" w:color="auto" w:fill="auto"/>
            <w:noWrap/>
            <w:vAlign w:val="center"/>
          </w:tcPr>
          <w:p w14:paraId="5208CDC2"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0.608***</w:t>
            </w:r>
          </w:p>
        </w:tc>
        <w:tc>
          <w:tcPr>
            <w:tcW w:w="962" w:type="dxa"/>
            <w:tcBorders>
              <w:top w:val="single" w:sz="4" w:space="0" w:color="auto"/>
            </w:tcBorders>
            <w:shd w:val="clear" w:color="auto" w:fill="auto"/>
            <w:noWrap/>
            <w:vAlign w:val="center"/>
          </w:tcPr>
          <w:p w14:paraId="36CA755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0.603***</w:t>
            </w:r>
          </w:p>
        </w:tc>
        <w:tc>
          <w:tcPr>
            <w:tcW w:w="962" w:type="dxa"/>
            <w:tcBorders>
              <w:top w:val="single" w:sz="4" w:space="0" w:color="auto"/>
            </w:tcBorders>
            <w:shd w:val="clear" w:color="auto" w:fill="auto"/>
            <w:noWrap/>
            <w:vAlign w:val="center"/>
          </w:tcPr>
          <w:p w14:paraId="1004CA6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0.609***</w:t>
            </w:r>
          </w:p>
        </w:tc>
        <w:tc>
          <w:tcPr>
            <w:tcW w:w="962" w:type="dxa"/>
            <w:tcBorders>
              <w:top w:val="single" w:sz="4" w:space="0" w:color="auto"/>
            </w:tcBorders>
            <w:shd w:val="clear" w:color="auto" w:fill="auto"/>
            <w:noWrap/>
            <w:vAlign w:val="center"/>
          </w:tcPr>
          <w:p w14:paraId="22D66B13" w14:textId="77777777" w:rsidR="006419DE" w:rsidRPr="00D62AFA" w:rsidRDefault="006419DE" w:rsidP="00114EAB">
            <w:pPr>
              <w:spacing w:after="0"/>
              <w:ind w:firstLine="0"/>
              <w:rPr>
                <w:rFonts w:cs="Times New Roman"/>
                <w:sz w:val="16"/>
                <w:szCs w:val="16"/>
              </w:rPr>
            </w:pPr>
          </w:p>
        </w:tc>
        <w:tc>
          <w:tcPr>
            <w:tcW w:w="962" w:type="dxa"/>
            <w:tcBorders>
              <w:top w:val="single" w:sz="4" w:space="0" w:color="auto"/>
            </w:tcBorders>
            <w:shd w:val="clear" w:color="auto" w:fill="auto"/>
            <w:noWrap/>
            <w:vAlign w:val="center"/>
          </w:tcPr>
          <w:p w14:paraId="16D68994" w14:textId="77777777" w:rsidR="006419DE" w:rsidRPr="00D62AFA" w:rsidRDefault="006419DE" w:rsidP="00114EAB">
            <w:pPr>
              <w:spacing w:after="0"/>
              <w:ind w:firstLine="0"/>
              <w:rPr>
                <w:rFonts w:cs="Times New Roman"/>
                <w:sz w:val="16"/>
                <w:szCs w:val="16"/>
              </w:rPr>
            </w:pPr>
          </w:p>
        </w:tc>
        <w:tc>
          <w:tcPr>
            <w:tcW w:w="965" w:type="dxa"/>
            <w:tcBorders>
              <w:top w:val="single" w:sz="4" w:space="0" w:color="auto"/>
            </w:tcBorders>
            <w:shd w:val="clear" w:color="auto" w:fill="auto"/>
            <w:noWrap/>
            <w:vAlign w:val="center"/>
          </w:tcPr>
          <w:p w14:paraId="3F68A5CB" w14:textId="77777777" w:rsidR="006419DE" w:rsidRPr="00D62AFA" w:rsidRDefault="006419DE" w:rsidP="00114EAB">
            <w:pPr>
              <w:spacing w:after="0"/>
              <w:ind w:firstLine="0"/>
              <w:rPr>
                <w:rFonts w:cs="Times New Roman"/>
                <w:sz w:val="16"/>
                <w:szCs w:val="16"/>
              </w:rPr>
            </w:pPr>
          </w:p>
        </w:tc>
      </w:tr>
      <w:tr w:rsidR="006419DE" w:rsidRPr="009E5520" w14:paraId="7F35EFFC" w14:textId="77777777" w:rsidTr="00521FEF">
        <w:trPr>
          <w:trHeight w:hRule="exact" w:val="218"/>
        </w:trPr>
        <w:tc>
          <w:tcPr>
            <w:tcW w:w="2642" w:type="dxa"/>
            <w:shd w:val="clear" w:color="auto" w:fill="auto"/>
            <w:noWrap/>
            <w:vAlign w:val="bottom"/>
            <w:hideMark/>
          </w:tcPr>
          <w:p w14:paraId="0A565E37"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2E69099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(0.044)</w:t>
            </w:r>
          </w:p>
        </w:tc>
        <w:tc>
          <w:tcPr>
            <w:tcW w:w="962" w:type="dxa"/>
            <w:shd w:val="clear" w:color="auto" w:fill="auto"/>
            <w:noWrap/>
            <w:vAlign w:val="center"/>
          </w:tcPr>
          <w:p w14:paraId="0EA1ED1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(0.043)</w:t>
            </w:r>
          </w:p>
        </w:tc>
        <w:tc>
          <w:tcPr>
            <w:tcW w:w="962" w:type="dxa"/>
            <w:shd w:val="clear" w:color="auto" w:fill="auto"/>
            <w:noWrap/>
            <w:vAlign w:val="center"/>
          </w:tcPr>
          <w:p w14:paraId="7511D2F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(0.043)</w:t>
            </w:r>
          </w:p>
        </w:tc>
        <w:tc>
          <w:tcPr>
            <w:tcW w:w="962" w:type="dxa"/>
            <w:shd w:val="clear" w:color="auto" w:fill="auto"/>
            <w:noWrap/>
            <w:vAlign w:val="center"/>
          </w:tcPr>
          <w:p w14:paraId="47D72360"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2374E508"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56831E80" w14:textId="77777777" w:rsidR="006419DE" w:rsidRPr="00D62AFA" w:rsidRDefault="006419DE" w:rsidP="00114EAB">
            <w:pPr>
              <w:spacing w:after="0"/>
              <w:ind w:firstLine="0"/>
              <w:rPr>
                <w:rFonts w:cs="Times New Roman"/>
                <w:sz w:val="16"/>
                <w:szCs w:val="16"/>
              </w:rPr>
            </w:pPr>
          </w:p>
        </w:tc>
      </w:tr>
      <w:tr w:rsidR="006419DE" w:rsidRPr="009E5520" w14:paraId="6D49D0B0" w14:textId="77777777" w:rsidTr="00521FEF">
        <w:trPr>
          <w:trHeight w:hRule="exact" w:val="218"/>
        </w:trPr>
        <w:tc>
          <w:tcPr>
            <w:tcW w:w="2642" w:type="dxa"/>
            <w:shd w:val="clear" w:color="auto" w:fill="auto"/>
            <w:noWrap/>
            <w:vAlign w:val="bottom"/>
            <w:hideMark/>
          </w:tcPr>
          <w:p w14:paraId="53448E6E"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LnCapital</w:t>
            </w:r>
            <w:proofErr w:type="spellEnd"/>
            <w:r w:rsidRPr="009E5520">
              <w:rPr>
                <w:rFonts w:cs="Times New Roman"/>
                <w:color w:val="000000"/>
                <w:sz w:val="18"/>
                <w:szCs w:val="18"/>
              </w:rPr>
              <w:t>/VA</w:t>
            </w:r>
          </w:p>
        </w:tc>
        <w:tc>
          <w:tcPr>
            <w:tcW w:w="962" w:type="dxa"/>
            <w:shd w:val="clear" w:color="auto" w:fill="auto"/>
            <w:noWrap/>
            <w:vAlign w:val="center"/>
          </w:tcPr>
          <w:p w14:paraId="081903C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-0.056**</w:t>
            </w:r>
          </w:p>
        </w:tc>
        <w:tc>
          <w:tcPr>
            <w:tcW w:w="962" w:type="dxa"/>
            <w:shd w:val="clear" w:color="auto" w:fill="auto"/>
            <w:noWrap/>
            <w:vAlign w:val="center"/>
          </w:tcPr>
          <w:p w14:paraId="42B2BFC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-0.094***</w:t>
            </w:r>
          </w:p>
        </w:tc>
        <w:tc>
          <w:tcPr>
            <w:tcW w:w="962" w:type="dxa"/>
            <w:shd w:val="clear" w:color="auto" w:fill="auto"/>
            <w:noWrap/>
            <w:vAlign w:val="center"/>
          </w:tcPr>
          <w:p w14:paraId="5E7366D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-0.062** </w:t>
            </w:r>
          </w:p>
        </w:tc>
        <w:tc>
          <w:tcPr>
            <w:tcW w:w="962" w:type="dxa"/>
            <w:shd w:val="clear" w:color="auto" w:fill="auto"/>
            <w:noWrap/>
            <w:vAlign w:val="center"/>
          </w:tcPr>
          <w:p w14:paraId="0C3D3F7E"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-0.173***</w:t>
            </w:r>
          </w:p>
        </w:tc>
        <w:tc>
          <w:tcPr>
            <w:tcW w:w="962" w:type="dxa"/>
            <w:shd w:val="clear" w:color="auto" w:fill="auto"/>
            <w:noWrap/>
            <w:vAlign w:val="center"/>
          </w:tcPr>
          <w:p w14:paraId="24B9822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-0.273***</w:t>
            </w:r>
          </w:p>
        </w:tc>
        <w:tc>
          <w:tcPr>
            <w:tcW w:w="965" w:type="dxa"/>
            <w:shd w:val="clear" w:color="auto" w:fill="auto"/>
            <w:noWrap/>
            <w:vAlign w:val="center"/>
          </w:tcPr>
          <w:p w14:paraId="7BC26FD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-0.186***</w:t>
            </w:r>
          </w:p>
        </w:tc>
      </w:tr>
      <w:tr w:rsidR="006419DE" w:rsidRPr="009E5520" w14:paraId="1C78AEFA" w14:textId="77777777" w:rsidTr="00521FEF">
        <w:trPr>
          <w:trHeight w:hRule="exact" w:val="218"/>
        </w:trPr>
        <w:tc>
          <w:tcPr>
            <w:tcW w:w="2642" w:type="dxa"/>
            <w:shd w:val="clear" w:color="auto" w:fill="auto"/>
            <w:noWrap/>
            <w:vAlign w:val="bottom"/>
            <w:hideMark/>
          </w:tcPr>
          <w:p w14:paraId="43D7EFB1"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4E13279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(0.023)</w:t>
            </w:r>
          </w:p>
        </w:tc>
        <w:tc>
          <w:tcPr>
            <w:tcW w:w="962" w:type="dxa"/>
            <w:shd w:val="clear" w:color="auto" w:fill="auto"/>
            <w:noWrap/>
            <w:vAlign w:val="center"/>
          </w:tcPr>
          <w:p w14:paraId="4FE311A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(0.028)</w:t>
            </w:r>
          </w:p>
        </w:tc>
        <w:tc>
          <w:tcPr>
            <w:tcW w:w="962" w:type="dxa"/>
            <w:shd w:val="clear" w:color="auto" w:fill="auto"/>
            <w:noWrap/>
            <w:vAlign w:val="center"/>
          </w:tcPr>
          <w:p w14:paraId="552994F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(0.024)</w:t>
            </w:r>
          </w:p>
        </w:tc>
        <w:tc>
          <w:tcPr>
            <w:tcW w:w="962" w:type="dxa"/>
            <w:shd w:val="clear" w:color="auto" w:fill="auto"/>
            <w:noWrap/>
            <w:vAlign w:val="center"/>
          </w:tcPr>
          <w:p w14:paraId="37451C1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(0.022)</w:t>
            </w:r>
          </w:p>
        </w:tc>
        <w:tc>
          <w:tcPr>
            <w:tcW w:w="962" w:type="dxa"/>
            <w:shd w:val="clear" w:color="auto" w:fill="auto"/>
            <w:noWrap/>
            <w:vAlign w:val="center"/>
          </w:tcPr>
          <w:p w14:paraId="7152FC4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(0.025)</w:t>
            </w:r>
          </w:p>
        </w:tc>
        <w:tc>
          <w:tcPr>
            <w:tcW w:w="965" w:type="dxa"/>
            <w:shd w:val="clear" w:color="auto" w:fill="auto"/>
            <w:noWrap/>
            <w:vAlign w:val="center"/>
          </w:tcPr>
          <w:p w14:paraId="17A47DBE"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(0.022)</w:t>
            </w:r>
          </w:p>
        </w:tc>
      </w:tr>
      <w:tr w:rsidR="006419DE" w:rsidRPr="009E5520" w14:paraId="68E5FD2F" w14:textId="77777777" w:rsidTr="00521FEF">
        <w:trPr>
          <w:trHeight w:hRule="exact" w:val="218"/>
        </w:trPr>
        <w:tc>
          <w:tcPr>
            <w:tcW w:w="2642" w:type="dxa"/>
            <w:shd w:val="clear" w:color="auto" w:fill="auto"/>
            <w:noWrap/>
            <w:vAlign w:val="bottom"/>
            <w:hideMark/>
          </w:tcPr>
          <w:p w14:paraId="5CDD7533"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TFPOP</w:t>
            </w:r>
          </w:p>
        </w:tc>
        <w:tc>
          <w:tcPr>
            <w:tcW w:w="962" w:type="dxa"/>
            <w:shd w:val="clear" w:color="auto" w:fill="auto"/>
            <w:noWrap/>
            <w:vAlign w:val="center"/>
          </w:tcPr>
          <w:p w14:paraId="36E6113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-0.163***</w:t>
            </w:r>
          </w:p>
        </w:tc>
        <w:tc>
          <w:tcPr>
            <w:tcW w:w="962" w:type="dxa"/>
            <w:shd w:val="clear" w:color="auto" w:fill="auto"/>
            <w:noWrap/>
            <w:vAlign w:val="center"/>
          </w:tcPr>
          <w:p w14:paraId="332EAC0B"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208AE5A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          </w:t>
            </w:r>
          </w:p>
        </w:tc>
        <w:tc>
          <w:tcPr>
            <w:tcW w:w="962" w:type="dxa"/>
            <w:shd w:val="clear" w:color="auto" w:fill="auto"/>
            <w:noWrap/>
            <w:vAlign w:val="center"/>
          </w:tcPr>
          <w:p w14:paraId="0B9938B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-0.175***</w:t>
            </w:r>
          </w:p>
        </w:tc>
        <w:tc>
          <w:tcPr>
            <w:tcW w:w="962" w:type="dxa"/>
            <w:shd w:val="clear" w:color="auto" w:fill="auto"/>
            <w:noWrap/>
            <w:vAlign w:val="center"/>
          </w:tcPr>
          <w:p w14:paraId="1020D644"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56C89AC3" w14:textId="77777777" w:rsidR="006419DE" w:rsidRPr="00D62AFA" w:rsidRDefault="006419DE" w:rsidP="00114EAB">
            <w:pPr>
              <w:spacing w:after="0"/>
              <w:ind w:firstLine="0"/>
              <w:rPr>
                <w:rFonts w:cs="Times New Roman"/>
                <w:sz w:val="16"/>
                <w:szCs w:val="16"/>
              </w:rPr>
            </w:pPr>
          </w:p>
        </w:tc>
      </w:tr>
      <w:tr w:rsidR="006419DE" w:rsidRPr="009E5520" w14:paraId="056A75BA" w14:textId="77777777" w:rsidTr="00521FEF">
        <w:trPr>
          <w:trHeight w:hRule="exact" w:val="218"/>
        </w:trPr>
        <w:tc>
          <w:tcPr>
            <w:tcW w:w="2642" w:type="dxa"/>
            <w:shd w:val="clear" w:color="auto" w:fill="auto"/>
            <w:noWrap/>
            <w:vAlign w:val="bottom"/>
            <w:hideMark/>
          </w:tcPr>
          <w:p w14:paraId="5A2EE5D0"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5433526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(0.028)</w:t>
            </w:r>
          </w:p>
        </w:tc>
        <w:tc>
          <w:tcPr>
            <w:tcW w:w="962" w:type="dxa"/>
            <w:shd w:val="clear" w:color="auto" w:fill="auto"/>
            <w:noWrap/>
            <w:vAlign w:val="center"/>
          </w:tcPr>
          <w:p w14:paraId="4FEDEEB9"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75EC01D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          </w:t>
            </w:r>
          </w:p>
        </w:tc>
        <w:tc>
          <w:tcPr>
            <w:tcW w:w="962" w:type="dxa"/>
            <w:shd w:val="clear" w:color="auto" w:fill="auto"/>
            <w:noWrap/>
            <w:vAlign w:val="center"/>
          </w:tcPr>
          <w:p w14:paraId="7A0FEF7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(0.029)</w:t>
            </w:r>
          </w:p>
        </w:tc>
        <w:tc>
          <w:tcPr>
            <w:tcW w:w="962" w:type="dxa"/>
            <w:shd w:val="clear" w:color="auto" w:fill="auto"/>
            <w:noWrap/>
            <w:vAlign w:val="center"/>
          </w:tcPr>
          <w:p w14:paraId="5061CDF1"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5326752F" w14:textId="77777777" w:rsidR="006419DE" w:rsidRPr="00D62AFA" w:rsidRDefault="006419DE" w:rsidP="00114EAB">
            <w:pPr>
              <w:spacing w:after="0"/>
              <w:ind w:firstLine="0"/>
              <w:rPr>
                <w:rFonts w:cs="Times New Roman"/>
                <w:sz w:val="16"/>
                <w:szCs w:val="16"/>
              </w:rPr>
            </w:pPr>
          </w:p>
        </w:tc>
      </w:tr>
      <w:tr w:rsidR="006419DE" w:rsidRPr="009E5520" w14:paraId="63241DD2" w14:textId="77777777" w:rsidTr="00521FEF">
        <w:trPr>
          <w:trHeight w:hRule="exact" w:val="218"/>
        </w:trPr>
        <w:tc>
          <w:tcPr>
            <w:tcW w:w="2642" w:type="dxa"/>
            <w:shd w:val="clear" w:color="auto" w:fill="auto"/>
            <w:noWrap/>
            <w:vAlign w:val="bottom"/>
          </w:tcPr>
          <w:p w14:paraId="60331864"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TFPOLS</w:t>
            </w:r>
          </w:p>
        </w:tc>
        <w:tc>
          <w:tcPr>
            <w:tcW w:w="962" w:type="dxa"/>
            <w:shd w:val="clear" w:color="auto" w:fill="auto"/>
            <w:noWrap/>
            <w:vAlign w:val="center"/>
          </w:tcPr>
          <w:p w14:paraId="233B9A88"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40A423F4" w14:textId="77777777" w:rsidR="006419DE" w:rsidRPr="005E40F7" w:rsidRDefault="006419DE" w:rsidP="00114EAB">
            <w:pPr>
              <w:spacing w:after="0"/>
              <w:ind w:firstLine="0"/>
              <w:rPr>
                <w:rFonts w:cs="Times New Roman"/>
                <w:sz w:val="16"/>
                <w:szCs w:val="16"/>
              </w:rPr>
            </w:pPr>
            <w:r w:rsidRPr="00BA1C04">
              <w:rPr>
                <w:rFonts w:ascii="Calibri" w:hAnsi="Calibri" w:cs="Calibri"/>
                <w:color w:val="000000"/>
                <w:sz w:val="16"/>
                <w:szCs w:val="16"/>
              </w:rPr>
              <w:t>-0.209***</w:t>
            </w:r>
          </w:p>
        </w:tc>
        <w:tc>
          <w:tcPr>
            <w:tcW w:w="962" w:type="dxa"/>
            <w:shd w:val="clear" w:color="auto" w:fill="auto"/>
            <w:noWrap/>
            <w:vAlign w:val="center"/>
          </w:tcPr>
          <w:p w14:paraId="74042B98"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5F094BE5"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02B17CC4" w14:textId="77777777" w:rsidR="006419DE" w:rsidRPr="005E40F7" w:rsidRDefault="006419DE" w:rsidP="00114EAB">
            <w:pPr>
              <w:spacing w:after="0"/>
              <w:ind w:firstLine="0"/>
              <w:rPr>
                <w:rFonts w:cs="Times New Roman"/>
                <w:sz w:val="16"/>
                <w:szCs w:val="16"/>
              </w:rPr>
            </w:pPr>
            <w:r w:rsidRPr="00BA1C04">
              <w:rPr>
                <w:rFonts w:ascii="Calibri" w:hAnsi="Calibri" w:cs="Calibri"/>
                <w:color w:val="000000"/>
                <w:sz w:val="16"/>
                <w:szCs w:val="16"/>
              </w:rPr>
              <w:t>-0.429***</w:t>
            </w:r>
          </w:p>
        </w:tc>
        <w:tc>
          <w:tcPr>
            <w:tcW w:w="965" w:type="dxa"/>
            <w:shd w:val="clear" w:color="auto" w:fill="auto"/>
            <w:noWrap/>
            <w:vAlign w:val="center"/>
          </w:tcPr>
          <w:p w14:paraId="6E0C263E" w14:textId="77777777" w:rsidR="006419DE" w:rsidRPr="005E40F7" w:rsidRDefault="006419DE" w:rsidP="00114EAB">
            <w:pPr>
              <w:spacing w:after="0"/>
              <w:ind w:firstLine="0"/>
              <w:rPr>
                <w:rFonts w:cs="Times New Roman"/>
                <w:sz w:val="16"/>
                <w:szCs w:val="16"/>
              </w:rPr>
            </w:pPr>
          </w:p>
        </w:tc>
      </w:tr>
      <w:tr w:rsidR="006419DE" w:rsidRPr="009E5520" w14:paraId="57BEAB0B" w14:textId="77777777" w:rsidTr="00521FEF">
        <w:trPr>
          <w:trHeight w:hRule="exact" w:val="218"/>
        </w:trPr>
        <w:tc>
          <w:tcPr>
            <w:tcW w:w="2642" w:type="dxa"/>
            <w:shd w:val="clear" w:color="auto" w:fill="auto"/>
            <w:noWrap/>
            <w:vAlign w:val="bottom"/>
          </w:tcPr>
          <w:p w14:paraId="7B98F773"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3659E1C7"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31375175" w14:textId="77777777" w:rsidR="006419DE" w:rsidRPr="005E40F7" w:rsidRDefault="006419DE" w:rsidP="00114EAB">
            <w:pPr>
              <w:spacing w:after="0"/>
              <w:ind w:firstLine="0"/>
              <w:rPr>
                <w:rFonts w:cs="Times New Roman"/>
                <w:sz w:val="16"/>
                <w:szCs w:val="16"/>
              </w:rPr>
            </w:pPr>
            <w:r w:rsidRPr="00BA1C04">
              <w:rPr>
                <w:rFonts w:ascii="Calibri" w:hAnsi="Calibri" w:cs="Calibri"/>
                <w:color w:val="000000"/>
                <w:sz w:val="16"/>
                <w:szCs w:val="16"/>
              </w:rPr>
              <w:t>(0.041)</w:t>
            </w:r>
          </w:p>
        </w:tc>
        <w:tc>
          <w:tcPr>
            <w:tcW w:w="962" w:type="dxa"/>
            <w:shd w:val="clear" w:color="auto" w:fill="auto"/>
            <w:noWrap/>
            <w:vAlign w:val="center"/>
          </w:tcPr>
          <w:p w14:paraId="323CB7E4"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5E677D1E"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4337D931" w14:textId="77777777" w:rsidR="006419DE" w:rsidRPr="005E40F7" w:rsidRDefault="006419DE" w:rsidP="00114EAB">
            <w:pPr>
              <w:spacing w:after="0"/>
              <w:ind w:firstLine="0"/>
              <w:rPr>
                <w:rFonts w:cs="Times New Roman"/>
                <w:sz w:val="16"/>
                <w:szCs w:val="16"/>
              </w:rPr>
            </w:pPr>
            <w:r w:rsidRPr="00BA1C04">
              <w:rPr>
                <w:rFonts w:ascii="Calibri" w:hAnsi="Calibri" w:cs="Calibri"/>
                <w:color w:val="000000"/>
                <w:sz w:val="16"/>
                <w:szCs w:val="16"/>
              </w:rPr>
              <w:t>(0.048)</w:t>
            </w:r>
          </w:p>
        </w:tc>
        <w:tc>
          <w:tcPr>
            <w:tcW w:w="965" w:type="dxa"/>
            <w:shd w:val="clear" w:color="auto" w:fill="auto"/>
            <w:noWrap/>
            <w:vAlign w:val="center"/>
          </w:tcPr>
          <w:p w14:paraId="5093F8DA" w14:textId="77777777" w:rsidR="006419DE" w:rsidRPr="005E40F7" w:rsidRDefault="006419DE" w:rsidP="00114EAB">
            <w:pPr>
              <w:spacing w:after="0"/>
              <w:ind w:firstLine="0"/>
              <w:rPr>
                <w:rFonts w:cs="Times New Roman"/>
                <w:sz w:val="16"/>
                <w:szCs w:val="16"/>
              </w:rPr>
            </w:pPr>
          </w:p>
        </w:tc>
      </w:tr>
      <w:tr w:rsidR="006419DE" w:rsidRPr="009E5520" w14:paraId="6C67FB47" w14:textId="77777777" w:rsidTr="00521FEF">
        <w:trPr>
          <w:trHeight w:hRule="exact" w:val="218"/>
        </w:trPr>
        <w:tc>
          <w:tcPr>
            <w:tcW w:w="2642" w:type="dxa"/>
            <w:shd w:val="clear" w:color="auto" w:fill="auto"/>
            <w:noWrap/>
            <w:vAlign w:val="bottom"/>
          </w:tcPr>
          <w:p w14:paraId="48B4BBC2"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TFPWRDG</w:t>
            </w:r>
          </w:p>
        </w:tc>
        <w:tc>
          <w:tcPr>
            <w:tcW w:w="962" w:type="dxa"/>
            <w:shd w:val="clear" w:color="auto" w:fill="auto"/>
            <w:noWrap/>
            <w:vAlign w:val="center"/>
          </w:tcPr>
          <w:p w14:paraId="5893D77E"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3ABEEAB2" w14:textId="77777777" w:rsidR="006419DE" w:rsidRPr="00BA1C04"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493E740C" w14:textId="77777777" w:rsidR="006419DE" w:rsidRPr="005E40F7" w:rsidRDefault="006419DE" w:rsidP="00114EAB">
            <w:pPr>
              <w:spacing w:after="0"/>
              <w:ind w:firstLine="0"/>
              <w:rPr>
                <w:rFonts w:ascii="Calibri" w:hAnsi="Calibri" w:cs="Calibri"/>
                <w:color w:val="000000"/>
                <w:sz w:val="16"/>
                <w:szCs w:val="16"/>
              </w:rPr>
            </w:pPr>
            <w:r w:rsidRPr="00EE1D9D">
              <w:rPr>
                <w:rFonts w:ascii="Calibri" w:hAnsi="Calibri" w:cs="Calibri"/>
                <w:color w:val="000000"/>
                <w:sz w:val="16"/>
                <w:szCs w:val="16"/>
              </w:rPr>
              <w:t>-0.180***</w:t>
            </w:r>
          </w:p>
        </w:tc>
        <w:tc>
          <w:tcPr>
            <w:tcW w:w="962" w:type="dxa"/>
            <w:shd w:val="clear" w:color="auto" w:fill="auto"/>
            <w:noWrap/>
            <w:vAlign w:val="center"/>
          </w:tcPr>
          <w:p w14:paraId="7BF6D1D6"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46DD0B02" w14:textId="77777777" w:rsidR="006419DE" w:rsidRPr="00BA1C04" w:rsidRDefault="006419DE" w:rsidP="00114EAB">
            <w:pPr>
              <w:spacing w:after="0"/>
              <w:ind w:firstLine="0"/>
              <w:rPr>
                <w:rFonts w:ascii="Calibri" w:hAnsi="Calibri" w:cs="Calibri"/>
                <w:color w:val="000000"/>
                <w:sz w:val="16"/>
                <w:szCs w:val="16"/>
              </w:rPr>
            </w:pPr>
          </w:p>
        </w:tc>
        <w:tc>
          <w:tcPr>
            <w:tcW w:w="965" w:type="dxa"/>
            <w:shd w:val="clear" w:color="auto" w:fill="auto"/>
            <w:noWrap/>
            <w:vAlign w:val="center"/>
          </w:tcPr>
          <w:p w14:paraId="28FC26C4" w14:textId="77777777" w:rsidR="006419DE" w:rsidRPr="005E40F7" w:rsidRDefault="006419DE" w:rsidP="00114EAB">
            <w:pPr>
              <w:spacing w:after="0"/>
              <w:ind w:firstLine="0"/>
              <w:rPr>
                <w:rFonts w:cs="Times New Roman"/>
                <w:sz w:val="16"/>
                <w:szCs w:val="16"/>
              </w:rPr>
            </w:pPr>
            <w:r w:rsidRPr="00EE1D9D">
              <w:rPr>
                <w:rFonts w:ascii="Calibri" w:hAnsi="Calibri" w:cs="Calibri"/>
                <w:color w:val="000000"/>
                <w:sz w:val="16"/>
                <w:szCs w:val="16"/>
              </w:rPr>
              <w:t>-0.214***</w:t>
            </w:r>
          </w:p>
        </w:tc>
      </w:tr>
      <w:tr w:rsidR="006419DE" w:rsidRPr="009E5520" w14:paraId="7BBD8F24" w14:textId="77777777" w:rsidTr="00521FEF">
        <w:trPr>
          <w:trHeight w:hRule="exact" w:val="218"/>
        </w:trPr>
        <w:tc>
          <w:tcPr>
            <w:tcW w:w="2642" w:type="dxa"/>
            <w:shd w:val="clear" w:color="auto" w:fill="auto"/>
            <w:noWrap/>
            <w:vAlign w:val="bottom"/>
          </w:tcPr>
          <w:p w14:paraId="6C1FB6F8"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17BB42C1"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05FCA6EE" w14:textId="77777777" w:rsidR="006419DE" w:rsidRPr="00BA1C04"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489CB082" w14:textId="77777777" w:rsidR="006419DE" w:rsidRPr="005E40F7" w:rsidRDefault="006419DE" w:rsidP="00114EAB">
            <w:pPr>
              <w:spacing w:after="0"/>
              <w:ind w:firstLine="0"/>
              <w:rPr>
                <w:rFonts w:ascii="Calibri" w:hAnsi="Calibri" w:cs="Calibri"/>
                <w:color w:val="000000"/>
                <w:sz w:val="16"/>
                <w:szCs w:val="16"/>
              </w:rPr>
            </w:pPr>
            <w:r w:rsidRPr="00EE1D9D">
              <w:rPr>
                <w:rFonts w:ascii="Calibri" w:hAnsi="Calibri" w:cs="Calibri"/>
                <w:color w:val="000000"/>
                <w:sz w:val="16"/>
                <w:szCs w:val="16"/>
              </w:rPr>
              <w:t>(0.030)</w:t>
            </w:r>
          </w:p>
        </w:tc>
        <w:tc>
          <w:tcPr>
            <w:tcW w:w="962" w:type="dxa"/>
            <w:shd w:val="clear" w:color="auto" w:fill="auto"/>
            <w:noWrap/>
            <w:vAlign w:val="center"/>
          </w:tcPr>
          <w:p w14:paraId="3E2C3FF9" w14:textId="77777777" w:rsidR="006419DE" w:rsidRPr="005E40F7" w:rsidRDefault="006419DE" w:rsidP="00114EAB">
            <w:pPr>
              <w:spacing w:after="0"/>
              <w:ind w:firstLine="0"/>
              <w:rPr>
                <w:rFonts w:ascii="Calibri" w:hAnsi="Calibri" w:cs="Calibri"/>
                <w:color w:val="000000"/>
                <w:sz w:val="16"/>
                <w:szCs w:val="16"/>
              </w:rPr>
            </w:pPr>
          </w:p>
        </w:tc>
        <w:tc>
          <w:tcPr>
            <w:tcW w:w="962" w:type="dxa"/>
            <w:shd w:val="clear" w:color="auto" w:fill="auto"/>
            <w:noWrap/>
            <w:vAlign w:val="center"/>
          </w:tcPr>
          <w:p w14:paraId="429EF7A4" w14:textId="77777777" w:rsidR="006419DE" w:rsidRPr="00BA1C04" w:rsidRDefault="006419DE" w:rsidP="00114EAB">
            <w:pPr>
              <w:spacing w:after="0"/>
              <w:ind w:firstLine="0"/>
              <w:rPr>
                <w:rFonts w:ascii="Calibri" w:hAnsi="Calibri" w:cs="Calibri"/>
                <w:color w:val="000000"/>
                <w:sz w:val="16"/>
                <w:szCs w:val="16"/>
              </w:rPr>
            </w:pPr>
          </w:p>
        </w:tc>
        <w:tc>
          <w:tcPr>
            <w:tcW w:w="965" w:type="dxa"/>
            <w:shd w:val="clear" w:color="auto" w:fill="auto"/>
            <w:noWrap/>
            <w:vAlign w:val="center"/>
          </w:tcPr>
          <w:p w14:paraId="678F33A8" w14:textId="77777777" w:rsidR="006419DE" w:rsidRPr="005E40F7" w:rsidRDefault="006419DE" w:rsidP="00114EAB">
            <w:pPr>
              <w:spacing w:after="0"/>
              <w:ind w:firstLine="0"/>
              <w:rPr>
                <w:rFonts w:cs="Times New Roman"/>
                <w:sz w:val="16"/>
                <w:szCs w:val="16"/>
              </w:rPr>
            </w:pPr>
            <w:r w:rsidRPr="00EE1D9D">
              <w:rPr>
                <w:rFonts w:ascii="Calibri" w:hAnsi="Calibri" w:cs="Calibri"/>
                <w:color w:val="000000"/>
                <w:sz w:val="16"/>
                <w:szCs w:val="16"/>
              </w:rPr>
              <w:t>(0.032)</w:t>
            </w:r>
          </w:p>
        </w:tc>
      </w:tr>
      <w:tr w:rsidR="006419DE" w:rsidRPr="009E5520" w14:paraId="2D4FE712" w14:textId="77777777" w:rsidTr="00521FEF">
        <w:trPr>
          <w:trHeight w:hRule="exact" w:val="218"/>
        </w:trPr>
        <w:tc>
          <w:tcPr>
            <w:tcW w:w="2642" w:type="dxa"/>
            <w:shd w:val="clear" w:color="auto" w:fill="auto"/>
            <w:noWrap/>
            <w:vAlign w:val="bottom"/>
          </w:tcPr>
          <w:p w14:paraId="3229537C"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LnMarkupOP</w:t>
            </w:r>
            <w:proofErr w:type="spellEnd"/>
          </w:p>
        </w:tc>
        <w:tc>
          <w:tcPr>
            <w:tcW w:w="962" w:type="dxa"/>
            <w:shd w:val="clear" w:color="auto" w:fill="auto"/>
            <w:noWrap/>
            <w:vAlign w:val="center"/>
          </w:tcPr>
          <w:p w14:paraId="76749C2D" w14:textId="77777777" w:rsidR="006419DE" w:rsidRPr="00D62AFA" w:rsidRDefault="006419DE" w:rsidP="00114EAB">
            <w:pPr>
              <w:spacing w:after="0"/>
              <w:ind w:firstLine="0"/>
              <w:rPr>
                <w:rFonts w:cs="Times New Roman"/>
                <w:color w:val="000000"/>
                <w:sz w:val="16"/>
                <w:szCs w:val="16"/>
              </w:rPr>
            </w:pPr>
            <w:r w:rsidRPr="00D62AFA">
              <w:rPr>
                <w:rFonts w:ascii="Calibri" w:hAnsi="Calibri" w:cs="Calibri"/>
                <w:color w:val="000000"/>
                <w:sz w:val="16"/>
                <w:szCs w:val="16"/>
              </w:rPr>
              <w:t>-0.066**</w:t>
            </w:r>
          </w:p>
        </w:tc>
        <w:tc>
          <w:tcPr>
            <w:tcW w:w="962" w:type="dxa"/>
            <w:shd w:val="clear" w:color="auto" w:fill="auto"/>
            <w:noWrap/>
            <w:vAlign w:val="center"/>
          </w:tcPr>
          <w:p w14:paraId="72986C45" w14:textId="77777777" w:rsidR="006419DE" w:rsidRPr="00D62AFA" w:rsidRDefault="006419DE" w:rsidP="00114EAB">
            <w:pPr>
              <w:spacing w:after="0"/>
              <w:ind w:firstLine="0"/>
              <w:rPr>
                <w:rFonts w:cs="Times New Roman"/>
                <w:color w:val="000000"/>
                <w:sz w:val="16"/>
                <w:szCs w:val="16"/>
              </w:rPr>
            </w:pPr>
          </w:p>
        </w:tc>
        <w:tc>
          <w:tcPr>
            <w:tcW w:w="962" w:type="dxa"/>
            <w:shd w:val="clear" w:color="auto" w:fill="auto"/>
            <w:noWrap/>
            <w:vAlign w:val="center"/>
          </w:tcPr>
          <w:p w14:paraId="5C7E9212"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          </w:t>
            </w:r>
          </w:p>
        </w:tc>
        <w:tc>
          <w:tcPr>
            <w:tcW w:w="962" w:type="dxa"/>
            <w:shd w:val="clear" w:color="auto" w:fill="auto"/>
            <w:noWrap/>
            <w:vAlign w:val="center"/>
          </w:tcPr>
          <w:p w14:paraId="7EB691E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-0.245***</w:t>
            </w:r>
          </w:p>
        </w:tc>
        <w:tc>
          <w:tcPr>
            <w:tcW w:w="962" w:type="dxa"/>
            <w:shd w:val="clear" w:color="auto" w:fill="auto"/>
            <w:noWrap/>
            <w:vAlign w:val="center"/>
          </w:tcPr>
          <w:p w14:paraId="3D0760AC"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5F146ABE" w14:textId="77777777" w:rsidR="006419DE" w:rsidRPr="00D62AFA" w:rsidRDefault="006419DE" w:rsidP="00114EAB">
            <w:pPr>
              <w:spacing w:after="0"/>
              <w:ind w:firstLine="0"/>
              <w:rPr>
                <w:rFonts w:cs="Times New Roman"/>
                <w:color w:val="000000"/>
                <w:sz w:val="16"/>
                <w:szCs w:val="16"/>
              </w:rPr>
            </w:pPr>
          </w:p>
        </w:tc>
      </w:tr>
      <w:tr w:rsidR="006419DE" w:rsidRPr="009E5520" w14:paraId="2CDD3C5D" w14:textId="77777777" w:rsidTr="00521FEF">
        <w:trPr>
          <w:trHeight w:hRule="exact" w:val="218"/>
        </w:trPr>
        <w:tc>
          <w:tcPr>
            <w:tcW w:w="2642" w:type="dxa"/>
            <w:shd w:val="clear" w:color="auto" w:fill="auto"/>
            <w:noWrap/>
            <w:vAlign w:val="bottom"/>
          </w:tcPr>
          <w:p w14:paraId="6D607487"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28635AD4" w14:textId="77777777" w:rsidR="006419DE" w:rsidRPr="00D62AFA" w:rsidRDefault="006419DE" w:rsidP="00114EAB">
            <w:pPr>
              <w:spacing w:after="0"/>
              <w:ind w:firstLine="0"/>
              <w:rPr>
                <w:rFonts w:cs="Times New Roman"/>
                <w:color w:val="000000"/>
                <w:sz w:val="16"/>
                <w:szCs w:val="16"/>
              </w:rPr>
            </w:pPr>
            <w:r w:rsidRPr="00D62AFA">
              <w:rPr>
                <w:rFonts w:ascii="Calibri" w:hAnsi="Calibri" w:cs="Calibri"/>
                <w:color w:val="000000"/>
                <w:sz w:val="16"/>
                <w:szCs w:val="16"/>
              </w:rPr>
              <w:t>(0.031)</w:t>
            </w:r>
          </w:p>
        </w:tc>
        <w:tc>
          <w:tcPr>
            <w:tcW w:w="962" w:type="dxa"/>
            <w:shd w:val="clear" w:color="auto" w:fill="auto"/>
            <w:noWrap/>
            <w:vAlign w:val="center"/>
          </w:tcPr>
          <w:p w14:paraId="06A02D31" w14:textId="77777777" w:rsidR="006419DE" w:rsidRPr="00D62AFA" w:rsidRDefault="006419DE" w:rsidP="00114EAB">
            <w:pPr>
              <w:spacing w:after="0"/>
              <w:ind w:firstLine="0"/>
              <w:rPr>
                <w:rFonts w:cs="Times New Roman"/>
                <w:color w:val="000000"/>
                <w:sz w:val="16"/>
                <w:szCs w:val="16"/>
              </w:rPr>
            </w:pPr>
          </w:p>
        </w:tc>
        <w:tc>
          <w:tcPr>
            <w:tcW w:w="962" w:type="dxa"/>
            <w:shd w:val="clear" w:color="auto" w:fill="auto"/>
            <w:noWrap/>
            <w:vAlign w:val="center"/>
          </w:tcPr>
          <w:p w14:paraId="49F270C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          </w:t>
            </w:r>
          </w:p>
        </w:tc>
        <w:tc>
          <w:tcPr>
            <w:tcW w:w="962" w:type="dxa"/>
            <w:shd w:val="clear" w:color="auto" w:fill="auto"/>
            <w:noWrap/>
            <w:vAlign w:val="center"/>
          </w:tcPr>
          <w:p w14:paraId="74DDD3D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(0.036)</w:t>
            </w:r>
          </w:p>
        </w:tc>
        <w:tc>
          <w:tcPr>
            <w:tcW w:w="962" w:type="dxa"/>
            <w:shd w:val="clear" w:color="auto" w:fill="auto"/>
            <w:noWrap/>
            <w:vAlign w:val="center"/>
          </w:tcPr>
          <w:p w14:paraId="7D15C75B"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478DFAD9" w14:textId="77777777" w:rsidR="006419DE" w:rsidRPr="00D62AFA" w:rsidRDefault="006419DE" w:rsidP="00114EAB">
            <w:pPr>
              <w:spacing w:after="0"/>
              <w:ind w:firstLine="0"/>
              <w:rPr>
                <w:rFonts w:cs="Times New Roman"/>
                <w:color w:val="000000"/>
                <w:sz w:val="16"/>
                <w:szCs w:val="16"/>
              </w:rPr>
            </w:pPr>
          </w:p>
        </w:tc>
      </w:tr>
      <w:tr w:rsidR="006419DE" w:rsidRPr="009E5520" w14:paraId="5E9F890E" w14:textId="77777777" w:rsidTr="00521FEF">
        <w:trPr>
          <w:trHeight w:hRule="exact" w:val="218"/>
        </w:trPr>
        <w:tc>
          <w:tcPr>
            <w:tcW w:w="2642" w:type="dxa"/>
            <w:shd w:val="clear" w:color="auto" w:fill="auto"/>
            <w:noWrap/>
            <w:vAlign w:val="bottom"/>
          </w:tcPr>
          <w:p w14:paraId="3E6173FB"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LnMarkupOLS</w:t>
            </w:r>
            <w:proofErr w:type="spellEnd"/>
          </w:p>
        </w:tc>
        <w:tc>
          <w:tcPr>
            <w:tcW w:w="962" w:type="dxa"/>
            <w:shd w:val="clear" w:color="auto" w:fill="auto"/>
            <w:noWrap/>
            <w:vAlign w:val="center"/>
          </w:tcPr>
          <w:p w14:paraId="3BAB46DD"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34CA6E9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-0.055**</w:t>
            </w:r>
          </w:p>
        </w:tc>
        <w:tc>
          <w:tcPr>
            <w:tcW w:w="962" w:type="dxa"/>
            <w:shd w:val="clear" w:color="auto" w:fill="auto"/>
            <w:noWrap/>
            <w:vAlign w:val="center"/>
          </w:tcPr>
          <w:p w14:paraId="55017CAF"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351919A5"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1EF9A12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-0.215***</w:t>
            </w:r>
          </w:p>
        </w:tc>
        <w:tc>
          <w:tcPr>
            <w:tcW w:w="965" w:type="dxa"/>
            <w:shd w:val="clear" w:color="auto" w:fill="auto"/>
            <w:noWrap/>
            <w:vAlign w:val="center"/>
          </w:tcPr>
          <w:p w14:paraId="69A79F84" w14:textId="77777777" w:rsidR="006419DE" w:rsidRPr="00D62AFA" w:rsidRDefault="006419DE" w:rsidP="00114EAB">
            <w:pPr>
              <w:spacing w:after="0"/>
              <w:ind w:firstLine="0"/>
              <w:rPr>
                <w:rFonts w:cs="Times New Roman"/>
                <w:sz w:val="16"/>
                <w:szCs w:val="16"/>
              </w:rPr>
            </w:pPr>
          </w:p>
        </w:tc>
      </w:tr>
      <w:tr w:rsidR="006419DE" w:rsidRPr="009E5520" w14:paraId="1C8CC61D" w14:textId="77777777" w:rsidTr="00521FEF">
        <w:trPr>
          <w:trHeight w:hRule="exact" w:val="218"/>
        </w:trPr>
        <w:tc>
          <w:tcPr>
            <w:tcW w:w="2642" w:type="dxa"/>
            <w:shd w:val="clear" w:color="auto" w:fill="auto"/>
            <w:noWrap/>
            <w:vAlign w:val="bottom"/>
          </w:tcPr>
          <w:p w14:paraId="2959D2D3"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75F9C257"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09A16DB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(0.027)</w:t>
            </w:r>
          </w:p>
        </w:tc>
        <w:tc>
          <w:tcPr>
            <w:tcW w:w="962" w:type="dxa"/>
            <w:shd w:val="clear" w:color="auto" w:fill="auto"/>
            <w:noWrap/>
            <w:vAlign w:val="center"/>
          </w:tcPr>
          <w:p w14:paraId="10FA7406"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7341D7A7"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3FFB1AD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(0.035)</w:t>
            </w:r>
          </w:p>
        </w:tc>
        <w:tc>
          <w:tcPr>
            <w:tcW w:w="965" w:type="dxa"/>
            <w:shd w:val="clear" w:color="auto" w:fill="auto"/>
            <w:noWrap/>
            <w:vAlign w:val="center"/>
          </w:tcPr>
          <w:p w14:paraId="1F4105EB" w14:textId="77777777" w:rsidR="006419DE" w:rsidRPr="00D62AFA" w:rsidRDefault="006419DE" w:rsidP="00114EAB">
            <w:pPr>
              <w:spacing w:after="0"/>
              <w:ind w:firstLine="0"/>
              <w:rPr>
                <w:rFonts w:cs="Times New Roman"/>
                <w:sz w:val="16"/>
                <w:szCs w:val="16"/>
              </w:rPr>
            </w:pPr>
          </w:p>
        </w:tc>
      </w:tr>
      <w:tr w:rsidR="006419DE" w:rsidRPr="009E5520" w14:paraId="4033FA33" w14:textId="77777777" w:rsidTr="00521FEF">
        <w:trPr>
          <w:trHeight w:hRule="exact" w:val="218"/>
        </w:trPr>
        <w:tc>
          <w:tcPr>
            <w:tcW w:w="2642" w:type="dxa"/>
            <w:shd w:val="clear" w:color="auto" w:fill="auto"/>
            <w:noWrap/>
            <w:vAlign w:val="bottom"/>
            <w:hideMark/>
          </w:tcPr>
          <w:p w14:paraId="5F9913C9"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LnMarkupWRDG</w:t>
            </w:r>
            <w:proofErr w:type="spellEnd"/>
          </w:p>
        </w:tc>
        <w:tc>
          <w:tcPr>
            <w:tcW w:w="962" w:type="dxa"/>
            <w:shd w:val="clear" w:color="auto" w:fill="auto"/>
            <w:noWrap/>
            <w:vAlign w:val="center"/>
          </w:tcPr>
          <w:p w14:paraId="0E98EA47"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1B605A9F"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5A813B6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-0.067** </w:t>
            </w:r>
          </w:p>
        </w:tc>
        <w:tc>
          <w:tcPr>
            <w:tcW w:w="962" w:type="dxa"/>
            <w:shd w:val="clear" w:color="auto" w:fill="auto"/>
            <w:noWrap/>
            <w:vAlign w:val="center"/>
          </w:tcPr>
          <w:p w14:paraId="2AD10715"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30098599"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785717A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-0.243***</w:t>
            </w:r>
          </w:p>
        </w:tc>
      </w:tr>
      <w:tr w:rsidR="006419DE" w:rsidRPr="009E5520" w14:paraId="1879CE8D" w14:textId="77777777" w:rsidTr="00521FEF">
        <w:trPr>
          <w:trHeight w:hRule="exact" w:val="218"/>
        </w:trPr>
        <w:tc>
          <w:tcPr>
            <w:tcW w:w="2642" w:type="dxa"/>
            <w:shd w:val="clear" w:color="auto" w:fill="auto"/>
            <w:noWrap/>
            <w:vAlign w:val="bottom"/>
            <w:hideMark/>
          </w:tcPr>
          <w:p w14:paraId="251252C4"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4AFDF3AE"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0B7A492F"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6D5643E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(0.028)</w:t>
            </w:r>
          </w:p>
        </w:tc>
        <w:tc>
          <w:tcPr>
            <w:tcW w:w="962" w:type="dxa"/>
            <w:shd w:val="clear" w:color="auto" w:fill="auto"/>
            <w:noWrap/>
            <w:vAlign w:val="center"/>
          </w:tcPr>
          <w:p w14:paraId="2178A940"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2D01C11C"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375A263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(0.035)</w:t>
            </w:r>
          </w:p>
        </w:tc>
      </w:tr>
      <w:tr w:rsidR="006419DE" w:rsidRPr="009E5520" w14:paraId="3F1A958D" w14:textId="77777777" w:rsidTr="00521FEF">
        <w:trPr>
          <w:trHeight w:hRule="exact" w:val="218"/>
        </w:trPr>
        <w:tc>
          <w:tcPr>
            <w:tcW w:w="2642" w:type="dxa"/>
            <w:shd w:val="clear" w:color="auto" w:fill="auto"/>
            <w:noWrap/>
            <w:vAlign w:val="bottom"/>
            <w:hideMark/>
          </w:tcPr>
          <w:p w14:paraId="13F5A947"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IndHHIEmp</w:t>
            </w:r>
            <w:proofErr w:type="spellEnd"/>
          </w:p>
        </w:tc>
        <w:tc>
          <w:tcPr>
            <w:tcW w:w="962" w:type="dxa"/>
            <w:shd w:val="clear" w:color="auto" w:fill="auto"/>
            <w:noWrap/>
            <w:vAlign w:val="center"/>
          </w:tcPr>
          <w:p w14:paraId="526BC92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0.086</w:t>
            </w:r>
          </w:p>
        </w:tc>
        <w:tc>
          <w:tcPr>
            <w:tcW w:w="962" w:type="dxa"/>
            <w:shd w:val="clear" w:color="auto" w:fill="auto"/>
            <w:noWrap/>
            <w:vAlign w:val="center"/>
          </w:tcPr>
          <w:p w14:paraId="0C10DE7F"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0.171</w:t>
            </w:r>
          </w:p>
        </w:tc>
        <w:tc>
          <w:tcPr>
            <w:tcW w:w="962" w:type="dxa"/>
            <w:shd w:val="clear" w:color="auto" w:fill="auto"/>
            <w:noWrap/>
            <w:vAlign w:val="center"/>
          </w:tcPr>
          <w:p w14:paraId="7E34753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0.193</w:t>
            </w:r>
          </w:p>
        </w:tc>
        <w:tc>
          <w:tcPr>
            <w:tcW w:w="962" w:type="dxa"/>
            <w:shd w:val="clear" w:color="auto" w:fill="auto"/>
            <w:noWrap/>
            <w:vAlign w:val="center"/>
          </w:tcPr>
          <w:p w14:paraId="3D82B3D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0.225</w:t>
            </w:r>
          </w:p>
        </w:tc>
        <w:tc>
          <w:tcPr>
            <w:tcW w:w="962" w:type="dxa"/>
            <w:shd w:val="clear" w:color="auto" w:fill="auto"/>
            <w:noWrap/>
            <w:vAlign w:val="center"/>
          </w:tcPr>
          <w:p w14:paraId="5A39797F"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0.288*</w:t>
            </w:r>
          </w:p>
        </w:tc>
        <w:tc>
          <w:tcPr>
            <w:tcW w:w="965" w:type="dxa"/>
            <w:shd w:val="clear" w:color="auto" w:fill="auto"/>
            <w:noWrap/>
            <w:vAlign w:val="center"/>
          </w:tcPr>
          <w:p w14:paraId="69F6E0C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0.308*</w:t>
            </w:r>
          </w:p>
        </w:tc>
      </w:tr>
      <w:tr w:rsidR="006419DE" w:rsidRPr="009E5520" w14:paraId="3F67A1EF" w14:textId="77777777" w:rsidTr="00521FEF">
        <w:trPr>
          <w:trHeight w:hRule="exact" w:val="218"/>
        </w:trPr>
        <w:tc>
          <w:tcPr>
            <w:tcW w:w="2642" w:type="dxa"/>
            <w:shd w:val="clear" w:color="auto" w:fill="auto"/>
            <w:noWrap/>
            <w:vAlign w:val="bottom"/>
            <w:hideMark/>
          </w:tcPr>
          <w:p w14:paraId="79E818D6"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580DC90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(0.145)</w:t>
            </w:r>
          </w:p>
        </w:tc>
        <w:tc>
          <w:tcPr>
            <w:tcW w:w="962" w:type="dxa"/>
            <w:shd w:val="clear" w:color="auto" w:fill="auto"/>
            <w:noWrap/>
            <w:vAlign w:val="center"/>
          </w:tcPr>
          <w:p w14:paraId="23E69C3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(0.159)</w:t>
            </w:r>
          </w:p>
        </w:tc>
        <w:tc>
          <w:tcPr>
            <w:tcW w:w="962" w:type="dxa"/>
            <w:shd w:val="clear" w:color="auto" w:fill="auto"/>
            <w:noWrap/>
            <w:vAlign w:val="center"/>
          </w:tcPr>
          <w:p w14:paraId="6103AF1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(0.149)</w:t>
            </w:r>
          </w:p>
        </w:tc>
        <w:tc>
          <w:tcPr>
            <w:tcW w:w="962" w:type="dxa"/>
            <w:shd w:val="clear" w:color="auto" w:fill="auto"/>
            <w:noWrap/>
            <w:vAlign w:val="center"/>
          </w:tcPr>
          <w:p w14:paraId="655FE4C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(0.156)</w:t>
            </w:r>
          </w:p>
        </w:tc>
        <w:tc>
          <w:tcPr>
            <w:tcW w:w="962" w:type="dxa"/>
            <w:shd w:val="clear" w:color="auto" w:fill="auto"/>
            <w:noWrap/>
            <w:vAlign w:val="center"/>
          </w:tcPr>
          <w:p w14:paraId="2AD8C30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(0.159)</w:t>
            </w:r>
          </w:p>
        </w:tc>
        <w:tc>
          <w:tcPr>
            <w:tcW w:w="965" w:type="dxa"/>
            <w:shd w:val="clear" w:color="auto" w:fill="auto"/>
            <w:noWrap/>
            <w:vAlign w:val="center"/>
          </w:tcPr>
          <w:p w14:paraId="58BF568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(0.164)</w:t>
            </w:r>
          </w:p>
        </w:tc>
      </w:tr>
      <w:tr w:rsidR="006419DE" w:rsidRPr="009E5520" w14:paraId="115D9945" w14:textId="77777777" w:rsidTr="00521FEF">
        <w:trPr>
          <w:trHeight w:hRule="exact" w:val="218"/>
        </w:trPr>
        <w:tc>
          <w:tcPr>
            <w:tcW w:w="2642" w:type="dxa"/>
            <w:shd w:val="clear" w:color="auto" w:fill="auto"/>
            <w:noWrap/>
            <w:vAlign w:val="bottom"/>
            <w:hideMark/>
          </w:tcPr>
          <w:p w14:paraId="05BC1157"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Union</w:t>
            </w:r>
          </w:p>
        </w:tc>
        <w:tc>
          <w:tcPr>
            <w:tcW w:w="962" w:type="dxa"/>
            <w:shd w:val="clear" w:color="auto" w:fill="auto"/>
            <w:noWrap/>
            <w:vAlign w:val="center"/>
          </w:tcPr>
          <w:p w14:paraId="1AF1DCF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0.001</w:t>
            </w:r>
          </w:p>
        </w:tc>
        <w:tc>
          <w:tcPr>
            <w:tcW w:w="962" w:type="dxa"/>
            <w:shd w:val="clear" w:color="auto" w:fill="auto"/>
            <w:noWrap/>
            <w:vAlign w:val="center"/>
          </w:tcPr>
          <w:p w14:paraId="4BB6EFEF"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-0.003</w:t>
            </w:r>
          </w:p>
        </w:tc>
        <w:tc>
          <w:tcPr>
            <w:tcW w:w="962" w:type="dxa"/>
            <w:shd w:val="clear" w:color="auto" w:fill="auto"/>
            <w:noWrap/>
            <w:vAlign w:val="center"/>
          </w:tcPr>
          <w:p w14:paraId="441F757F"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0.002</w:t>
            </w:r>
          </w:p>
        </w:tc>
        <w:tc>
          <w:tcPr>
            <w:tcW w:w="962" w:type="dxa"/>
            <w:shd w:val="clear" w:color="auto" w:fill="auto"/>
            <w:noWrap/>
            <w:vAlign w:val="center"/>
          </w:tcPr>
          <w:p w14:paraId="05EB628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0.023</w:t>
            </w:r>
          </w:p>
        </w:tc>
        <w:tc>
          <w:tcPr>
            <w:tcW w:w="962" w:type="dxa"/>
            <w:shd w:val="clear" w:color="auto" w:fill="auto"/>
            <w:noWrap/>
            <w:vAlign w:val="center"/>
          </w:tcPr>
          <w:p w14:paraId="322FA34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0.017</w:t>
            </w:r>
          </w:p>
        </w:tc>
        <w:tc>
          <w:tcPr>
            <w:tcW w:w="965" w:type="dxa"/>
            <w:shd w:val="clear" w:color="auto" w:fill="auto"/>
            <w:noWrap/>
            <w:vAlign w:val="center"/>
          </w:tcPr>
          <w:p w14:paraId="689759D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0.024</w:t>
            </w:r>
          </w:p>
        </w:tc>
      </w:tr>
      <w:tr w:rsidR="006419DE" w:rsidRPr="009E5520" w14:paraId="5D4BA794" w14:textId="77777777" w:rsidTr="00521FEF">
        <w:trPr>
          <w:trHeight w:hRule="exact" w:val="218"/>
        </w:trPr>
        <w:tc>
          <w:tcPr>
            <w:tcW w:w="2642" w:type="dxa"/>
            <w:shd w:val="clear" w:color="auto" w:fill="auto"/>
            <w:noWrap/>
            <w:vAlign w:val="bottom"/>
            <w:hideMark/>
          </w:tcPr>
          <w:p w14:paraId="4ECDA696"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427C9D0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(0.011)</w:t>
            </w:r>
          </w:p>
        </w:tc>
        <w:tc>
          <w:tcPr>
            <w:tcW w:w="962" w:type="dxa"/>
            <w:shd w:val="clear" w:color="auto" w:fill="auto"/>
            <w:noWrap/>
            <w:vAlign w:val="center"/>
          </w:tcPr>
          <w:p w14:paraId="41A051B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w:t>
            </w:r>
          </w:p>
        </w:tc>
        <w:tc>
          <w:tcPr>
            <w:tcW w:w="962" w:type="dxa"/>
            <w:shd w:val="clear" w:color="auto" w:fill="auto"/>
            <w:noWrap/>
            <w:vAlign w:val="center"/>
          </w:tcPr>
          <w:p w14:paraId="3E6C646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(0.011)</w:t>
            </w:r>
          </w:p>
        </w:tc>
        <w:tc>
          <w:tcPr>
            <w:tcW w:w="962" w:type="dxa"/>
            <w:shd w:val="clear" w:color="auto" w:fill="auto"/>
            <w:noWrap/>
            <w:vAlign w:val="center"/>
          </w:tcPr>
          <w:p w14:paraId="5F5390D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(0.016)</w:t>
            </w:r>
          </w:p>
        </w:tc>
        <w:tc>
          <w:tcPr>
            <w:tcW w:w="962" w:type="dxa"/>
            <w:shd w:val="clear" w:color="auto" w:fill="auto"/>
            <w:noWrap/>
            <w:vAlign w:val="center"/>
          </w:tcPr>
          <w:p w14:paraId="23E94DE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(0.016)</w:t>
            </w:r>
          </w:p>
        </w:tc>
        <w:tc>
          <w:tcPr>
            <w:tcW w:w="965" w:type="dxa"/>
            <w:shd w:val="clear" w:color="auto" w:fill="auto"/>
            <w:noWrap/>
            <w:vAlign w:val="center"/>
          </w:tcPr>
          <w:p w14:paraId="485E1B5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(0.016)</w:t>
            </w:r>
          </w:p>
        </w:tc>
      </w:tr>
      <w:tr w:rsidR="006419DE" w:rsidRPr="009E5520" w14:paraId="043A0570" w14:textId="77777777" w:rsidTr="00521FEF">
        <w:trPr>
          <w:trHeight w:hRule="exact" w:val="218"/>
        </w:trPr>
        <w:tc>
          <w:tcPr>
            <w:tcW w:w="2642" w:type="dxa"/>
            <w:shd w:val="clear" w:color="auto" w:fill="auto"/>
            <w:noWrap/>
            <w:vAlign w:val="bottom"/>
            <w:hideMark/>
          </w:tcPr>
          <w:p w14:paraId="3A68C3D7"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D.LnEmployeeNumber</w:t>
            </w:r>
            <w:proofErr w:type="spellEnd"/>
          </w:p>
        </w:tc>
        <w:tc>
          <w:tcPr>
            <w:tcW w:w="962" w:type="dxa"/>
            <w:shd w:val="clear" w:color="auto" w:fill="auto"/>
            <w:noWrap/>
            <w:vAlign w:val="center"/>
          </w:tcPr>
          <w:p w14:paraId="602DD83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-0.029</w:t>
            </w:r>
          </w:p>
        </w:tc>
        <w:tc>
          <w:tcPr>
            <w:tcW w:w="962" w:type="dxa"/>
            <w:shd w:val="clear" w:color="auto" w:fill="auto"/>
            <w:noWrap/>
            <w:vAlign w:val="center"/>
          </w:tcPr>
          <w:p w14:paraId="59CD5A6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-0.046</w:t>
            </w:r>
          </w:p>
        </w:tc>
        <w:tc>
          <w:tcPr>
            <w:tcW w:w="962" w:type="dxa"/>
            <w:shd w:val="clear" w:color="auto" w:fill="auto"/>
            <w:noWrap/>
            <w:vAlign w:val="center"/>
          </w:tcPr>
          <w:p w14:paraId="3612DF4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-0.029</w:t>
            </w:r>
          </w:p>
        </w:tc>
        <w:tc>
          <w:tcPr>
            <w:tcW w:w="962" w:type="dxa"/>
            <w:shd w:val="clear" w:color="auto" w:fill="auto"/>
            <w:noWrap/>
            <w:vAlign w:val="center"/>
          </w:tcPr>
          <w:p w14:paraId="0D0BFB1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-0.072***</w:t>
            </w:r>
          </w:p>
        </w:tc>
        <w:tc>
          <w:tcPr>
            <w:tcW w:w="962" w:type="dxa"/>
            <w:shd w:val="clear" w:color="auto" w:fill="auto"/>
            <w:noWrap/>
            <w:vAlign w:val="center"/>
          </w:tcPr>
          <w:p w14:paraId="1FAD3EF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-0.111***</w:t>
            </w:r>
          </w:p>
        </w:tc>
        <w:tc>
          <w:tcPr>
            <w:tcW w:w="965" w:type="dxa"/>
            <w:shd w:val="clear" w:color="auto" w:fill="auto"/>
            <w:noWrap/>
            <w:vAlign w:val="center"/>
          </w:tcPr>
          <w:p w14:paraId="54560CE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-0.077***</w:t>
            </w:r>
          </w:p>
        </w:tc>
      </w:tr>
      <w:tr w:rsidR="006419DE" w:rsidRPr="009E5520" w14:paraId="161DC578" w14:textId="77777777" w:rsidTr="00521FEF">
        <w:trPr>
          <w:trHeight w:hRule="exact" w:val="218"/>
        </w:trPr>
        <w:tc>
          <w:tcPr>
            <w:tcW w:w="2642" w:type="dxa"/>
            <w:shd w:val="clear" w:color="auto" w:fill="auto"/>
            <w:noWrap/>
            <w:vAlign w:val="bottom"/>
            <w:hideMark/>
          </w:tcPr>
          <w:p w14:paraId="40EF5568"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38AC47B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(0.038)</w:t>
            </w:r>
          </w:p>
        </w:tc>
        <w:tc>
          <w:tcPr>
            <w:tcW w:w="962" w:type="dxa"/>
            <w:shd w:val="clear" w:color="auto" w:fill="auto"/>
            <w:noWrap/>
            <w:vAlign w:val="center"/>
          </w:tcPr>
          <w:p w14:paraId="4447A4D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(0.035)</w:t>
            </w:r>
          </w:p>
        </w:tc>
        <w:tc>
          <w:tcPr>
            <w:tcW w:w="962" w:type="dxa"/>
            <w:shd w:val="clear" w:color="auto" w:fill="auto"/>
            <w:noWrap/>
            <w:vAlign w:val="center"/>
          </w:tcPr>
          <w:p w14:paraId="0B8B03B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(0.039)</w:t>
            </w:r>
          </w:p>
        </w:tc>
        <w:tc>
          <w:tcPr>
            <w:tcW w:w="962" w:type="dxa"/>
            <w:shd w:val="clear" w:color="auto" w:fill="auto"/>
            <w:noWrap/>
            <w:vAlign w:val="center"/>
          </w:tcPr>
          <w:p w14:paraId="6F1ABE9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(0.028)</w:t>
            </w:r>
          </w:p>
        </w:tc>
        <w:tc>
          <w:tcPr>
            <w:tcW w:w="962" w:type="dxa"/>
            <w:shd w:val="clear" w:color="auto" w:fill="auto"/>
            <w:noWrap/>
            <w:vAlign w:val="center"/>
          </w:tcPr>
          <w:p w14:paraId="700DFC9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(0.028)</w:t>
            </w:r>
          </w:p>
        </w:tc>
        <w:tc>
          <w:tcPr>
            <w:tcW w:w="965" w:type="dxa"/>
            <w:shd w:val="clear" w:color="auto" w:fill="auto"/>
            <w:noWrap/>
            <w:vAlign w:val="center"/>
          </w:tcPr>
          <w:p w14:paraId="63A0425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(0.027)</w:t>
            </w:r>
          </w:p>
        </w:tc>
      </w:tr>
      <w:tr w:rsidR="006419DE" w:rsidRPr="009E5520" w14:paraId="61E5C607" w14:textId="77777777" w:rsidTr="00521FEF">
        <w:trPr>
          <w:trHeight w:hRule="exact" w:val="218"/>
        </w:trPr>
        <w:tc>
          <w:tcPr>
            <w:tcW w:w="2642" w:type="dxa"/>
            <w:shd w:val="clear" w:color="auto" w:fill="auto"/>
            <w:noWrap/>
            <w:vAlign w:val="bottom"/>
            <w:hideMark/>
          </w:tcPr>
          <w:p w14:paraId="0F2D5979"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BTM</w:t>
            </w:r>
          </w:p>
        </w:tc>
        <w:tc>
          <w:tcPr>
            <w:tcW w:w="962" w:type="dxa"/>
            <w:shd w:val="clear" w:color="auto" w:fill="auto"/>
            <w:noWrap/>
            <w:vAlign w:val="center"/>
          </w:tcPr>
          <w:p w14:paraId="59CE385E"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0.057**</w:t>
            </w:r>
          </w:p>
        </w:tc>
        <w:tc>
          <w:tcPr>
            <w:tcW w:w="962" w:type="dxa"/>
            <w:shd w:val="clear" w:color="auto" w:fill="auto"/>
            <w:noWrap/>
            <w:vAlign w:val="center"/>
          </w:tcPr>
          <w:p w14:paraId="57555DF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0.061***</w:t>
            </w:r>
          </w:p>
        </w:tc>
        <w:tc>
          <w:tcPr>
            <w:tcW w:w="962" w:type="dxa"/>
            <w:shd w:val="clear" w:color="auto" w:fill="auto"/>
            <w:noWrap/>
            <w:vAlign w:val="center"/>
          </w:tcPr>
          <w:p w14:paraId="0101C0B2"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0.057** </w:t>
            </w:r>
          </w:p>
        </w:tc>
        <w:tc>
          <w:tcPr>
            <w:tcW w:w="962" w:type="dxa"/>
            <w:shd w:val="clear" w:color="auto" w:fill="auto"/>
            <w:noWrap/>
            <w:vAlign w:val="center"/>
          </w:tcPr>
          <w:p w14:paraId="3B4A0D7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0.111***</w:t>
            </w:r>
          </w:p>
        </w:tc>
        <w:tc>
          <w:tcPr>
            <w:tcW w:w="962" w:type="dxa"/>
            <w:shd w:val="clear" w:color="auto" w:fill="auto"/>
            <w:noWrap/>
            <w:vAlign w:val="center"/>
          </w:tcPr>
          <w:p w14:paraId="22F416F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0.092***</w:t>
            </w:r>
          </w:p>
        </w:tc>
        <w:tc>
          <w:tcPr>
            <w:tcW w:w="965" w:type="dxa"/>
            <w:shd w:val="clear" w:color="auto" w:fill="auto"/>
            <w:noWrap/>
            <w:vAlign w:val="center"/>
          </w:tcPr>
          <w:p w14:paraId="092169D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0.107***</w:t>
            </w:r>
          </w:p>
        </w:tc>
      </w:tr>
      <w:tr w:rsidR="006419DE" w:rsidRPr="009E5520" w14:paraId="3B74C14B" w14:textId="77777777" w:rsidTr="00521FEF">
        <w:trPr>
          <w:trHeight w:hRule="exact" w:val="218"/>
        </w:trPr>
        <w:tc>
          <w:tcPr>
            <w:tcW w:w="2642" w:type="dxa"/>
            <w:shd w:val="clear" w:color="auto" w:fill="auto"/>
            <w:noWrap/>
            <w:vAlign w:val="bottom"/>
            <w:hideMark/>
          </w:tcPr>
          <w:p w14:paraId="46EAD67B"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3A3301A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(0.024)</w:t>
            </w:r>
          </w:p>
        </w:tc>
        <w:tc>
          <w:tcPr>
            <w:tcW w:w="962" w:type="dxa"/>
            <w:shd w:val="clear" w:color="auto" w:fill="auto"/>
            <w:noWrap/>
            <w:vAlign w:val="center"/>
          </w:tcPr>
          <w:p w14:paraId="51D33CC2"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(0.023)</w:t>
            </w:r>
          </w:p>
        </w:tc>
        <w:tc>
          <w:tcPr>
            <w:tcW w:w="962" w:type="dxa"/>
            <w:shd w:val="clear" w:color="auto" w:fill="auto"/>
            <w:noWrap/>
            <w:vAlign w:val="center"/>
          </w:tcPr>
          <w:p w14:paraId="2FCEB73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(0.024)</w:t>
            </w:r>
          </w:p>
        </w:tc>
        <w:tc>
          <w:tcPr>
            <w:tcW w:w="962" w:type="dxa"/>
            <w:shd w:val="clear" w:color="auto" w:fill="auto"/>
            <w:noWrap/>
            <w:vAlign w:val="center"/>
          </w:tcPr>
          <w:p w14:paraId="2856AF0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(0.025)</w:t>
            </w:r>
          </w:p>
        </w:tc>
        <w:tc>
          <w:tcPr>
            <w:tcW w:w="962" w:type="dxa"/>
            <w:shd w:val="clear" w:color="auto" w:fill="auto"/>
            <w:noWrap/>
            <w:vAlign w:val="center"/>
          </w:tcPr>
          <w:p w14:paraId="2085DD1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(0.023)</w:t>
            </w:r>
          </w:p>
        </w:tc>
        <w:tc>
          <w:tcPr>
            <w:tcW w:w="965" w:type="dxa"/>
            <w:shd w:val="clear" w:color="auto" w:fill="auto"/>
            <w:noWrap/>
            <w:vAlign w:val="center"/>
          </w:tcPr>
          <w:p w14:paraId="4A806A2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(0.024)</w:t>
            </w:r>
          </w:p>
        </w:tc>
      </w:tr>
      <w:tr w:rsidR="006419DE" w:rsidRPr="009E5520" w14:paraId="55C1DD35" w14:textId="77777777" w:rsidTr="00521FEF">
        <w:trPr>
          <w:trHeight w:hRule="exact" w:val="218"/>
        </w:trPr>
        <w:tc>
          <w:tcPr>
            <w:tcW w:w="2642" w:type="dxa"/>
            <w:shd w:val="clear" w:color="auto" w:fill="auto"/>
            <w:noWrap/>
            <w:vAlign w:val="bottom"/>
            <w:hideMark/>
          </w:tcPr>
          <w:p w14:paraId="09282866"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LnAge</w:t>
            </w:r>
            <w:proofErr w:type="spellEnd"/>
          </w:p>
        </w:tc>
        <w:tc>
          <w:tcPr>
            <w:tcW w:w="962" w:type="dxa"/>
            <w:shd w:val="clear" w:color="auto" w:fill="auto"/>
            <w:noWrap/>
            <w:vAlign w:val="center"/>
          </w:tcPr>
          <w:p w14:paraId="64A295D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-0.039**</w:t>
            </w:r>
          </w:p>
        </w:tc>
        <w:tc>
          <w:tcPr>
            <w:tcW w:w="962" w:type="dxa"/>
            <w:shd w:val="clear" w:color="auto" w:fill="auto"/>
            <w:noWrap/>
            <w:vAlign w:val="center"/>
          </w:tcPr>
          <w:p w14:paraId="4C5B293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-0.043***</w:t>
            </w:r>
          </w:p>
        </w:tc>
        <w:tc>
          <w:tcPr>
            <w:tcW w:w="962" w:type="dxa"/>
            <w:shd w:val="clear" w:color="auto" w:fill="auto"/>
            <w:noWrap/>
            <w:vAlign w:val="center"/>
          </w:tcPr>
          <w:p w14:paraId="6048906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-0.042***</w:t>
            </w:r>
          </w:p>
        </w:tc>
        <w:tc>
          <w:tcPr>
            <w:tcW w:w="962" w:type="dxa"/>
            <w:shd w:val="clear" w:color="auto" w:fill="auto"/>
            <w:noWrap/>
            <w:vAlign w:val="center"/>
          </w:tcPr>
          <w:p w14:paraId="5AD8711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-0.033*</w:t>
            </w:r>
          </w:p>
        </w:tc>
        <w:tc>
          <w:tcPr>
            <w:tcW w:w="962" w:type="dxa"/>
            <w:shd w:val="clear" w:color="auto" w:fill="auto"/>
            <w:noWrap/>
            <w:vAlign w:val="center"/>
          </w:tcPr>
          <w:p w14:paraId="3C778FF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-0.049***</w:t>
            </w:r>
          </w:p>
        </w:tc>
        <w:tc>
          <w:tcPr>
            <w:tcW w:w="965" w:type="dxa"/>
            <w:shd w:val="clear" w:color="auto" w:fill="auto"/>
            <w:noWrap/>
            <w:vAlign w:val="center"/>
          </w:tcPr>
          <w:p w14:paraId="51DAE64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-0.034*</w:t>
            </w:r>
          </w:p>
        </w:tc>
      </w:tr>
      <w:tr w:rsidR="006419DE" w:rsidRPr="009E5520" w14:paraId="16907DD6" w14:textId="77777777" w:rsidTr="00521FEF">
        <w:trPr>
          <w:trHeight w:hRule="exact" w:val="218"/>
        </w:trPr>
        <w:tc>
          <w:tcPr>
            <w:tcW w:w="2642" w:type="dxa"/>
            <w:shd w:val="clear" w:color="auto" w:fill="auto"/>
            <w:noWrap/>
            <w:vAlign w:val="bottom"/>
            <w:hideMark/>
          </w:tcPr>
          <w:p w14:paraId="09500DCD"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5F2E394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(0.015)</w:t>
            </w:r>
          </w:p>
        </w:tc>
        <w:tc>
          <w:tcPr>
            <w:tcW w:w="962" w:type="dxa"/>
            <w:shd w:val="clear" w:color="auto" w:fill="auto"/>
            <w:noWrap/>
            <w:vAlign w:val="center"/>
          </w:tcPr>
          <w:p w14:paraId="0B574CE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(0.014)</w:t>
            </w:r>
          </w:p>
        </w:tc>
        <w:tc>
          <w:tcPr>
            <w:tcW w:w="962" w:type="dxa"/>
            <w:shd w:val="clear" w:color="auto" w:fill="auto"/>
            <w:noWrap/>
            <w:vAlign w:val="center"/>
          </w:tcPr>
          <w:p w14:paraId="2F2E0F0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(0.015)</w:t>
            </w:r>
          </w:p>
        </w:tc>
        <w:tc>
          <w:tcPr>
            <w:tcW w:w="962" w:type="dxa"/>
            <w:shd w:val="clear" w:color="auto" w:fill="auto"/>
            <w:noWrap/>
            <w:vAlign w:val="center"/>
          </w:tcPr>
          <w:p w14:paraId="1503B34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(0.019)</w:t>
            </w:r>
          </w:p>
        </w:tc>
        <w:tc>
          <w:tcPr>
            <w:tcW w:w="962" w:type="dxa"/>
            <w:shd w:val="clear" w:color="auto" w:fill="auto"/>
            <w:noWrap/>
            <w:vAlign w:val="center"/>
          </w:tcPr>
          <w:p w14:paraId="4A023B1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(0.018)</w:t>
            </w:r>
          </w:p>
        </w:tc>
        <w:tc>
          <w:tcPr>
            <w:tcW w:w="965" w:type="dxa"/>
            <w:shd w:val="clear" w:color="auto" w:fill="auto"/>
            <w:noWrap/>
            <w:vAlign w:val="center"/>
          </w:tcPr>
          <w:p w14:paraId="52A1719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(0.019)</w:t>
            </w:r>
          </w:p>
        </w:tc>
      </w:tr>
      <w:tr w:rsidR="006419DE" w:rsidRPr="009E5520" w14:paraId="13C0113D" w14:textId="77777777" w:rsidTr="00521FEF">
        <w:trPr>
          <w:trHeight w:hRule="exact" w:val="218"/>
        </w:trPr>
        <w:tc>
          <w:tcPr>
            <w:tcW w:w="2642" w:type="dxa"/>
            <w:shd w:val="clear" w:color="auto" w:fill="auto"/>
            <w:noWrap/>
            <w:vAlign w:val="bottom"/>
            <w:hideMark/>
          </w:tcPr>
          <w:p w14:paraId="40384080" w14:textId="77777777" w:rsidR="006419DE" w:rsidRPr="009E5520" w:rsidRDefault="006419DE" w:rsidP="00114EAB">
            <w:pPr>
              <w:spacing w:after="0"/>
              <w:ind w:firstLine="0"/>
              <w:rPr>
                <w:rFonts w:cs="Times New Roman"/>
                <w:sz w:val="18"/>
                <w:szCs w:val="18"/>
              </w:rPr>
            </w:pPr>
            <w:proofErr w:type="spellStart"/>
            <w:r w:rsidRPr="009E5520">
              <w:rPr>
                <w:rFonts w:cs="Times New Roman"/>
                <w:color w:val="000000"/>
                <w:sz w:val="18"/>
                <w:szCs w:val="18"/>
              </w:rPr>
              <w:t>LnRevenue</w:t>
            </w:r>
            <w:proofErr w:type="spellEnd"/>
          </w:p>
        </w:tc>
        <w:tc>
          <w:tcPr>
            <w:tcW w:w="962" w:type="dxa"/>
            <w:shd w:val="clear" w:color="auto" w:fill="auto"/>
            <w:noWrap/>
            <w:vAlign w:val="center"/>
          </w:tcPr>
          <w:p w14:paraId="490F4C7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0.033**</w:t>
            </w:r>
          </w:p>
        </w:tc>
        <w:tc>
          <w:tcPr>
            <w:tcW w:w="962" w:type="dxa"/>
            <w:shd w:val="clear" w:color="auto" w:fill="auto"/>
            <w:noWrap/>
            <w:vAlign w:val="center"/>
          </w:tcPr>
          <w:p w14:paraId="6AF51C2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0.021</w:t>
            </w:r>
          </w:p>
        </w:tc>
        <w:tc>
          <w:tcPr>
            <w:tcW w:w="962" w:type="dxa"/>
            <w:shd w:val="clear" w:color="auto" w:fill="auto"/>
            <w:noWrap/>
            <w:vAlign w:val="center"/>
          </w:tcPr>
          <w:p w14:paraId="5846542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0.035** </w:t>
            </w:r>
          </w:p>
        </w:tc>
        <w:tc>
          <w:tcPr>
            <w:tcW w:w="962" w:type="dxa"/>
            <w:shd w:val="clear" w:color="auto" w:fill="auto"/>
            <w:noWrap/>
            <w:vAlign w:val="center"/>
          </w:tcPr>
          <w:p w14:paraId="1D17D87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0.040***</w:t>
            </w:r>
          </w:p>
        </w:tc>
        <w:tc>
          <w:tcPr>
            <w:tcW w:w="962" w:type="dxa"/>
            <w:shd w:val="clear" w:color="auto" w:fill="auto"/>
            <w:noWrap/>
            <w:vAlign w:val="center"/>
          </w:tcPr>
          <w:p w14:paraId="36D7A40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0.053***</w:t>
            </w:r>
          </w:p>
        </w:tc>
        <w:tc>
          <w:tcPr>
            <w:tcW w:w="965" w:type="dxa"/>
            <w:shd w:val="clear" w:color="auto" w:fill="auto"/>
            <w:noWrap/>
            <w:vAlign w:val="center"/>
          </w:tcPr>
          <w:p w14:paraId="09BC316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0.045***</w:t>
            </w:r>
          </w:p>
        </w:tc>
      </w:tr>
      <w:tr w:rsidR="006419DE" w:rsidRPr="009E5520" w14:paraId="47424F7A" w14:textId="77777777" w:rsidTr="00521FEF">
        <w:trPr>
          <w:trHeight w:hRule="exact" w:val="218"/>
        </w:trPr>
        <w:tc>
          <w:tcPr>
            <w:tcW w:w="2642" w:type="dxa"/>
            <w:shd w:val="clear" w:color="auto" w:fill="auto"/>
            <w:noWrap/>
            <w:vAlign w:val="bottom"/>
            <w:hideMark/>
          </w:tcPr>
          <w:p w14:paraId="4A621C50"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30E50A0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(0.015)</w:t>
            </w:r>
          </w:p>
        </w:tc>
        <w:tc>
          <w:tcPr>
            <w:tcW w:w="962" w:type="dxa"/>
            <w:shd w:val="clear" w:color="auto" w:fill="auto"/>
            <w:noWrap/>
            <w:vAlign w:val="center"/>
          </w:tcPr>
          <w:p w14:paraId="5DBE3D4D"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(0.014)</w:t>
            </w:r>
          </w:p>
        </w:tc>
        <w:tc>
          <w:tcPr>
            <w:tcW w:w="962" w:type="dxa"/>
            <w:shd w:val="clear" w:color="auto" w:fill="auto"/>
            <w:noWrap/>
            <w:vAlign w:val="center"/>
          </w:tcPr>
          <w:p w14:paraId="6642AAD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(0.015)</w:t>
            </w:r>
          </w:p>
        </w:tc>
        <w:tc>
          <w:tcPr>
            <w:tcW w:w="962" w:type="dxa"/>
            <w:shd w:val="clear" w:color="auto" w:fill="auto"/>
            <w:noWrap/>
            <w:vAlign w:val="center"/>
          </w:tcPr>
          <w:p w14:paraId="26A1856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(0.015)</w:t>
            </w:r>
          </w:p>
        </w:tc>
        <w:tc>
          <w:tcPr>
            <w:tcW w:w="962" w:type="dxa"/>
            <w:shd w:val="clear" w:color="auto" w:fill="auto"/>
            <w:noWrap/>
            <w:vAlign w:val="center"/>
          </w:tcPr>
          <w:p w14:paraId="1D868A5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(0.012)</w:t>
            </w:r>
          </w:p>
        </w:tc>
        <w:tc>
          <w:tcPr>
            <w:tcW w:w="965" w:type="dxa"/>
            <w:shd w:val="clear" w:color="auto" w:fill="auto"/>
            <w:noWrap/>
            <w:vAlign w:val="center"/>
          </w:tcPr>
          <w:p w14:paraId="4D761CF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(0.014)</w:t>
            </w:r>
          </w:p>
        </w:tc>
      </w:tr>
      <w:tr w:rsidR="006419DE" w:rsidRPr="009E5520" w14:paraId="499A51FD" w14:textId="77777777" w:rsidTr="00521FEF">
        <w:trPr>
          <w:trHeight w:hRule="exact" w:val="218"/>
        </w:trPr>
        <w:tc>
          <w:tcPr>
            <w:tcW w:w="2642" w:type="dxa"/>
            <w:shd w:val="clear" w:color="auto" w:fill="auto"/>
            <w:noWrap/>
            <w:vAlign w:val="bottom"/>
            <w:hideMark/>
          </w:tcPr>
          <w:p w14:paraId="55EFDF0D"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Leverage</w:t>
            </w:r>
          </w:p>
        </w:tc>
        <w:tc>
          <w:tcPr>
            <w:tcW w:w="962" w:type="dxa"/>
            <w:shd w:val="clear" w:color="auto" w:fill="auto"/>
            <w:noWrap/>
            <w:vAlign w:val="center"/>
          </w:tcPr>
          <w:p w14:paraId="6E4CC67E"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-0.002</w:t>
            </w:r>
          </w:p>
        </w:tc>
        <w:tc>
          <w:tcPr>
            <w:tcW w:w="962" w:type="dxa"/>
            <w:shd w:val="clear" w:color="auto" w:fill="auto"/>
            <w:noWrap/>
            <w:vAlign w:val="center"/>
          </w:tcPr>
          <w:p w14:paraId="1267C8A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0.006</w:t>
            </w:r>
          </w:p>
        </w:tc>
        <w:tc>
          <w:tcPr>
            <w:tcW w:w="962" w:type="dxa"/>
            <w:shd w:val="clear" w:color="auto" w:fill="auto"/>
            <w:noWrap/>
            <w:vAlign w:val="center"/>
          </w:tcPr>
          <w:p w14:paraId="3288C83E"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-0.002</w:t>
            </w:r>
          </w:p>
        </w:tc>
        <w:tc>
          <w:tcPr>
            <w:tcW w:w="962" w:type="dxa"/>
            <w:shd w:val="clear" w:color="auto" w:fill="auto"/>
            <w:noWrap/>
            <w:vAlign w:val="center"/>
          </w:tcPr>
          <w:p w14:paraId="4476C0C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0.020*</w:t>
            </w:r>
          </w:p>
        </w:tc>
        <w:tc>
          <w:tcPr>
            <w:tcW w:w="962" w:type="dxa"/>
            <w:shd w:val="clear" w:color="auto" w:fill="auto"/>
            <w:noWrap/>
            <w:vAlign w:val="center"/>
          </w:tcPr>
          <w:p w14:paraId="1ACD518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0.023**</w:t>
            </w:r>
          </w:p>
        </w:tc>
        <w:tc>
          <w:tcPr>
            <w:tcW w:w="965" w:type="dxa"/>
            <w:shd w:val="clear" w:color="auto" w:fill="auto"/>
            <w:noWrap/>
            <w:vAlign w:val="center"/>
          </w:tcPr>
          <w:p w14:paraId="51BC8DD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0.019*</w:t>
            </w:r>
          </w:p>
        </w:tc>
      </w:tr>
      <w:tr w:rsidR="006419DE" w:rsidRPr="009E5520" w14:paraId="358E779E" w14:textId="77777777" w:rsidTr="00521FEF">
        <w:trPr>
          <w:trHeight w:hRule="exact" w:val="218"/>
        </w:trPr>
        <w:tc>
          <w:tcPr>
            <w:tcW w:w="2642" w:type="dxa"/>
            <w:shd w:val="clear" w:color="auto" w:fill="auto"/>
            <w:noWrap/>
            <w:vAlign w:val="bottom"/>
            <w:hideMark/>
          </w:tcPr>
          <w:p w14:paraId="40482B6E"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2BB6F09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(0.014)</w:t>
            </w:r>
          </w:p>
        </w:tc>
        <w:tc>
          <w:tcPr>
            <w:tcW w:w="962" w:type="dxa"/>
            <w:shd w:val="clear" w:color="auto" w:fill="auto"/>
            <w:noWrap/>
            <w:vAlign w:val="center"/>
          </w:tcPr>
          <w:p w14:paraId="2439356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(0.013)</w:t>
            </w:r>
          </w:p>
        </w:tc>
        <w:tc>
          <w:tcPr>
            <w:tcW w:w="962" w:type="dxa"/>
            <w:shd w:val="clear" w:color="auto" w:fill="auto"/>
            <w:noWrap/>
            <w:vAlign w:val="center"/>
          </w:tcPr>
          <w:p w14:paraId="41C1F0F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(0.013)</w:t>
            </w:r>
          </w:p>
        </w:tc>
        <w:tc>
          <w:tcPr>
            <w:tcW w:w="962" w:type="dxa"/>
            <w:shd w:val="clear" w:color="auto" w:fill="auto"/>
            <w:noWrap/>
            <w:vAlign w:val="center"/>
          </w:tcPr>
          <w:p w14:paraId="4845A04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(0.011)</w:t>
            </w:r>
          </w:p>
        </w:tc>
        <w:tc>
          <w:tcPr>
            <w:tcW w:w="962" w:type="dxa"/>
            <w:shd w:val="clear" w:color="auto" w:fill="auto"/>
            <w:noWrap/>
            <w:vAlign w:val="center"/>
          </w:tcPr>
          <w:p w14:paraId="3221886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(0.011)</w:t>
            </w:r>
          </w:p>
        </w:tc>
        <w:tc>
          <w:tcPr>
            <w:tcW w:w="965" w:type="dxa"/>
            <w:shd w:val="clear" w:color="auto" w:fill="auto"/>
            <w:noWrap/>
            <w:vAlign w:val="center"/>
          </w:tcPr>
          <w:p w14:paraId="4B7A800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(0.011)</w:t>
            </w:r>
          </w:p>
        </w:tc>
      </w:tr>
      <w:tr w:rsidR="006419DE" w:rsidRPr="009E5520" w14:paraId="1C844DB6" w14:textId="77777777" w:rsidTr="00521FEF">
        <w:trPr>
          <w:trHeight w:hRule="exact" w:val="218"/>
        </w:trPr>
        <w:tc>
          <w:tcPr>
            <w:tcW w:w="2642" w:type="dxa"/>
            <w:shd w:val="clear" w:color="auto" w:fill="auto"/>
            <w:noWrap/>
            <w:vAlign w:val="bottom"/>
            <w:hideMark/>
          </w:tcPr>
          <w:p w14:paraId="358FB188"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Constant</w:t>
            </w:r>
          </w:p>
        </w:tc>
        <w:tc>
          <w:tcPr>
            <w:tcW w:w="962" w:type="dxa"/>
            <w:shd w:val="clear" w:color="auto" w:fill="auto"/>
            <w:noWrap/>
            <w:vAlign w:val="center"/>
          </w:tcPr>
          <w:p w14:paraId="649A6CA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-0.085</w:t>
            </w:r>
          </w:p>
        </w:tc>
        <w:tc>
          <w:tcPr>
            <w:tcW w:w="962" w:type="dxa"/>
            <w:shd w:val="clear" w:color="auto" w:fill="auto"/>
            <w:noWrap/>
            <w:vAlign w:val="center"/>
          </w:tcPr>
          <w:p w14:paraId="1347DA2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-0.306</w:t>
            </w:r>
          </w:p>
        </w:tc>
        <w:tc>
          <w:tcPr>
            <w:tcW w:w="962" w:type="dxa"/>
            <w:shd w:val="clear" w:color="auto" w:fill="auto"/>
            <w:noWrap/>
            <w:vAlign w:val="center"/>
          </w:tcPr>
          <w:p w14:paraId="4688D19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-0.066</w:t>
            </w:r>
          </w:p>
        </w:tc>
        <w:tc>
          <w:tcPr>
            <w:tcW w:w="962" w:type="dxa"/>
            <w:shd w:val="clear" w:color="auto" w:fill="auto"/>
            <w:noWrap/>
            <w:vAlign w:val="center"/>
          </w:tcPr>
          <w:p w14:paraId="09DCD23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-1.151***</w:t>
            </w:r>
          </w:p>
        </w:tc>
        <w:tc>
          <w:tcPr>
            <w:tcW w:w="962" w:type="dxa"/>
            <w:shd w:val="clear" w:color="auto" w:fill="auto"/>
            <w:noWrap/>
            <w:vAlign w:val="center"/>
          </w:tcPr>
          <w:p w14:paraId="77794B5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-1.422***</w:t>
            </w:r>
          </w:p>
        </w:tc>
        <w:tc>
          <w:tcPr>
            <w:tcW w:w="965" w:type="dxa"/>
            <w:shd w:val="clear" w:color="auto" w:fill="auto"/>
            <w:noWrap/>
            <w:vAlign w:val="center"/>
          </w:tcPr>
          <w:p w14:paraId="034C2DC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-1.082***</w:t>
            </w:r>
          </w:p>
        </w:tc>
      </w:tr>
      <w:tr w:rsidR="006419DE" w:rsidRPr="009E5520" w14:paraId="29078483" w14:textId="77777777" w:rsidTr="00521FEF">
        <w:trPr>
          <w:trHeight w:hRule="exact" w:val="218"/>
        </w:trPr>
        <w:tc>
          <w:tcPr>
            <w:tcW w:w="2642" w:type="dxa"/>
            <w:shd w:val="clear" w:color="auto" w:fill="auto"/>
            <w:noWrap/>
            <w:vAlign w:val="bottom"/>
            <w:hideMark/>
          </w:tcPr>
          <w:p w14:paraId="1AA5F79E" w14:textId="77777777" w:rsidR="006419DE" w:rsidRPr="009E5520" w:rsidRDefault="006419DE" w:rsidP="00114EAB">
            <w:pPr>
              <w:spacing w:after="0"/>
              <w:ind w:firstLine="0"/>
              <w:rPr>
                <w:rFonts w:cs="Times New Roman"/>
                <w:sz w:val="18"/>
                <w:szCs w:val="18"/>
              </w:rPr>
            </w:pPr>
          </w:p>
        </w:tc>
        <w:tc>
          <w:tcPr>
            <w:tcW w:w="962" w:type="dxa"/>
            <w:shd w:val="clear" w:color="auto" w:fill="auto"/>
            <w:noWrap/>
            <w:vAlign w:val="center"/>
          </w:tcPr>
          <w:p w14:paraId="6C19313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(0.199)</w:t>
            </w:r>
          </w:p>
        </w:tc>
        <w:tc>
          <w:tcPr>
            <w:tcW w:w="962" w:type="dxa"/>
            <w:shd w:val="clear" w:color="auto" w:fill="auto"/>
            <w:noWrap/>
            <w:vAlign w:val="center"/>
          </w:tcPr>
          <w:p w14:paraId="1D826D3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(0.197)</w:t>
            </w:r>
          </w:p>
        </w:tc>
        <w:tc>
          <w:tcPr>
            <w:tcW w:w="962" w:type="dxa"/>
            <w:shd w:val="clear" w:color="auto" w:fill="auto"/>
            <w:noWrap/>
            <w:vAlign w:val="center"/>
          </w:tcPr>
          <w:p w14:paraId="2FA3B2AA"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(0.207)</w:t>
            </w:r>
          </w:p>
        </w:tc>
        <w:tc>
          <w:tcPr>
            <w:tcW w:w="962" w:type="dxa"/>
            <w:shd w:val="clear" w:color="auto" w:fill="auto"/>
            <w:noWrap/>
            <w:vAlign w:val="center"/>
          </w:tcPr>
          <w:p w14:paraId="3609F0A3"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(0.335)</w:t>
            </w:r>
          </w:p>
        </w:tc>
        <w:tc>
          <w:tcPr>
            <w:tcW w:w="962" w:type="dxa"/>
            <w:shd w:val="clear" w:color="auto" w:fill="auto"/>
            <w:noWrap/>
            <w:vAlign w:val="center"/>
          </w:tcPr>
          <w:p w14:paraId="36615EA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(0.333)</w:t>
            </w:r>
          </w:p>
        </w:tc>
        <w:tc>
          <w:tcPr>
            <w:tcW w:w="965" w:type="dxa"/>
            <w:shd w:val="clear" w:color="auto" w:fill="auto"/>
            <w:noWrap/>
            <w:vAlign w:val="center"/>
          </w:tcPr>
          <w:p w14:paraId="50780FE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(0.336)</w:t>
            </w:r>
          </w:p>
        </w:tc>
      </w:tr>
      <w:tr w:rsidR="006419DE" w:rsidRPr="009E5520" w14:paraId="5218E582" w14:textId="77777777" w:rsidTr="00521FEF">
        <w:trPr>
          <w:trHeight w:hRule="exact" w:val="218"/>
        </w:trPr>
        <w:tc>
          <w:tcPr>
            <w:tcW w:w="2642" w:type="dxa"/>
            <w:shd w:val="clear" w:color="auto" w:fill="auto"/>
            <w:noWrap/>
            <w:vAlign w:val="bottom"/>
            <w:hideMark/>
          </w:tcPr>
          <w:p w14:paraId="20735CC6"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Observation</w:t>
            </w:r>
          </w:p>
        </w:tc>
        <w:tc>
          <w:tcPr>
            <w:tcW w:w="962" w:type="dxa"/>
            <w:shd w:val="clear" w:color="auto" w:fill="auto"/>
            <w:noWrap/>
            <w:vAlign w:val="center"/>
          </w:tcPr>
          <w:p w14:paraId="04BAE0D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3292</w:t>
            </w:r>
          </w:p>
        </w:tc>
        <w:tc>
          <w:tcPr>
            <w:tcW w:w="962" w:type="dxa"/>
            <w:shd w:val="clear" w:color="auto" w:fill="auto"/>
            <w:noWrap/>
            <w:vAlign w:val="center"/>
          </w:tcPr>
          <w:p w14:paraId="1050417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3292</w:t>
            </w:r>
          </w:p>
        </w:tc>
        <w:tc>
          <w:tcPr>
            <w:tcW w:w="962" w:type="dxa"/>
            <w:shd w:val="clear" w:color="auto" w:fill="auto"/>
            <w:noWrap/>
            <w:vAlign w:val="center"/>
          </w:tcPr>
          <w:p w14:paraId="71EC5642"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3292</w:t>
            </w:r>
          </w:p>
        </w:tc>
        <w:tc>
          <w:tcPr>
            <w:tcW w:w="962" w:type="dxa"/>
            <w:shd w:val="clear" w:color="auto" w:fill="auto"/>
            <w:noWrap/>
            <w:vAlign w:val="center"/>
          </w:tcPr>
          <w:p w14:paraId="12B60EA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3292</w:t>
            </w:r>
          </w:p>
        </w:tc>
        <w:tc>
          <w:tcPr>
            <w:tcW w:w="962" w:type="dxa"/>
            <w:shd w:val="clear" w:color="auto" w:fill="auto"/>
            <w:noWrap/>
            <w:vAlign w:val="center"/>
          </w:tcPr>
          <w:p w14:paraId="6D5BD24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3292</w:t>
            </w:r>
          </w:p>
        </w:tc>
        <w:tc>
          <w:tcPr>
            <w:tcW w:w="965" w:type="dxa"/>
            <w:shd w:val="clear" w:color="auto" w:fill="auto"/>
            <w:noWrap/>
            <w:vAlign w:val="center"/>
          </w:tcPr>
          <w:p w14:paraId="769F234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3292</w:t>
            </w:r>
          </w:p>
        </w:tc>
      </w:tr>
      <w:tr w:rsidR="006419DE" w:rsidRPr="009E5520" w14:paraId="1468784C" w14:textId="77777777" w:rsidTr="00521FEF">
        <w:trPr>
          <w:trHeight w:hRule="exact" w:val="218"/>
        </w:trPr>
        <w:tc>
          <w:tcPr>
            <w:tcW w:w="2642" w:type="dxa"/>
            <w:shd w:val="clear" w:color="auto" w:fill="auto"/>
            <w:noWrap/>
            <w:vAlign w:val="bottom"/>
            <w:hideMark/>
          </w:tcPr>
          <w:p w14:paraId="2029852B"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Firm</w:t>
            </w:r>
          </w:p>
        </w:tc>
        <w:tc>
          <w:tcPr>
            <w:tcW w:w="962" w:type="dxa"/>
            <w:shd w:val="clear" w:color="auto" w:fill="auto"/>
            <w:noWrap/>
            <w:vAlign w:val="center"/>
          </w:tcPr>
          <w:p w14:paraId="73E68D6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659</w:t>
            </w:r>
          </w:p>
        </w:tc>
        <w:tc>
          <w:tcPr>
            <w:tcW w:w="962" w:type="dxa"/>
            <w:shd w:val="clear" w:color="auto" w:fill="auto"/>
            <w:noWrap/>
            <w:vAlign w:val="center"/>
          </w:tcPr>
          <w:p w14:paraId="6ECB668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659</w:t>
            </w:r>
          </w:p>
        </w:tc>
        <w:tc>
          <w:tcPr>
            <w:tcW w:w="962" w:type="dxa"/>
            <w:shd w:val="clear" w:color="auto" w:fill="auto"/>
            <w:noWrap/>
            <w:vAlign w:val="center"/>
          </w:tcPr>
          <w:p w14:paraId="0C295F9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659</w:t>
            </w:r>
          </w:p>
        </w:tc>
        <w:tc>
          <w:tcPr>
            <w:tcW w:w="962" w:type="dxa"/>
            <w:shd w:val="clear" w:color="auto" w:fill="auto"/>
            <w:noWrap/>
            <w:vAlign w:val="center"/>
          </w:tcPr>
          <w:p w14:paraId="2A44611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659</w:t>
            </w:r>
          </w:p>
        </w:tc>
        <w:tc>
          <w:tcPr>
            <w:tcW w:w="962" w:type="dxa"/>
            <w:shd w:val="clear" w:color="auto" w:fill="auto"/>
            <w:noWrap/>
            <w:vAlign w:val="center"/>
          </w:tcPr>
          <w:p w14:paraId="1C4DB5A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659</w:t>
            </w:r>
          </w:p>
        </w:tc>
        <w:tc>
          <w:tcPr>
            <w:tcW w:w="965" w:type="dxa"/>
            <w:shd w:val="clear" w:color="auto" w:fill="auto"/>
            <w:noWrap/>
            <w:vAlign w:val="center"/>
          </w:tcPr>
          <w:p w14:paraId="6C3DA825"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659</w:t>
            </w:r>
          </w:p>
        </w:tc>
      </w:tr>
      <w:tr w:rsidR="006419DE" w:rsidRPr="009E5520" w14:paraId="296B8CD6" w14:textId="77777777" w:rsidTr="00521FEF">
        <w:trPr>
          <w:trHeight w:hRule="exact" w:val="218"/>
        </w:trPr>
        <w:tc>
          <w:tcPr>
            <w:tcW w:w="2642" w:type="dxa"/>
            <w:shd w:val="clear" w:color="auto" w:fill="auto"/>
            <w:noWrap/>
            <w:vAlign w:val="bottom"/>
            <w:hideMark/>
          </w:tcPr>
          <w:p w14:paraId="06DBC1F9"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Adjusted R2</w:t>
            </w:r>
          </w:p>
        </w:tc>
        <w:tc>
          <w:tcPr>
            <w:tcW w:w="962" w:type="dxa"/>
            <w:shd w:val="clear" w:color="auto" w:fill="auto"/>
            <w:noWrap/>
            <w:vAlign w:val="center"/>
          </w:tcPr>
          <w:p w14:paraId="37AD1013"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054E7F99"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2F81CA2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          </w:t>
            </w:r>
          </w:p>
        </w:tc>
        <w:tc>
          <w:tcPr>
            <w:tcW w:w="962" w:type="dxa"/>
            <w:shd w:val="clear" w:color="auto" w:fill="auto"/>
            <w:noWrap/>
            <w:vAlign w:val="center"/>
          </w:tcPr>
          <w:p w14:paraId="21341AA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0.45</w:t>
            </w:r>
          </w:p>
        </w:tc>
        <w:tc>
          <w:tcPr>
            <w:tcW w:w="962" w:type="dxa"/>
            <w:shd w:val="clear" w:color="auto" w:fill="auto"/>
            <w:noWrap/>
            <w:vAlign w:val="center"/>
          </w:tcPr>
          <w:p w14:paraId="66EF10C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0.495</w:t>
            </w:r>
          </w:p>
        </w:tc>
        <w:tc>
          <w:tcPr>
            <w:tcW w:w="965" w:type="dxa"/>
            <w:shd w:val="clear" w:color="auto" w:fill="auto"/>
            <w:noWrap/>
            <w:vAlign w:val="center"/>
          </w:tcPr>
          <w:p w14:paraId="7C64285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0.455</w:t>
            </w:r>
          </w:p>
        </w:tc>
      </w:tr>
      <w:tr w:rsidR="006419DE" w:rsidRPr="009E5520" w14:paraId="47E82E98" w14:textId="77777777" w:rsidTr="00521FEF">
        <w:trPr>
          <w:trHeight w:hRule="exact" w:val="218"/>
        </w:trPr>
        <w:tc>
          <w:tcPr>
            <w:tcW w:w="2642" w:type="dxa"/>
            <w:shd w:val="clear" w:color="auto" w:fill="auto"/>
            <w:noWrap/>
            <w:vAlign w:val="bottom"/>
            <w:hideMark/>
          </w:tcPr>
          <w:p w14:paraId="1E06A651"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Root MSE</w:t>
            </w:r>
          </w:p>
        </w:tc>
        <w:tc>
          <w:tcPr>
            <w:tcW w:w="962" w:type="dxa"/>
            <w:shd w:val="clear" w:color="auto" w:fill="auto"/>
            <w:noWrap/>
            <w:vAlign w:val="center"/>
          </w:tcPr>
          <w:p w14:paraId="00272A3A"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798B9A68"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7BAF6F7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 xml:space="preserve">          </w:t>
            </w:r>
          </w:p>
        </w:tc>
        <w:tc>
          <w:tcPr>
            <w:tcW w:w="962" w:type="dxa"/>
            <w:shd w:val="clear" w:color="auto" w:fill="auto"/>
            <w:noWrap/>
            <w:vAlign w:val="center"/>
          </w:tcPr>
          <w:p w14:paraId="1454B8E6"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0.523</w:t>
            </w:r>
          </w:p>
        </w:tc>
        <w:tc>
          <w:tcPr>
            <w:tcW w:w="962" w:type="dxa"/>
            <w:shd w:val="clear" w:color="auto" w:fill="auto"/>
            <w:noWrap/>
            <w:vAlign w:val="center"/>
          </w:tcPr>
          <w:p w14:paraId="114602B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0.501</w:t>
            </w:r>
          </w:p>
        </w:tc>
        <w:tc>
          <w:tcPr>
            <w:tcW w:w="965" w:type="dxa"/>
            <w:shd w:val="clear" w:color="auto" w:fill="auto"/>
            <w:noWrap/>
            <w:vAlign w:val="center"/>
          </w:tcPr>
          <w:p w14:paraId="45E39C1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0.52</w:t>
            </w:r>
          </w:p>
        </w:tc>
      </w:tr>
      <w:tr w:rsidR="006419DE" w:rsidRPr="009E5520" w14:paraId="5C724BB3" w14:textId="77777777" w:rsidTr="00521FEF">
        <w:trPr>
          <w:trHeight w:hRule="exact" w:val="218"/>
        </w:trPr>
        <w:tc>
          <w:tcPr>
            <w:tcW w:w="2642" w:type="dxa"/>
            <w:shd w:val="clear" w:color="auto" w:fill="auto"/>
            <w:noWrap/>
            <w:vAlign w:val="bottom"/>
            <w:hideMark/>
          </w:tcPr>
          <w:p w14:paraId="315049F2"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Number of Instrument</w:t>
            </w:r>
          </w:p>
        </w:tc>
        <w:tc>
          <w:tcPr>
            <w:tcW w:w="962" w:type="dxa"/>
            <w:shd w:val="clear" w:color="auto" w:fill="auto"/>
            <w:noWrap/>
            <w:vAlign w:val="center"/>
          </w:tcPr>
          <w:p w14:paraId="7031A2C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576</w:t>
            </w:r>
          </w:p>
        </w:tc>
        <w:tc>
          <w:tcPr>
            <w:tcW w:w="962" w:type="dxa"/>
            <w:shd w:val="clear" w:color="auto" w:fill="auto"/>
            <w:noWrap/>
            <w:vAlign w:val="center"/>
          </w:tcPr>
          <w:p w14:paraId="3B3D97C9"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576</w:t>
            </w:r>
          </w:p>
        </w:tc>
        <w:tc>
          <w:tcPr>
            <w:tcW w:w="962" w:type="dxa"/>
            <w:shd w:val="clear" w:color="auto" w:fill="auto"/>
            <w:noWrap/>
            <w:vAlign w:val="center"/>
          </w:tcPr>
          <w:p w14:paraId="44F4D38F"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576</w:t>
            </w:r>
          </w:p>
        </w:tc>
        <w:tc>
          <w:tcPr>
            <w:tcW w:w="962" w:type="dxa"/>
            <w:shd w:val="clear" w:color="auto" w:fill="auto"/>
            <w:noWrap/>
            <w:vAlign w:val="center"/>
          </w:tcPr>
          <w:p w14:paraId="7F64F11C"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5E82A90B"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559BFE29" w14:textId="77777777" w:rsidR="006419DE" w:rsidRPr="00D62AFA" w:rsidRDefault="006419DE" w:rsidP="00114EAB">
            <w:pPr>
              <w:spacing w:after="0"/>
              <w:ind w:firstLine="0"/>
              <w:rPr>
                <w:rFonts w:cs="Times New Roman"/>
                <w:sz w:val="16"/>
                <w:szCs w:val="16"/>
              </w:rPr>
            </w:pPr>
          </w:p>
        </w:tc>
      </w:tr>
      <w:tr w:rsidR="006419DE" w:rsidRPr="009E5520" w14:paraId="7F0219DA" w14:textId="77777777" w:rsidTr="00521FEF">
        <w:trPr>
          <w:trHeight w:hRule="exact" w:val="218"/>
        </w:trPr>
        <w:tc>
          <w:tcPr>
            <w:tcW w:w="2642" w:type="dxa"/>
            <w:shd w:val="clear" w:color="auto" w:fill="auto"/>
            <w:noWrap/>
            <w:vAlign w:val="bottom"/>
            <w:hideMark/>
          </w:tcPr>
          <w:p w14:paraId="27CF05F1"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Hansen test of over-identification</w:t>
            </w:r>
          </w:p>
        </w:tc>
        <w:tc>
          <w:tcPr>
            <w:tcW w:w="962" w:type="dxa"/>
            <w:shd w:val="clear" w:color="auto" w:fill="auto"/>
            <w:noWrap/>
            <w:vAlign w:val="center"/>
          </w:tcPr>
          <w:p w14:paraId="4C23C85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0.387</w:t>
            </w:r>
          </w:p>
        </w:tc>
        <w:tc>
          <w:tcPr>
            <w:tcW w:w="962" w:type="dxa"/>
            <w:shd w:val="clear" w:color="auto" w:fill="auto"/>
            <w:noWrap/>
            <w:vAlign w:val="center"/>
          </w:tcPr>
          <w:p w14:paraId="13C89622"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0.369</w:t>
            </w:r>
          </w:p>
        </w:tc>
        <w:tc>
          <w:tcPr>
            <w:tcW w:w="962" w:type="dxa"/>
            <w:shd w:val="clear" w:color="auto" w:fill="auto"/>
            <w:noWrap/>
            <w:vAlign w:val="center"/>
          </w:tcPr>
          <w:p w14:paraId="11344D81"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0.371</w:t>
            </w:r>
          </w:p>
        </w:tc>
        <w:tc>
          <w:tcPr>
            <w:tcW w:w="962" w:type="dxa"/>
            <w:shd w:val="clear" w:color="auto" w:fill="auto"/>
            <w:noWrap/>
            <w:vAlign w:val="center"/>
          </w:tcPr>
          <w:p w14:paraId="1E8DF55A"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470A4CF8"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7137A6AC" w14:textId="77777777" w:rsidR="006419DE" w:rsidRPr="00D62AFA" w:rsidRDefault="006419DE" w:rsidP="00114EAB">
            <w:pPr>
              <w:spacing w:after="0"/>
              <w:ind w:firstLine="0"/>
              <w:rPr>
                <w:rFonts w:cs="Times New Roman"/>
                <w:sz w:val="16"/>
                <w:szCs w:val="16"/>
              </w:rPr>
            </w:pPr>
          </w:p>
        </w:tc>
      </w:tr>
      <w:tr w:rsidR="006419DE" w:rsidRPr="009E5520" w14:paraId="1D1CF778" w14:textId="77777777" w:rsidTr="00521FEF">
        <w:trPr>
          <w:trHeight w:hRule="exact" w:val="218"/>
        </w:trPr>
        <w:tc>
          <w:tcPr>
            <w:tcW w:w="2642" w:type="dxa"/>
            <w:shd w:val="clear" w:color="auto" w:fill="auto"/>
            <w:noWrap/>
            <w:vAlign w:val="bottom"/>
            <w:hideMark/>
          </w:tcPr>
          <w:p w14:paraId="0EA6CCB0"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1)</w:t>
            </w:r>
          </w:p>
        </w:tc>
        <w:tc>
          <w:tcPr>
            <w:tcW w:w="962" w:type="dxa"/>
            <w:shd w:val="clear" w:color="auto" w:fill="auto"/>
            <w:noWrap/>
            <w:vAlign w:val="center"/>
          </w:tcPr>
          <w:p w14:paraId="30074598"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w:t>
            </w:r>
          </w:p>
        </w:tc>
        <w:tc>
          <w:tcPr>
            <w:tcW w:w="962" w:type="dxa"/>
            <w:shd w:val="clear" w:color="auto" w:fill="auto"/>
            <w:noWrap/>
            <w:vAlign w:val="center"/>
          </w:tcPr>
          <w:p w14:paraId="2205A0E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w:t>
            </w:r>
          </w:p>
        </w:tc>
        <w:tc>
          <w:tcPr>
            <w:tcW w:w="962" w:type="dxa"/>
            <w:shd w:val="clear" w:color="auto" w:fill="auto"/>
            <w:noWrap/>
            <w:vAlign w:val="center"/>
          </w:tcPr>
          <w:p w14:paraId="4CFA78B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w:t>
            </w:r>
          </w:p>
        </w:tc>
        <w:tc>
          <w:tcPr>
            <w:tcW w:w="962" w:type="dxa"/>
            <w:shd w:val="clear" w:color="auto" w:fill="auto"/>
            <w:noWrap/>
            <w:vAlign w:val="center"/>
          </w:tcPr>
          <w:p w14:paraId="3FF6B4B1"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767EAF75"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751E0E71" w14:textId="77777777" w:rsidR="006419DE" w:rsidRPr="00D62AFA" w:rsidRDefault="006419DE" w:rsidP="00114EAB">
            <w:pPr>
              <w:spacing w:after="0"/>
              <w:ind w:firstLine="0"/>
              <w:rPr>
                <w:rFonts w:cs="Times New Roman"/>
                <w:sz w:val="16"/>
                <w:szCs w:val="16"/>
              </w:rPr>
            </w:pPr>
          </w:p>
        </w:tc>
      </w:tr>
      <w:tr w:rsidR="006419DE" w:rsidRPr="009E5520" w14:paraId="4569F250" w14:textId="77777777" w:rsidTr="00521FEF">
        <w:trPr>
          <w:trHeight w:hRule="exact" w:val="218"/>
        </w:trPr>
        <w:tc>
          <w:tcPr>
            <w:tcW w:w="2642" w:type="dxa"/>
            <w:shd w:val="clear" w:color="auto" w:fill="auto"/>
            <w:noWrap/>
            <w:vAlign w:val="bottom"/>
            <w:hideMark/>
          </w:tcPr>
          <w:p w14:paraId="7B4E7827"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2)</w:t>
            </w:r>
          </w:p>
        </w:tc>
        <w:tc>
          <w:tcPr>
            <w:tcW w:w="962" w:type="dxa"/>
            <w:shd w:val="clear" w:color="auto" w:fill="auto"/>
            <w:noWrap/>
            <w:vAlign w:val="center"/>
          </w:tcPr>
          <w:p w14:paraId="0C646DE7"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0.093</w:t>
            </w:r>
          </w:p>
        </w:tc>
        <w:tc>
          <w:tcPr>
            <w:tcW w:w="962" w:type="dxa"/>
            <w:shd w:val="clear" w:color="auto" w:fill="auto"/>
            <w:noWrap/>
            <w:vAlign w:val="center"/>
          </w:tcPr>
          <w:p w14:paraId="03D8E29B"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0.081</w:t>
            </w:r>
          </w:p>
        </w:tc>
        <w:tc>
          <w:tcPr>
            <w:tcW w:w="962" w:type="dxa"/>
            <w:shd w:val="clear" w:color="auto" w:fill="auto"/>
            <w:noWrap/>
            <w:vAlign w:val="center"/>
          </w:tcPr>
          <w:p w14:paraId="327A03D0"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0.093</w:t>
            </w:r>
          </w:p>
        </w:tc>
        <w:tc>
          <w:tcPr>
            <w:tcW w:w="962" w:type="dxa"/>
            <w:shd w:val="clear" w:color="auto" w:fill="auto"/>
            <w:noWrap/>
            <w:vAlign w:val="center"/>
          </w:tcPr>
          <w:p w14:paraId="0DF1228D"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76C7227B"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5082CFC7" w14:textId="77777777" w:rsidR="006419DE" w:rsidRPr="00D62AFA" w:rsidRDefault="006419DE" w:rsidP="00114EAB">
            <w:pPr>
              <w:spacing w:after="0"/>
              <w:ind w:firstLine="0"/>
              <w:rPr>
                <w:rFonts w:cs="Times New Roman"/>
                <w:sz w:val="16"/>
                <w:szCs w:val="16"/>
              </w:rPr>
            </w:pPr>
          </w:p>
        </w:tc>
      </w:tr>
      <w:tr w:rsidR="006419DE" w:rsidRPr="009E5520" w14:paraId="779C950C" w14:textId="77777777" w:rsidTr="00521FEF">
        <w:trPr>
          <w:trHeight w:hRule="exact" w:val="218"/>
        </w:trPr>
        <w:tc>
          <w:tcPr>
            <w:tcW w:w="2642" w:type="dxa"/>
            <w:tcBorders>
              <w:bottom w:val="single" w:sz="4" w:space="0" w:color="auto"/>
            </w:tcBorders>
            <w:shd w:val="clear" w:color="auto" w:fill="auto"/>
            <w:noWrap/>
            <w:vAlign w:val="bottom"/>
            <w:hideMark/>
          </w:tcPr>
          <w:p w14:paraId="0C81CBEB" w14:textId="77777777" w:rsidR="006419DE" w:rsidRPr="009E5520" w:rsidRDefault="006419DE" w:rsidP="00114EAB">
            <w:pPr>
              <w:spacing w:after="0"/>
              <w:ind w:firstLine="0"/>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3)</w:t>
            </w:r>
          </w:p>
        </w:tc>
        <w:tc>
          <w:tcPr>
            <w:tcW w:w="962" w:type="dxa"/>
            <w:shd w:val="clear" w:color="auto" w:fill="auto"/>
            <w:noWrap/>
            <w:vAlign w:val="center"/>
          </w:tcPr>
          <w:p w14:paraId="6A78BC94"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0.503</w:t>
            </w:r>
          </w:p>
        </w:tc>
        <w:tc>
          <w:tcPr>
            <w:tcW w:w="962" w:type="dxa"/>
            <w:shd w:val="clear" w:color="auto" w:fill="auto"/>
            <w:noWrap/>
            <w:vAlign w:val="center"/>
          </w:tcPr>
          <w:p w14:paraId="34E75B2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0.452</w:t>
            </w:r>
          </w:p>
        </w:tc>
        <w:tc>
          <w:tcPr>
            <w:tcW w:w="962" w:type="dxa"/>
            <w:shd w:val="clear" w:color="auto" w:fill="auto"/>
            <w:noWrap/>
            <w:vAlign w:val="center"/>
          </w:tcPr>
          <w:p w14:paraId="2AA185EC" w14:textId="77777777" w:rsidR="006419DE" w:rsidRPr="00D62AFA" w:rsidRDefault="006419DE" w:rsidP="00114EAB">
            <w:pPr>
              <w:spacing w:after="0"/>
              <w:ind w:firstLine="0"/>
              <w:rPr>
                <w:rFonts w:cs="Times New Roman"/>
                <w:sz w:val="16"/>
                <w:szCs w:val="16"/>
              </w:rPr>
            </w:pPr>
            <w:r w:rsidRPr="00D62AFA">
              <w:rPr>
                <w:rFonts w:ascii="Calibri" w:hAnsi="Calibri" w:cs="Calibri"/>
                <w:color w:val="000000"/>
                <w:sz w:val="16"/>
                <w:szCs w:val="16"/>
              </w:rPr>
              <w:t>0.511</w:t>
            </w:r>
          </w:p>
        </w:tc>
        <w:tc>
          <w:tcPr>
            <w:tcW w:w="962" w:type="dxa"/>
            <w:shd w:val="clear" w:color="auto" w:fill="auto"/>
            <w:noWrap/>
            <w:vAlign w:val="center"/>
          </w:tcPr>
          <w:p w14:paraId="119B6788" w14:textId="77777777" w:rsidR="006419DE" w:rsidRPr="00D62AFA" w:rsidRDefault="006419DE" w:rsidP="00114EAB">
            <w:pPr>
              <w:spacing w:after="0"/>
              <w:ind w:firstLine="0"/>
              <w:rPr>
                <w:rFonts w:cs="Times New Roman"/>
                <w:sz w:val="16"/>
                <w:szCs w:val="16"/>
              </w:rPr>
            </w:pPr>
          </w:p>
        </w:tc>
        <w:tc>
          <w:tcPr>
            <w:tcW w:w="962" w:type="dxa"/>
            <w:shd w:val="clear" w:color="auto" w:fill="auto"/>
            <w:noWrap/>
            <w:vAlign w:val="center"/>
          </w:tcPr>
          <w:p w14:paraId="11DF9A1C" w14:textId="77777777" w:rsidR="006419DE" w:rsidRPr="00D62AFA" w:rsidRDefault="006419DE" w:rsidP="00114EAB">
            <w:pPr>
              <w:spacing w:after="0"/>
              <w:ind w:firstLine="0"/>
              <w:rPr>
                <w:rFonts w:cs="Times New Roman"/>
                <w:sz w:val="16"/>
                <w:szCs w:val="16"/>
              </w:rPr>
            </w:pPr>
          </w:p>
        </w:tc>
        <w:tc>
          <w:tcPr>
            <w:tcW w:w="965" w:type="dxa"/>
            <w:shd w:val="clear" w:color="auto" w:fill="auto"/>
            <w:noWrap/>
            <w:vAlign w:val="center"/>
          </w:tcPr>
          <w:p w14:paraId="4A27E582" w14:textId="77777777" w:rsidR="006419DE" w:rsidRPr="00D62AFA" w:rsidRDefault="006419DE" w:rsidP="00114EAB">
            <w:pPr>
              <w:spacing w:after="0"/>
              <w:ind w:firstLine="0"/>
              <w:rPr>
                <w:rFonts w:cs="Times New Roman"/>
                <w:sz w:val="16"/>
                <w:szCs w:val="16"/>
              </w:rPr>
            </w:pPr>
          </w:p>
        </w:tc>
      </w:tr>
      <w:tr w:rsidR="006419DE" w:rsidRPr="009E5520" w14:paraId="54A08A3A" w14:textId="77777777" w:rsidTr="00521FEF">
        <w:trPr>
          <w:trHeight w:hRule="exact" w:val="1805"/>
        </w:trPr>
        <w:tc>
          <w:tcPr>
            <w:tcW w:w="8417" w:type="dxa"/>
            <w:gridSpan w:val="7"/>
            <w:tcBorders>
              <w:bottom w:val="single" w:sz="4" w:space="0" w:color="auto"/>
            </w:tcBorders>
            <w:shd w:val="clear" w:color="auto" w:fill="auto"/>
            <w:hideMark/>
          </w:tcPr>
          <w:p w14:paraId="4D0EF1FB" w14:textId="77777777" w:rsidR="006419DE" w:rsidRPr="009E5520" w:rsidRDefault="006419DE" w:rsidP="00114EAB">
            <w:pPr>
              <w:pStyle w:val="Footnoot"/>
            </w:pPr>
            <w:r w:rsidRPr="009E5520">
              <w:t>Notes: Table 2 reports the determinants of labour share. Labour share is measured as labour cost divided by the sum of earnings before interest, tax, depreciation, and amortisation (</w:t>
            </w:r>
            <w:r w:rsidRPr="009E5520">
              <w:rPr>
                <w:i/>
              </w:rPr>
              <w:t>EBITDA</w:t>
            </w:r>
            <w:r w:rsidRPr="009E5520">
              <w:t xml:space="preserve">) and labour cost. Each regression includes region, industry, and year fixed effects. Continuous variables are </w:t>
            </w:r>
            <w:proofErr w:type="spellStart"/>
            <w:r w:rsidRPr="009E5520">
              <w:t>winsorised</w:t>
            </w:r>
            <w:proofErr w:type="spellEnd"/>
            <w:r w:rsidRPr="009E5520">
              <w:t xml:space="preserve"> at 1 per cent and 99 per cent. Robust standard errors clustered at the firm level are reported in parentheses.</w:t>
            </w:r>
          </w:p>
          <w:p w14:paraId="51661781" w14:textId="77777777" w:rsidR="006419DE" w:rsidRPr="009E5520" w:rsidRDefault="006419DE" w:rsidP="00114EAB">
            <w:pPr>
              <w:pStyle w:val="Footnoot"/>
            </w:pPr>
            <w:r w:rsidRPr="009E5520">
              <w:t>*, **, *** Indicate significance at the 10%, 5% and 1% levels, respectively.</w:t>
            </w:r>
            <w:r w:rsidRPr="009E5520">
              <w:br/>
              <w:t>All variables are defined in Appendix B.</w:t>
            </w:r>
          </w:p>
        </w:tc>
      </w:tr>
    </w:tbl>
    <w:p w14:paraId="76087CA9" w14:textId="77777777" w:rsidR="006419DE" w:rsidRDefault="006419DE" w:rsidP="006419DE">
      <w:pPr>
        <w:ind w:firstLine="0"/>
      </w:pPr>
    </w:p>
    <w:p w14:paraId="572BE976" w14:textId="2B30FE78" w:rsidR="00457F4D" w:rsidRDefault="00457F4D" w:rsidP="00457F4D"/>
    <w:p w14:paraId="5B1D8ECF" w14:textId="77777777" w:rsidR="00331897" w:rsidRPr="00457F4D" w:rsidRDefault="00331897" w:rsidP="00457F4D"/>
    <w:p w14:paraId="4AA83F3D" w14:textId="53781361" w:rsidR="00457F4D" w:rsidRPr="00457F4D" w:rsidRDefault="00457F4D" w:rsidP="00457F4D">
      <w:r w:rsidRPr="00457F4D">
        <w:lastRenderedPageBreak/>
        <w:t xml:space="preserve">We also examine how labour market power impacts labour share. Row 9 shows the impact of </w:t>
      </w:r>
      <w:proofErr w:type="spellStart"/>
      <w:r w:rsidRPr="00457F4D">
        <w:rPr>
          <w:i/>
          <w:iCs/>
        </w:rPr>
        <w:t>IndHHIEmp</w:t>
      </w:r>
      <w:proofErr w:type="spellEnd"/>
      <w:r w:rsidRPr="00457F4D">
        <w:t xml:space="preserve"> on labour share. The </w:t>
      </w:r>
      <w:r w:rsidRPr="00457F4D">
        <w:rPr>
          <w:i/>
          <w:iCs/>
        </w:rPr>
        <w:t>SGMM</w:t>
      </w:r>
      <w:r w:rsidRPr="00457F4D">
        <w:t xml:space="preserve"> estimates reported in columns 1, 2 and 3 indicate an insignificant relationship between </w:t>
      </w:r>
      <w:proofErr w:type="spellStart"/>
      <w:r w:rsidRPr="00457F4D">
        <w:rPr>
          <w:i/>
          <w:iCs/>
        </w:rPr>
        <w:t>IndHHIEmp</w:t>
      </w:r>
      <w:proofErr w:type="spellEnd"/>
      <w:r w:rsidRPr="00457F4D">
        <w:t xml:space="preserve"> and labour share. Similarly, the OLS estimates, column 4, 5 and 6, does not show a significant relationship at 5% level. While this finding is not consistent with our first hypothesis, it is close to the result achieved by </w:t>
      </w:r>
      <w:r w:rsidRPr="00457F4D">
        <w:fldChar w:fldCharType="begin" w:fldLock="1"/>
      </w:r>
      <w:r w:rsidR="00BA76AC">
        <w:instrText>ADDIN CSL_CITATION {"citationItems":[{"id":"ITEM-1","itemData":{"DOI":"10.2139/SSRN.3279007","ISSN":"1556-5068","abstract":"Using U.S. administrative data, this paper shows that the employment-weighted average labor market concentration has been declining since 1980-the opposite of the change needed to explain the falling labor share. The relationship between wages and labor market concentration has also weakened (become less negative) over that time. Together, these results make labor market concentration an implausible driver of the falling labor share despite a strong, negative relationship between labor market concentration and wages.","author":[{"dropping-particle":"","family":"Lipsius","given":"Ben","non-dropping-particle":"","parse-names":false,"suffix":""}],"container-title":"SSRN Electronic Journal","id":"ITEM-1","issued":{"date-parts":[["2018","11","1"]]},"publisher":"Elsevier BV","title":"Labor Market Concentration Does Not Explain the Falling Labor Share","type":"article-journal"},"uris":["http://www.mendeley.com/documents/?uuid=03440fb8-9c79-3b68-ba98-6759235a0ac9"]}],"mendeley":{"formattedCitation":"(Lipsius, 2018)","manualFormatting":"Lipsius (2018)","plainTextFormattedCitation":"(Lipsius, 2018)","previouslyFormattedCitation":"(Lipsius 2018)"},"properties":{"noteIndex":0},"schema":"https://github.com/citation-style-language/schema/raw/master/csl-citation.json"}</w:instrText>
      </w:r>
      <w:r w:rsidRPr="00457F4D">
        <w:fldChar w:fldCharType="separate"/>
      </w:r>
      <w:r w:rsidRPr="00457F4D">
        <w:rPr>
          <w:noProof/>
        </w:rPr>
        <w:t>Lipsius (2018)</w:t>
      </w:r>
      <w:r w:rsidRPr="00457F4D">
        <w:fldChar w:fldCharType="end"/>
      </w:r>
      <w:r w:rsidRPr="00457F4D">
        <w:t xml:space="preserve"> which shows that labour market concentration is an implausible driver of the falling labour share. In addition, row 10 illustrates that </w:t>
      </w:r>
      <w:r w:rsidRPr="00457F4D">
        <w:rPr>
          <w:i/>
          <w:iCs/>
        </w:rPr>
        <w:t>Union</w:t>
      </w:r>
      <w:r w:rsidRPr="00457F4D">
        <w:t xml:space="preserve"> does not significantly impact labour share. In all columns, we also control for the possible effect of other factors on labour share. Among them, </w:t>
      </w:r>
      <w:r w:rsidRPr="00457F4D">
        <w:rPr>
          <w:i/>
          <w:iCs/>
        </w:rPr>
        <w:t xml:space="preserve">BTM </w:t>
      </w:r>
      <w:r w:rsidRPr="00457F4D">
        <w:rPr>
          <w:iCs/>
        </w:rPr>
        <w:t>and</w:t>
      </w:r>
      <w:r w:rsidRPr="00457F4D">
        <w:t xml:space="preserve"> </w:t>
      </w:r>
      <w:proofErr w:type="spellStart"/>
      <w:r w:rsidRPr="00457F4D">
        <w:rPr>
          <w:i/>
        </w:rPr>
        <w:t>LnAge</w:t>
      </w:r>
      <w:proofErr w:type="spellEnd"/>
      <w:r w:rsidRPr="00457F4D">
        <w:t xml:space="preserve"> are strongly related to labour share. Table 2 shows that labour share decreases with a decrease in </w:t>
      </w:r>
      <w:r w:rsidRPr="00457F4D">
        <w:rPr>
          <w:i/>
          <w:iCs/>
        </w:rPr>
        <w:t>BTM</w:t>
      </w:r>
      <w:r w:rsidRPr="00457F4D">
        <w:t xml:space="preserve"> and an increase in </w:t>
      </w:r>
      <w:proofErr w:type="spellStart"/>
      <w:r w:rsidRPr="00457F4D">
        <w:rPr>
          <w:i/>
          <w:iCs/>
        </w:rPr>
        <w:t>LnAge</w:t>
      </w:r>
      <w:proofErr w:type="spellEnd"/>
      <w:r w:rsidRPr="00457F4D">
        <w:t xml:space="preserve">. This is consistent with </w:t>
      </w:r>
      <w:r w:rsidRPr="00457F4D">
        <w:fldChar w:fldCharType="begin" w:fldLock="1"/>
      </w:r>
      <w:r w:rsidR="00BA76AC">
        <w:instrText>ADDIN CSL_CITATION {"citationItems":[{"id":"ITEM-1","itemData":{"DOI":"10.1016/j.jfineco.2018.10.016","ISSN":"0304405X","abstract":"The relative size and inflexibility of labor expenses lead to a form of operating leverage, which we call labor leverage. We derive a set of conditions for the existence of labor leverage even when labor markets are frictionless. Our model provides theoretical support for the use of firm-level labor share as a measure of labor leverage. Using Compustat/CRSP and confidential Census data, we provide evidence for the existence and for the economic significance of labor leverage: high labor share firms have operating profits that are more sensitive to economic shocks and have higher expected returns.","author":[{"dropping-particle":"","family":"Donangelo","given":"Andres","non-dropping-particle":"","parse-names":false,"suffix":""},{"dropping-particle":"","family":"Gourio","given":"François","non-dropping-particle":"","parse-names":false,"suffix":""},{"dropping-particle":"","family":"Kehrig","given":"Matthias","non-dropping-particle":"","parse-names":false,"suffix":""},{"dropping-particle":"","family":"Palacios","given":"Miguel","non-dropping-particle":"","parse-names":false,"suffix":""}],"container-title":"Journal of Financial Economics","id":"ITEM-1","issue":"2","issued":{"date-parts":[["2019","5","1"]]},"page":"497-518","publisher":"Elsevier B.V.","title":"The cross-section of labor leverage and equity returns","type":"article-journal","volume":"132"},"uris":["http://www.mendeley.com/documents/?uuid=439c8f27-2933-3fec-90f5-f680cda9af93"]}],"mendeley":{"formattedCitation":"(Donangelo et al., 2019)","manualFormatting":"Donangelo et al. (2019)","plainTextFormattedCitation":"(Donangelo et al., 2019)","previouslyFormattedCitation":"(Donangelo, Gourio, Kehrig, and Palacios 2019)"},"properties":{"noteIndex":0},"schema":"https://github.com/citation-style-language/schema/raw/master/csl-citation.json"}</w:instrText>
      </w:r>
      <w:r w:rsidRPr="00457F4D">
        <w:fldChar w:fldCharType="separate"/>
      </w:r>
      <w:r w:rsidRPr="00457F4D">
        <w:rPr>
          <w:noProof/>
        </w:rPr>
        <w:t>Donangelo et al. (2019)</w:t>
      </w:r>
      <w:r w:rsidRPr="00457F4D">
        <w:fldChar w:fldCharType="end"/>
      </w:r>
      <w:r w:rsidRPr="00457F4D">
        <w:t>. High labour share firms are more exposed to systematic risk and less productive.</w:t>
      </w:r>
    </w:p>
    <w:p w14:paraId="338EEC2A" w14:textId="77777777" w:rsidR="00457F4D" w:rsidRDefault="00457F4D" w:rsidP="00457F4D">
      <w:r w:rsidRPr="00457F4D">
        <w:t xml:space="preserve">As a preliminary robustness check, Table 3 shows the impact of each driver, including technological progress, product market power and labour market power, separately on labour share. The coefficients in all columns are estimated by two-step </w:t>
      </w:r>
      <w:r w:rsidRPr="00457F4D">
        <w:rPr>
          <w:i/>
          <w:iCs/>
        </w:rPr>
        <w:t>SGMM</w:t>
      </w:r>
      <w:r w:rsidRPr="00457F4D">
        <w:t xml:space="preserve"> with robust standard error in which labour share and all right-hand side variables except </w:t>
      </w:r>
      <w:r w:rsidRPr="00457F4D">
        <w:rPr>
          <w:i/>
          <w:iCs/>
        </w:rPr>
        <w:t>Union</w:t>
      </w:r>
      <w:r w:rsidRPr="00457F4D">
        <w:t xml:space="preserve"> are treated as potentially endogenous variables. We use the first and second lagged first differences of endogenous variables as instruments for the level equation and the second and third lagged values of endogenous variables as instruments for the first differences equation. The first three columns show that firms with a higher </w:t>
      </w:r>
      <w:proofErr w:type="spellStart"/>
      <w:r w:rsidRPr="00457F4D">
        <w:rPr>
          <w:i/>
          <w:iCs/>
        </w:rPr>
        <w:t>LnCapital</w:t>
      </w:r>
      <w:proofErr w:type="spellEnd"/>
      <w:r w:rsidRPr="00457F4D">
        <w:rPr>
          <w:i/>
          <w:iCs/>
        </w:rPr>
        <w:t>/VA</w:t>
      </w:r>
      <w:r w:rsidRPr="00457F4D">
        <w:t xml:space="preserve"> and </w:t>
      </w:r>
      <w:r w:rsidRPr="00457F4D">
        <w:rPr>
          <w:i/>
          <w:iCs/>
        </w:rPr>
        <w:t>TFP</w:t>
      </w:r>
      <w:r w:rsidRPr="00457F4D">
        <w:t xml:space="preserve"> have a lower labour share. The next three columns provide evidence of the negative relationship between </w:t>
      </w:r>
      <w:proofErr w:type="spellStart"/>
      <w:r w:rsidRPr="00457F4D">
        <w:rPr>
          <w:i/>
          <w:iCs/>
        </w:rPr>
        <w:t>LnMarkup</w:t>
      </w:r>
      <w:proofErr w:type="spellEnd"/>
      <w:r w:rsidRPr="00457F4D">
        <w:t xml:space="preserve"> and labour share. A 1% increase in mark-up leads to around a 0.08% decrease in the labour share across all the Cobb-Douglas production function estimation methods. The last column shows that labour market power, measured by </w:t>
      </w:r>
      <w:proofErr w:type="spellStart"/>
      <w:r w:rsidRPr="00457F4D">
        <w:rPr>
          <w:i/>
        </w:rPr>
        <w:t>IndHHIEmp</w:t>
      </w:r>
      <w:proofErr w:type="spellEnd"/>
      <w:r w:rsidRPr="00457F4D">
        <w:t xml:space="preserve"> or </w:t>
      </w:r>
      <w:r w:rsidRPr="00457F4D">
        <w:rPr>
          <w:i/>
        </w:rPr>
        <w:t>Union</w:t>
      </w:r>
      <w:r w:rsidRPr="00457F4D">
        <w:t xml:space="preserve">, is not related to firm-level labour share, at least in our sample. Overall, the Australian firm-level evidence on the potential drivers of labour share is in line with previous studies. Our result shows that technological progress and product market power are the most critical factors in explaining the level of labour share. </w:t>
      </w:r>
    </w:p>
    <w:p w14:paraId="4C4AE4FC" w14:textId="77777777" w:rsidR="00331897" w:rsidRDefault="00331897" w:rsidP="00457F4D"/>
    <w:p w14:paraId="4C7D99AE" w14:textId="77777777" w:rsidR="00331897" w:rsidRDefault="00331897" w:rsidP="00457F4D"/>
    <w:p w14:paraId="2FFB727F" w14:textId="77777777" w:rsidR="00331897" w:rsidRDefault="00331897" w:rsidP="00457F4D"/>
    <w:p w14:paraId="0F5EC083" w14:textId="77777777" w:rsidR="00331897" w:rsidRDefault="00331897" w:rsidP="00457F4D"/>
    <w:p w14:paraId="08A4F270" w14:textId="77777777" w:rsidR="00331897" w:rsidRDefault="00331897" w:rsidP="00457F4D"/>
    <w:p w14:paraId="71800065" w14:textId="77777777" w:rsidR="00331897" w:rsidRDefault="00331897" w:rsidP="00457F4D"/>
    <w:p w14:paraId="3DEB08D6" w14:textId="77777777" w:rsidR="00331897" w:rsidRDefault="00331897" w:rsidP="00457F4D"/>
    <w:p w14:paraId="4015694F" w14:textId="77777777" w:rsidR="00331897" w:rsidRDefault="00331897" w:rsidP="00457F4D"/>
    <w:p w14:paraId="47C2A09F" w14:textId="77777777" w:rsidR="00331897" w:rsidRDefault="00331897" w:rsidP="00457F4D"/>
    <w:p w14:paraId="36556EBA" w14:textId="77777777" w:rsidR="00FD6330" w:rsidRDefault="00FD6330" w:rsidP="00521FEF">
      <w:pPr>
        <w:pStyle w:val="Caption"/>
        <w:spacing w:before="0" w:line="240" w:lineRule="auto"/>
        <w:jc w:val="center"/>
        <w:rPr>
          <w:b/>
          <w:bCs/>
          <w:i w:val="0"/>
          <w:color w:val="auto"/>
          <w:sz w:val="22"/>
          <w:szCs w:val="22"/>
        </w:rPr>
      </w:pPr>
    </w:p>
    <w:p w14:paraId="4E9DD200" w14:textId="460860D5" w:rsidR="00521FEF" w:rsidRPr="00331897" w:rsidRDefault="00521FEF" w:rsidP="00521FEF">
      <w:pPr>
        <w:pStyle w:val="Caption"/>
        <w:spacing w:before="0" w:line="240" w:lineRule="auto"/>
        <w:jc w:val="center"/>
        <w:rPr>
          <w:b/>
          <w:bCs/>
          <w:i w:val="0"/>
          <w:color w:val="auto"/>
          <w:sz w:val="22"/>
          <w:szCs w:val="22"/>
        </w:rPr>
      </w:pPr>
      <w:r w:rsidRPr="00331897">
        <w:rPr>
          <w:b/>
          <w:bCs/>
          <w:i w:val="0"/>
          <w:color w:val="auto"/>
          <w:sz w:val="22"/>
          <w:szCs w:val="22"/>
        </w:rPr>
        <w:lastRenderedPageBreak/>
        <w:t xml:space="preserve">Table </w:t>
      </w:r>
      <w:r w:rsidR="00C618D0">
        <w:rPr>
          <w:b/>
          <w:bCs/>
          <w:i w:val="0"/>
          <w:color w:val="auto"/>
          <w:sz w:val="22"/>
          <w:szCs w:val="22"/>
        </w:rPr>
        <w:t>3.</w:t>
      </w:r>
      <w:r w:rsidRPr="00331897">
        <w:rPr>
          <w:b/>
          <w:bCs/>
          <w:i w:val="0"/>
          <w:color w:val="auto"/>
          <w:sz w:val="22"/>
          <w:szCs w:val="22"/>
        </w:rPr>
        <w:t xml:space="preserve"> The determinants of labour share</w:t>
      </w:r>
      <w:r w:rsidR="001B2D03">
        <w:rPr>
          <w:b/>
          <w:bCs/>
          <w:i w:val="0"/>
          <w:color w:val="auto"/>
          <w:sz w:val="22"/>
          <w:szCs w:val="22"/>
        </w:rPr>
        <w:t xml:space="preserve"> (robustness check)</w:t>
      </w:r>
    </w:p>
    <w:tbl>
      <w:tblPr>
        <w:tblW w:w="9387" w:type="dxa"/>
        <w:jc w:val="center"/>
        <w:tblLook w:val="04A0" w:firstRow="1" w:lastRow="0" w:firstColumn="1" w:lastColumn="0" w:noHBand="0" w:noVBand="1"/>
      </w:tblPr>
      <w:tblGrid>
        <w:gridCol w:w="2422"/>
        <w:gridCol w:w="1206"/>
        <w:gridCol w:w="958"/>
        <w:gridCol w:w="959"/>
        <w:gridCol w:w="959"/>
        <w:gridCol w:w="959"/>
        <w:gridCol w:w="959"/>
        <w:gridCol w:w="965"/>
      </w:tblGrid>
      <w:tr w:rsidR="00521FEF" w:rsidRPr="009E5520" w14:paraId="7DDC6DF7" w14:textId="77777777" w:rsidTr="00114EAB">
        <w:trPr>
          <w:trHeight w:hRule="exact" w:val="227"/>
          <w:jc w:val="center"/>
        </w:trPr>
        <w:tc>
          <w:tcPr>
            <w:tcW w:w="2422" w:type="dxa"/>
            <w:shd w:val="clear" w:color="auto" w:fill="auto"/>
            <w:noWrap/>
            <w:vAlign w:val="center"/>
            <w:hideMark/>
          </w:tcPr>
          <w:p w14:paraId="178E2FFB" w14:textId="77777777" w:rsidR="00521FEF" w:rsidRPr="009E5520" w:rsidRDefault="00521FEF" w:rsidP="00114EAB">
            <w:pPr>
              <w:spacing w:after="0" w:line="240" w:lineRule="auto"/>
              <w:ind w:firstLine="0"/>
              <w:jc w:val="left"/>
              <w:rPr>
                <w:rFonts w:cs="Times New Roman"/>
                <w:sz w:val="18"/>
                <w:szCs w:val="18"/>
              </w:rPr>
            </w:pPr>
          </w:p>
        </w:tc>
        <w:tc>
          <w:tcPr>
            <w:tcW w:w="6965" w:type="dxa"/>
            <w:gridSpan w:val="7"/>
            <w:shd w:val="clear" w:color="auto" w:fill="auto"/>
            <w:noWrap/>
            <w:vAlign w:val="center"/>
            <w:hideMark/>
          </w:tcPr>
          <w:p w14:paraId="44D36BD4" w14:textId="77777777" w:rsidR="00521FEF" w:rsidRPr="009E5520" w:rsidRDefault="00521FEF" w:rsidP="00114EAB">
            <w:pPr>
              <w:spacing w:after="0" w:line="240" w:lineRule="auto"/>
              <w:ind w:firstLine="0"/>
              <w:jc w:val="center"/>
              <w:rPr>
                <w:rFonts w:cs="Times New Roman"/>
                <w:sz w:val="18"/>
                <w:szCs w:val="18"/>
              </w:rPr>
            </w:pPr>
            <w:proofErr w:type="spellStart"/>
            <w:r w:rsidRPr="009E5520">
              <w:rPr>
                <w:rFonts w:cs="Times New Roman"/>
                <w:sz w:val="18"/>
                <w:szCs w:val="18"/>
              </w:rPr>
              <w:t>LnLabourShare</w:t>
            </w:r>
            <w:proofErr w:type="spellEnd"/>
          </w:p>
        </w:tc>
      </w:tr>
      <w:tr w:rsidR="00521FEF" w:rsidRPr="009E5520" w14:paraId="0144D5AC" w14:textId="77777777" w:rsidTr="00114EAB">
        <w:trPr>
          <w:trHeight w:hRule="exact" w:val="227"/>
          <w:jc w:val="center"/>
        </w:trPr>
        <w:tc>
          <w:tcPr>
            <w:tcW w:w="2422" w:type="dxa"/>
            <w:tcBorders>
              <w:bottom w:val="single" w:sz="4" w:space="0" w:color="auto"/>
            </w:tcBorders>
            <w:shd w:val="clear" w:color="auto" w:fill="auto"/>
            <w:noWrap/>
            <w:vAlign w:val="center"/>
            <w:hideMark/>
          </w:tcPr>
          <w:p w14:paraId="0C73A7A7" w14:textId="77777777" w:rsidR="00521FEF" w:rsidRPr="009E5520" w:rsidRDefault="00521FEF" w:rsidP="00114EAB">
            <w:pPr>
              <w:spacing w:after="0" w:line="240" w:lineRule="auto"/>
              <w:ind w:firstLine="0"/>
              <w:jc w:val="left"/>
              <w:rPr>
                <w:rFonts w:cs="Times New Roman"/>
                <w:sz w:val="18"/>
                <w:szCs w:val="18"/>
              </w:rPr>
            </w:pPr>
          </w:p>
        </w:tc>
        <w:tc>
          <w:tcPr>
            <w:tcW w:w="1206" w:type="dxa"/>
            <w:tcBorders>
              <w:top w:val="single" w:sz="4" w:space="0" w:color="auto"/>
              <w:bottom w:val="single" w:sz="4" w:space="0" w:color="auto"/>
            </w:tcBorders>
            <w:shd w:val="clear" w:color="auto" w:fill="auto"/>
            <w:noWrap/>
            <w:vAlign w:val="center"/>
            <w:hideMark/>
          </w:tcPr>
          <w:p w14:paraId="4BF35C2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w:t>
            </w:r>
          </w:p>
        </w:tc>
        <w:tc>
          <w:tcPr>
            <w:tcW w:w="958" w:type="dxa"/>
            <w:tcBorders>
              <w:top w:val="single" w:sz="4" w:space="0" w:color="auto"/>
              <w:bottom w:val="single" w:sz="4" w:space="0" w:color="auto"/>
            </w:tcBorders>
            <w:shd w:val="clear" w:color="auto" w:fill="auto"/>
            <w:noWrap/>
            <w:vAlign w:val="center"/>
            <w:hideMark/>
          </w:tcPr>
          <w:p w14:paraId="52231DA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w:t>
            </w:r>
          </w:p>
        </w:tc>
        <w:tc>
          <w:tcPr>
            <w:tcW w:w="959" w:type="dxa"/>
            <w:tcBorders>
              <w:top w:val="single" w:sz="4" w:space="0" w:color="auto"/>
              <w:bottom w:val="single" w:sz="4" w:space="0" w:color="auto"/>
            </w:tcBorders>
            <w:shd w:val="clear" w:color="auto" w:fill="auto"/>
            <w:noWrap/>
            <w:vAlign w:val="center"/>
            <w:hideMark/>
          </w:tcPr>
          <w:p w14:paraId="2834A50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(3)</w:t>
            </w:r>
          </w:p>
        </w:tc>
        <w:tc>
          <w:tcPr>
            <w:tcW w:w="959" w:type="dxa"/>
            <w:tcBorders>
              <w:top w:val="single" w:sz="4" w:space="0" w:color="auto"/>
              <w:bottom w:val="single" w:sz="4" w:space="0" w:color="auto"/>
            </w:tcBorders>
            <w:shd w:val="clear" w:color="auto" w:fill="auto"/>
            <w:noWrap/>
            <w:vAlign w:val="center"/>
            <w:hideMark/>
          </w:tcPr>
          <w:p w14:paraId="06AC84F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(4)</w:t>
            </w:r>
          </w:p>
        </w:tc>
        <w:tc>
          <w:tcPr>
            <w:tcW w:w="959" w:type="dxa"/>
            <w:tcBorders>
              <w:top w:val="single" w:sz="4" w:space="0" w:color="auto"/>
              <w:bottom w:val="single" w:sz="4" w:space="0" w:color="auto"/>
            </w:tcBorders>
            <w:shd w:val="clear" w:color="auto" w:fill="auto"/>
            <w:noWrap/>
            <w:vAlign w:val="center"/>
            <w:hideMark/>
          </w:tcPr>
          <w:p w14:paraId="2376D0A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(5)</w:t>
            </w:r>
          </w:p>
        </w:tc>
        <w:tc>
          <w:tcPr>
            <w:tcW w:w="959" w:type="dxa"/>
            <w:tcBorders>
              <w:top w:val="single" w:sz="4" w:space="0" w:color="auto"/>
              <w:bottom w:val="single" w:sz="4" w:space="0" w:color="auto"/>
            </w:tcBorders>
            <w:shd w:val="clear" w:color="auto" w:fill="auto"/>
            <w:noWrap/>
            <w:vAlign w:val="center"/>
            <w:hideMark/>
          </w:tcPr>
          <w:p w14:paraId="202E677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(6)</w:t>
            </w:r>
          </w:p>
        </w:tc>
        <w:tc>
          <w:tcPr>
            <w:tcW w:w="965" w:type="dxa"/>
            <w:tcBorders>
              <w:top w:val="single" w:sz="4" w:space="0" w:color="auto"/>
              <w:bottom w:val="single" w:sz="4" w:space="0" w:color="auto"/>
            </w:tcBorders>
            <w:shd w:val="clear" w:color="auto" w:fill="auto"/>
            <w:noWrap/>
            <w:vAlign w:val="center"/>
            <w:hideMark/>
          </w:tcPr>
          <w:p w14:paraId="2F44E65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(7)</w:t>
            </w:r>
          </w:p>
        </w:tc>
      </w:tr>
      <w:tr w:rsidR="00521FEF" w:rsidRPr="009E5520" w14:paraId="39337056" w14:textId="77777777" w:rsidTr="00114EAB">
        <w:trPr>
          <w:trHeight w:hRule="exact" w:val="227"/>
          <w:jc w:val="center"/>
        </w:trPr>
        <w:tc>
          <w:tcPr>
            <w:tcW w:w="2422" w:type="dxa"/>
            <w:tcBorders>
              <w:top w:val="single" w:sz="4" w:space="0" w:color="auto"/>
            </w:tcBorders>
            <w:shd w:val="clear" w:color="auto" w:fill="auto"/>
            <w:noWrap/>
            <w:hideMark/>
          </w:tcPr>
          <w:p w14:paraId="48C5E0F4"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L.LogLabo</w:t>
            </w:r>
            <w:r>
              <w:rPr>
                <w:rFonts w:cs="Times New Roman"/>
                <w:sz w:val="18"/>
                <w:szCs w:val="18"/>
              </w:rPr>
              <w:t>u</w:t>
            </w:r>
            <w:r w:rsidRPr="009E5520">
              <w:rPr>
                <w:rFonts w:cs="Times New Roman"/>
                <w:sz w:val="18"/>
                <w:szCs w:val="18"/>
              </w:rPr>
              <w:t>rShare</w:t>
            </w:r>
            <w:proofErr w:type="spellEnd"/>
          </w:p>
        </w:tc>
        <w:tc>
          <w:tcPr>
            <w:tcW w:w="1206" w:type="dxa"/>
            <w:tcBorders>
              <w:top w:val="single" w:sz="4" w:space="0" w:color="auto"/>
            </w:tcBorders>
            <w:shd w:val="clear" w:color="auto" w:fill="auto"/>
            <w:noWrap/>
          </w:tcPr>
          <w:p w14:paraId="6A53D6B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0.604***</w:t>
            </w:r>
          </w:p>
        </w:tc>
        <w:tc>
          <w:tcPr>
            <w:tcW w:w="958" w:type="dxa"/>
            <w:tcBorders>
              <w:top w:val="single" w:sz="4" w:space="0" w:color="auto"/>
            </w:tcBorders>
            <w:shd w:val="clear" w:color="auto" w:fill="auto"/>
            <w:noWrap/>
          </w:tcPr>
          <w:p w14:paraId="2D6038B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0.605***</w:t>
            </w:r>
          </w:p>
        </w:tc>
        <w:tc>
          <w:tcPr>
            <w:tcW w:w="959" w:type="dxa"/>
            <w:tcBorders>
              <w:top w:val="single" w:sz="4" w:space="0" w:color="auto"/>
            </w:tcBorders>
            <w:shd w:val="clear" w:color="auto" w:fill="auto"/>
            <w:noWrap/>
          </w:tcPr>
          <w:p w14:paraId="5F6D8ED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0.604***</w:t>
            </w:r>
          </w:p>
        </w:tc>
        <w:tc>
          <w:tcPr>
            <w:tcW w:w="959" w:type="dxa"/>
            <w:tcBorders>
              <w:top w:val="single" w:sz="4" w:space="0" w:color="auto"/>
            </w:tcBorders>
            <w:shd w:val="clear" w:color="auto" w:fill="auto"/>
            <w:noWrap/>
          </w:tcPr>
          <w:p w14:paraId="090DA25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0.569***</w:t>
            </w:r>
          </w:p>
        </w:tc>
        <w:tc>
          <w:tcPr>
            <w:tcW w:w="959" w:type="dxa"/>
            <w:tcBorders>
              <w:top w:val="single" w:sz="4" w:space="0" w:color="auto"/>
            </w:tcBorders>
            <w:shd w:val="clear" w:color="auto" w:fill="auto"/>
            <w:noWrap/>
          </w:tcPr>
          <w:p w14:paraId="6B192A4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0.568***</w:t>
            </w:r>
          </w:p>
        </w:tc>
        <w:tc>
          <w:tcPr>
            <w:tcW w:w="959" w:type="dxa"/>
            <w:tcBorders>
              <w:top w:val="single" w:sz="4" w:space="0" w:color="auto"/>
            </w:tcBorders>
            <w:shd w:val="clear" w:color="auto" w:fill="auto"/>
            <w:noWrap/>
          </w:tcPr>
          <w:p w14:paraId="3F780E1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0.567***</w:t>
            </w:r>
          </w:p>
        </w:tc>
        <w:tc>
          <w:tcPr>
            <w:tcW w:w="965" w:type="dxa"/>
            <w:tcBorders>
              <w:top w:val="single" w:sz="4" w:space="0" w:color="auto"/>
            </w:tcBorders>
            <w:shd w:val="clear" w:color="auto" w:fill="auto"/>
            <w:noWrap/>
          </w:tcPr>
          <w:p w14:paraId="7BC1144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0.599***</w:t>
            </w:r>
          </w:p>
        </w:tc>
      </w:tr>
      <w:tr w:rsidR="00521FEF" w:rsidRPr="009E5520" w14:paraId="2AFA3C8E" w14:textId="77777777" w:rsidTr="00114EAB">
        <w:trPr>
          <w:trHeight w:hRule="exact" w:val="227"/>
          <w:jc w:val="center"/>
        </w:trPr>
        <w:tc>
          <w:tcPr>
            <w:tcW w:w="2422" w:type="dxa"/>
            <w:shd w:val="clear" w:color="auto" w:fill="auto"/>
            <w:noWrap/>
            <w:hideMark/>
          </w:tcPr>
          <w:p w14:paraId="056961FF"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36E1237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(0.048)</w:t>
            </w:r>
          </w:p>
        </w:tc>
        <w:tc>
          <w:tcPr>
            <w:tcW w:w="958" w:type="dxa"/>
            <w:shd w:val="clear" w:color="auto" w:fill="auto"/>
            <w:noWrap/>
          </w:tcPr>
          <w:p w14:paraId="76197B8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(0.046)</w:t>
            </w:r>
          </w:p>
        </w:tc>
        <w:tc>
          <w:tcPr>
            <w:tcW w:w="959" w:type="dxa"/>
            <w:shd w:val="clear" w:color="auto" w:fill="auto"/>
            <w:noWrap/>
          </w:tcPr>
          <w:p w14:paraId="4AA5670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(0.047)</w:t>
            </w:r>
          </w:p>
        </w:tc>
        <w:tc>
          <w:tcPr>
            <w:tcW w:w="959" w:type="dxa"/>
            <w:shd w:val="clear" w:color="auto" w:fill="auto"/>
            <w:noWrap/>
          </w:tcPr>
          <w:p w14:paraId="466D4D3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959" w:type="dxa"/>
            <w:shd w:val="clear" w:color="auto" w:fill="auto"/>
            <w:noWrap/>
          </w:tcPr>
          <w:p w14:paraId="6A38AF4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959" w:type="dxa"/>
            <w:shd w:val="clear" w:color="auto" w:fill="auto"/>
            <w:noWrap/>
          </w:tcPr>
          <w:p w14:paraId="1BA9A87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965" w:type="dxa"/>
            <w:shd w:val="clear" w:color="auto" w:fill="auto"/>
            <w:noWrap/>
          </w:tcPr>
          <w:p w14:paraId="56AFA28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(0.045)</w:t>
            </w:r>
          </w:p>
        </w:tc>
      </w:tr>
      <w:tr w:rsidR="00521FEF" w:rsidRPr="009E5520" w14:paraId="08402D8E" w14:textId="77777777" w:rsidTr="00114EAB">
        <w:trPr>
          <w:trHeight w:hRule="exact" w:val="227"/>
          <w:jc w:val="center"/>
        </w:trPr>
        <w:tc>
          <w:tcPr>
            <w:tcW w:w="2422" w:type="dxa"/>
            <w:shd w:val="clear" w:color="auto" w:fill="auto"/>
            <w:noWrap/>
            <w:hideMark/>
          </w:tcPr>
          <w:p w14:paraId="5CF1D991"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LnCapital</w:t>
            </w:r>
            <w:proofErr w:type="spellEnd"/>
            <w:r w:rsidRPr="009E5520">
              <w:rPr>
                <w:rFonts w:cs="Times New Roman"/>
                <w:sz w:val="18"/>
                <w:szCs w:val="18"/>
              </w:rPr>
              <w:t>/VA</w:t>
            </w:r>
          </w:p>
        </w:tc>
        <w:tc>
          <w:tcPr>
            <w:tcW w:w="1206" w:type="dxa"/>
            <w:shd w:val="clear" w:color="auto" w:fill="auto"/>
            <w:noWrap/>
          </w:tcPr>
          <w:p w14:paraId="4534828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-0.075***</w:t>
            </w:r>
          </w:p>
        </w:tc>
        <w:tc>
          <w:tcPr>
            <w:tcW w:w="958" w:type="dxa"/>
            <w:shd w:val="clear" w:color="auto" w:fill="auto"/>
            <w:noWrap/>
          </w:tcPr>
          <w:p w14:paraId="0A80D36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-0.111***</w:t>
            </w:r>
          </w:p>
        </w:tc>
        <w:tc>
          <w:tcPr>
            <w:tcW w:w="959" w:type="dxa"/>
            <w:shd w:val="clear" w:color="auto" w:fill="auto"/>
            <w:noWrap/>
          </w:tcPr>
          <w:p w14:paraId="0B3C010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-0.078***</w:t>
            </w:r>
          </w:p>
        </w:tc>
        <w:tc>
          <w:tcPr>
            <w:tcW w:w="959" w:type="dxa"/>
            <w:shd w:val="clear" w:color="auto" w:fill="auto"/>
            <w:noWrap/>
          </w:tcPr>
          <w:p w14:paraId="17FF0EE8"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EEB8CB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1D81DEF6"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1A5349B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7D05B1E2" w14:textId="77777777" w:rsidTr="00114EAB">
        <w:trPr>
          <w:trHeight w:hRule="exact" w:val="227"/>
          <w:jc w:val="center"/>
        </w:trPr>
        <w:tc>
          <w:tcPr>
            <w:tcW w:w="2422" w:type="dxa"/>
            <w:shd w:val="clear" w:color="auto" w:fill="auto"/>
            <w:noWrap/>
            <w:hideMark/>
          </w:tcPr>
          <w:p w14:paraId="212050EB"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6FCD00E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(0.023)</w:t>
            </w:r>
          </w:p>
        </w:tc>
        <w:tc>
          <w:tcPr>
            <w:tcW w:w="958" w:type="dxa"/>
            <w:shd w:val="clear" w:color="auto" w:fill="auto"/>
            <w:noWrap/>
          </w:tcPr>
          <w:p w14:paraId="26A8FE0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59" w:type="dxa"/>
            <w:shd w:val="clear" w:color="auto" w:fill="auto"/>
            <w:noWrap/>
          </w:tcPr>
          <w:p w14:paraId="3C26377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(0.023)</w:t>
            </w:r>
          </w:p>
        </w:tc>
        <w:tc>
          <w:tcPr>
            <w:tcW w:w="959" w:type="dxa"/>
            <w:shd w:val="clear" w:color="auto" w:fill="auto"/>
            <w:noWrap/>
          </w:tcPr>
          <w:p w14:paraId="212AEA23"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0664F7A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A7D0785"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59967B5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228C6676" w14:textId="77777777" w:rsidTr="00114EAB">
        <w:trPr>
          <w:trHeight w:hRule="exact" w:val="227"/>
          <w:jc w:val="center"/>
        </w:trPr>
        <w:tc>
          <w:tcPr>
            <w:tcW w:w="2422" w:type="dxa"/>
            <w:shd w:val="clear" w:color="auto" w:fill="auto"/>
            <w:noWrap/>
            <w:hideMark/>
          </w:tcPr>
          <w:p w14:paraId="5E8614A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TFPOP</w:t>
            </w:r>
          </w:p>
        </w:tc>
        <w:tc>
          <w:tcPr>
            <w:tcW w:w="1206" w:type="dxa"/>
            <w:shd w:val="clear" w:color="auto" w:fill="auto"/>
            <w:noWrap/>
          </w:tcPr>
          <w:p w14:paraId="58D4082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-0.167***</w:t>
            </w:r>
          </w:p>
        </w:tc>
        <w:tc>
          <w:tcPr>
            <w:tcW w:w="958" w:type="dxa"/>
            <w:shd w:val="clear" w:color="auto" w:fill="auto"/>
            <w:noWrap/>
          </w:tcPr>
          <w:p w14:paraId="5949180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42AD0C7"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9984A2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2613DD7"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78E3720"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15E58E2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49DA3B4C" w14:textId="77777777" w:rsidTr="00114EAB">
        <w:trPr>
          <w:trHeight w:hRule="exact" w:val="227"/>
          <w:jc w:val="center"/>
        </w:trPr>
        <w:tc>
          <w:tcPr>
            <w:tcW w:w="2422" w:type="dxa"/>
            <w:shd w:val="clear" w:color="auto" w:fill="auto"/>
            <w:noWrap/>
            <w:hideMark/>
          </w:tcPr>
          <w:p w14:paraId="7F4377FB"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5A5EE47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(0.033)</w:t>
            </w:r>
          </w:p>
        </w:tc>
        <w:tc>
          <w:tcPr>
            <w:tcW w:w="958" w:type="dxa"/>
            <w:shd w:val="clear" w:color="auto" w:fill="auto"/>
            <w:noWrap/>
          </w:tcPr>
          <w:p w14:paraId="056EEAD2"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0B33220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3AC3E2E"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1DA3EEE"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CAD1097"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466272C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53917F15" w14:textId="77777777" w:rsidTr="00114EAB">
        <w:trPr>
          <w:trHeight w:hRule="exact" w:val="227"/>
          <w:jc w:val="center"/>
        </w:trPr>
        <w:tc>
          <w:tcPr>
            <w:tcW w:w="2422" w:type="dxa"/>
            <w:shd w:val="clear" w:color="auto" w:fill="auto"/>
            <w:noWrap/>
            <w:hideMark/>
          </w:tcPr>
          <w:p w14:paraId="5421A7E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TFPOLS</w:t>
            </w:r>
          </w:p>
        </w:tc>
        <w:tc>
          <w:tcPr>
            <w:tcW w:w="1206" w:type="dxa"/>
            <w:shd w:val="clear" w:color="auto" w:fill="auto"/>
            <w:noWrap/>
          </w:tcPr>
          <w:p w14:paraId="2A323157"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629B9ED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-0.196***</w:t>
            </w:r>
          </w:p>
        </w:tc>
        <w:tc>
          <w:tcPr>
            <w:tcW w:w="959" w:type="dxa"/>
            <w:shd w:val="clear" w:color="auto" w:fill="auto"/>
            <w:noWrap/>
          </w:tcPr>
          <w:p w14:paraId="0729557B"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7C10C13"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3F91E2E"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707860E"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66AE9B8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2E4E1A79" w14:textId="77777777" w:rsidTr="00114EAB">
        <w:trPr>
          <w:trHeight w:hRule="exact" w:val="227"/>
          <w:jc w:val="center"/>
        </w:trPr>
        <w:tc>
          <w:tcPr>
            <w:tcW w:w="2422" w:type="dxa"/>
            <w:shd w:val="clear" w:color="auto" w:fill="auto"/>
            <w:noWrap/>
            <w:hideMark/>
          </w:tcPr>
          <w:p w14:paraId="0FC517D5"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172FF9A2"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2688789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(0.047)</w:t>
            </w:r>
          </w:p>
        </w:tc>
        <w:tc>
          <w:tcPr>
            <w:tcW w:w="959" w:type="dxa"/>
            <w:shd w:val="clear" w:color="auto" w:fill="auto"/>
            <w:noWrap/>
          </w:tcPr>
          <w:p w14:paraId="5C882B2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EEC444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7903E16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4EA5009"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4C0D1E3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74D6656A" w14:textId="77777777" w:rsidTr="00114EAB">
        <w:trPr>
          <w:trHeight w:hRule="exact" w:val="227"/>
          <w:jc w:val="center"/>
        </w:trPr>
        <w:tc>
          <w:tcPr>
            <w:tcW w:w="2422" w:type="dxa"/>
            <w:shd w:val="clear" w:color="auto" w:fill="auto"/>
            <w:noWrap/>
            <w:hideMark/>
          </w:tcPr>
          <w:p w14:paraId="055A67A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TFPWRDG</w:t>
            </w:r>
          </w:p>
        </w:tc>
        <w:tc>
          <w:tcPr>
            <w:tcW w:w="1206" w:type="dxa"/>
            <w:shd w:val="clear" w:color="auto" w:fill="auto"/>
            <w:noWrap/>
          </w:tcPr>
          <w:p w14:paraId="78474762"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618A7302"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176B100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-0.180***</w:t>
            </w:r>
          </w:p>
        </w:tc>
        <w:tc>
          <w:tcPr>
            <w:tcW w:w="959" w:type="dxa"/>
            <w:shd w:val="clear" w:color="auto" w:fill="auto"/>
            <w:noWrap/>
          </w:tcPr>
          <w:p w14:paraId="0152E9DD"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4E2666D"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C8044B4"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3FD8A24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6A5FA019" w14:textId="77777777" w:rsidTr="00114EAB">
        <w:trPr>
          <w:trHeight w:hRule="exact" w:val="227"/>
          <w:jc w:val="center"/>
        </w:trPr>
        <w:tc>
          <w:tcPr>
            <w:tcW w:w="2422" w:type="dxa"/>
            <w:shd w:val="clear" w:color="auto" w:fill="auto"/>
            <w:noWrap/>
            <w:hideMark/>
          </w:tcPr>
          <w:p w14:paraId="5FFD9BBA"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1F4C111A"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4438E6D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5FBA7A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(0.037)</w:t>
            </w:r>
          </w:p>
        </w:tc>
        <w:tc>
          <w:tcPr>
            <w:tcW w:w="959" w:type="dxa"/>
            <w:shd w:val="clear" w:color="auto" w:fill="auto"/>
            <w:noWrap/>
          </w:tcPr>
          <w:p w14:paraId="325AC52C"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F4B0239"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BA12B5C"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51093C6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24A1734C" w14:textId="77777777" w:rsidTr="00114EAB">
        <w:trPr>
          <w:trHeight w:hRule="exact" w:val="227"/>
          <w:jc w:val="center"/>
        </w:trPr>
        <w:tc>
          <w:tcPr>
            <w:tcW w:w="2422" w:type="dxa"/>
            <w:shd w:val="clear" w:color="auto" w:fill="auto"/>
            <w:noWrap/>
            <w:hideMark/>
          </w:tcPr>
          <w:p w14:paraId="718DC701"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LnMarkupOP</w:t>
            </w:r>
            <w:proofErr w:type="spellEnd"/>
          </w:p>
        </w:tc>
        <w:tc>
          <w:tcPr>
            <w:tcW w:w="1206" w:type="dxa"/>
            <w:shd w:val="clear" w:color="auto" w:fill="auto"/>
            <w:noWrap/>
          </w:tcPr>
          <w:p w14:paraId="67186F17"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2F6ABDC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CFEDE13"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89A388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-0.083**</w:t>
            </w:r>
          </w:p>
        </w:tc>
        <w:tc>
          <w:tcPr>
            <w:tcW w:w="959" w:type="dxa"/>
            <w:shd w:val="clear" w:color="auto" w:fill="auto"/>
            <w:noWrap/>
          </w:tcPr>
          <w:p w14:paraId="5F773A4E"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7C04A311"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58F0B01F"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269BBEFF" w14:textId="77777777" w:rsidTr="00114EAB">
        <w:trPr>
          <w:trHeight w:hRule="exact" w:val="227"/>
          <w:jc w:val="center"/>
        </w:trPr>
        <w:tc>
          <w:tcPr>
            <w:tcW w:w="2422" w:type="dxa"/>
            <w:shd w:val="clear" w:color="auto" w:fill="auto"/>
            <w:noWrap/>
            <w:hideMark/>
          </w:tcPr>
          <w:p w14:paraId="60D102E0"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4D68242A"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2F404277"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F42959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8718AD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(0.037)</w:t>
            </w:r>
          </w:p>
        </w:tc>
        <w:tc>
          <w:tcPr>
            <w:tcW w:w="959" w:type="dxa"/>
            <w:shd w:val="clear" w:color="auto" w:fill="auto"/>
            <w:noWrap/>
          </w:tcPr>
          <w:p w14:paraId="46E80A6F"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EE5243B"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47ABD874"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2D41A81F" w14:textId="77777777" w:rsidTr="00114EAB">
        <w:trPr>
          <w:trHeight w:hRule="exact" w:val="227"/>
          <w:jc w:val="center"/>
        </w:trPr>
        <w:tc>
          <w:tcPr>
            <w:tcW w:w="2422" w:type="dxa"/>
            <w:shd w:val="clear" w:color="auto" w:fill="auto"/>
            <w:noWrap/>
            <w:hideMark/>
          </w:tcPr>
          <w:p w14:paraId="3FFB02D8"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LnMarkupOLS</w:t>
            </w:r>
            <w:proofErr w:type="spellEnd"/>
          </w:p>
        </w:tc>
        <w:tc>
          <w:tcPr>
            <w:tcW w:w="1206" w:type="dxa"/>
            <w:shd w:val="clear" w:color="auto" w:fill="auto"/>
            <w:noWrap/>
          </w:tcPr>
          <w:p w14:paraId="1BA8F9E1"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3C86E54F"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1E17E6DC"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160053A0"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594E27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-0.084**</w:t>
            </w:r>
          </w:p>
        </w:tc>
        <w:tc>
          <w:tcPr>
            <w:tcW w:w="959" w:type="dxa"/>
            <w:shd w:val="clear" w:color="auto" w:fill="auto"/>
            <w:noWrap/>
          </w:tcPr>
          <w:p w14:paraId="5BC0B1B1"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0A6DB190"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512DFDF7" w14:textId="77777777" w:rsidTr="00114EAB">
        <w:trPr>
          <w:trHeight w:hRule="exact" w:val="227"/>
          <w:jc w:val="center"/>
        </w:trPr>
        <w:tc>
          <w:tcPr>
            <w:tcW w:w="2422" w:type="dxa"/>
            <w:shd w:val="clear" w:color="auto" w:fill="auto"/>
            <w:noWrap/>
            <w:hideMark/>
          </w:tcPr>
          <w:p w14:paraId="4ADB79B0"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60D83944"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6219C7DC"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12151AD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EB279E0"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FFA57D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(0.037)</w:t>
            </w:r>
          </w:p>
        </w:tc>
        <w:tc>
          <w:tcPr>
            <w:tcW w:w="959" w:type="dxa"/>
            <w:shd w:val="clear" w:color="auto" w:fill="auto"/>
            <w:noWrap/>
          </w:tcPr>
          <w:p w14:paraId="3207FE23"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77AD5F4D"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27FAD773" w14:textId="77777777" w:rsidTr="00114EAB">
        <w:trPr>
          <w:trHeight w:hRule="exact" w:val="227"/>
          <w:jc w:val="center"/>
        </w:trPr>
        <w:tc>
          <w:tcPr>
            <w:tcW w:w="2422" w:type="dxa"/>
            <w:shd w:val="clear" w:color="auto" w:fill="auto"/>
            <w:noWrap/>
            <w:hideMark/>
          </w:tcPr>
          <w:p w14:paraId="6C74C345"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LnMarkupWRDG</w:t>
            </w:r>
            <w:proofErr w:type="spellEnd"/>
          </w:p>
        </w:tc>
        <w:tc>
          <w:tcPr>
            <w:tcW w:w="1206" w:type="dxa"/>
            <w:shd w:val="clear" w:color="auto" w:fill="auto"/>
            <w:noWrap/>
          </w:tcPr>
          <w:p w14:paraId="56742666"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40F20C78"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0D5234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BB6F97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58C22B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0C1BB47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-0.086**</w:t>
            </w:r>
          </w:p>
        </w:tc>
        <w:tc>
          <w:tcPr>
            <w:tcW w:w="965" w:type="dxa"/>
            <w:shd w:val="clear" w:color="auto" w:fill="auto"/>
            <w:noWrap/>
          </w:tcPr>
          <w:p w14:paraId="1DE65295"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34326C55" w14:textId="77777777" w:rsidTr="00114EAB">
        <w:trPr>
          <w:trHeight w:hRule="exact" w:val="227"/>
          <w:jc w:val="center"/>
        </w:trPr>
        <w:tc>
          <w:tcPr>
            <w:tcW w:w="2422" w:type="dxa"/>
            <w:shd w:val="clear" w:color="auto" w:fill="auto"/>
            <w:noWrap/>
            <w:hideMark/>
          </w:tcPr>
          <w:p w14:paraId="5D282EE4"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699BD20B"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19D5DB72"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3C506A0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74003833"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778FC6E"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0778E43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(0.037)</w:t>
            </w:r>
          </w:p>
        </w:tc>
        <w:tc>
          <w:tcPr>
            <w:tcW w:w="965" w:type="dxa"/>
            <w:shd w:val="clear" w:color="auto" w:fill="auto"/>
            <w:noWrap/>
          </w:tcPr>
          <w:p w14:paraId="43D74302"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48DAC6E0" w14:textId="77777777" w:rsidTr="00114EAB">
        <w:trPr>
          <w:trHeight w:hRule="exact" w:val="227"/>
          <w:jc w:val="center"/>
        </w:trPr>
        <w:tc>
          <w:tcPr>
            <w:tcW w:w="2422" w:type="dxa"/>
            <w:shd w:val="clear" w:color="auto" w:fill="auto"/>
            <w:noWrap/>
            <w:hideMark/>
          </w:tcPr>
          <w:p w14:paraId="0D72D319"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IndHHIEmp</w:t>
            </w:r>
            <w:proofErr w:type="spellEnd"/>
          </w:p>
        </w:tc>
        <w:tc>
          <w:tcPr>
            <w:tcW w:w="1206" w:type="dxa"/>
            <w:shd w:val="clear" w:color="auto" w:fill="auto"/>
            <w:noWrap/>
          </w:tcPr>
          <w:p w14:paraId="09190DDF"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2135E8CC"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C30AA3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1FE93C3"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7E7777E1"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83EDCFD"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2EB09F4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0.123</w:t>
            </w:r>
          </w:p>
        </w:tc>
      </w:tr>
      <w:tr w:rsidR="00521FEF" w:rsidRPr="009E5520" w14:paraId="310FD1F9" w14:textId="77777777" w:rsidTr="00114EAB">
        <w:trPr>
          <w:trHeight w:hRule="exact" w:val="227"/>
          <w:jc w:val="center"/>
        </w:trPr>
        <w:tc>
          <w:tcPr>
            <w:tcW w:w="2422" w:type="dxa"/>
            <w:shd w:val="clear" w:color="auto" w:fill="auto"/>
            <w:noWrap/>
            <w:hideMark/>
          </w:tcPr>
          <w:p w14:paraId="0C0C4AAE"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4E99BDBE"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7B10F54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49E2A56"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2CB102A"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337FCD0"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5EAA46F"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35B30D3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(0.135)</w:t>
            </w:r>
          </w:p>
        </w:tc>
      </w:tr>
      <w:tr w:rsidR="00521FEF" w:rsidRPr="009E5520" w14:paraId="018A3AD4" w14:textId="77777777" w:rsidTr="00114EAB">
        <w:trPr>
          <w:trHeight w:hRule="exact" w:val="227"/>
          <w:jc w:val="center"/>
        </w:trPr>
        <w:tc>
          <w:tcPr>
            <w:tcW w:w="2422" w:type="dxa"/>
            <w:shd w:val="clear" w:color="auto" w:fill="auto"/>
            <w:noWrap/>
            <w:hideMark/>
          </w:tcPr>
          <w:p w14:paraId="46F71E1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Union</w:t>
            </w:r>
          </w:p>
        </w:tc>
        <w:tc>
          <w:tcPr>
            <w:tcW w:w="1206" w:type="dxa"/>
            <w:shd w:val="clear" w:color="auto" w:fill="auto"/>
            <w:noWrap/>
          </w:tcPr>
          <w:p w14:paraId="114B2484"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0AC4979A"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32F8928A"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051A765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633A1ED9"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47BE5CB9"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6CF802A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0.007</w:t>
            </w:r>
          </w:p>
        </w:tc>
      </w:tr>
      <w:tr w:rsidR="00521FEF" w:rsidRPr="009E5520" w14:paraId="0A21157C" w14:textId="77777777" w:rsidTr="00114EAB">
        <w:trPr>
          <w:trHeight w:hRule="exact" w:val="227"/>
          <w:jc w:val="center"/>
        </w:trPr>
        <w:tc>
          <w:tcPr>
            <w:tcW w:w="2422" w:type="dxa"/>
            <w:shd w:val="clear" w:color="auto" w:fill="auto"/>
            <w:noWrap/>
            <w:hideMark/>
          </w:tcPr>
          <w:p w14:paraId="2EFF8433"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1B7F6050" w14:textId="77777777" w:rsidR="00521FEF" w:rsidRPr="009E5520" w:rsidRDefault="00521FEF" w:rsidP="00114EAB">
            <w:pPr>
              <w:spacing w:after="0" w:line="240" w:lineRule="auto"/>
              <w:ind w:firstLine="0"/>
              <w:jc w:val="left"/>
              <w:rPr>
                <w:rFonts w:cs="Times New Roman"/>
                <w:sz w:val="18"/>
                <w:szCs w:val="18"/>
              </w:rPr>
            </w:pPr>
          </w:p>
        </w:tc>
        <w:tc>
          <w:tcPr>
            <w:tcW w:w="958" w:type="dxa"/>
            <w:shd w:val="clear" w:color="auto" w:fill="auto"/>
            <w:noWrap/>
          </w:tcPr>
          <w:p w14:paraId="009E9C7E"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FE64B2D"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0DEE4CA"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21FBE224" w14:textId="77777777" w:rsidR="00521FEF" w:rsidRPr="009E5520" w:rsidRDefault="00521FEF" w:rsidP="00114EAB">
            <w:pPr>
              <w:spacing w:after="0" w:line="240" w:lineRule="auto"/>
              <w:ind w:firstLine="0"/>
              <w:jc w:val="left"/>
              <w:rPr>
                <w:rFonts w:cs="Times New Roman"/>
                <w:sz w:val="18"/>
                <w:szCs w:val="18"/>
              </w:rPr>
            </w:pPr>
          </w:p>
        </w:tc>
        <w:tc>
          <w:tcPr>
            <w:tcW w:w="959" w:type="dxa"/>
            <w:shd w:val="clear" w:color="auto" w:fill="auto"/>
            <w:noWrap/>
          </w:tcPr>
          <w:p w14:paraId="571F40DD" w14:textId="77777777" w:rsidR="00521FEF" w:rsidRPr="009E5520" w:rsidRDefault="00521FEF" w:rsidP="00114EAB">
            <w:pPr>
              <w:spacing w:after="0" w:line="240" w:lineRule="auto"/>
              <w:ind w:firstLine="0"/>
              <w:jc w:val="left"/>
              <w:rPr>
                <w:rFonts w:cs="Times New Roman"/>
                <w:sz w:val="18"/>
                <w:szCs w:val="18"/>
              </w:rPr>
            </w:pPr>
          </w:p>
        </w:tc>
        <w:tc>
          <w:tcPr>
            <w:tcW w:w="965" w:type="dxa"/>
            <w:shd w:val="clear" w:color="auto" w:fill="auto"/>
            <w:noWrap/>
          </w:tcPr>
          <w:p w14:paraId="65084A8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(0.009)</w:t>
            </w:r>
          </w:p>
        </w:tc>
      </w:tr>
      <w:tr w:rsidR="00521FEF" w:rsidRPr="009E5520" w14:paraId="78A31757" w14:textId="77777777" w:rsidTr="00114EAB">
        <w:trPr>
          <w:trHeight w:hRule="exact" w:val="227"/>
          <w:jc w:val="center"/>
        </w:trPr>
        <w:tc>
          <w:tcPr>
            <w:tcW w:w="2422" w:type="dxa"/>
            <w:shd w:val="clear" w:color="auto" w:fill="auto"/>
            <w:noWrap/>
            <w:hideMark/>
          </w:tcPr>
          <w:p w14:paraId="3241FF1A"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D.LnEmployeeNumber</w:t>
            </w:r>
            <w:proofErr w:type="spellEnd"/>
          </w:p>
        </w:tc>
        <w:tc>
          <w:tcPr>
            <w:tcW w:w="1206" w:type="dxa"/>
            <w:shd w:val="clear" w:color="auto" w:fill="auto"/>
            <w:noWrap/>
          </w:tcPr>
          <w:p w14:paraId="28E4661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-0.059</w:t>
            </w:r>
          </w:p>
        </w:tc>
        <w:tc>
          <w:tcPr>
            <w:tcW w:w="958" w:type="dxa"/>
            <w:shd w:val="clear" w:color="auto" w:fill="auto"/>
            <w:noWrap/>
          </w:tcPr>
          <w:p w14:paraId="5D2DF59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-0.074*</w:t>
            </w:r>
          </w:p>
        </w:tc>
        <w:tc>
          <w:tcPr>
            <w:tcW w:w="959" w:type="dxa"/>
            <w:shd w:val="clear" w:color="auto" w:fill="auto"/>
            <w:noWrap/>
          </w:tcPr>
          <w:p w14:paraId="4733B59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-0.059</w:t>
            </w:r>
          </w:p>
        </w:tc>
        <w:tc>
          <w:tcPr>
            <w:tcW w:w="959" w:type="dxa"/>
            <w:shd w:val="clear" w:color="auto" w:fill="auto"/>
            <w:noWrap/>
          </w:tcPr>
          <w:p w14:paraId="25CB295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-0.074</w:t>
            </w:r>
          </w:p>
        </w:tc>
        <w:tc>
          <w:tcPr>
            <w:tcW w:w="959" w:type="dxa"/>
            <w:shd w:val="clear" w:color="auto" w:fill="auto"/>
            <w:noWrap/>
          </w:tcPr>
          <w:p w14:paraId="7DFED31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-0.075</w:t>
            </w:r>
          </w:p>
        </w:tc>
        <w:tc>
          <w:tcPr>
            <w:tcW w:w="959" w:type="dxa"/>
            <w:shd w:val="clear" w:color="auto" w:fill="auto"/>
            <w:noWrap/>
          </w:tcPr>
          <w:p w14:paraId="33F5E2D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-0.075</w:t>
            </w:r>
          </w:p>
        </w:tc>
        <w:tc>
          <w:tcPr>
            <w:tcW w:w="965" w:type="dxa"/>
            <w:shd w:val="clear" w:color="auto" w:fill="auto"/>
            <w:noWrap/>
          </w:tcPr>
          <w:p w14:paraId="7B0B395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-0.088*  </w:t>
            </w:r>
          </w:p>
        </w:tc>
      </w:tr>
      <w:tr w:rsidR="00521FEF" w:rsidRPr="009E5520" w14:paraId="5DE65405" w14:textId="77777777" w:rsidTr="00114EAB">
        <w:trPr>
          <w:trHeight w:hRule="exact" w:val="227"/>
          <w:jc w:val="center"/>
        </w:trPr>
        <w:tc>
          <w:tcPr>
            <w:tcW w:w="2422" w:type="dxa"/>
            <w:shd w:val="clear" w:color="auto" w:fill="auto"/>
            <w:noWrap/>
            <w:hideMark/>
          </w:tcPr>
          <w:p w14:paraId="23C35DEB"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18F6B6D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(0.041)</w:t>
            </w:r>
          </w:p>
        </w:tc>
        <w:tc>
          <w:tcPr>
            <w:tcW w:w="958" w:type="dxa"/>
            <w:shd w:val="clear" w:color="auto" w:fill="auto"/>
            <w:noWrap/>
          </w:tcPr>
          <w:p w14:paraId="4BD1585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w:t>
            </w:r>
          </w:p>
        </w:tc>
        <w:tc>
          <w:tcPr>
            <w:tcW w:w="959" w:type="dxa"/>
            <w:shd w:val="clear" w:color="auto" w:fill="auto"/>
            <w:noWrap/>
          </w:tcPr>
          <w:p w14:paraId="393682E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(0.042)</w:t>
            </w:r>
          </w:p>
        </w:tc>
        <w:tc>
          <w:tcPr>
            <w:tcW w:w="959" w:type="dxa"/>
            <w:shd w:val="clear" w:color="auto" w:fill="auto"/>
            <w:noWrap/>
          </w:tcPr>
          <w:p w14:paraId="7B47CEF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(0.049)</w:t>
            </w:r>
          </w:p>
        </w:tc>
        <w:tc>
          <w:tcPr>
            <w:tcW w:w="959" w:type="dxa"/>
            <w:shd w:val="clear" w:color="auto" w:fill="auto"/>
            <w:noWrap/>
          </w:tcPr>
          <w:p w14:paraId="0CDB189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(0.049)</w:t>
            </w:r>
          </w:p>
        </w:tc>
        <w:tc>
          <w:tcPr>
            <w:tcW w:w="959" w:type="dxa"/>
            <w:shd w:val="clear" w:color="auto" w:fill="auto"/>
            <w:noWrap/>
          </w:tcPr>
          <w:p w14:paraId="4C4C453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w:t>
            </w:r>
          </w:p>
        </w:tc>
        <w:tc>
          <w:tcPr>
            <w:tcW w:w="965" w:type="dxa"/>
            <w:shd w:val="clear" w:color="auto" w:fill="auto"/>
            <w:noWrap/>
          </w:tcPr>
          <w:p w14:paraId="2508CE7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(0.049)</w:t>
            </w:r>
          </w:p>
        </w:tc>
      </w:tr>
      <w:tr w:rsidR="00521FEF" w:rsidRPr="009E5520" w14:paraId="252B8171" w14:textId="77777777" w:rsidTr="00114EAB">
        <w:trPr>
          <w:trHeight w:hRule="exact" w:val="227"/>
          <w:jc w:val="center"/>
        </w:trPr>
        <w:tc>
          <w:tcPr>
            <w:tcW w:w="2422" w:type="dxa"/>
            <w:shd w:val="clear" w:color="auto" w:fill="auto"/>
            <w:noWrap/>
            <w:hideMark/>
          </w:tcPr>
          <w:p w14:paraId="6832300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BTM</w:t>
            </w:r>
          </w:p>
        </w:tc>
        <w:tc>
          <w:tcPr>
            <w:tcW w:w="1206" w:type="dxa"/>
            <w:shd w:val="clear" w:color="auto" w:fill="auto"/>
            <w:noWrap/>
          </w:tcPr>
          <w:p w14:paraId="6868C80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0.073***</w:t>
            </w:r>
          </w:p>
        </w:tc>
        <w:tc>
          <w:tcPr>
            <w:tcW w:w="958" w:type="dxa"/>
            <w:shd w:val="clear" w:color="auto" w:fill="auto"/>
            <w:noWrap/>
          </w:tcPr>
          <w:p w14:paraId="16CE34F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0.069***</w:t>
            </w:r>
          </w:p>
        </w:tc>
        <w:tc>
          <w:tcPr>
            <w:tcW w:w="959" w:type="dxa"/>
            <w:shd w:val="clear" w:color="auto" w:fill="auto"/>
            <w:noWrap/>
          </w:tcPr>
          <w:p w14:paraId="7FD3D18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0.072***</w:t>
            </w:r>
          </w:p>
        </w:tc>
        <w:tc>
          <w:tcPr>
            <w:tcW w:w="959" w:type="dxa"/>
            <w:shd w:val="clear" w:color="auto" w:fill="auto"/>
            <w:noWrap/>
          </w:tcPr>
          <w:p w14:paraId="7C1B3A4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59" w:type="dxa"/>
            <w:shd w:val="clear" w:color="auto" w:fill="auto"/>
            <w:noWrap/>
          </w:tcPr>
          <w:p w14:paraId="3B96D19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59" w:type="dxa"/>
            <w:shd w:val="clear" w:color="auto" w:fill="auto"/>
            <w:noWrap/>
          </w:tcPr>
          <w:p w14:paraId="23F4539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65" w:type="dxa"/>
            <w:shd w:val="clear" w:color="auto" w:fill="auto"/>
            <w:noWrap/>
          </w:tcPr>
          <w:p w14:paraId="6F36D23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0.026</w:t>
            </w:r>
          </w:p>
        </w:tc>
      </w:tr>
      <w:tr w:rsidR="00521FEF" w:rsidRPr="009E5520" w14:paraId="1E97BEA3" w14:textId="77777777" w:rsidTr="00114EAB">
        <w:trPr>
          <w:trHeight w:hRule="exact" w:val="227"/>
          <w:jc w:val="center"/>
        </w:trPr>
        <w:tc>
          <w:tcPr>
            <w:tcW w:w="2422" w:type="dxa"/>
            <w:shd w:val="clear" w:color="auto" w:fill="auto"/>
            <w:noWrap/>
            <w:hideMark/>
          </w:tcPr>
          <w:p w14:paraId="11119077"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69DFD27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(0.027)</w:t>
            </w:r>
          </w:p>
        </w:tc>
        <w:tc>
          <w:tcPr>
            <w:tcW w:w="958" w:type="dxa"/>
            <w:shd w:val="clear" w:color="auto" w:fill="auto"/>
            <w:noWrap/>
          </w:tcPr>
          <w:p w14:paraId="4A9AD42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(0.025)</w:t>
            </w:r>
          </w:p>
        </w:tc>
        <w:tc>
          <w:tcPr>
            <w:tcW w:w="959" w:type="dxa"/>
            <w:shd w:val="clear" w:color="auto" w:fill="auto"/>
            <w:noWrap/>
          </w:tcPr>
          <w:p w14:paraId="30C9FF1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(0.026)</w:t>
            </w:r>
          </w:p>
        </w:tc>
        <w:tc>
          <w:tcPr>
            <w:tcW w:w="959" w:type="dxa"/>
            <w:shd w:val="clear" w:color="auto" w:fill="auto"/>
            <w:noWrap/>
          </w:tcPr>
          <w:p w14:paraId="504ADE4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59" w:type="dxa"/>
            <w:shd w:val="clear" w:color="auto" w:fill="auto"/>
            <w:noWrap/>
          </w:tcPr>
          <w:p w14:paraId="633F39D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59" w:type="dxa"/>
            <w:shd w:val="clear" w:color="auto" w:fill="auto"/>
            <w:noWrap/>
          </w:tcPr>
          <w:p w14:paraId="0B9ACF5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(0.029)</w:t>
            </w:r>
          </w:p>
        </w:tc>
        <w:tc>
          <w:tcPr>
            <w:tcW w:w="965" w:type="dxa"/>
            <w:shd w:val="clear" w:color="auto" w:fill="auto"/>
            <w:noWrap/>
          </w:tcPr>
          <w:p w14:paraId="4D10F51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(0.027)</w:t>
            </w:r>
          </w:p>
        </w:tc>
      </w:tr>
      <w:tr w:rsidR="00521FEF" w:rsidRPr="009E5520" w14:paraId="5E67BD9A" w14:textId="77777777" w:rsidTr="00114EAB">
        <w:trPr>
          <w:trHeight w:hRule="exact" w:val="227"/>
          <w:jc w:val="center"/>
        </w:trPr>
        <w:tc>
          <w:tcPr>
            <w:tcW w:w="2422" w:type="dxa"/>
            <w:shd w:val="clear" w:color="auto" w:fill="auto"/>
            <w:noWrap/>
            <w:hideMark/>
          </w:tcPr>
          <w:p w14:paraId="3E794509"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LnAge</w:t>
            </w:r>
            <w:proofErr w:type="spellEnd"/>
          </w:p>
        </w:tc>
        <w:tc>
          <w:tcPr>
            <w:tcW w:w="1206" w:type="dxa"/>
            <w:shd w:val="clear" w:color="auto" w:fill="auto"/>
            <w:noWrap/>
          </w:tcPr>
          <w:p w14:paraId="4D5A519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-0.033**</w:t>
            </w:r>
          </w:p>
        </w:tc>
        <w:tc>
          <w:tcPr>
            <w:tcW w:w="958" w:type="dxa"/>
            <w:shd w:val="clear" w:color="auto" w:fill="auto"/>
            <w:noWrap/>
          </w:tcPr>
          <w:p w14:paraId="1CF9209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-0.028**</w:t>
            </w:r>
          </w:p>
        </w:tc>
        <w:tc>
          <w:tcPr>
            <w:tcW w:w="959" w:type="dxa"/>
            <w:shd w:val="clear" w:color="auto" w:fill="auto"/>
            <w:noWrap/>
          </w:tcPr>
          <w:p w14:paraId="1C63272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-0.032**</w:t>
            </w:r>
          </w:p>
        </w:tc>
        <w:tc>
          <w:tcPr>
            <w:tcW w:w="959" w:type="dxa"/>
            <w:shd w:val="clear" w:color="auto" w:fill="auto"/>
            <w:noWrap/>
          </w:tcPr>
          <w:p w14:paraId="22E2D4A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959" w:type="dxa"/>
            <w:shd w:val="clear" w:color="auto" w:fill="auto"/>
            <w:noWrap/>
          </w:tcPr>
          <w:p w14:paraId="73049BF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959" w:type="dxa"/>
            <w:shd w:val="clear" w:color="auto" w:fill="auto"/>
            <w:noWrap/>
          </w:tcPr>
          <w:p w14:paraId="12E09E1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965" w:type="dxa"/>
            <w:shd w:val="clear" w:color="auto" w:fill="auto"/>
            <w:noWrap/>
          </w:tcPr>
          <w:p w14:paraId="4E1D8AE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-0.024** </w:t>
            </w:r>
          </w:p>
        </w:tc>
      </w:tr>
      <w:tr w:rsidR="00521FEF" w:rsidRPr="009E5520" w14:paraId="658CA820" w14:textId="77777777" w:rsidTr="00114EAB">
        <w:trPr>
          <w:trHeight w:hRule="exact" w:val="227"/>
          <w:jc w:val="center"/>
        </w:trPr>
        <w:tc>
          <w:tcPr>
            <w:tcW w:w="2422" w:type="dxa"/>
            <w:shd w:val="clear" w:color="auto" w:fill="auto"/>
            <w:noWrap/>
            <w:hideMark/>
          </w:tcPr>
          <w:p w14:paraId="4CE1A16C"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06FA9C5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8" w:type="dxa"/>
            <w:shd w:val="clear" w:color="auto" w:fill="auto"/>
            <w:noWrap/>
          </w:tcPr>
          <w:p w14:paraId="574C122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(0.013)</w:t>
            </w:r>
          </w:p>
        </w:tc>
        <w:tc>
          <w:tcPr>
            <w:tcW w:w="959" w:type="dxa"/>
            <w:shd w:val="clear" w:color="auto" w:fill="auto"/>
            <w:noWrap/>
          </w:tcPr>
          <w:p w14:paraId="1C61B25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9" w:type="dxa"/>
            <w:shd w:val="clear" w:color="auto" w:fill="auto"/>
            <w:noWrap/>
          </w:tcPr>
          <w:p w14:paraId="6B02BE3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9" w:type="dxa"/>
            <w:shd w:val="clear" w:color="auto" w:fill="auto"/>
            <w:noWrap/>
          </w:tcPr>
          <w:p w14:paraId="634745C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9" w:type="dxa"/>
            <w:shd w:val="clear" w:color="auto" w:fill="auto"/>
            <w:noWrap/>
          </w:tcPr>
          <w:p w14:paraId="404DA7C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65" w:type="dxa"/>
            <w:shd w:val="clear" w:color="auto" w:fill="auto"/>
            <w:noWrap/>
          </w:tcPr>
          <w:p w14:paraId="7E2B7DF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(0.012)</w:t>
            </w:r>
          </w:p>
        </w:tc>
      </w:tr>
      <w:tr w:rsidR="00521FEF" w:rsidRPr="009E5520" w14:paraId="4C87360F" w14:textId="77777777" w:rsidTr="00114EAB">
        <w:trPr>
          <w:trHeight w:hRule="exact" w:val="227"/>
          <w:jc w:val="center"/>
        </w:trPr>
        <w:tc>
          <w:tcPr>
            <w:tcW w:w="2422" w:type="dxa"/>
            <w:shd w:val="clear" w:color="auto" w:fill="auto"/>
            <w:noWrap/>
            <w:hideMark/>
          </w:tcPr>
          <w:p w14:paraId="601AB867"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LnRevenue</w:t>
            </w:r>
            <w:proofErr w:type="spellEnd"/>
          </w:p>
        </w:tc>
        <w:tc>
          <w:tcPr>
            <w:tcW w:w="1206" w:type="dxa"/>
            <w:shd w:val="clear" w:color="auto" w:fill="auto"/>
            <w:noWrap/>
          </w:tcPr>
          <w:p w14:paraId="7C212D0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0.039**</w:t>
            </w:r>
          </w:p>
        </w:tc>
        <w:tc>
          <w:tcPr>
            <w:tcW w:w="958" w:type="dxa"/>
            <w:shd w:val="clear" w:color="auto" w:fill="auto"/>
            <w:noWrap/>
          </w:tcPr>
          <w:p w14:paraId="1FC8FE5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0.024</w:t>
            </w:r>
          </w:p>
        </w:tc>
        <w:tc>
          <w:tcPr>
            <w:tcW w:w="959" w:type="dxa"/>
            <w:shd w:val="clear" w:color="auto" w:fill="auto"/>
            <w:noWrap/>
          </w:tcPr>
          <w:p w14:paraId="7CD2549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0.042**</w:t>
            </w:r>
          </w:p>
        </w:tc>
        <w:tc>
          <w:tcPr>
            <w:tcW w:w="959" w:type="dxa"/>
            <w:shd w:val="clear" w:color="auto" w:fill="auto"/>
            <w:noWrap/>
          </w:tcPr>
          <w:p w14:paraId="2C04819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-0.007</w:t>
            </w:r>
          </w:p>
        </w:tc>
        <w:tc>
          <w:tcPr>
            <w:tcW w:w="959" w:type="dxa"/>
            <w:shd w:val="clear" w:color="auto" w:fill="auto"/>
            <w:noWrap/>
          </w:tcPr>
          <w:p w14:paraId="43EC828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-0.007</w:t>
            </w:r>
          </w:p>
        </w:tc>
        <w:tc>
          <w:tcPr>
            <w:tcW w:w="959" w:type="dxa"/>
            <w:shd w:val="clear" w:color="auto" w:fill="auto"/>
            <w:noWrap/>
          </w:tcPr>
          <w:p w14:paraId="63594F5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-0.007</w:t>
            </w:r>
          </w:p>
        </w:tc>
        <w:tc>
          <w:tcPr>
            <w:tcW w:w="965" w:type="dxa"/>
            <w:shd w:val="clear" w:color="auto" w:fill="auto"/>
            <w:noWrap/>
          </w:tcPr>
          <w:p w14:paraId="74466B1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w:t>
            </w:r>
          </w:p>
        </w:tc>
      </w:tr>
      <w:tr w:rsidR="00521FEF" w:rsidRPr="009E5520" w14:paraId="795EBD88" w14:textId="77777777" w:rsidTr="00114EAB">
        <w:trPr>
          <w:trHeight w:hRule="exact" w:val="227"/>
          <w:jc w:val="center"/>
        </w:trPr>
        <w:tc>
          <w:tcPr>
            <w:tcW w:w="2422" w:type="dxa"/>
            <w:shd w:val="clear" w:color="auto" w:fill="auto"/>
            <w:noWrap/>
            <w:hideMark/>
          </w:tcPr>
          <w:p w14:paraId="7A31BC15"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61095B4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(0.018)</w:t>
            </w:r>
          </w:p>
        </w:tc>
        <w:tc>
          <w:tcPr>
            <w:tcW w:w="958" w:type="dxa"/>
            <w:shd w:val="clear" w:color="auto" w:fill="auto"/>
            <w:noWrap/>
          </w:tcPr>
          <w:p w14:paraId="3EFF912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(0.016)</w:t>
            </w:r>
          </w:p>
        </w:tc>
        <w:tc>
          <w:tcPr>
            <w:tcW w:w="959" w:type="dxa"/>
            <w:shd w:val="clear" w:color="auto" w:fill="auto"/>
            <w:noWrap/>
          </w:tcPr>
          <w:p w14:paraId="6D6F6CC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(0.018)</w:t>
            </w:r>
          </w:p>
        </w:tc>
        <w:tc>
          <w:tcPr>
            <w:tcW w:w="959" w:type="dxa"/>
            <w:shd w:val="clear" w:color="auto" w:fill="auto"/>
            <w:noWrap/>
          </w:tcPr>
          <w:p w14:paraId="66AC638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9" w:type="dxa"/>
            <w:shd w:val="clear" w:color="auto" w:fill="auto"/>
            <w:noWrap/>
          </w:tcPr>
          <w:p w14:paraId="7E72570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9" w:type="dxa"/>
            <w:shd w:val="clear" w:color="auto" w:fill="auto"/>
            <w:noWrap/>
          </w:tcPr>
          <w:p w14:paraId="0380A6F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65" w:type="dxa"/>
            <w:shd w:val="clear" w:color="auto" w:fill="auto"/>
            <w:noWrap/>
          </w:tcPr>
          <w:p w14:paraId="7992374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(0.016)</w:t>
            </w:r>
          </w:p>
        </w:tc>
      </w:tr>
      <w:tr w:rsidR="00521FEF" w:rsidRPr="009E5520" w14:paraId="0F799196" w14:textId="77777777" w:rsidTr="00114EAB">
        <w:trPr>
          <w:trHeight w:hRule="exact" w:val="227"/>
          <w:jc w:val="center"/>
        </w:trPr>
        <w:tc>
          <w:tcPr>
            <w:tcW w:w="2422" w:type="dxa"/>
            <w:shd w:val="clear" w:color="auto" w:fill="auto"/>
            <w:noWrap/>
            <w:hideMark/>
          </w:tcPr>
          <w:p w14:paraId="429A139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Leverage2</w:t>
            </w:r>
          </w:p>
        </w:tc>
        <w:tc>
          <w:tcPr>
            <w:tcW w:w="1206" w:type="dxa"/>
            <w:shd w:val="clear" w:color="auto" w:fill="auto"/>
            <w:noWrap/>
          </w:tcPr>
          <w:p w14:paraId="2BEEC4E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-0.004</w:t>
            </w:r>
          </w:p>
        </w:tc>
        <w:tc>
          <w:tcPr>
            <w:tcW w:w="958" w:type="dxa"/>
            <w:shd w:val="clear" w:color="auto" w:fill="auto"/>
            <w:noWrap/>
          </w:tcPr>
          <w:p w14:paraId="0204901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0.007</w:t>
            </w:r>
          </w:p>
        </w:tc>
        <w:tc>
          <w:tcPr>
            <w:tcW w:w="959" w:type="dxa"/>
            <w:shd w:val="clear" w:color="auto" w:fill="auto"/>
            <w:noWrap/>
          </w:tcPr>
          <w:p w14:paraId="041952E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-0.004</w:t>
            </w:r>
          </w:p>
        </w:tc>
        <w:tc>
          <w:tcPr>
            <w:tcW w:w="959" w:type="dxa"/>
            <w:shd w:val="clear" w:color="auto" w:fill="auto"/>
            <w:noWrap/>
          </w:tcPr>
          <w:p w14:paraId="5A8D008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c>
          <w:tcPr>
            <w:tcW w:w="959" w:type="dxa"/>
            <w:shd w:val="clear" w:color="auto" w:fill="auto"/>
            <w:noWrap/>
          </w:tcPr>
          <w:p w14:paraId="6E5AA28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c>
          <w:tcPr>
            <w:tcW w:w="959" w:type="dxa"/>
            <w:shd w:val="clear" w:color="auto" w:fill="auto"/>
            <w:noWrap/>
          </w:tcPr>
          <w:p w14:paraId="261B433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c>
          <w:tcPr>
            <w:tcW w:w="965" w:type="dxa"/>
            <w:shd w:val="clear" w:color="auto" w:fill="auto"/>
            <w:noWrap/>
          </w:tcPr>
          <w:p w14:paraId="7EEE1A7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0.004</w:t>
            </w:r>
          </w:p>
        </w:tc>
      </w:tr>
      <w:tr w:rsidR="00521FEF" w:rsidRPr="009E5520" w14:paraId="3E76980E" w14:textId="77777777" w:rsidTr="00114EAB">
        <w:trPr>
          <w:trHeight w:hRule="exact" w:val="227"/>
          <w:jc w:val="center"/>
        </w:trPr>
        <w:tc>
          <w:tcPr>
            <w:tcW w:w="2422" w:type="dxa"/>
            <w:shd w:val="clear" w:color="auto" w:fill="auto"/>
            <w:noWrap/>
            <w:hideMark/>
          </w:tcPr>
          <w:p w14:paraId="45D2D8DF"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44D6B16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(0.013)</w:t>
            </w:r>
          </w:p>
        </w:tc>
        <w:tc>
          <w:tcPr>
            <w:tcW w:w="958" w:type="dxa"/>
            <w:shd w:val="clear" w:color="auto" w:fill="auto"/>
            <w:noWrap/>
          </w:tcPr>
          <w:p w14:paraId="7B5FFCA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(0.014)</w:t>
            </w:r>
          </w:p>
        </w:tc>
        <w:tc>
          <w:tcPr>
            <w:tcW w:w="959" w:type="dxa"/>
            <w:shd w:val="clear" w:color="auto" w:fill="auto"/>
            <w:noWrap/>
          </w:tcPr>
          <w:p w14:paraId="2C6C7CC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(0.013)</w:t>
            </w:r>
          </w:p>
        </w:tc>
        <w:tc>
          <w:tcPr>
            <w:tcW w:w="959" w:type="dxa"/>
            <w:shd w:val="clear" w:color="auto" w:fill="auto"/>
            <w:noWrap/>
          </w:tcPr>
          <w:p w14:paraId="58FB4CD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c>
          <w:tcPr>
            <w:tcW w:w="959" w:type="dxa"/>
            <w:shd w:val="clear" w:color="auto" w:fill="auto"/>
            <w:noWrap/>
          </w:tcPr>
          <w:p w14:paraId="3BBF7B3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(0.012)</w:t>
            </w:r>
          </w:p>
        </w:tc>
        <w:tc>
          <w:tcPr>
            <w:tcW w:w="959" w:type="dxa"/>
            <w:shd w:val="clear" w:color="auto" w:fill="auto"/>
            <w:noWrap/>
          </w:tcPr>
          <w:p w14:paraId="3BE6E62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(0.012)</w:t>
            </w:r>
          </w:p>
        </w:tc>
        <w:tc>
          <w:tcPr>
            <w:tcW w:w="965" w:type="dxa"/>
            <w:shd w:val="clear" w:color="auto" w:fill="auto"/>
            <w:noWrap/>
          </w:tcPr>
          <w:p w14:paraId="2417C1E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r>
      <w:tr w:rsidR="00521FEF" w:rsidRPr="009E5520" w14:paraId="6E9623B0" w14:textId="77777777" w:rsidTr="00114EAB">
        <w:trPr>
          <w:trHeight w:hRule="exact" w:val="227"/>
          <w:jc w:val="center"/>
        </w:trPr>
        <w:tc>
          <w:tcPr>
            <w:tcW w:w="2422" w:type="dxa"/>
            <w:shd w:val="clear" w:color="auto" w:fill="auto"/>
            <w:noWrap/>
            <w:hideMark/>
          </w:tcPr>
          <w:p w14:paraId="66B4227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_cons</w:t>
            </w:r>
          </w:p>
        </w:tc>
        <w:tc>
          <w:tcPr>
            <w:tcW w:w="1206" w:type="dxa"/>
            <w:shd w:val="clear" w:color="auto" w:fill="auto"/>
            <w:noWrap/>
          </w:tcPr>
          <w:p w14:paraId="279AC66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-0.125</w:t>
            </w:r>
          </w:p>
        </w:tc>
        <w:tc>
          <w:tcPr>
            <w:tcW w:w="958" w:type="dxa"/>
            <w:shd w:val="clear" w:color="auto" w:fill="auto"/>
            <w:noWrap/>
          </w:tcPr>
          <w:p w14:paraId="77B97C4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-0.427***</w:t>
            </w:r>
          </w:p>
        </w:tc>
        <w:tc>
          <w:tcPr>
            <w:tcW w:w="959" w:type="dxa"/>
            <w:shd w:val="clear" w:color="auto" w:fill="auto"/>
            <w:noWrap/>
          </w:tcPr>
          <w:p w14:paraId="21E2D35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-0.125</w:t>
            </w:r>
          </w:p>
        </w:tc>
        <w:tc>
          <w:tcPr>
            <w:tcW w:w="959" w:type="dxa"/>
            <w:shd w:val="clear" w:color="auto" w:fill="auto"/>
            <w:noWrap/>
          </w:tcPr>
          <w:p w14:paraId="15D1A49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-0.222*</w:t>
            </w:r>
          </w:p>
        </w:tc>
        <w:tc>
          <w:tcPr>
            <w:tcW w:w="959" w:type="dxa"/>
            <w:shd w:val="clear" w:color="auto" w:fill="auto"/>
            <w:noWrap/>
          </w:tcPr>
          <w:p w14:paraId="26A315D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-0.214*</w:t>
            </w:r>
          </w:p>
        </w:tc>
        <w:tc>
          <w:tcPr>
            <w:tcW w:w="959" w:type="dxa"/>
            <w:shd w:val="clear" w:color="auto" w:fill="auto"/>
            <w:noWrap/>
          </w:tcPr>
          <w:p w14:paraId="598A61D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-0.205*</w:t>
            </w:r>
          </w:p>
        </w:tc>
        <w:tc>
          <w:tcPr>
            <w:tcW w:w="965" w:type="dxa"/>
            <w:shd w:val="clear" w:color="auto" w:fill="auto"/>
            <w:noWrap/>
          </w:tcPr>
          <w:p w14:paraId="2CD7D1B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-0.355*  </w:t>
            </w:r>
          </w:p>
        </w:tc>
      </w:tr>
      <w:tr w:rsidR="00521FEF" w:rsidRPr="009E5520" w14:paraId="27F0C2C1" w14:textId="77777777" w:rsidTr="00114EAB">
        <w:trPr>
          <w:trHeight w:hRule="exact" w:val="227"/>
          <w:jc w:val="center"/>
        </w:trPr>
        <w:tc>
          <w:tcPr>
            <w:tcW w:w="2422" w:type="dxa"/>
            <w:shd w:val="clear" w:color="auto" w:fill="auto"/>
            <w:noWrap/>
            <w:hideMark/>
          </w:tcPr>
          <w:p w14:paraId="10E40396"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166A53A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(0.120)</w:t>
            </w:r>
          </w:p>
        </w:tc>
        <w:tc>
          <w:tcPr>
            <w:tcW w:w="958" w:type="dxa"/>
            <w:shd w:val="clear" w:color="auto" w:fill="auto"/>
            <w:noWrap/>
          </w:tcPr>
          <w:p w14:paraId="0818166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(0.122)</w:t>
            </w:r>
          </w:p>
        </w:tc>
        <w:tc>
          <w:tcPr>
            <w:tcW w:w="959" w:type="dxa"/>
            <w:shd w:val="clear" w:color="auto" w:fill="auto"/>
            <w:noWrap/>
          </w:tcPr>
          <w:p w14:paraId="1F20DE2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(0.113)</w:t>
            </w:r>
          </w:p>
        </w:tc>
        <w:tc>
          <w:tcPr>
            <w:tcW w:w="959" w:type="dxa"/>
            <w:shd w:val="clear" w:color="auto" w:fill="auto"/>
            <w:noWrap/>
          </w:tcPr>
          <w:p w14:paraId="4AF7BC3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(0.123)</w:t>
            </w:r>
          </w:p>
        </w:tc>
        <w:tc>
          <w:tcPr>
            <w:tcW w:w="959" w:type="dxa"/>
            <w:shd w:val="clear" w:color="auto" w:fill="auto"/>
            <w:noWrap/>
          </w:tcPr>
          <w:p w14:paraId="1CFB497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(0.123)</w:t>
            </w:r>
          </w:p>
        </w:tc>
        <w:tc>
          <w:tcPr>
            <w:tcW w:w="959" w:type="dxa"/>
            <w:shd w:val="clear" w:color="auto" w:fill="auto"/>
            <w:noWrap/>
          </w:tcPr>
          <w:p w14:paraId="6F3F284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(0.124)</w:t>
            </w:r>
          </w:p>
        </w:tc>
        <w:tc>
          <w:tcPr>
            <w:tcW w:w="965" w:type="dxa"/>
            <w:shd w:val="clear" w:color="auto" w:fill="auto"/>
            <w:noWrap/>
          </w:tcPr>
          <w:p w14:paraId="64F862B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(0.189)</w:t>
            </w:r>
          </w:p>
        </w:tc>
      </w:tr>
      <w:tr w:rsidR="00521FEF" w:rsidRPr="009E5520" w14:paraId="7963BB4B" w14:textId="77777777" w:rsidTr="00114EAB">
        <w:trPr>
          <w:trHeight w:hRule="exact" w:val="227"/>
          <w:jc w:val="center"/>
        </w:trPr>
        <w:tc>
          <w:tcPr>
            <w:tcW w:w="2422" w:type="dxa"/>
            <w:shd w:val="clear" w:color="auto" w:fill="auto"/>
            <w:noWrap/>
          </w:tcPr>
          <w:p w14:paraId="5A6C34A3" w14:textId="77777777" w:rsidR="00521FEF" w:rsidRPr="009E5520" w:rsidRDefault="00521FEF" w:rsidP="00114EAB">
            <w:pPr>
              <w:spacing w:after="0" w:line="240" w:lineRule="auto"/>
              <w:ind w:firstLine="0"/>
              <w:jc w:val="left"/>
              <w:rPr>
                <w:rFonts w:cs="Times New Roman"/>
                <w:sz w:val="18"/>
                <w:szCs w:val="18"/>
              </w:rPr>
            </w:pPr>
          </w:p>
        </w:tc>
        <w:tc>
          <w:tcPr>
            <w:tcW w:w="1206" w:type="dxa"/>
            <w:shd w:val="clear" w:color="auto" w:fill="auto"/>
            <w:noWrap/>
          </w:tcPr>
          <w:p w14:paraId="042C38D8" w14:textId="77777777" w:rsidR="00521FEF" w:rsidRPr="009E5520" w:rsidRDefault="00521FEF" w:rsidP="00114EAB">
            <w:pPr>
              <w:spacing w:after="0" w:line="240" w:lineRule="auto"/>
              <w:ind w:firstLine="0"/>
              <w:jc w:val="left"/>
              <w:rPr>
                <w:rFonts w:cs="Times New Roman"/>
                <w:color w:val="000000"/>
                <w:sz w:val="18"/>
                <w:szCs w:val="18"/>
              </w:rPr>
            </w:pPr>
          </w:p>
        </w:tc>
        <w:tc>
          <w:tcPr>
            <w:tcW w:w="958" w:type="dxa"/>
            <w:shd w:val="clear" w:color="auto" w:fill="auto"/>
            <w:noWrap/>
          </w:tcPr>
          <w:p w14:paraId="2F8D71F7" w14:textId="77777777" w:rsidR="00521FEF" w:rsidRPr="009E5520" w:rsidRDefault="00521FEF" w:rsidP="00114EAB">
            <w:pPr>
              <w:spacing w:after="0" w:line="240" w:lineRule="auto"/>
              <w:ind w:firstLine="0"/>
              <w:jc w:val="left"/>
              <w:rPr>
                <w:rFonts w:cs="Times New Roman"/>
                <w:color w:val="000000"/>
                <w:sz w:val="18"/>
                <w:szCs w:val="18"/>
              </w:rPr>
            </w:pPr>
          </w:p>
        </w:tc>
        <w:tc>
          <w:tcPr>
            <w:tcW w:w="959" w:type="dxa"/>
            <w:shd w:val="clear" w:color="auto" w:fill="auto"/>
            <w:noWrap/>
          </w:tcPr>
          <w:p w14:paraId="6059CCBF" w14:textId="77777777" w:rsidR="00521FEF" w:rsidRPr="009E5520" w:rsidRDefault="00521FEF" w:rsidP="00114EAB">
            <w:pPr>
              <w:spacing w:after="0" w:line="240" w:lineRule="auto"/>
              <w:ind w:firstLine="0"/>
              <w:jc w:val="left"/>
              <w:rPr>
                <w:rFonts w:cs="Times New Roman"/>
                <w:color w:val="000000"/>
                <w:sz w:val="18"/>
                <w:szCs w:val="18"/>
              </w:rPr>
            </w:pPr>
          </w:p>
        </w:tc>
        <w:tc>
          <w:tcPr>
            <w:tcW w:w="959" w:type="dxa"/>
            <w:shd w:val="clear" w:color="auto" w:fill="auto"/>
            <w:noWrap/>
          </w:tcPr>
          <w:p w14:paraId="7010A82E" w14:textId="77777777" w:rsidR="00521FEF" w:rsidRPr="009E5520" w:rsidRDefault="00521FEF" w:rsidP="00114EAB">
            <w:pPr>
              <w:spacing w:after="0" w:line="240" w:lineRule="auto"/>
              <w:ind w:firstLine="0"/>
              <w:jc w:val="left"/>
              <w:rPr>
                <w:rFonts w:cs="Times New Roman"/>
                <w:color w:val="000000"/>
                <w:sz w:val="18"/>
                <w:szCs w:val="18"/>
              </w:rPr>
            </w:pPr>
          </w:p>
        </w:tc>
        <w:tc>
          <w:tcPr>
            <w:tcW w:w="959" w:type="dxa"/>
            <w:shd w:val="clear" w:color="auto" w:fill="auto"/>
            <w:noWrap/>
          </w:tcPr>
          <w:p w14:paraId="4A10E306" w14:textId="77777777" w:rsidR="00521FEF" w:rsidRPr="009E5520" w:rsidRDefault="00521FEF" w:rsidP="00114EAB">
            <w:pPr>
              <w:spacing w:after="0" w:line="240" w:lineRule="auto"/>
              <w:ind w:firstLine="0"/>
              <w:jc w:val="left"/>
              <w:rPr>
                <w:rFonts w:cs="Times New Roman"/>
                <w:color w:val="000000"/>
                <w:sz w:val="18"/>
                <w:szCs w:val="18"/>
              </w:rPr>
            </w:pPr>
          </w:p>
        </w:tc>
        <w:tc>
          <w:tcPr>
            <w:tcW w:w="959" w:type="dxa"/>
            <w:shd w:val="clear" w:color="auto" w:fill="auto"/>
            <w:noWrap/>
          </w:tcPr>
          <w:p w14:paraId="04E22FD4" w14:textId="77777777" w:rsidR="00521FEF" w:rsidRPr="009E5520" w:rsidRDefault="00521FEF" w:rsidP="00114EAB">
            <w:pPr>
              <w:spacing w:after="0" w:line="240" w:lineRule="auto"/>
              <w:ind w:firstLine="0"/>
              <w:jc w:val="left"/>
              <w:rPr>
                <w:rFonts w:cs="Times New Roman"/>
                <w:color w:val="000000"/>
                <w:sz w:val="18"/>
                <w:szCs w:val="18"/>
              </w:rPr>
            </w:pPr>
          </w:p>
        </w:tc>
        <w:tc>
          <w:tcPr>
            <w:tcW w:w="965" w:type="dxa"/>
            <w:shd w:val="clear" w:color="auto" w:fill="auto"/>
            <w:noWrap/>
          </w:tcPr>
          <w:p w14:paraId="745198E7" w14:textId="77777777" w:rsidR="00521FEF" w:rsidRPr="009E5520" w:rsidRDefault="00521FEF" w:rsidP="00114EAB">
            <w:pPr>
              <w:spacing w:after="0" w:line="240" w:lineRule="auto"/>
              <w:ind w:firstLine="0"/>
              <w:jc w:val="left"/>
              <w:rPr>
                <w:rFonts w:cs="Times New Roman"/>
                <w:color w:val="000000"/>
                <w:sz w:val="18"/>
                <w:szCs w:val="18"/>
              </w:rPr>
            </w:pPr>
          </w:p>
        </w:tc>
      </w:tr>
      <w:tr w:rsidR="00521FEF" w:rsidRPr="009E5520" w14:paraId="4C4E20C2" w14:textId="77777777" w:rsidTr="00114EAB">
        <w:trPr>
          <w:trHeight w:hRule="exact" w:val="227"/>
          <w:jc w:val="center"/>
        </w:trPr>
        <w:tc>
          <w:tcPr>
            <w:tcW w:w="2422" w:type="dxa"/>
            <w:shd w:val="clear" w:color="auto" w:fill="auto"/>
            <w:noWrap/>
          </w:tcPr>
          <w:p w14:paraId="0215235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Observation</w:t>
            </w:r>
          </w:p>
        </w:tc>
        <w:tc>
          <w:tcPr>
            <w:tcW w:w="1206" w:type="dxa"/>
            <w:shd w:val="clear" w:color="auto" w:fill="auto"/>
            <w:noWrap/>
          </w:tcPr>
          <w:p w14:paraId="7FF8594C"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3443</w:t>
            </w:r>
          </w:p>
        </w:tc>
        <w:tc>
          <w:tcPr>
            <w:tcW w:w="958" w:type="dxa"/>
            <w:shd w:val="clear" w:color="auto" w:fill="auto"/>
            <w:noWrap/>
          </w:tcPr>
          <w:p w14:paraId="7586C360"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3443</w:t>
            </w:r>
          </w:p>
        </w:tc>
        <w:tc>
          <w:tcPr>
            <w:tcW w:w="959" w:type="dxa"/>
            <w:shd w:val="clear" w:color="auto" w:fill="auto"/>
            <w:noWrap/>
          </w:tcPr>
          <w:p w14:paraId="4E023A14"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3443</w:t>
            </w:r>
          </w:p>
        </w:tc>
        <w:tc>
          <w:tcPr>
            <w:tcW w:w="959" w:type="dxa"/>
            <w:shd w:val="clear" w:color="auto" w:fill="auto"/>
            <w:noWrap/>
          </w:tcPr>
          <w:p w14:paraId="467AE303"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3722</w:t>
            </w:r>
          </w:p>
        </w:tc>
        <w:tc>
          <w:tcPr>
            <w:tcW w:w="959" w:type="dxa"/>
            <w:shd w:val="clear" w:color="auto" w:fill="auto"/>
            <w:noWrap/>
          </w:tcPr>
          <w:p w14:paraId="7363CA72"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3722</w:t>
            </w:r>
          </w:p>
        </w:tc>
        <w:tc>
          <w:tcPr>
            <w:tcW w:w="959" w:type="dxa"/>
            <w:shd w:val="clear" w:color="auto" w:fill="auto"/>
            <w:noWrap/>
          </w:tcPr>
          <w:p w14:paraId="565A67E1"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3722</w:t>
            </w:r>
          </w:p>
        </w:tc>
        <w:tc>
          <w:tcPr>
            <w:tcW w:w="965" w:type="dxa"/>
            <w:shd w:val="clear" w:color="auto" w:fill="auto"/>
            <w:noWrap/>
          </w:tcPr>
          <w:p w14:paraId="6550154D"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4175</w:t>
            </w:r>
          </w:p>
        </w:tc>
      </w:tr>
      <w:tr w:rsidR="00521FEF" w:rsidRPr="009E5520" w14:paraId="1CB8EC15" w14:textId="77777777" w:rsidTr="00114EAB">
        <w:trPr>
          <w:trHeight w:hRule="exact" w:val="227"/>
          <w:jc w:val="center"/>
        </w:trPr>
        <w:tc>
          <w:tcPr>
            <w:tcW w:w="2422" w:type="dxa"/>
            <w:shd w:val="clear" w:color="auto" w:fill="auto"/>
            <w:noWrap/>
          </w:tcPr>
          <w:p w14:paraId="6C4BA0F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Firm</w:t>
            </w:r>
          </w:p>
        </w:tc>
        <w:tc>
          <w:tcPr>
            <w:tcW w:w="1206" w:type="dxa"/>
            <w:shd w:val="clear" w:color="auto" w:fill="auto"/>
            <w:noWrap/>
          </w:tcPr>
          <w:p w14:paraId="2C6C2D68"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681</w:t>
            </w:r>
          </w:p>
        </w:tc>
        <w:tc>
          <w:tcPr>
            <w:tcW w:w="958" w:type="dxa"/>
            <w:shd w:val="clear" w:color="auto" w:fill="auto"/>
            <w:noWrap/>
          </w:tcPr>
          <w:p w14:paraId="4D16AF72"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681</w:t>
            </w:r>
          </w:p>
        </w:tc>
        <w:tc>
          <w:tcPr>
            <w:tcW w:w="959" w:type="dxa"/>
            <w:shd w:val="clear" w:color="auto" w:fill="auto"/>
            <w:noWrap/>
          </w:tcPr>
          <w:p w14:paraId="7A5578E2"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681</w:t>
            </w:r>
          </w:p>
        </w:tc>
        <w:tc>
          <w:tcPr>
            <w:tcW w:w="959" w:type="dxa"/>
            <w:shd w:val="clear" w:color="auto" w:fill="auto"/>
            <w:noWrap/>
          </w:tcPr>
          <w:p w14:paraId="3C0B7974"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715</w:t>
            </w:r>
          </w:p>
        </w:tc>
        <w:tc>
          <w:tcPr>
            <w:tcW w:w="959" w:type="dxa"/>
            <w:shd w:val="clear" w:color="auto" w:fill="auto"/>
            <w:noWrap/>
          </w:tcPr>
          <w:p w14:paraId="1F3F1AA7"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715</w:t>
            </w:r>
          </w:p>
        </w:tc>
        <w:tc>
          <w:tcPr>
            <w:tcW w:w="959" w:type="dxa"/>
            <w:shd w:val="clear" w:color="auto" w:fill="auto"/>
            <w:noWrap/>
          </w:tcPr>
          <w:p w14:paraId="52EE4565"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715</w:t>
            </w:r>
          </w:p>
        </w:tc>
        <w:tc>
          <w:tcPr>
            <w:tcW w:w="965" w:type="dxa"/>
            <w:shd w:val="clear" w:color="auto" w:fill="auto"/>
            <w:noWrap/>
          </w:tcPr>
          <w:p w14:paraId="19E90D88"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775</w:t>
            </w:r>
          </w:p>
        </w:tc>
      </w:tr>
      <w:tr w:rsidR="00521FEF" w:rsidRPr="009E5520" w14:paraId="2C7E9C6B" w14:textId="77777777" w:rsidTr="00114EAB">
        <w:trPr>
          <w:trHeight w:hRule="exact" w:val="227"/>
          <w:jc w:val="center"/>
        </w:trPr>
        <w:tc>
          <w:tcPr>
            <w:tcW w:w="2422" w:type="dxa"/>
            <w:shd w:val="clear" w:color="auto" w:fill="auto"/>
            <w:noWrap/>
          </w:tcPr>
          <w:p w14:paraId="7D4594A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Number of Instrument</w:t>
            </w:r>
          </w:p>
        </w:tc>
        <w:tc>
          <w:tcPr>
            <w:tcW w:w="1206" w:type="dxa"/>
            <w:shd w:val="clear" w:color="auto" w:fill="auto"/>
            <w:noWrap/>
          </w:tcPr>
          <w:p w14:paraId="7164BF41"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467</w:t>
            </w:r>
          </w:p>
        </w:tc>
        <w:tc>
          <w:tcPr>
            <w:tcW w:w="958" w:type="dxa"/>
            <w:shd w:val="clear" w:color="auto" w:fill="auto"/>
            <w:noWrap/>
          </w:tcPr>
          <w:p w14:paraId="410A12BB"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467</w:t>
            </w:r>
          </w:p>
        </w:tc>
        <w:tc>
          <w:tcPr>
            <w:tcW w:w="959" w:type="dxa"/>
            <w:shd w:val="clear" w:color="auto" w:fill="auto"/>
            <w:noWrap/>
          </w:tcPr>
          <w:p w14:paraId="3A7D5BFD"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467</w:t>
            </w:r>
          </w:p>
        </w:tc>
        <w:tc>
          <w:tcPr>
            <w:tcW w:w="959" w:type="dxa"/>
            <w:shd w:val="clear" w:color="auto" w:fill="auto"/>
            <w:noWrap/>
          </w:tcPr>
          <w:p w14:paraId="763EBA65"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444</w:t>
            </w:r>
          </w:p>
        </w:tc>
        <w:tc>
          <w:tcPr>
            <w:tcW w:w="959" w:type="dxa"/>
            <w:shd w:val="clear" w:color="auto" w:fill="auto"/>
            <w:noWrap/>
          </w:tcPr>
          <w:p w14:paraId="5F81AB73"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444</w:t>
            </w:r>
          </w:p>
        </w:tc>
        <w:tc>
          <w:tcPr>
            <w:tcW w:w="959" w:type="dxa"/>
            <w:shd w:val="clear" w:color="auto" w:fill="auto"/>
            <w:noWrap/>
          </w:tcPr>
          <w:p w14:paraId="0C9B573D"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444</w:t>
            </w:r>
          </w:p>
        </w:tc>
        <w:tc>
          <w:tcPr>
            <w:tcW w:w="965" w:type="dxa"/>
            <w:shd w:val="clear" w:color="auto" w:fill="auto"/>
            <w:noWrap/>
          </w:tcPr>
          <w:p w14:paraId="3E6E6752"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422</w:t>
            </w:r>
          </w:p>
        </w:tc>
      </w:tr>
      <w:tr w:rsidR="00521FEF" w:rsidRPr="009E5520" w14:paraId="453F88C4" w14:textId="77777777" w:rsidTr="00114EAB">
        <w:trPr>
          <w:trHeight w:hRule="exact" w:val="227"/>
          <w:jc w:val="center"/>
        </w:trPr>
        <w:tc>
          <w:tcPr>
            <w:tcW w:w="2422" w:type="dxa"/>
            <w:shd w:val="clear" w:color="auto" w:fill="auto"/>
            <w:noWrap/>
            <w:hideMark/>
          </w:tcPr>
          <w:p w14:paraId="1043705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Hansen test of over-identification</w:t>
            </w:r>
          </w:p>
        </w:tc>
        <w:tc>
          <w:tcPr>
            <w:tcW w:w="1206" w:type="dxa"/>
            <w:shd w:val="clear" w:color="auto" w:fill="auto"/>
            <w:noWrap/>
          </w:tcPr>
          <w:p w14:paraId="063A822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0.424</w:t>
            </w:r>
          </w:p>
        </w:tc>
        <w:tc>
          <w:tcPr>
            <w:tcW w:w="958" w:type="dxa"/>
            <w:shd w:val="clear" w:color="auto" w:fill="auto"/>
            <w:noWrap/>
          </w:tcPr>
          <w:p w14:paraId="0DA0720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0.276</w:t>
            </w:r>
          </w:p>
        </w:tc>
        <w:tc>
          <w:tcPr>
            <w:tcW w:w="959" w:type="dxa"/>
            <w:shd w:val="clear" w:color="auto" w:fill="auto"/>
            <w:noWrap/>
          </w:tcPr>
          <w:p w14:paraId="5F44530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0.429</w:t>
            </w:r>
          </w:p>
        </w:tc>
        <w:tc>
          <w:tcPr>
            <w:tcW w:w="959" w:type="dxa"/>
            <w:shd w:val="clear" w:color="auto" w:fill="auto"/>
            <w:noWrap/>
          </w:tcPr>
          <w:p w14:paraId="5B3252D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0.383</w:t>
            </w:r>
          </w:p>
        </w:tc>
        <w:tc>
          <w:tcPr>
            <w:tcW w:w="959" w:type="dxa"/>
            <w:shd w:val="clear" w:color="auto" w:fill="auto"/>
            <w:noWrap/>
          </w:tcPr>
          <w:p w14:paraId="34A0E26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0.383</w:t>
            </w:r>
          </w:p>
        </w:tc>
        <w:tc>
          <w:tcPr>
            <w:tcW w:w="959" w:type="dxa"/>
            <w:shd w:val="clear" w:color="auto" w:fill="auto"/>
            <w:noWrap/>
          </w:tcPr>
          <w:p w14:paraId="1B19D97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0.385</w:t>
            </w:r>
          </w:p>
        </w:tc>
        <w:tc>
          <w:tcPr>
            <w:tcW w:w="965" w:type="dxa"/>
            <w:shd w:val="clear" w:color="auto" w:fill="auto"/>
            <w:noWrap/>
          </w:tcPr>
          <w:p w14:paraId="49B87A7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0.288</w:t>
            </w:r>
          </w:p>
        </w:tc>
      </w:tr>
      <w:tr w:rsidR="00521FEF" w:rsidRPr="009E5520" w14:paraId="3CB925B6" w14:textId="77777777" w:rsidTr="00114EAB">
        <w:trPr>
          <w:trHeight w:hRule="exact" w:val="227"/>
          <w:jc w:val="center"/>
        </w:trPr>
        <w:tc>
          <w:tcPr>
            <w:tcW w:w="2422" w:type="dxa"/>
            <w:shd w:val="clear" w:color="auto" w:fill="auto"/>
            <w:noWrap/>
            <w:vAlign w:val="bottom"/>
          </w:tcPr>
          <w:p w14:paraId="316E970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1)</w:t>
            </w:r>
          </w:p>
        </w:tc>
        <w:tc>
          <w:tcPr>
            <w:tcW w:w="1206" w:type="dxa"/>
            <w:shd w:val="clear" w:color="auto" w:fill="auto"/>
            <w:noWrap/>
            <w:vAlign w:val="center"/>
          </w:tcPr>
          <w:p w14:paraId="7AA3C5F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c>
          <w:tcPr>
            <w:tcW w:w="958" w:type="dxa"/>
            <w:shd w:val="clear" w:color="auto" w:fill="auto"/>
            <w:noWrap/>
            <w:vAlign w:val="center"/>
          </w:tcPr>
          <w:p w14:paraId="77EFB02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c>
          <w:tcPr>
            <w:tcW w:w="959" w:type="dxa"/>
            <w:shd w:val="clear" w:color="auto" w:fill="auto"/>
            <w:noWrap/>
            <w:vAlign w:val="center"/>
          </w:tcPr>
          <w:p w14:paraId="4145FDB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c>
          <w:tcPr>
            <w:tcW w:w="959" w:type="dxa"/>
            <w:shd w:val="clear" w:color="auto" w:fill="auto"/>
            <w:noWrap/>
            <w:vAlign w:val="center"/>
          </w:tcPr>
          <w:p w14:paraId="35235A2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c>
          <w:tcPr>
            <w:tcW w:w="959" w:type="dxa"/>
            <w:shd w:val="clear" w:color="auto" w:fill="auto"/>
            <w:noWrap/>
            <w:vAlign w:val="center"/>
          </w:tcPr>
          <w:p w14:paraId="2847647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c>
          <w:tcPr>
            <w:tcW w:w="959" w:type="dxa"/>
            <w:shd w:val="clear" w:color="auto" w:fill="auto"/>
            <w:noWrap/>
            <w:vAlign w:val="center"/>
          </w:tcPr>
          <w:p w14:paraId="55E6D7B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c>
          <w:tcPr>
            <w:tcW w:w="965" w:type="dxa"/>
            <w:shd w:val="clear" w:color="auto" w:fill="auto"/>
            <w:noWrap/>
            <w:vAlign w:val="center"/>
          </w:tcPr>
          <w:p w14:paraId="13EE6C3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w:t>
            </w:r>
          </w:p>
        </w:tc>
      </w:tr>
      <w:tr w:rsidR="00521FEF" w:rsidRPr="009E5520" w14:paraId="58D5DF40" w14:textId="77777777" w:rsidTr="00114EAB">
        <w:trPr>
          <w:trHeight w:hRule="exact" w:val="227"/>
          <w:jc w:val="center"/>
        </w:trPr>
        <w:tc>
          <w:tcPr>
            <w:tcW w:w="2422" w:type="dxa"/>
            <w:shd w:val="clear" w:color="auto" w:fill="auto"/>
            <w:noWrap/>
            <w:vAlign w:val="bottom"/>
          </w:tcPr>
          <w:p w14:paraId="25E87A6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2)</w:t>
            </w:r>
          </w:p>
        </w:tc>
        <w:tc>
          <w:tcPr>
            <w:tcW w:w="1206" w:type="dxa"/>
            <w:shd w:val="clear" w:color="auto" w:fill="auto"/>
            <w:noWrap/>
            <w:vAlign w:val="center"/>
          </w:tcPr>
          <w:p w14:paraId="62AC9F9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0.061</w:t>
            </w:r>
          </w:p>
        </w:tc>
        <w:tc>
          <w:tcPr>
            <w:tcW w:w="958" w:type="dxa"/>
            <w:shd w:val="clear" w:color="auto" w:fill="auto"/>
            <w:noWrap/>
            <w:vAlign w:val="center"/>
          </w:tcPr>
          <w:p w14:paraId="1373BD2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0.053</w:t>
            </w:r>
          </w:p>
        </w:tc>
        <w:tc>
          <w:tcPr>
            <w:tcW w:w="959" w:type="dxa"/>
            <w:shd w:val="clear" w:color="auto" w:fill="auto"/>
            <w:noWrap/>
            <w:vAlign w:val="center"/>
          </w:tcPr>
          <w:p w14:paraId="5A2C2B5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0.061</w:t>
            </w:r>
          </w:p>
        </w:tc>
        <w:tc>
          <w:tcPr>
            <w:tcW w:w="959" w:type="dxa"/>
            <w:shd w:val="clear" w:color="auto" w:fill="auto"/>
            <w:noWrap/>
            <w:vAlign w:val="center"/>
          </w:tcPr>
          <w:p w14:paraId="6B87FFA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0.082</w:t>
            </w:r>
          </w:p>
        </w:tc>
        <w:tc>
          <w:tcPr>
            <w:tcW w:w="959" w:type="dxa"/>
            <w:shd w:val="clear" w:color="auto" w:fill="auto"/>
            <w:noWrap/>
            <w:vAlign w:val="center"/>
          </w:tcPr>
          <w:p w14:paraId="5B6768F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0.081</w:t>
            </w:r>
          </w:p>
        </w:tc>
        <w:tc>
          <w:tcPr>
            <w:tcW w:w="959" w:type="dxa"/>
            <w:shd w:val="clear" w:color="auto" w:fill="auto"/>
            <w:noWrap/>
            <w:vAlign w:val="center"/>
          </w:tcPr>
          <w:p w14:paraId="293351C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0.081</w:t>
            </w:r>
          </w:p>
        </w:tc>
        <w:tc>
          <w:tcPr>
            <w:tcW w:w="965" w:type="dxa"/>
            <w:shd w:val="clear" w:color="auto" w:fill="auto"/>
            <w:noWrap/>
            <w:vAlign w:val="center"/>
          </w:tcPr>
          <w:p w14:paraId="30D43A8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0.087</w:t>
            </w:r>
          </w:p>
        </w:tc>
      </w:tr>
      <w:tr w:rsidR="00521FEF" w:rsidRPr="009E5520" w14:paraId="742C0189" w14:textId="77777777" w:rsidTr="00114EAB">
        <w:trPr>
          <w:trHeight w:hRule="exact" w:val="227"/>
          <w:jc w:val="center"/>
        </w:trPr>
        <w:tc>
          <w:tcPr>
            <w:tcW w:w="2422" w:type="dxa"/>
            <w:tcBorders>
              <w:bottom w:val="single" w:sz="4" w:space="0" w:color="auto"/>
            </w:tcBorders>
            <w:shd w:val="clear" w:color="auto" w:fill="auto"/>
            <w:noWrap/>
            <w:vAlign w:val="bottom"/>
            <w:hideMark/>
          </w:tcPr>
          <w:p w14:paraId="1FE2796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3)</w:t>
            </w:r>
          </w:p>
        </w:tc>
        <w:tc>
          <w:tcPr>
            <w:tcW w:w="1206" w:type="dxa"/>
            <w:shd w:val="clear" w:color="auto" w:fill="auto"/>
            <w:noWrap/>
            <w:vAlign w:val="center"/>
          </w:tcPr>
          <w:p w14:paraId="4E587ED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0.469</w:t>
            </w:r>
          </w:p>
        </w:tc>
        <w:tc>
          <w:tcPr>
            <w:tcW w:w="958" w:type="dxa"/>
            <w:shd w:val="clear" w:color="auto" w:fill="auto"/>
            <w:noWrap/>
            <w:vAlign w:val="center"/>
          </w:tcPr>
          <w:p w14:paraId="34070C2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0.456</w:t>
            </w:r>
          </w:p>
        </w:tc>
        <w:tc>
          <w:tcPr>
            <w:tcW w:w="959" w:type="dxa"/>
            <w:shd w:val="clear" w:color="auto" w:fill="auto"/>
            <w:noWrap/>
            <w:vAlign w:val="center"/>
          </w:tcPr>
          <w:p w14:paraId="0D6AB67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0.471</w:t>
            </w:r>
          </w:p>
        </w:tc>
        <w:tc>
          <w:tcPr>
            <w:tcW w:w="959" w:type="dxa"/>
            <w:shd w:val="clear" w:color="auto" w:fill="auto"/>
            <w:noWrap/>
            <w:vAlign w:val="center"/>
          </w:tcPr>
          <w:p w14:paraId="51E611A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0.404</w:t>
            </w:r>
          </w:p>
        </w:tc>
        <w:tc>
          <w:tcPr>
            <w:tcW w:w="959" w:type="dxa"/>
            <w:shd w:val="clear" w:color="auto" w:fill="auto"/>
            <w:noWrap/>
            <w:vAlign w:val="center"/>
          </w:tcPr>
          <w:p w14:paraId="0240E0A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0.403</w:t>
            </w:r>
          </w:p>
        </w:tc>
        <w:tc>
          <w:tcPr>
            <w:tcW w:w="959" w:type="dxa"/>
            <w:shd w:val="clear" w:color="auto" w:fill="auto"/>
            <w:noWrap/>
            <w:vAlign w:val="center"/>
          </w:tcPr>
          <w:p w14:paraId="0DF7597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0.403</w:t>
            </w:r>
          </w:p>
        </w:tc>
        <w:tc>
          <w:tcPr>
            <w:tcW w:w="965" w:type="dxa"/>
            <w:shd w:val="clear" w:color="auto" w:fill="auto"/>
            <w:noWrap/>
            <w:vAlign w:val="center"/>
          </w:tcPr>
          <w:p w14:paraId="652FC1D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0.622</w:t>
            </w:r>
          </w:p>
        </w:tc>
      </w:tr>
      <w:tr w:rsidR="00521FEF" w:rsidRPr="009E5520" w14:paraId="5A875B73" w14:textId="77777777" w:rsidTr="000373C9">
        <w:trPr>
          <w:trHeight w:hRule="exact" w:val="2080"/>
          <w:jc w:val="center"/>
        </w:trPr>
        <w:tc>
          <w:tcPr>
            <w:tcW w:w="9387" w:type="dxa"/>
            <w:gridSpan w:val="8"/>
            <w:tcBorders>
              <w:bottom w:val="single" w:sz="4" w:space="0" w:color="auto"/>
            </w:tcBorders>
            <w:shd w:val="clear" w:color="auto" w:fill="auto"/>
            <w:hideMark/>
          </w:tcPr>
          <w:p w14:paraId="0B168E26" w14:textId="77777777" w:rsidR="000373C9" w:rsidRDefault="000373C9" w:rsidP="00114EAB">
            <w:pPr>
              <w:pStyle w:val="Footnoot"/>
            </w:pPr>
          </w:p>
          <w:p w14:paraId="02D67CCF" w14:textId="77777777" w:rsidR="001B2D03" w:rsidRDefault="00521FEF" w:rsidP="00114EAB">
            <w:pPr>
              <w:pStyle w:val="Footnoot"/>
            </w:pPr>
            <w:r w:rsidRPr="009E5520">
              <w:t>Notes:  Table 3 reports the impact of each leading channel: technological progress, product market power and labour market power, on labour share. Labour share is measured as labour cost divided by the sum of earnings before interest, tax, depreciation, and amortisation (</w:t>
            </w:r>
            <w:r w:rsidRPr="009E5520">
              <w:rPr>
                <w:i/>
              </w:rPr>
              <w:t>EBITDA</w:t>
            </w:r>
            <w:r w:rsidRPr="009E5520">
              <w:t xml:space="preserve">) and labour cost. Each regression includes region, industry, and year fixed effects. Continuous variables are </w:t>
            </w:r>
            <w:proofErr w:type="spellStart"/>
            <w:r w:rsidRPr="009E5520">
              <w:t>winsorised</w:t>
            </w:r>
            <w:proofErr w:type="spellEnd"/>
            <w:r w:rsidRPr="009E5520">
              <w:t xml:space="preserve"> at 1 per cent and 99 per cent. Robust standard errors clustered at the firm level are reported in parentheses.</w:t>
            </w:r>
          </w:p>
          <w:p w14:paraId="5743D9F5" w14:textId="797EC499" w:rsidR="00521FEF" w:rsidRPr="009E5520" w:rsidRDefault="00521FEF" w:rsidP="00114EAB">
            <w:pPr>
              <w:pStyle w:val="Footnoot"/>
            </w:pPr>
            <w:r w:rsidRPr="009E5520">
              <w:t>*, **, *** Indicate significance at the 10%, 5% and 1% levels, respectively.</w:t>
            </w:r>
          </w:p>
          <w:p w14:paraId="610D6923" w14:textId="77777777" w:rsidR="00521FEF" w:rsidRPr="009E5520" w:rsidRDefault="00521FEF" w:rsidP="00114EAB">
            <w:pPr>
              <w:pStyle w:val="Footnoot"/>
            </w:pPr>
            <w:r w:rsidRPr="009E5520">
              <w:t>All variables are defined in Appendix B.</w:t>
            </w:r>
          </w:p>
        </w:tc>
      </w:tr>
    </w:tbl>
    <w:p w14:paraId="15CC2EA9" w14:textId="77777777" w:rsidR="00521FEF" w:rsidRPr="009E5520" w:rsidRDefault="00521FEF" w:rsidP="00521FEF">
      <w:pPr>
        <w:ind w:firstLine="0"/>
      </w:pPr>
    </w:p>
    <w:p w14:paraId="101A593D" w14:textId="6FAF1046" w:rsidR="009A7B5F" w:rsidRPr="00B355F8" w:rsidRDefault="001E4AB0" w:rsidP="001E4AB0">
      <w:pPr>
        <w:pStyle w:val="Heading3"/>
      </w:pPr>
      <w:r>
        <w:lastRenderedPageBreak/>
        <w:t xml:space="preserve">5.1.1. </w:t>
      </w:r>
      <w:r w:rsidR="006F66F3" w:rsidRPr="00B355F8">
        <w:t>Further Empirical Results</w:t>
      </w:r>
    </w:p>
    <w:p w14:paraId="4F587D84" w14:textId="0685938A" w:rsidR="00521FEF" w:rsidRPr="009E5520" w:rsidRDefault="00340937" w:rsidP="00FD6330">
      <w:pPr>
        <w:ind w:firstLine="0"/>
      </w:pPr>
      <w:r w:rsidRPr="00340937">
        <w:t>This section presents several robustness tests seeking to test the stability of our result among different subsamples.</w:t>
      </w:r>
      <w:r w:rsidRPr="00340937">
        <w:rPr>
          <w:vertAlign w:val="superscript"/>
        </w:rPr>
        <w:footnoteReference w:id="6"/>
      </w:r>
      <w:r w:rsidRPr="00340937">
        <w:t xml:space="preserve"> First, the primary regression model, table 2, considers year heterogeneity by including year dummies and imposes a common coefficient for all three channels over time. Table 4 Panel A reports the regression coefficients that result from separate period by period estimation of equation (1). All columns include region, industry, and year fixed effects and standard error are clustered at the firm-level.  In all periods, technological progress and product market power have a significant and negative impact on labour share. However, the magnitude of the impacts is quite different. In addition, there is no evidence of a relationship between labour market power and labour share. The sign of the coefficient estimation is in line with the total sample result (Table 2). </w:t>
      </w:r>
    </w:p>
    <w:p w14:paraId="10D40241" w14:textId="5BB2F379" w:rsidR="00521FEF" w:rsidRPr="00FD6330" w:rsidRDefault="00521FEF" w:rsidP="00521FEF">
      <w:pPr>
        <w:pStyle w:val="Caption"/>
        <w:jc w:val="center"/>
        <w:rPr>
          <w:b/>
          <w:bCs/>
          <w:i w:val="0"/>
          <w:color w:val="auto"/>
          <w:sz w:val="22"/>
          <w:szCs w:val="22"/>
        </w:rPr>
      </w:pPr>
      <w:r w:rsidRPr="00FD6330">
        <w:rPr>
          <w:b/>
          <w:bCs/>
          <w:i w:val="0"/>
          <w:color w:val="auto"/>
          <w:sz w:val="22"/>
          <w:szCs w:val="22"/>
        </w:rPr>
        <w:t xml:space="preserve">Table </w:t>
      </w:r>
      <w:r w:rsidR="00715602">
        <w:rPr>
          <w:b/>
          <w:bCs/>
          <w:i w:val="0"/>
          <w:color w:val="auto"/>
          <w:sz w:val="22"/>
          <w:szCs w:val="22"/>
        </w:rPr>
        <w:t>4</w:t>
      </w:r>
      <w:r w:rsidR="0086170C">
        <w:rPr>
          <w:b/>
          <w:bCs/>
          <w:i w:val="0"/>
          <w:color w:val="auto"/>
          <w:sz w:val="22"/>
          <w:szCs w:val="22"/>
        </w:rPr>
        <w:t>.</w:t>
      </w:r>
      <w:r w:rsidRPr="00FD6330">
        <w:rPr>
          <w:b/>
          <w:bCs/>
          <w:i w:val="0"/>
          <w:color w:val="auto"/>
          <w:sz w:val="22"/>
          <w:szCs w:val="22"/>
        </w:rPr>
        <w:t xml:space="preserve"> The determinants of labour share across years and sectors</w:t>
      </w:r>
    </w:p>
    <w:p w14:paraId="30672E2A" w14:textId="77777777" w:rsidR="00521FEF" w:rsidRPr="009E5520" w:rsidRDefault="00521FEF" w:rsidP="00521FEF">
      <w:pPr>
        <w:spacing w:after="0"/>
        <w:ind w:hanging="709"/>
        <w:rPr>
          <w:b/>
          <w:bCs/>
          <w:szCs w:val="24"/>
        </w:rPr>
      </w:pPr>
      <w:r w:rsidRPr="009E5520">
        <w:rPr>
          <w:b/>
          <w:bCs/>
          <w:szCs w:val="24"/>
        </w:rPr>
        <w:t>Panel A: The determinants of labour share over time</w:t>
      </w:r>
    </w:p>
    <w:tbl>
      <w:tblPr>
        <w:tblW w:w="10774" w:type="dxa"/>
        <w:tblInd w:w="-709" w:type="dxa"/>
        <w:tblLook w:val="04A0" w:firstRow="1" w:lastRow="0" w:firstColumn="1" w:lastColumn="0" w:noHBand="0" w:noVBand="1"/>
      </w:tblPr>
      <w:tblGrid>
        <w:gridCol w:w="1309"/>
        <w:gridCol w:w="2105"/>
        <w:gridCol w:w="1123"/>
        <w:gridCol w:w="1428"/>
        <w:gridCol w:w="1265"/>
        <w:gridCol w:w="850"/>
        <w:gridCol w:w="709"/>
        <w:gridCol w:w="709"/>
        <w:gridCol w:w="1276"/>
      </w:tblGrid>
      <w:tr w:rsidR="00521FEF" w:rsidRPr="009E5520" w14:paraId="78439CAF" w14:textId="77777777" w:rsidTr="00114EAB">
        <w:trPr>
          <w:trHeight w:val="290"/>
        </w:trPr>
        <w:tc>
          <w:tcPr>
            <w:tcW w:w="1309" w:type="dxa"/>
            <w:tcBorders>
              <w:top w:val="nil"/>
              <w:left w:val="nil"/>
              <w:bottom w:val="single" w:sz="4" w:space="0" w:color="auto"/>
              <w:right w:val="nil"/>
            </w:tcBorders>
            <w:shd w:val="clear" w:color="auto" w:fill="auto"/>
            <w:noWrap/>
            <w:vAlign w:val="center"/>
            <w:hideMark/>
          </w:tcPr>
          <w:p w14:paraId="0162BDB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Period</w:t>
            </w:r>
          </w:p>
        </w:tc>
        <w:tc>
          <w:tcPr>
            <w:tcW w:w="2105" w:type="dxa"/>
            <w:tcBorders>
              <w:top w:val="nil"/>
              <w:left w:val="nil"/>
              <w:bottom w:val="single" w:sz="4" w:space="0" w:color="auto"/>
              <w:right w:val="nil"/>
            </w:tcBorders>
            <w:shd w:val="clear" w:color="auto" w:fill="auto"/>
            <w:noWrap/>
            <w:vAlign w:val="center"/>
            <w:hideMark/>
          </w:tcPr>
          <w:p w14:paraId="4415527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LnCapital</w:t>
            </w:r>
            <w:proofErr w:type="spellEnd"/>
            <w:r w:rsidRPr="009E5520">
              <w:rPr>
                <w:rFonts w:eastAsia="Times New Roman" w:cs="Times New Roman"/>
                <w:color w:val="000000"/>
                <w:sz w:val="20"/>
                <w:szCs w:val="20"/>
                <w:lang w:eastAsia="en-NZ"/>
              </w:rPr>
              <w:t>/VA</w:t>
            </w:r>
          </w:p>
        </w:tc>
        <w:tc>
          <w:tcPr>
            <w:tcW w:w="1123" w:type="dxa"/>
            <w:tcBorders>
              <w:top w:val="nil"/>
              <w:left w:val="nil"/>
              <w:bottom w:val="single" w:sz="4" w:space="0" w:color="auto"/>
              <w:right w:val="nil"/>
            </w:tcBorders>
            <w:shd w:val="clear" w:color="auto" w:fill="auto"/>
            <w:noWrap/>
            <w:vAlign w:val="center"/>
            <w:hideMark/>
          </w:tcPr>
          <w:p w14:paraId="0108E35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TFPOP</w:t>
            </w:r>
          </w:p>
        </w:tc>
        <w:tc>
          <w:tcPr>
            <w:tcW w:w="1428" w:type="dxa"/>
            <w:tcBorders>
              <w:top w:val="nil"/>
              <w:left w:val="nil"/>
              <w:bottom w:val="single" w:sz="4" w:space="0" w:color="auto"/>
              <w:right w:val="nil"/>
            </w:tcBorders>
            <w:shd w:val="clear" w:color="auto" w:fill="auto"/>
            <w:noWrap/>
            <w:vAlign w:val="center"/>
            <w:hideMark/>
          </w:tcPr>
          <w:p w14:paraId="4D074711"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LnMarkupOP</w:t>
            </w:r>
            <w:proofErr w:type="spellEnd"/>
          </w:p>
        </w:tc>
        <w:tc>
          <w:tcPr>
            <w:tcW w:w="1265" w:type="dxa"/>
            <w:tcBorders>
              <w:top w:val="nil"/>
              <w:left w:val="nil"/>
              <w:bottom w:val="single" w:sz="4" w:space="0" w:color="auto"/>
              <w:right w:val="nil"/>
            </w:tcBorders>
            <w:shd w:val="clear" w:color="auto" w:fill="auto"/>
            <w:noWrap/>
            <w:vAlign w:val="center"/>
            <w:hideMark/>
          </w:tcPr>
          <w:p w14:paraId="2B3E40AD"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IndHHIEmp</w:t>
            </w:r>
            <w:proofErr w:type="spellEnd"/>
          </w:p>
        </w:tc>
        <w:tc>
          <w:tcPr>
            <w:tcW w:w="850" w:type="dxa"/>
            <w:tcBorders>
              <w:top w:val="nil"/>
              <w:left w:val="nil"/>
              <w:bottom w:val="single" w:sz="4" w:space="0" w:color="auto"/>
              <w:right w:val="nil"/>
            </w:tcBorders>
            <w:shd w:val="clear" w:color="auto" w:fill="auto"/>
            <w:noWrap/>
            <w:vAlign w:val="center"/>
            <w:hideMark/>
          </w:tcPr>
          <w:p w14:paraId="0E44089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Union</w:t>
            </w:r>
          </w:p>
        </w:tc>
        <w:tc>
          <w:tcPr>
            <w:tcW w:w="709" w:type="dxa"/>
            <w:tcBorders>
              <w:top w:val="nil"/>
              <w:left w:val="nil"/>
              <w:bottom w:val="single" w:sz="4" w:space="0" w:color="auto"/>
              <w:right w:val="nil"/>
            </w:tcBorders>
            <w:shd w:val="clear" w:color="auto" w:fill="auto"/>
            <w:noWrap/>
            <w:vAlign w:val="center"/>
            <w:hideMark/>
          </w:tcPr>
          <w:p w14:paraId="63093C6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Obs</w:t>
            </w:r>
            <w:proofErr w:type="spellEnd"/>
          </w:p>
        </w:tc>
        <w:tc>
          <w:tcPr>
            <w:tcW w:w="709" w:type="dxa"/>
            <w:tcBorders>
              <w:top w:val="nil"/>
              <w:left w:val="nil"/>
              <w:bottom w:val="single" w:sz="4" w:space="0" w:color="auto"/>
              <w:right w:val="nil"/>
            </w:tcBorders>
            <w:shd w:val="clear" w:color="auto" w:fill="auto"/>
            <w:noWrap/>
            <w:vAlign w:val="center"/>
            <w:hideMark/>
          </w:tcPr>
          <w:p w14:paraId="745E145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Firm</w:t>
            </w:r>
          </w:p>
        </w:tc>
        <w:tc>
          <w:tcPr>
            <w:tcW w:w="1276" w:type="dxa"/>
            <w:tcBorders>
              <w:top w:val="nil"/>
              <w:left w:val="nil"/>
              <w:bottom w:val="single" w:sz="4" w:space="0" w:color="auto"/>
              <w:right w:val="nil"/>
            </w:tcBorders>
            <w:shd w:val="clear" w:color="auto" w:fill="auto"/>
            <w:noWrap/>
            <w:vAlign w:val="center"/>
            <w:hideMark/>
          </w:tcPr>
          <w:p w14:paraId="583EB21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Adjusted R2</w:t>
            </w:r>
          </w:p>
        </w:tc>
      </w:tr>
      <w:tr w:rsidR="00521FEF" w:rsidRPr="009E5520" w14:paraId="3DCC8345" w14:textId="77777777" w:rsidTr="00114EAB">
        <w:trPr>
          <w:trHeight w:hRule="exact" w:val="227"/>
        </w:trPr>
        <w:tc>
          <w:tcPr>
            <w:tcW w:w="1309" w:type="dxa"/>
            <w:tcBorders>
              <w:top w:val="single" w:sz="4" w:space="0" w:color="auto"/>
              <w:left w:val="nil"/>
              <w:bottom w:val="nil"/>
              <w:right w:val="nil"/>
            </w:tcBorders>
            <w:shd w:val="clear" w:color="auto" w:fill="auto"/>
            <w:noWrap/>
            <w:vAlign w:val="center"/>
            <w:hideMark/>
          </w:tcPr>
          <w:p w14:paraId="54DECE7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2004-2007</w:t>
            </w:r>
          </w:p>
        </w:tc>
        <w:tc>
          <w:tcPr>
            <w:tcW w:w="2105" w:type="dxa"/>
            <w:tcBorders>
              <w:top w:val="single" w:sz="4" w:space="0" w:color="auto"/>
              <w:left w:val="nil"/>
              <w:bottom w:val="nil"/>
              <w:right w:val="nil"/>
            </w:tcBorders>
            <w:shd w:val="clear" w:color="auto" w:fill="auto"/>
            <w:noWrap/>
            <w:vAlign w:val="center"/>
            <w:hideMark/>
          </w:tcPr>
          <w:p w14:paraId="02A3DD3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-0.165***</w:t>
            </w:r>
          </w:p>
        </w:tc>
        <w:tc>
          <w:tcPr>
            <w:tcW w:w="1123" w:type="dxa"/>
            <w:tcBorders>
              <w:top w:val="single" w:sz="4" w:space="0" w:color="auto"/>
              <w:left w:val="nil"/>
              <w:bottom w:val="nil"/>
              <w:right w:val="nil"/>
            </w:tcBorders>
            <w:shd w:val="clear" w:color="auto" w:fill="auto"/>
            <w:noWrap/>
            <w:vAlign w:val="center"/>
            <w:hideMark/>
          </w:tcPr>
          <w:p w14:paraId="63693D1F"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-0.207***</w:t>
            </w:r>
          </w:p>
        </w:tc>
        <w:tc>
          <w:tcPr>
            <w:tcW w:w="1428" w:type="dxa"/>
            <w:tcBorders>
              <w:top w:val="single" w:sz="4" w:space="0" w:color="auto"/>
              <w:left w:val="nil"/>
              <w:bottom w:val="nil"/>
              <w:right w:val="nil"/>
            </w:tcBorders>
            <w:shd w:val="clear" w:color="auto" w:fill="auto"/>
            <w:noWrap/>
            <w:vAlign w:val="center"/>
            <w:hideMark/>
          </w:tcPr>
          <w:p w14:paraId="575AC16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-0.391***</w:t>
            </w:r>
          </w:p>
        </w:tc>
        <w:tc>
          <w:tcPr>
            <w:tcW w:w="1265" w:type="dxa"/>
            <w:tcBorders>
              <w:top w:val="single" w:sz="4" w:space="0" w:color="auto"/>
              <w:left w:val="nil"/>
              <w:bottom w:val="nil"/>
              <w:right w:val="nil"/>
            </w:tcBorders>
            <w:shd w:val="clear" w:color="auto" w:fill="auto"/>
            <w:noWrap/>
            <w:vAlign w:val="center"/>
            <w:hideMark/>
          </w:tcPr>
          <w:p w14:paraId="4FBB6A6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0.247</w:t>
            </w:r>
          </w:p>
        </w:tc>
        <w:tc>
          <w:tcPr>
            <w:tcW w:w="850" w:type="dxa"/>
            <w:tcBorders>
              <w:top w:val="single" w:sz="4" w:space="0" w:color="auto"/>
              <w:left w:val="nil"/>
              <w:bottom w:val="nil"/>
              <w:right w:val="nil"/>
            </w:tcBorders>
            <w:shd w:val="clear" w:color="auto" w:fill="auto"/>
            <w:noWrap/>
            <w:vAlign w:val="center"/>
            <w:hideMark/>
          </w:tcPr>
          <w:p w14:paraId="63EE02A1"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0.007</w:t>
            </w:r>
          </w:p>
        </w:tc>
        <w:tc>
          <w:tcPr>
            <w:tcW w:w="709" w:type="dxa"/>
            <w:tcBorders>
              <w:top w:val="single" w:sz="4" w:space="0" w:color="auto"/>
              <w:left w:val="nil"/>
              <w:bottom w:val="nil"/>
              <w:right w:val="nil"/>
            </w:tcBorders>
            <w:shd w:val="clear" w:color="auto" w:fill="auto"/>
            <w:noWrap/>
            <w:vAlign w:val="center"/>
            <w:hideMark/>
          </w:tcPr>
          <w:p w14:paraId="3CE7B51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711</w:t>
            </w:r>
          </w:p>
        </w:tc>
        <w:tc>
          <w:tcPr>
            <w:tcW w:w="709" w:type="dxa"/>
            <w:tcBorders>
              <w:top w:val="single" w:sz="4" w:space="0" w:color="auto"/>
              <w:left w:val="nil"/>
              <w:bottom w:val="nil"/>
              <w:right w:val="nil"/>
            </w:tcBorders>
            <w:shd w:val="clear" w:color="auto" w:fill="auto"/>
            <w:noWrap/>
            <w:vAlign w:val="center"/>
            <w:hideMark/>
          </w:tcPr>
          <w:p w14:paraId="201A8AE5"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350</w:t>
            </w:r>
          </w:p>
        </w:tc>
        <w:tc>
          <w:tcPr>
            <w:tcW w:w="1276" w:type="dxa"/>
            <w:tcBorders>
              <w:top w:val="single" w:sz="4" w:space="0" w:color="auto"/>
              <w:left w:val="nil"/>
              <w:bottom w:val="nil"/>
              <w:right w:val="nil"/>
            </w:tcBorders>
            <w:shd w:val="clear" w:color="auto" w:fill="auto"/>
            <w:noWrap/>
            <w:vAlign w:val="center"/>
            <w:hideMark/>
          </w:tcPr>
          <w:p w14:paraId="354F49B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0.419</w:t>
            </w:r>
          </w:p>
        </w:tc>
      </w:tr>
      <w:tr w:rsidR="00521FEF" w:rsidRPr="009E5520" w14:paraId="6B58D35C" w14:textId="77777777" w:rsidTr="00114EAB">
        <w:trPr>
          <w:trHeight w:hRule="exact" w:val="227"/>
        </w:trPr>
        <w:tc>
          <w:tcPr>
            <w:tcW w:w="1309" w:type="dxa"/>
            <w:tcBorders>
              <w:top w:val="nil"/>
              <w:left w:val="nil"/>
              <w:bottom w:val="nil"/>
              <w:right w:val="nil"/>
            </w:tcBorders>
            <w:shd w:val="clear" w:color="auto" w:fill="auto"/>
            <w:noWrap/>
            <w:vAlign w:val="center"/>
            <w:hideMark/>
          </w:tcPr>
          <w:p w14:paraId="69D4BCF7"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2105" w:type="dxa"/>
            <w:tcBorders>
              <w:top w:val="nil"/>
              <w:left w:val="nil"/>
              <w:bottom w:val="nil"/>
              <w:right w:val="nil"/>
            </w:tcBorders>
            <w:shd w:val="clear" w:color="auto" w:fill="auto"/>
            <w:noWrap/>
            <w:vAlign w:val="center"/>
            <w:hideMark/>
          </w:tcPr>
          <w:p w14:paraId="216233D6"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(0.041)</w:t>
            </w:r>
          </w:p>
        </w:tc>
        <w:tc>
          <w:tcPr>
            <w:tcW w:w="1123" w:type="dxa"/>
            <w:tcBorders>
              <w:top w:val="nil"/>
              <w:left w:val="nil"/>
              <w:bottom w:val="nil"/>
              <w:right w:val="nil"/>
            </w:tcBorders>
            <w:shd w:val="clear" w:color="auto" w:fill="auto"/>
            <w:noWrap/>
            <w:vAlign w:val="center"/>
            <w:hideMark/>
          </w:tcPr>
          <w:p w14:paraId="4F6B65F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(0.046)</w:t>
            </w:r>
          </w:p>
        </w:tc>
        <w:tc>
          <w:tcPr>
            <w:tcW w:w="1428" w:type="dxa"/>
            <w:tcBorders>
              <w:top w:val="nil"/>
              <w:left w:val="nil"/>
              <w:bottom w:val="nil"/>
              <w:right w:val="nil"/>
            </w:tcBorders>
            <w:shd w:val="clear" w:color="auto" w:fill="auto"/>
            <w:noWrap/>
            <w:vAlign w:val="center"/>
            <w:hideMark/>
          </w:tcPr>
          <w:p w14:paraId="6634A587"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(0.103)</w:t>
            </w:r>
          </w:p>
        </w:tc>
        <w:tc>
          <w:tcPr>
            <w:tcW w:w="1265" w:type="dxa"/>
            <w:tcBorders>
              <w:top w:val="nil"/>
              <w:left w:val="nil"/>
              <w:bottom w:val="nil"/>
              <w:right w:val="nil"/>
            </w:tcBorders>
            <w:shd w:val="clear" w:color="auto" w:fill="auto"/>
            <w:noWrap/>
            <w:vAlign w:val="center"/>
            <w:hideMark/>
          </w:tcPr>
          <w:p w14:paraId="0CBF073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(0.917)</w:t>
            </w:r>
          </w:p>
        </w:tc>
        <w:tc>
          <w:tcPr>
            <w:tcW w:w="850" w:type="dxa"/>
            <w:tcBorders>
              <w:top w:val="nil"/>
              <w:left w:val="nil"/>
              <w:bottom w:val="nil"/>
              <w:right w:val="nil"/>
            </w:tcBorders>
            <w:shd w:val="clear" w:color="auto" w:fill="auto"/>
            <w:noWrap/>
            <w:vAlign w:val="center"/>
            <w:hideMark/>
          </w:tcPr>
          <w:p w14:paraId="17853E7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(0.041)</w:t>
            </w:r>
          </w:p>
        </w:tc>
        <w:tc>
          <w:tcPr>
            <w:tcW w:w="709" w:type="dxa"/>
            <w:tcBorders>
              <w:top w:val="nil"/>
              <w:left w:val="nil"/>
              <w:bottom w:val="nil"/>
              <w:right w:val="nil"/>
            </w:tcBorders>
            <w:shd w:val="clear" w:color="auto" w:fill="auto"/>
            <w:noWrap/>
            <w:vAlign w:val="center"/>
            <w:hideMark/>
          </w:tcPr>
          <w:p w14:paraId="6DB9775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709" w:type="dxa"/>
            <w:tcBorders>
              <w:top w:val="nil"/>
              <w:left w:val="nil"/>
              <w:bottom w:val="nil"/>
              <w:right w:val="nil"/>
            </w:tcBorders>
            <w:shd w:val="clear" w:color="auto" w:fill="auto"/>
            <w:noWrap/>
            <w:vAlign w:val="center"/>
            <w:hideMark/>
          </w:tcPr>
          <w:p w14:paraId="7F248CA9"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c>
          <w:tcPr>
            <w:tcW w:w="1276" w:type="dxa"/>
            <w:tcBorders>
              <w:top w:val="nil"/>
              <w:left w:val="nil"/>
              <w:bottom w:val="nil"/>
              <w:right w:val="nil"/>
            </w:tcBorders>
            <w:shd w:val="clear" w:color="auto" w:fill="auto"/>
            <w:noWrap/>
            <w:vAlign w:val="center"/>
            <w:hideMark/>
          </w:tcPr>
          <w:p w14:paraId="38352F00"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r>
      <w:tr w:rsidR="00521FEF" w:rsidRPr="009E5520" w14:paraId="416869CE" w14:textId="77777777" w:rsidTr="00114EAB">
        <w:trPr>
          <w:trHeight w:hRule="exact" w:val="227"/>
        </w:trPr>
        <w:tc>
          <w:tcPr>
            <w:tcW w:w="1309" w:type="dxa"/>
            <w:tcBorders>
              <w:top w:val="nil"/>
              <w:left w:val="nil"/>
              <w:bottom w:val="nil"/>
              <w:right w:val="nil"/>
            </w:tcBorders>
            <w:shd w:val="clear" w:color="auto" w:fill="auto"/>
            <w:noWrap/>
            <w:vAlign w:val="center"/>
            <w:hideMark/>
          </w:tcPr>
          <w:p w14:paraId="49B171BF"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2008-2010</w:t>
            </w:r>
          </w:p>
        </w:tc>
        <w:tc>
          <w:tcPr>
            <w:tcW w:w="2105" w:type="dxa"/>
            <w:tcBorders>
              <w:top w:val="nil"/>
              <w:left w:val="nil"/>
              <w:bottom w:val="nil"/>
              <w:right w:val="nil"/>
            </w:tcBorders>
            <w:shd w:val="clear" w:color="auto" w:fill="auto"/>
            <w:noWrap/>
            <w:vAlign w:val="center"/>
            <w:hideMark/>
          </w:tcPr>
          <w:p w14:paraId="37659A0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-0.208***</w:t>
            </w:r>
          </w:p>
        </w:tc>
        <w:tc>
          <w:tcPr>
            <w:tcW w:w="1123" w:type="dxa"/>
            <w:tcBorders>
              <w:top w:val="nil"/>
              <w:left w:val="nil"/>
              <w:bottom w:val="nil"/>
              <w:right w:val="nil"/>
            </w:tcBorders>
            <w:shd w:val="clear" w:color="auto" w:fill="auto"/>
            <w:noWrap/>
            <w:vAlign w:val="center"/>
            <w:hideMark/>
          </w:tcPr>
          <w:p w14:paraId="4FD20E9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-0.165***</w:t>
            </w:r>
          </w:p>
        </w:tc>
        <w:tc>
          <w:tcPr>
            <w:tcW w:w="1428" w:type="dxa"/>
            <w:tcBorders>
              <w:top w:val="nil"/>
              <w:left w:val="nil"/>
              <w:bottom w:val="nil"/>
              <w:right w:val="nil"/>
            </w:tcBorders>
            <w:shd w:val="clear" w:color="auto" w:fill="auto"/>
            <w:noWrap/>
            <w:vAlign w:val="center"/>
            <w:hideMark/>
          </w:tcPr>
          <w:p w14:paraId="4886F58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-0.195***</w:t>
            </w:r>
          </w:p>
        </w:tc>
        <w:tc>
          <w:tcPr>
            <w:tcW w:w="1265" w:type="dxa"/>
            <w:tcBorders>
              <w:top w:val="nil"/>
              <w:left w:val="nil"/>
              <w:bottom w:val="nil"/>
              <w:right w:val="nil"/>
            </w:tcBorders>
            <w:shd w:val="clear" w:color="auto" w:fill="auto"/>
            <w:noWrap/>
            <w:vAlign w:val="center"/>
            <w:hideMark/>
          </w:tcPr>
          <w:p w14:paraId="7C86E04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0.208</w:t>
            </w:r>
          </w:p>
        </w:tc>
        <w:tc>
          <w:tcPr>
            <w:tcW w:w="850" w:type="dxa"/>
            <w:tcBorders>
              <w:top w:val="nil"/>
              <w:left w:val="nil"/>
              <w:bottom w:val="nil"/>
              <w:right w:val="nil"/>
            </w:tcBorders>
            <w:shd w:val="clear" w:color="auto" w:fill="auto"/>
            <w:noWrap/>
            <w:vAlign w:val="center"/>
            <w:hideMark/>
          </w:tcPr>
          <w:p w14:paraId="5D565376"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0.009</w:t>
            </w:r>
          </w:p>
        </w:tc>
        <w:tc>
          <w:tcPr>
            <w:tcW w:w="709" w:type="dxa"/>
            <w:tcBorders>
              <w:top w:val="nil"/>
              <w:left w:val="nil"/>
              <w:bottom w:val="nil"/>
              <w:right w:val="nil"/>
            </w:tcBorders>
            <w:shd w:val="clear" w:color="auto" w:fill="auto"/>
            <w:noWrap/>
            <w:vAlign w:val="center"/>
            <w:hideMark/>
          </w:tcPr>
          <w:p w14:paraId="53CCD01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771</w:t>
            </w:r>
          </w:p>
        </w:tc>
        <w:tc>
          <w:tcPr>
            <w:tcW w:w="709" w:type="dxa"/>
            <w:tcBorders>
              <w:top w:val="nil"/>
              <w:left w:val="nil"/>
              <w:bottom w:val="nil"/>
              <w:right w:val="nil"/>
            </w:tcBorders>
            <w:shd w:val="clear" w:color="auto" w:fill="auto"/>
            <w:noWrap/>
            <w:vAlign w:val="center"/>
            <w:hideMark/>
          </w:tcPr>
          <w:p w14:paraId="73574C8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372</w:t>
            </w:r>
          </w:p>
        </w:tc>
        <w:tc>
          <w:tcPr>
            <w:tcW w:w="1276" w:type="dxa"/>
            <w:tcBorders>
              <w:top w:val="nil"/>
              <w:left w:val="nil"/>
              <w:bottom w:val="nil"/>
              <w:right w:val="nil"/>
            </w:tcBorders>
            <w:shd w:val="clear" w:color="auto" w:fill="auto"/>
            <w:noWrap/>
            <w:vAlign w:val="center"/>
            <w:hideMark/>
          </w:tcPr>
          <w:p w14:paraId="7720D3C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0.438</w:t>
            </w:r>
          </w:p>
        </w:tc>
      </w:tr>
      <w:tr w:rsidR="00521FEF" w:rsidRPr="009E5520" w14:paraId="28D3A081" w14:textId="77777777" w:rsidTr="00114EAB">
        <w:trPr>
          <w:trHeight w:hRule="exact" w:val="227"/>
        </w:trPr>
        <w:tc>
          <w:tcPr>
            <w:tcW w:w="1309" w:type="dxa"/>
            <w:tcBorders>
              <w:top w:val="nil"/>
              <w:left w:val="nil"/>
              <w:bottom w:val="nil"/>
              <w:right w:val="nil"/>
            </w:tcBorders>
            <w:shd w:val="clear" w:color="auto" w:fill="auto"/>
            <w:noWrap/>
            <w:vAlign w:val="center"/>
            <w:hideMark/>
          </w:tcPr>
          <w:p w14:paraId="5DAFE3D1"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2105" w:type="dxa"/>
            <w:tcBorders>
              <w:top w:val="nil"/>
              <w:left w:val="nil"/>
              <w:bottom w:val="nil"/>
              <w:right w:val="nil"/>
            </w:tcBorders>
            <w:shd w:val="clear" w:color="auto" w:fill="auto"/>
            <w:noWrap/>
            <w:vAlign w:val="center"/>
            <w:hideMark/>
          </w:tcPr>
          <w:p w14:paraId="3FC3BCE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(0.031)</w:t>
            </w:r>
          </w:p>
        </w:tc>
        <w:tc>
          <w:tcPr>
            <w:tcW w:w="1123" w:type="dxa"/>
            <w:tcBorders>
              <w:top w:val="nil"/>
              <w:left w:val="nil"/>
              <w:bottom w:val="nil"/>
              <w:right w:val="nil"/>
            </w:tcBorders>
            <w:shd w:val="clear" w:color="auto" w:fill="auto"/>
            <w:noWrap/>
            <w:vAlign w:val="center"/>
            <w:hideMark/>
          </w:tcPr>
          <w:p w14:paraId="53333DBD"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(0.043)</w:t>
            </w:r>
          </w:p>
        </w:tc>
        <w:tc>
          <w:tcPr>
            <w:tcW w:w="1428" w:type="dxa"/>
            <w:tcBorders>
              <w:top w:val="nil"/>
              <w:left w:val="nil"/>
              <w:bottom w:val="nil"/>
              <w:right w:val="nil"/>
            </w:tcBorders>
            <w:shd w:val="clear" w:color="auto" w:fill="auto"/>
            <w:noWrap/>
            <w:vAlign w:val="center"/>
            <w:hideMark/>
          </w:tcPr>
          <w:p w14:paraId="6FD4689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(0.05)</w:t>
            </w:r>
          </w:p>
        </w:tc>
        <w:tc>
          <w:tcPr>
            <w:tcW w:w="1265" w:type="dxa"/>
            <w:tcBorders>
              <w:top w:val="nil"/>
              <w:left w:val="nil"/>
              <w:bottom w:val="nil"/>
              <w:right w:val="nil"/>
            </w:tcBorders>
            <w:shd w:val="clear" w:color="auto" w:fill="auto"/>
            <w:noWrap/>
            <w:vAlign w:val="center"/>
            <w:hideMark/>
          </w:tcPr>
          <w:p w14:paraId="42BDE03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(0.145)</w:t>
            </w:r>
          </w:p>
        </w:tc>
        <w:tc>
          <w:tcPr>
            <w:tcW w:w="850" w:type="dxa"/>
            <w:tcBorders>
              <w:top w:val="nil"/>
              <w:left w:val="nil"/>
              <w:bottom w:val="nil"/>
              <w:right w:val="nil"/>
            </w:tcBorders>
            <w:shd w:val="clear" w:color="auto" w:fill="auto"/>
            <w:noWrap/>
            <w:vAlign w:val="center"/>
            <w:hideMark/>
          </w:tcPr>
          <w:p w14:paraId="094EA89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(0.02)</w:t>
            </w:r>
          </w:p>
        </w:tc>
        <w:tc>
          <w:tcPr>
            <w:tcW w:w="709" w:type="dxa"/>
            <w:tcBorders>
              <w:top w:val="nil"/>
              <w:left w:val="nil"/>
              <w:bottom w:val="nil"/>
              <w:right w:val="nil"/>
            </w:tcBorders>
            <w:shd w:val="clear" w:color="auto" w:fill="auto"/>
            <w:noWrap/>
            <w:vAlign w:val="center"/>
            <w:hideMark/>
          </w:tcPr>
          <w:p w14:paraId="29A5AAA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709" w:type="dxa"/>
            <w:tcBorders>
              <w:top w:val="nil"/>
              <w:left w:val="nil"/>
              <w:bottom w:val="nil"/>
              <w:right w:val="nil"/>
            </w:tcBorders>
            <w:shd w:val="clear" w:color="auto" w:fill="auto"/>
            <w:noWrap/>
            <w:vAlign w:val="center"/>
            <w:hideMark/>
          </w:tcPr>
          <w:p w14:paraId="53918D2E"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c>
          <w:tcPr>
            <w:tcW w:w="1276" w:type="dxa"/>
            <w:tcBorders>
              <w:top w:val="nil"/>
              <w:left w:val="nil"/>
              <w:bottom w:val="nil"/>
              <w:right w:val="nil"/>
            </w:tcBorders>
            <w:shd w:val="clear" w:color="auto" w:fill="auto"/>
            <w:noWrap/>
            <w:vAlign w:val="center"/>
            <w:hideMark/>
          </w:tcPr>
          <w:p w14:paraId="11E211DA"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r>
      <w:tr w:rsidR="00521FEF" w:rsidRPr="009E5520" w14:paraId="5CDE8017" w14:textId="77777777" w:rsidTr="00114EAB">
        <w:trPr>
          <w:trHeight w:hRule="exact" w:val="227"/>
        </w:trPr>
        <w:tc>
          <w:tcPr>
            <w:tcW w:w="1309" w:type="dxa"/>
            <w:tcBorders>
              <w:top w:val="nil"/>
              <w:left w:val="nil"/>
              <w:bottom w:val="nil"/>
              <w:right w:val="nil"/>
            </w:tcBorders>
            <w:shd w:val="clear" w:color="auto" w:fill="auto"/>
            <w:noWrap/>
            <w:vAlign w:val="center"/>
            <w:hideMark/>
          </w:tcPr>
          <w:p w14:paraId="59C1333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2011-2013</w:t>
            </w:r>
          </w:p>
        </w:tc>
        <w:tc>
          <w:tcPr>
            <w:tcW w:w="2105" w:type="dxa"/>
            <w:tcBorders>
              <w:top w:val="nil"/>
              <w:left w:val="nil"/>
              <w:bottom w:val="nil"/>
              <w:right w:val="nil"/>
            </w:tcBorders>
            <w:shd w:val="clear" w:color="auto" w:fill="auto"/>
            <w:noWrap/>
            <w:vAlign w:val="center"/>
            <w:hideMark/>
          </w:tcPr>
          <w:p w14:paraId="63D63086"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-0.152***</w:t>
            </w:r>
          </w:p>
        </w:tc>
        <w:tc>
          <w:tcPr>
            <w:tcW w:w="1123" w:type="dxa"/>
            <w:tcBorders>
              <w:top w:val="nil"/>
              <w:left w:val="nil"/>
              <w:bottom w:val="nil"/>
              <w:right w:val="nil"/>
            </w:tcBorders>
            <w:shd w:val="clear" w:color="auto" w:fill="auto"/>
            <w:noWrap/>
            <w:vAlign w:val="center"/>
            <w:hideMark/>
          </w:tcPr>
          <w:p w14:paraId="2B106E55"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-0.162***</w:t>
            </w:r>
          </w:p>
        </w:tc>
        <w:tc>
          <w:tcPr>
            <w:tcW w:w="1428" w:type="dxa"/>
            <w:tcBorders>
              <w:top w:val="nil"/>
              <w:left w:val="nil"/>
              <w:bottom w:val="nil"/>
              <w:right w:val="nil"/>
            </w:tcBorders>
            <w:shd w:val="clear" w:color="auto" w:fill="auto"/>
            <w:noWrap/>
            <w:vAlign w:val="center"/>
            <w:hideMark/>
          </w:tcPr>
          <w:p w14:paraId="30656AB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-0.274***</w:t>
            </w:r>
          </w:p>
        </w:tc>
        <w:tc>
          <w:tcPr>
            <w:tcW w:w="1265" w:type="dxa"/>
            <w:tcBorders>
              <w:top w:val="nil"/>
              <w:left w:val="nil"/>
              <w:bottom w:val="nil"/>
              <w:right w:val="nil"/>
            </w:tcBorders>
            <w:shd w:val="clear" w:color="auto" w:fill="auto"/>
            <w:noWrap/>
            <w:vAlign w:val="center"/>
            <w:hideMark/>
          </w:tcPr>
          <w:p w14:paraId="3DBB3B3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-1.452</w:t>
            </w:r>
          </w:p>
        </w:tc>
        <w:tc>
          <w:tcPr>
            <w:tcW w:w="850" w:type="dxa"/>
            <w:tcBorders>
              <w:top w:val="nil"/>
              <w:left w:val="nil"/>
              <w:bottom w:val="nil"/>
              <w:right w:val="nil"/>
            </w:tcBorders>
            <w:shd w:val="clear" w:color="auto" w:fill="auto"/>
            <w:noWrap/>
            <w:vAlign w:val="center"/>
            <w:hideMark/>
          </w:tcPr>
          <w:p w14:paraId="52DC16F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-0.015</w:t>
            </w:r>
          </w:p>
        </w:tc>
        <w:tc>
          <w:tcPr>
            <w:tcW w:w="709" w:type="dxa"/>
            <w:tcBorders>
              <w:top w:val="nil"/>
              <w:left w:val="nil"/>
              <w:bottom w:val="nil"/>
              <w:right w:val="nil"/>
            </w:tcBorders>
            <w:shd w:val="clear" w:color="auto" w:fill="auto"/>
            <w:noWrap/>
            <w:vAlign w:val="center"/>
            <w:hideMark/>
          </w:tcPr>
          <w:p w14:paraId="606A7F2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787</w:t>
            </w:r>
          </w:p>
        </w:tc>
        <w:tc>
          <w:tcPr>
            <w:tcW w:w="709" w:type="dxa"/>
            <w:tcBorders>
              <w:top w:val="nil"/>
              <w:left w:val="nil"/>
              <w:bottom w:val="nil"/>
              <w:right w:val="nil"/>
            </w:tcBorders>
            <w:shd w:val="clear" w:color="auto" w:fill="auto"/>
            <w:noWrap/>
            <w:vAlign w:val="center"/>
            <w:hideMark/>
          </w:tcPr>
          <w:p w14:paraId="709C476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362</w:t>
            </w:r>
          </w:p>
        </w:tc>
        <w:tc>
          <w:tcPr>
            <w:tcW w:w="1276" w:type="dxa"/>
            <w:tcBorders>
              <w:top w:val="nil"/>
              <w:left w:val="nil"/>
              <w:bottom w:val="nil"/>
              <w:right w:val="nil"/>
            </w:tcBorders>
            <w:shd w:val="clear" w:color="auto" w:fill="auto"/>
            <w:noWrap/>
            <w:vAlign w:val="center"/>
            <w:hideMark/>
          </w:tcPr>
          <w:p w14:paraId="366BB3D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0.475</w:t>
            </w:r>
          </w:p>
        </w:tc>
      </w:tr>
      <w:tr w:rsidR="00521FEF" w:rsidRPr="009E5520" w14:paraId="28C76FDD" w14:textId="77777777" w:rsidTr="00114EAB">
        <w:trPr>
          <w:trHeight w:hRule="exact" w:val="227"/>
        </w:trPr>
        <w:tc>
          <w:tcPr>
            <w:tcW w:w="1309" w:type="dxa"/>
            <w:tcBorders>
              <w:top w:val="nil"/>
              <w:left w:val="nil"/>
              <w:bottom w:val="nil"/>
              <w:right w:val="nil"/>
            </w:tcBorders>
            <w:shd w:val="clear" w:color="auto" w:fill="auto"/>
            <w:noWrap/>
            <w:vAlign w:val="center"/>
            <w:hideMark/>
          </w:tcPr>
          <w:p w14:paraId="5EE4D56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2105" w:type="dxa"/>
            <w:tcBorders>
              <w:top w:val="nil"/>
              <w:left w:val="nil"/>
              <w:bottom w:val="nil"/>
              <w:right w:val="nil"/>
            </w:tcBorders>
            <w:shd w:val="clear" w:color="auto" w:fill="auto"/>
            <w:noWrap/>
            <w:vAlign w:val="center"/>
            <w:hideMark/>
          </w:tcPr>
          <w:p w14:paraId="0BDBFBEF"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(0.031)</w:t>
            </w:r>
          </w:p>
        </w:tc>
        <w:tc>
          <w:tcPr>
            <w:tcW w:w="1123" w:type="dxa"/>
            <w:tcBorders>
              <w:top w:val="nil"/>
              <w:left w:val="nil"/>
              <w:bottom w:val="nil"/>
              <w:right w:val="nil"/>
            </w:tcBorders>
            <w:shd w:val="clear" w:color="auto" w:fill="auto"/>
            <w:noWrap/>
            <w:vAlign w:val="center"/>
            <w:hideMark/>
          </w:tcPr>
          <w:p w14:paraId="115CAAB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(0.039)</w:t>
            </w:r>
          </w:p>
        </w:tc>
        <w:tc>
          <w:tcPr>
            <w:tcW w:w="1428" w:type="dxa"/>
            <w:tcBorders>
              <w:top w:val="nil"/>
              <w:left w:val="nil"/>
              <w:bottom w:val="nil"/>
              <w:right w:val="nil"/>
            </w:tcBorders>
            <w:shd w:val="clear" w:color="auto" w:fill="auto"/>
            <w:noWrap/>
            <w:vAlign w:val="center"/>
            <w:hideMark/>
          </w:tcPr>
          <w:p w14:paraId="2B0CD185"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(0.067)</w:t>
            </w:r>
          </w:p>
        </w:tc>
        <w:tc>
          <w:tcPr>
            <w:tcW w:w="1265" w:type="dxa"/>
            <w:tcBorders>
              <w:top w:val="nil"/>
              <w:left w:val="nil"/>
              <w:bottom w:val="nil"/>
              <w:right w:val="nil"/>
            </w:tcBorders>
            <w:shd w:val="clear" w:color="auto" w:fill="auto"/>
            <w:noWrap/>
            <w:vAlign w:val="center"/>
            <w:hideMark/>
          </w:tcPr>
          <w:p w14:paraId="25CE9BE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(1.137)</w:t>
            </w:r>
          </w:p>
        </w:tc>
        <w:tc>
          <w:tcPr>
            <w:tcW w:w="850" w:type="dxa"/>
            <w:tcBorders>
              <w:top w:val="nil"/>
              <w:left w:val="nil"/>
              <w:bottom w:val="nil"/>
              <w:right w:val="nil"/>
            </w:tcBorders>
            <w:shd w:val="clear" w:color="auto" w:fill="auto"/>
            <w:noWrap/>
            <w:vAlign w:val="center"/>
            <w:hideMark/>
          </w:tcPr>
          <w:p w14:paraId="023FDCC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(0.045)</w:t>
            </w:r>
          </w:p>
        </w:tc>
        <w:tc>
          <w:tcPr>
            <w:tcW w:w="709" w:type="dxa"/>
            <w:tcBorders>
              <w:top w:val="nil"/>
              <w:left w:val="nil"/>
              <w:bottom w:val="nil"/>
              <w:right w:val="nil"/>
            </w:tcBorders>
            <w:shd w:val="clear" w:color="auto" w:fill="auto"/>
            <w:noWrap/>
            <w:vAlign w:val="center"/>
            <w:hideMark/>
          </w:tcPr>
          <w:p w14:paraId="6705EC2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709" w:type="dxa"/>
            <w:tcBorders>
              <w:top w:val="nil"/>
              <w:left w:val="nil"/>
              <w:bottom w:val="nil"/>
              <w:right w:val="nil"/>
            </w:tcBorders>
            <w:shd w:val="clear" w:color="auto" w:fill="auto"/>
            <w:noWrap/>
            <w:vAlign w:val="center"/>
            <w:hideMark/>
          </w:tcPr>
          <w:p w14:paraId="6940710D"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c>
          <w:tcPr>
            <w:tcW w:w="1276" w:type="dxa"/>
            <w:tcBorders>
              <w:top w:val="nil"/>
              <w:left w:val="nil"/>
              <w:bottom w:val="nil"/>
              <w:right w:val="nil"/>
            </w:tcBorders>
            <w:shd w:val="clear" w:color="auto" w:fill="auto"/>
            <w:noWrap/>
            <w:vAlign w:val="center"/>
            <w:hideMark/>
          </w:tcPr>
          <w:p w14:paraId="683DE001"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r>
      <w:tr w:rsidR="00521FEF" w:rsidRPr="009E5520" w14:paraId="2286C686" w14:textId="77777777" w:rsidTr="00114EAB">
        <w:trPr>
          <w:trHeight w:hRule="exact" w:val="227"/>
        </w:trPr>
        <w:tc>
          <w:tcPr>
            <w:tcW w:w="1309" w:type="dxa"/>
            <w:tcBorders>
              <w:top w:val="nil"/>
              <w:left w:val="nil"/>
              <w:bottom w:val="nil"/>
              <w:right w:val="nil"/>
            </w:tcBorders>
            <w:shd w:val="clear" w:color="auto" w:fill="auto"/>
            <w:noWrap/>
            <w:vAlign w:val="center"/>
            <w:hideMark/>
          </w:tcPr>
          <w:p w14:paraId="061B418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2014-2016</w:t>
            </w:r>
          </w:p>
        </w:tc>
        <w:tc>
          <w:tcPr>
            <w:tcW w:w="2105" w:type="dxa"/>
            <w:tcBorders>
              <w:top w:val="nil"/>
              <w:left w:val="nil"/>
              <w:bottom w:val="nil"/>
              <w:right w:val="nil"/>
            </w:tcBorders>
            <w:shd w:val="clear" w:color="auto" w:fill="auto"/>
            <w:noWrap/>
            <w:vAlign w:val="center"/>
            <w:hideMark/>
          </w:tcPr>
          <w:p w14:paraId="5EADECD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-0.167***</w:t>
            </w:r>
          </w:p>
        </w:tc>
        <w:tc>
          <w:tcPr>
            <w:tcW w:w="1123" w:type="dxa"/>
            <w:tcBorders>
              <w:top w:val="nil"/>
              <w:left w:val="nil"/>
              <w:bottom w:val="nil"/>
              <w:right w:val="nil"/>
            </w:tcBorders>
            <w:shd w:val="clear" w:color="auto" w:fill="auto"/>
            <w:noWrap/>
            <w:vAlign w:val="center"/>
            <w:hideMark/>
          </w:tcPr>
          <w:p w14:paraId="516436F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-0.215***</w:t>
            </w:r>
          </w:p>
        </w:tc>
        <w:tc>
          <w:tcPr>
            <w:tcW w:w="1428" w:type="dxa"/>
            <w:tcBorders>
              <w:top w:val="nil"/>
              <w:left w:val="nil"/>
              <w:bottom w:val="nil"/>
              <w:right w:val="nil"/>
            </w:tcBorders>
            <w:shd w:val="clear" w:color="auto" w:fill="auto"/>
            <w:noWrap/>
            <w:vAlign w:val="center"/>
            <w:hideMark/>
          </w:tcPr>
          <w:p w14:paraId="0C9E9946"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-0.194***</w:t>
            </w:r>
          </w:p>
        </w:tc>
        <w:tc>
          <w:tcPr>
            <w:tcW w:w="1265" w:type="dxa"/>
            <w:tcBorders>
              <w:top w:val="nil"/>
              <w:left w:val="nil"/>
              <w:bottom w:val="nil"/>
              <w:right w:val="nil"/>
            </w:tcBorders>
            <w:shd w:val="clear" w:color="auto" w:fill="auto"/>
            <w:noWrap/>
            <w:vAlign w:val="center"/>
            <w:hideMark/>
          </w:tcPr>
          <w:p w14:paraId="3B6AD49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-1.583</w:t>
            </w:r>
          </w:p>
        </w:tc>
        <w:tc>
          <w:tcPr>
            <w:tcW w:w="850" w:type="dxa"/>
            <w:tcBorders>
              <w:top w:val="nil"/>
              <w:left w:val="nil"/>
              <w:bottom w:val="nil"/>
              <w:right w:val="nil"/>
            </w:tcBorders>
            <w:shd w:val="clear" w:color="auto" w:fill="auto"/>
            <w:noWrap/>
            <w:vAlign w:val="center"/>
            <w:hideMark/>
          </w:tcPr>
          <w:p w14:paraId="0C6A8D9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0.099</w:t>
            </w:r>
          </w:p>
        </w:tc>
        <w:tc>
          <w:tcPr>
            <w:tcW w:w="709" w:type="dxa"/>
            <w:tcBorders>
              <w:top w:val="nil"/>
              <w:left w:val="nil"/>
              <w:bottom w:val="nil"/>
              <w:right w:val="nil"/>
            </w:tcBorders>
            <w:shd w:val="clear" w:color="auto" w:fill="auto"/>
            <w:noWrap/>
            <w:vAlign w:val="center"/>
            <w:hideMark/>
          </w:tcPr>
          <w:p w14:paraId="6EC74A9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512</w:t>
            </w:r>
          </w:p>
        </w:tc>
        <w:tc>
          <w:tcPr>
            <w:tcW w:w="709" w:type="dxa"/>
            <w:tcBorders>
              <w:top w:val="nil"/>
              <w:left w:val="nil"/>
              <w:bottom w:val="nil"/>
              <w:right w:val="nil"/>
            </w:tcBorders>
            <w:shd w:val="clear" w:color="auto" w:fill="auto"/>
            <w:noWrap/>
            <w:vAlign w:val="center"/>
            <w:hideMark/>
          </w:tcPr>
          <w:p w14:paraId="6E85C0DF"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255</w:t>
            </w:r>
          </w:p>
        </w:tc>
        <w:tc>
          <w:tcPr>
            <w:tcW w:w="1276" w:type="dxa"/>
            <w:tcBorders>
              <w:top w:val="nil"/>
              <w:left w:val="nil"/>
              <w:bottom w:val="nil"/>
              <w:right w:val="nil"/>
            </w:tcBorders>
            <w:shd w:val="clear" w:color="auto" w:fill="auto"/>
            <w:noWrap/>
            <w:vAlign w:val="center"/>
            <w:hideMark/>
          </w:tcPr>
          <w:p w14:paraId="1C451D6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0.52</w:t>
            </w:r>
          </w:p>
        </w:tc>
      </w:tr>
      <w:tr w:rsidR="00521FEF" w:rsidRPr="009E5520" w14:paraId="79DC2A98" w14:textId="77777777" w:rsidTr="00114EAB">
        <w:trPr>
          <w:trHeight w:hRule="exact" w:val="227"/>
        </w:trPr>
        <w:tc>
          <w:tcPr>
            <w:tcW w:w="1309" w:type="dxa"/>
            <w:tcBorders>
              <w:top w:val="nil"/>
              <w:left w:val="nil"/>
              <w:bottom w:val="nil"/>
              <w:right w:val="nil"/>
            </w:tcBorders>
            <w:shd w:val="clear" w:color="auto" w:fill="auto"/>
            <w:noWrap/>
            <w:vAlign w:val="center"/>
            <w:hideMark/>
          </w:tcPr>
          <w:p w14:paraId="277ADA0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2105" w:type="dxa"/>
            <w:tcBorders>
              <w:top w:val="nil"/>
              <w:left w:val="nil"/>
              <w:bottom w:val="nil"/>
              <w:right w:val="nil"/>
            </w:tcBorders>
            <w:shd w:val="clear" w:color="auto" w:fill="auto"/>
            <w:noWrap/>
            <w:vAlign w:val="center"/>
            <w:hideMark/>
          </w:tcPr>
          <w:p w14:paraId="2F0BD04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(0.033)</w:t>
            </w:r>
          </w:p>
        </w:tc>
        <w:tc>
          <w:tcPr>
            <w:tcW w:w="1123" w:type="dxa"/>
            <w:tcBorders>
              <w:top w:val="nil"/>
              <w:left w:val="nil"/>
              <w:bottom w:val="nil"/>
              <w:right w:val="nil"/>
            </w:tcBorders>
            <w:shd w:val="clear" w:color="auto" w:fill="auto"/>
            <w:noWrap/>
            <w:vAlign w:val="center"/>
            <w:hideMark/>
          </w:tcPr>
          <w:p w14:paraId="73413BE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(0.046)</w:t>
            </w:r>
          </w:p>
        </w:tc>
        <w:tc>
          <w:tcPr>
            <w:tcW w:w="1428" w:type="dxa"/>
            <w:tcBorders>
              <w:top w:val="nil"/>
              <w:left w:val="nil"/>
              <w:bottom w:val="nil"/>
              <w:right w:val="nil"/>
            </w:tcBorders>
            <w:shd w:val="clear" w:color="auto" w:fill="auto"/>
            <w:noWrap/>
            <w:vAlign w:val="center"/>
            <w:hideMark/>
          </w:tcPr>
          <w:p w14:paraId="28A41B8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(0.048)</w:t>
            </w:r>
          </w:p>
        </w:tc>
        <w:tc>
          <w:tcPr>
            <w:tcW w:w="1265" w:type="dxa"/>
            <w:tcBorders>
              <w:top w:val="nil"/>
              <w:left w:val="nil"/>
              <w:bottom w:val="nil"/>
              <w:right w:val="nil"/>
            </w:tcBorders>
            <w:shd w:val="clear" w:color="auto" w:fill="auto"/>
            <w:noWrap/>
            <w:vAlign w:val="center"/>
            <w:hideMark/>
          </w:tcPr>
          <w:p w14:paraId="3AC0172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(1.201)</w:t>
            </w:r>
          </w:p>
        </w:tc>
        <w:tc>
          <w:tcPr>
            <w:tcW w:w="850" w:type="dxa"/>
            <w:tcBorders>
              <w:top w:val="nil"/>
              <w:left w:val="nil"/>
              <w:bottom w:val="nil"/>
              <w:right w:val="nil"/>
            </w:tcBorders>
            <w:shd w:val="clear" w:color="auto" w:fill="auto"/>
            <w:noWrap/>
            <w:vAlign w:val="center"/>
            <w:hideMark/>
          </w:tcPr>
          <w:p w14:paraId="76460817"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(0.09)</w:t>
            </w:r>
          </w:p>
        </w:tc>
        <w:tc>
          <w:tcPr>
            <w:tcW w:w="709" w:type="dxa"/>
            <w:tcBorders>
              <w:top w:val="nil"/>
              <w:left w:val="nil"/>
              <w:bottom w:val="nil"/>
              <w:right w:val="nil"/>
            </w:tcBorders>
            <w:shd w:val="clear" w:color="auto" w:fill="auto"/>
            <w:noWrap/>
            <w:vAlign w:val="center"/>
            <w:hideMark/>
          </w:tcPr>
          <w:p w14:paraId="77B14606"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709" w:type="dxa"/>
            <w:tcBorders>
              <w:top w:val="nil"/>
              <w:left w:val="nil"/>
              <w:bottom w:val="nil"/>
              <w:right w:val="nil"/>
            </w:tcBorders>
            <w:shd w:val="clear" w:color="auto" w:fill="auto"/>
            <w:noWrap/>
            <w:vAlign w:val="center"/>
            <w:hideMark/>
          </w:tcPr>
          <w:p w14:paraId="66D85521"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c>
          <w:tcPr>
            <w:tcW w:w="1276" w:type="dxa"/>
            <w:tcBorders>
              <w:top w:val="nil"/>
              <w:left w:val="nil"/>
              <w:bottom w:val="nil"/>
              <w:right w:val="nil"/>
            </w:tcBorders>
            <w:shd w:val="clear" w:color="auto" w:fill="auto"/>
            <w:noWrap/>
            <w:vAlign w:val="center"/>
            <w:hideMark/>
          </w:tcPr>
          <w:p w14:paraId="1446C40F"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r>
      <w:tr w:rsidR="00521FEF" w:rsidRPr="009E5520" w14:paraId="71CB2824" w14:textId="77777777" w:rsidTr="00114EAB">
        <w:trPr>
          <w:trHeight w:hRule="exact" w:val="227"/>
        </w:trPr>
        <w:tc>
          <w:tcPr>
            <w:tcW w:w="1309" w:type="dxa"/>
            <w:tcBorders>
              <w:top w:val="nil"/>
              <w:left w:val="nil"/>
              <w:bottom w:val="nil"/>
              <w:right w:val="nil"/>
            </w:tcBorders>
            <w:shd w:val="clear" w:color="auto" w:fill="auto"/>
            <w:noWrap/>
            <w:vAlign w:val="center"/>
            <w:hideMark/>
          </w:tcPr>
          <w:p w14:paraId="0E5AFD7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2017-2019</w:t>
            </w:r>
          </w:p>
        </w:tc>
        <w:tc>
          <w:tcPr>
            <w:tcW w:w="2105" w:type="dxa"/>
            <w:tcBorders>
              <w:top w:val="nil"/>
              <w:left w:val="nil"/>
              <w:bottom w:val="nil"/>
              <w:right w:val="nil"/>
            </w:tcBorders>
            <w:shd w:val="clear" w:color="auto" w:fill="auto"/>
            <w:noWrap/>
            <w:vAlign w:val="center"/>
            <w:hideMark/>
          </w:tcPr>
          <w:p w14:paraId="53B95AA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-0.208***</w:t>
            </w:r>
          </w:p>
        </w:tc>
        <w:tc>
          <w:tcPr>
            <w:tcW w:w="1123" w:type="dxa"/>
            <w:tcBorders>
              <w:top w:val="nil"/>
              <w:left w:val="nil"/>
              <w:bottom w:val="nil"/>
              <w:right w:val="nil"/>
            </w:tcBorders>
            <w:shd w:val="clear" w:color="auto" w:fill="auto"/>
            <w:noWrap/>
            <w:vAlign w:val="center"/>
            <w:hideMark/>
          </w:tcPr>
          <w:p w14:paraId="08D8600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-0.179***</w:t>
            </w:r>
          </w:p>
        </w:tc>
        <w:tc>
          <w:tcPr>
            <w:tcW w:w="1428" w:type="dxa"/>
            <w:tcBorders>
              <w:top w:val="nil"/>
              <w:left w:val="nil"/>
              <w:bottom w:val="nil"/>
              <w:right w:val="nil"/>
            </w:tcBorders>
            <w:shd w:val="clear" w:color="auto" w:fill="auto"/>
            <w:noWrap/>
            <w:vAlign w:val="center"/>
            <w:hideMark/>
          </w:tcPr>
          <w:p w14:paraId="6FE9142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-0.210***</w:t>
            </w:r>
          </w:p>
        </w:tc>
        <w:tc>
          <w:tcPr>
            <w:tcW w:w="1265" w:type="dxa"/>
            <w:tcBorders>
              <w:top w:val="nil"/>
              <w:left w:val="nil"/>
              <w:bottom w:val="nil"/>
              <w:right w:val="nil"/>
            </w:tcBorders>
            <w:shd w:val="clear" w:color="auto" w:fill="auto"/>
            <w:noWrap/>
            <w:vAlign w:val="center"/>
            <w:hideMark/>
          </w:tcPr>
          <w:p w14:paraId="5BB7290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0.955</w:t>
            </w:r>
          </w:p>
        </w:tc>
        <w:tc>
          <w:tcPr>
            <w:tcW w:w="850" w:type="dxa"/>
            <w:tcBorders>
              <w:top w:val="nil"/>
              <w:left w:val="nil"/>
              <w:bottom w:val="nil"/>
              <w:right w:val="nil"/>
            </w:tcBorders>
            <w:shd w:val="clear" w:color="auto" w:fill="auto"/>
            <w:noWrap/>
            <w:vAlign w:val="center"/>
            <w:hideMark/>
          </w:tcPr>
          <w:p w14:paraId="1CAE045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0.029</w:t>
            </w:r>
          </w:p>
        </w:tc>
        <w:tc>
          <w:tcPr>
            <w:tcW w:w="709" w:type="dxa"/>
            <w:tcBorders>
              <w:top w:val="nil"/>
              <w:left w:val="nil"/>
              <w:bottom w:val="nil"/>
              <w:right w:val="nil"/>
            </w:tcBorders>
            <w:shd w:val="clear" w:color="auto" w:fill="auto"/>
            <w:noWrap/>
            <w:vAlign w:val="center"/>
            <w:hideMark/>
          </w:tcPr>
          <w:p w14:paraId="5AE8DDF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511</w:t>
            </w:r>
          </w:p>
        </w:tc>
        <w:tc>
          <w:tcPr>
            <w:tcW w:w="709" w:type="dxa"/>
            <w:tcBorders>
              <w:top w:val="nil"/>
              <w:left w:val="nil"/>
              <w:bottom w:val="nil"/>
              <w:right w:val="nil"/>
            </w:tcBorders>
            <w:shd w:val="clear" w:color="auto" w:fill="auto"/>
            <w:noWrap/>
            <w:vAlign w:val="center"/>
            <w:hideMark/>
          </w:tcPr>
          <w:p w14:paraId="3298F3B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229</w:t>
            </w:r>
          </w:p>
        </w:tc>
        <w:tc>
          <w:tcPr>
            <w:tcW w:w="1276" w:type="dxa"/>
            <w:tcBorders>
              <w:top w:val="nil"/>
              <w:left w:val="nil"/>
              <w:bottom w:val="nil"/>
              <w:right w:val="nil"/>
            </w:tcBorders>
            <w:shd w:val="clear" w:color="auto" w:fill="auto"/>
            <w:noWrap/>
            <w:vAlign w:val="center"/>
            <w:hideMark/>
          </w:tcPr>
          <w:p w14:paraId="30CADE9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0.476</w:t>
            </w:r>
          </w:p>
        </w:tc>
      </w:tr>
      <w:tr w:rsidR="00521FEF" w:rsidRPr="009E5520" w14:paraId="2684373D" w14:textId="77777777" w:rsidTr="00114EAB">
        <w:trPr>
          <w:trHeight w:hRule="exact" w:val="227"/>
        </w:trPr>
        <w:tc>
          <w:tcPr>
            <w:tcW w:w="1309" w:type="dxa"/>
            <w:tcBorders>
              <w:top w:val="nil"/>
              <w:left w:val="nil"/>
              <w:bottom w:val="single" w:sz="4" w:space="0" w:color="auto"/>
              <w:right w:val="nil"/>
            </w:tcBorders>
            <w:shd w:val="clear" w:color="auto" w:fill="auto"/>
            <w:noWrap/>
            <w:vAlign w:val="center"/>
            <w:hideMark/>
          </w:tcPr>
          <w:p w14:paraId="19CFD7A1"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2105" w:type="dxa"/>
            <w:tcBorders>
              <w:top w:val="nil"/>
              <w:left w:val="nil"/>
              <w:bottom w:val="nil"/>
              <w:right w:val="nil"/>
            </w:tcBorders>
            <w:shd w:val="clear" w:color="auto" w:fill="auto"/>
            <w:noWrap/>
            <w:vAlign w:val="center"/>
            <w:hideMark/>
          </w:tcPr>
          <w:p w14:paraId="558FFA5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(0.039)</w:t>
            </w:r>
          </w:p>
        </w:tc>
        <w:tc>
          <w:tcPr>
            <w:tcW w:w="1123" w:type="dxa"/>
            <w:tcBorders>
              <w:top w:val="nil"/>
              <w:left w:val="nil"/>
              <w:bottom w:val="nil"/>
              <w:right w:val="nil"/>
            </w:tcBorders>
            <w:shd w:val="clear" w:color="auto" w:fill="auto"/>
            <w:noWrap/>
            <w:vAlign w:val="center"/>
            <w:hideMark/>
          </w:tcPr>
          <w:p w14:paraId="0F8437C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(0.055)</w:t>
            </w:r>
          </w:p>
        </w:tc>
        <w:tc>
          <w:tcPr>
            <w:tcW w:w="1428" w:type="dxa"/>
            <w:tcBorders>
              <w:top w:val="nil"/>
              <w:left w:val="nil"/>
              <w:bottom w:val="nil"/>
              <w:right w:val="nil"/>
            </w:tcBorders>
            <w:shd w:val="clear" w:color="auto" w:fill="auto"/>
            <w:noWrap/>
            <w:vAlign w:val="center"/>
            <w:hideMark/>
          </w:tcPr>
          <w:p w14:paraId="5E5B673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(0.046)</w:t>
            </w:r>
          </w:p>
        </w:tc>
        <w:tc>
          <w:tcPr>
            <w:tcW w:w="1265" w:type="dxa"/>
            <w:tcBorders>
              <w:top w:val="nil"/>
              <w:left w:val="nil"/>
              <w:bottom w:val="nil"/>
              <w:right w:val="nil"/>
            </w:tcBorders>
            <w:shd w:val="clear" w:color="auto" w:fill="auto"/>
            <w:noWrap/>
            <w:vAlign w:val="center"/>
            <w:hideMark/>
          </w:tcPr>
          <w:p w14:paraId="73927D3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(0.633)</w:t>
            </w:r>
          </w:p>
        </w:tc>
        <w:tc>
          <w:tcPr>
            <w:tcW w:w="850" w:type="dxa"/>
            <w:tcBorders>
              <w:top w:val="nil"/>
              <w:left w:val="nil"/>
              <w:bottom w:val="nil"/>
              <w:right w:val="nil"/>
            </w:tcBorders>
            <w:shd w:val="clear" w:color="auto" w:fill="auto"/>
            <w:noWrap/>
            <w:vAlign w:val="center"/>
            <w:hideMark/>
          </w:tcPr>
          <w:p w14:paraId="55DBA770"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cs="Times New Roman"/>
                <w:color w:val="000000"/>
                <w:sz w:val="20"/>
                <w:szCs w:val="20"/>
              </w:rPr>
              <w:t>(0.04)</w:t>
            </w:r>
          </w:p>
        </w:tc>
        <w:tc>
          <w:tcPr>
            <w:tcW w:w="709" w:type="dxa"/>
            <w:tcBorders>
              <w:top w:val="nil"/>
              <w:left w:val="nil"/>
              <w:bottom w:val="nil"/>
              <w:right w:val="nil"/>
            </w:tcBorders>
            <w:shd w:val="clear" w:color="auto" w:fill="auto"/>
            <w:noWrap/>
            <w:vAlign w:val="center"/>
            <w:hideMark/>
          </w:tcPr>
          <w:p w14:paraId="66B34D86"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709" w:type="dxa"/>
            <w:tcBorders>
              <w:top w:val="nil"/>
              <w:left w:val="nil"/>
              <w:bottom w:val="nil"/>
              <w:right w:val="nil"/>
            </w:tcBorders>
            <w:shd w:val="clear" w:color="auto" w:fill="auto"/>
            <w:noWrap/>
            <w:vAlign w:val="center"/>
            <w:hideMark/>
          </w:tcPr>
          <w:p w14:paraId="07B205B8"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c>
          <w:tcPr>
            <w:tcW w:w="1276" w:type="dxa"/>
            <w:tcBorders>
              <w:top w:val="nil"/>
              <w:left w:val="nil"/>
              <w:bottom w:val="nil"/>
              <w:right w:val="nil"/>
            </w:tcBorders>
            <w:shd w:val="clear" w:color="auto" w:fill="auto"/>
            <w:noWrap/>
            <w:vAlign w:val="center"/>
            <w:hideMark/>
          </w:tcPr>
          <w:p w14:paraId="539216DE" w14:textId="77777777" w:rsidR="00521FEF" w:rsidRPr="009E5520" w:rsidRDefault="00521FEF" w:rsidP="00114EAB">
            <w:pPr>
              <w:spacing w:after="0" w:line="240" w:lineRule="auto"/>
              <w:ind w:firstLine="0"/>
              <w:jc w:val="left"/>
              <w:rPr>
                <w:rFonts w:eastAsia="Times New Roman" w:cs="Times New Roman"/>
                <w:sz w:val="20"/>
                <w:szCs w:val="20"/>
                <w:lang w:eastAsia="en-NZ"/>
              </w:rPr>
            </w:pPr>
          </w:p>
        </w:tc>
      </w:tr>
    </w:tbl>
    <w:p w14:paraId="692A3971" w14:textId="77777777" w:rsidR="00966759" w:rsidRDefault="00966759" w:rsidP="00521FEF">
      <w:pPr>
        <w:spacing w:after="0"/>
        <w:ind w:hanging="709"/>
        <w:rPr>
          <w:b/>
          <w:bCs/>
          <w:szCs w:val="24"/>
        </w:rPr>
      </w:pPr>
    </w:p>
    <w:p w14:paraId="2B3368B8" w14:textId="77777777" w:rsidR="00966759" w:rsidRDefault="00966759" w:rsidP="00521FEF">
      <w:pPr>
        <w:spacing w:after="0"/>
        <w:ind w:hanging="709"/>
        <w:rPr>
          <w:b/>
          <w:bCs/>
          <w:szCs w:val="24"/>
        </w:rPr>
      </w:pPr>
    </w:p>
    <w:p w14:paraId="6D23105A" w14:textId="77777777" w:rsidR="00966759" w:rsidRDefault="00966759" w:rsidP="00521FEF">
      <w:pPr>
        <w:spacing w:after="0"/>
        <w:ind w:hanging="709"/>
        <w:rPr>
          <w:b/>
          <w:bCs/>
          <w:szCs w:val="24"/>
        </w:rPr>
      </w:pPr>
    </w:p>
    <w:p w14:paraId="62A286ED" w14:textId="77777777" w:rsidR="00966759" w:rsidRDefault="00966759" w:rsidP="00521FEF">
      <w:pPr>
        <w:spacing w:after="0"/>
        <w:ind w:hanging="709"/>
        <w:rPr>
          <w:b/>
          <w:bCs/>
          <w:szCs w:val="24"/>
        </w:rPr>
      </w:pPr>
    </w:p>
    <w:p w14:paraId="12AF4123" w14:textId="77777777" w:rsidR="00966759" w:rsidRDefault="00966759" w:rsidP="00521FEF">
      <w:pPr>
        <w:spacing w:after="0"/>
        <w:ind w:hanging="709"/>
        <w:rPr>
          <w:b/>
          <w:bCs/>
          <w:szCs w:val="24"/>
        </w:rPr>
      </w:pPr>
    </w:p>
    <w:p w14:paraId="2A6C41D5" w14:textId="77777777" w:rsidR="00966759" w:rsidRDefault="00966759" w:rsidP="00521FEF">
      <w:pPr>
        <w:spacing w:after="0"/>
        <w:ind w:hanging="709"/>
        <w:rPr>
          <w:b/>
          <w:bCs/>
          <w:szCs w:val="24"/>
        </w:rPr>
      </w:pPr>
    </w:p>
    <w:p w14:paraId="58C3D953" w14:textId="77777777" w:rsidR="00966759" w:rsidRDefault="00966759" w:rsidP="00521FEF">
      <w:pPr>
        <w:spacing w:after="0"/>
        <w:ind w:hanging="709"/>
        <w:rPr>
          <w:b/>
          <w:bCs/>
          <w:szCs w:val="24"/>
        </w:rPr>
      </w:pPr>
    </w:p>
    <w:p w14:paraId="685A5818" w14:textId="77777777" w:rsidR="00966759" w:rsidRDefault="00966759" w:rsidP="00521FEF">
      <w:pPr>
        <w:spacing w:after="0"/>
        <w:ind w:hanging="709"/>
        <w:rPr>
          <w:b/>
          <w:bCs/>
          <w:szCs w:val="24"/>
        </w:rPr>
      </w:pPr>
    </w:p>
    <w:p w14:paraId="2C533196" w14:textId="77777777" w:rsidR="00966759" w:rsidRDefault="00966759" w:rsidP="00521FEF">
      <w:pPr>
        <w:spacing w:after="0"/>
        <w:ind w:hanging="709"/>
        <w:rPr>
          <w:b/>
          <w:bCs/>
          <w:szCs w:val="24"/>
        </w:rPr>
      </w:pPr>
    </w:p>
    <w:p w14:paraId="7B02A146" w14:textId="77777777" w:rsidR="00966759" w:rsidRDefault="00966759" w:rsidP="00521FEF">
      <w:pPr>
        <w:spacing w:after="0"/>
        <w:ind w:hanging="709"/>
        <w:rPr>
          <w:b/>
          <w:bCs/>
          <w:szCs w:val="24"/>
        </w:rPr>
      </w:pPr>
    </w:p>
    <w:p w14:paraId="145CA846" w14:textId="77777777" w:rsidR="00966759" w:rsidRDefault="00966759" w:rsidP="00521FEF">
      <w:pPr>
        <w:spacing w:after="0"/>
        <w:ind w:hanging="709"/>
        <w:rPr>
          <w:b/>
          <w:bCs/>
          <w:szCs w:val="24"/>
        </w:rPr>
      </w:pPr>
    </w:p>
    <w:p w14:paraId="21DFBE4F" w14:textId="77777777" w:rsidR="00966759" w:rsidRDefault="00966759" w:rsidP="00521FEF">
      <w:pPr>
        <w:spacing w:after="0"/>
        <w:ind w:hanging="709"/>
        <w:rPr>
          <w:b/>
          <w:bCs/>
          <w:szCs w:val="24"/>
        </w:rPr>
      </w:pPr>
    </w:p>
    <w:p w14:paraId="215D80AB" w14:textId="77777777" w:rsidR="00966759" w:rsidRDefault="00966759" w:rsidP="00521FEF">
      <w:pPr>
        <w:spacing w:after="0"/>
        <w:ind w:hanging="709"/>
        <w:rPr>
          <w:b/>
          <w:bCs/>
          <w:szCs w:val="24"/>
        </w:rPr>
      </w:pPr>
    </w:p>
    <w:p w14:paraId="6550A377" w14:textId="77777777" w:rsidR="00966759" w:rsidRDefault="00966759" w:rsidP="00521FEF">
      <w:pPr>
        <w:spacing w:after="0"/>
        <w:ind w:hanging="709"/>
        <w:rPr>
          <w:b/>
          <w:bCs/>
          <w:szCs w:val="24"/>
        </w:rPr>
      </w:pPr>
    </w:p>
    <w:p w14:paraId="1DCF837C" w14:textId="77777777" w:rsidR="00966759" w:rsidRDefault="00966759" w:rsidP="00521FEF">
      <w:pPr>
        <w:spacing w:after="0"/>
        <w:ind w:hanging="709"/>
        <w:rPr>
          <w:b/>
          <w:bCs/>
          <w:szCs w:val="24"/>
        </w:rPr>
      </w:pPr>
    </w:p>
    <w:p w14:paraId="355D2C22" w14:textId="77777777" w:rsidR="00966759" w:rsidRDefault="00966759" w:rsidP="00521FEF">
      <w:pPr>
        <w:spacing w:after="0"/>
        <w:ind w:hanging="709"/>
        <w:rPr>
          <w:b/>
          <w:bCs/>
          <w:szCs w:val="24"/>
        </w:rPr>
      </w:pPr>
    </w:p>
    <w:p w14:paraId="3947EAEA" w14:textId="619BE997" w:rsidR="00521FEF" w:rsidRPr="00966759" w:rsidRDefault="00521FEF" w:rsidP="00521FEF">
      <w:pPr>
        <w:spacing w:after="0"/>
        <w:ind w:hanging="709"/>
        <w:rPr>
          <w:b/>
          <w:bCs/>
          <w:sz w:val="22"/>
        </w:rPr>
      </w:pPr>
      <w:r w:rsidRPr="00966759">
        <w:rPr>
          <w:b/>
          <w:bCs/>
          <w:sz w:val="22"/>
        </w:rPr>
        <w:t>Panel B: The determinants of labour share across sectors</w:t>
      </w:r>
    </w:p>
    <w:tbl>
      <w:tblPr>
        <w:tblW w:w="10644" w:type="dxa"/>
        <w:jc w:val="center"/>
        <w:tblLook w:val="04A0" w:firstRow="1" w:lastRow="0" w:firstColumn="1" w:lastColumn="0" w:noHBand="0" w:noVBand="1"/>
      </w:tblPr>
      <w:tblGrid>
        <w:gridCol w:w="2005"/>
        <w:gridCol w:w="1766"/>
        <w:gridCol w:w="1008"/>
        <w:gridCol w:w="1328"/>
        <w:gridCol w:w="1216"/>
        <w:gridCol w:w="841"/>
        <w:gridCol w:w="786"/>
        <w:gridCol w:w="630"/>
        <w:gridCol w:w="1133"/>
      </w:tblGrid>
      <w:tr w:rsidR="00966759" w:rsidRPr="009E5520" w14:paraId="03345198" w14:textId="77777777" w:rsidTr="00966759">
        <w:trPr>
          <w:trHeight w:hRule="exact" w:val="368"/>
          <w:jc w:val="center"/>
        </w:trPr>
        <w:tc>
          <w:tcPr>
            <w:tcW w:w="2005" w:type="dxa"/>
            <w:tcBorders>
              <w:top w:val="nil"/>
              <w:left w:val="nil"/>
              <w:bottom w:val="single" w:sz="4" w:space="0" w:color="auto"/>
              <w:right w:val="nil"/>
            </w:tcBorders>
            <w:shd w:val="clear" w:color="auto" w:fill="auto"/>
            <w:noWrap/>
            <w:vAlign w:val="center"/>
            <w:hideMark/>
          </w:tcPr>
          <w:p w14:paraId="170BDEFD"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Sector</w:t>
            </w:r>
          </w:p>
        </w:tc>
        <w:tc>
          <w:tcPr>
            <w:tcW w:w="1766" w:type="dxa"/>
            <w:tcBorders>
              <w:top w:val="nil"/>
              <w:left w:val="nil"/>
              <w:bottom w:val="single" w:sz="4" w:space="0" w:color="auto"/>
              <w:right w:val="nil"/>
            </w:tcBorders>
            <w:shd w:val="clear" w:color="auto" w:fill="auto"/>
            <w:noWrap/>
            <w:vAlign w:val="center"/>
            <w:hideMark/>
          </w:tcPr>
          <w:p w14:paraId="3D764A6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LnCapital</w:t>
            </w:r>
            <w:proofErr w:type="spellEnd"/>
            <w:r w:rsidRPr="009E5520">
              <w:rPr>
                <w:rFonts w:eastAsia="Times New Roman" w:cs="Times New Roman"/>
                <w:color w:val="000000"/>
                <w:sz w:val="20"/>
                <w:szCs w:val="20"/>
                <w:lang w:eastAsia="en-NZ"/>
              </w:rPr>
              <w:t>/VA</w:t>
            </w:r>
          </w:p>
        </w:tc>
        <w:tc>
          <w:tcPr>
            <w:tcW w:w="1008" w:type="dxa"/>
            <w:tcBorders>
              <w:top w:val="nil"/>
              <w:left w:val="nil"/>
              <w:bottom w:val="single" w:sz="4" w:space="0" w:color="auto"/>
              <w:right w:val="nil"/>
            </w:tcBorders>
            <w:shd w:val="clear" w:color="auto" w:fill="auto"/>
            <w:noWrap/>
            <w:vAlign w:val="center"/>
            <w:hideMark/>
          </w:tcPr>
          <w:p w14:paraId="7E12327A"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TFPOP</w:t>
            </w:r>
          </w:p>
        </w:tc>
        <w:tc>
          <w:tcPr>
            <w:tcW w:w="1290" w:type="dxa"/>
            <w:tcBorders>
              <w:top w:val="nil"/>
              <w:left w:val="nil"/>
              <w:bottom w:val="single" w:sz="4" w:space="0" w:color="auto"/>
              <w:right w:val="nil"/>
            </w:tcBorders>
            <w:shd w:val="clear" w:color="auto" w:fill="auto"/>
            <w:noWrap/>
            <w:vAlign w:val="center"/>
            <w:hideMark/>
          </w:tcPr>
          <w:p w14:paraId="1B276E5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LnMarkupOP</w:t>
            </w:r>
            <w:proofErr w:type="spellEnd"/>
          </w:p>
        </w:tc>
        <w:tc>
          <w:tcPr>
            <w:tcW w:w="1181" w:type="dxa"/>
            <w:tcBorders>
              <w:top w:val="nil"/>
              <w:left w:val="nil"/>
              <w:bottom w:val="single" w:sz="4" w:space="0" w:color="auto"/>
              <w:right w:val="nil"/>
            </w:tcBorders>
            <w:shd w:val="clear" w:color="auto" w:fill="auto"/>
            <w:noWrap/>
            <w:vAlign w:val="center"/>
            <w:hideMark/>
          </w:tcPr>
          <w:p w14:paraId="52C057A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IndHHIEmp</w:t>
            </w:r>
            <w:proofErr w:type="spellEnd"/>
          </w:p>
        </w:tc>
        <w:tc>
          <w:tcPr>
            <w:tcW w:w="841" w:type="dxa"/>
            <w:tcBorders>
              <w:top w:val="nil"/>
              <w:left w:val="nil"/>
              <w:bottom w:val="single" w:sz="4" w:space="0" w:color="auto"/>
              <w:right w:val="nil"/>
            </w:tcBorders>
            <w:shd w:val="clear" w:color="auto" w:fill="auto"/>
            <w:noWrap/>
            <w:vAlign w:val="center"/>
            <w:hideMark/>
          </w:tcPr>
          <w:p w14:paraId="37F01C1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Union</w:t>
            </w:r>
          </w:p>
        </w:tc>
        <w:tc>
          <w:tcPr>
            <w:tcW w:w="786" w:type="dxa"/>
            <w:tcBorders>
              <w:top w:val="nil"/>
              <w:left w:val="nil"/>
              <w:bottom w:val="single" w:sz="4" w:space="0" w:color="auto"/>
              <w:right w:val="nil"/>
            </w:tcBorders>
            <w:shd w:val="clear" w:color="auto" w:fill="auto"/>
            <w:noWrap/>
            <w:vAlign w:val="center"/>
            <w:hideMark/>
          </w:tcPr>
          <w:p w14:paraId="117206C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roofErr w:type="spellStart"/>
            <w:r w:rsidRPr="009E5520">
              <w:rPr>
                <w:rFonts w:eastAsia="Times New Roman" w:cs="Times New Roman"/>
                <w:color w:val="000000"/>
                <w:sz w:val="20"/>
                <w:szCs w:val="20"/>
                <w:lang w:eastAsia="en-NZ"/>
              </w:rPr>
              <w:t>Obs</w:t>
            </w:r>
            <w:proofErr w:type="spellEnd"/>
          </w:p>
        </w:tc>
        <w:tc>
          <w:tcPr>
            <w:tcW w:w="630" w:type="dxa"/>
            <w:tcBorders>
              <w:top w:val="nil"/>
              <w:left w:val="nil"/>
              <w:bottom w:val="single" w:sz="4" w:space="0" w:color="auto"/>
              <w:right w:val="nil"/>
            </w:tcBorders>
            <w:shd w:val="clear" w:color="auto" w:fill="auto"/>
            <w:noWrap/>
            <w:vAlign w:val="center"/>
            <w:hideMark/>
          </w:tcPr>
          <w:p w14:paraId="5E79EBA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Firm</w:t>
            </w:r>
          </w:p>
        </w:tc>
        <w:tc>
          <w:tcPr>
            <w:tcW w:w="1133" w:type="dxa"/>
            <w:tcBorders>
              <w:top w:val="nil"/>
              <w:left w:val="nil"/>
              <w:bottom w:val="single" w:sz="4" w:space="0" w:color="auto"/>
              <w:right w:val="nil"/>
            </w:tcBorders>
            <w:shd w:val="clear" w:color="auto" w:fill="auto"/>
            <w:noWrap/>
            <w:vAlign w:val="center"/>
            <w:hideMark/>
          </w:tcPr>
          <w:p w14:paraId="065197A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Adjusted R2</w:t>
            </w:r>
          </w:p>
        </w:tc>
      </w:tr>
      <w:tr w:rsidR="00966759" w:rsidRPr="009E5520" w14:paraId="6157F261" w14:textId="77777777" w:rsidTr="00966759">
        <w:trPr>
          <w:trHeight w:hRule="exact" w:val="259"/>
          <w:jc w:val="center"/>
        </w:trPr>
        <w:tc>
          <w:tcPr>
            <w:tcW w:w="2005" w:type="dxa"/>
            <w:tcBorders>
              <w:top w:val="single" w:sz="4" w:space="0" w:color="auto"/>
              <w:left w:val="nil"/>
              <w:bottom w:val="nil"/>
              <w:right w:val="nil"/>
            </w:tcBorders>
            <w:shd w:val="clear" w:color="auto" w:fill="auto"/>
            <w:noWrap/>
            <w:vAlign w:val="center"/>
            <w:hideMark/>
          </w:tcPr>
          <w:p w14:paraId="092AD8DD"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Communication Services</w:t>
            </w:r>
          </w:p>
        </w:tc>
        <w:tc>
          <w:tcPr>
            <w:tcW w:w="1766" w:type="dxa"/>
            <w:tcBorders>
              <w:top w:val="single" w:sz="4" w:space="0" w:color="auto"/>
              <w:left w:val="nil"/>
              <w:bottom w:val="nil"/>
              <w:right w:val="nil"/>
            </w:tcBorders>
            <w:shd w:val="clear" w:color="auto" w:fill="auto"/>
            <w:noWrap/>
            <w:vAlign w:val="center"/>
            <w:hideMark/>
          </w:tcPr>
          <w:p w14:paraId="4BCE42F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-0.104</w:t>
            </w:r>
          </w:p>
        </w:tc>
        <w:tc>
          <w:tcPr>
            <w:tcW w:w="1008" w:type="dxa"/>
            <w:tcBorders>
              <w:top w:val="single" w:sz="4" w:space="0" w:color="auto"/>
              <w:left w:val="nil"/>
              <w:bottom w:val="nil"/>
              <w:right w:val="nil"/>
            </w:tcBorders>
            <w:shd w:val="clear" w:color="auto" w:fill="auto"/>
            <w:noWrap/>
            <w:vAlign w:val="center"/>
            <w:hideMark/>
          </w:tcPr>
          <w:p w14:paraId="42EB124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-0.175*</w:t>
            </w:r>
          </w:p>
        </w:tc>
        <w:tc>
          <w:tcPr>
            <w:tcW w:w="1290" w:type="dxa"/>
            <w:tcBorders>
              <w:top w:val="single" w:sz="4" w:space="0" w:color="auto"/>
              <w:left w:val="nil"/>
              <w:bottom w:val="nil"/>
              <w:right w:val="nil"/>
            </w:tcBorders>
            <w:shd w:val="clear" w:color="auto" w:fill="auto"/>
            <w:noWrap/>
            <w:vAlign w:val="center"/>
            <w:hideMark/>
          </w:tcPr>
          <w:p w14:paraId="4F28E63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-0.162***</w:t>
            </w:r>
          </w:p>
        </w:tc>
        <w:tc>
          <w:tcPr>
            <w:tcW w:w="1181" w:type="dxa"/>
            <w:tcBorders>
              <w:top w:val="single" w:sz="4" w:space="0" w:color="auto"/>
              <w:left w:val="nil"/>
              <w:bottom w:val="nil"/>
              <w:right w:val="nil"/>
            </w:tcBorders>
            <w:shd w:val="clear" w:color="auto" w:fill="auto"/>
            <w:noWrap/>
            <w:vAlign w:val="center"/>
            <w:hideMark/>
          </w:tcPr>
          <w:p w14:paraId="6F149D3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0.701</w:t>
            </w:r>
          </w:p>
        </w:tc>
        <w:tc>
          <w:tcPr>
            <w:tcW w:w="841" w:type="dxa"/>
            <w:tcBorders>
              <w:top w:val="single" w:sz="4" w:space="0" w:color="auto"/>
              <w:left w:val="nil"/>
              <w:bottom w:val="nil"/>
              <w:right w:val="nil"/>
            </w:tcBorders>
            <w:shd w:val="clear" w:color="auto" w:fill="auto"/>
            <w:noWrap/>
            <w:vAlign w:val="center"/>
            <w:hideMark/>
          </w:tcPr>
          <w:p w14:paraId="04DFA9D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0.049</w:t>
            </w:r>
          </w:p>
        </w:tc>
        <w:tc>
          <w:tcPr>
            <w:tcW w:w="786" w:type="dxa"/>
            <w:tcBorders>
              <w:top w:val="single" w:sz="4" w:space="0" w:color="auto"/>
              <w:left w:val="nil"/>
              <w:bottom w:val="nil"/>
              <w:right w:val="nil"/>
            </w:tcBorders>
            <w:shd w:val="clear" w:color="auto" w:fill="auto"/>
            <w:noWrap/>
            <w:vAlign w:val="center"/>
            <w:hideMark/>
          </w:tcPr>
          <w:p w14:paraId="1383376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251</w:t>
            </w:r>
          </w:p>
        </w:tc>
        <w:tc>
          <w:tcPr>
            <w:tcW w:w="630" w:type="dxa"/>
            <w:tcBorders>
              <w:top w:val="single" w:sz="4" w:space="0" w:color="auto"/>
              <w:left w:val="nil"/>
              <w:bottom w:val="nil"/>
              <w:right w:val="nil"/>
            </w:tcBorders>
            <w:shd w:val="clear" w:color="auto" w:fill="auto"/>
            <w:noWrap/>
            <w:vAlign w:val="bottom"/>
            <w:hideMark/>
          </w:tcPr>
          <w:p w14:paraId="2BF16141"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44</w:t>
            </w:r>
          </w:p>
        </w:tc>
        <w:tc>
          <w:tcPr>
            <w:tcW w:w="1133" w:type="dxa"/>
            <w:tcBorders>
              <w:top w:val="single" w:sz="4" w:space="0" w:color="auto"/>
              <w:left w:val="nil"/>
              <w:bottom w:val="nil"/>
              <w:right w:val="nil"/>
            </w:tcBorders>
            <w:shd w:val="clear" w:color="auto" w:fill="auto"/>
            <w:noWrap/>
            <w:vAlign w:val="bottom"/>
            <w:hideMark/>
          </w:tcPr>
          <w:p w14:paraId="662CD79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0.358</w:t>
            </w:r>
          </w:p>
        </w:tc>
      </w:tr>
      <w:tr w:rsidR="00966759" w:rsidRPr="009E5520" w14:paraId="728C5B77"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05FA5F5D"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71292A61"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(0.063)</w:t>
            </w:r>
          </w:p>
        </w:tc>
        <w:tc>
          <w:tcPr>
            <w:tcW w:w="1008" w:type="dxa"/>
            <w:tcBorders>
              <w:top w:val="nil"/>
              <w:left w:val="nil"/>
              <w:bottom w:val="nil"/>
              <w:right w:val="nil"/>
            </w:tcBorders>
            <w:shd w:val="clear" w:color="auto" w:fill="auto"/>
            <w:noWrap/>
            <w:vAlign w:val="center"/>
            <w:hideMark/>
          </w:tcPr>
          <w:p w14:paraId="534BC2E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(0.099)</w:t>
            </w:r>
          </w:p>
        </w:tc>
        <w:tc>
          <w:tcPr>
            <w:tcW w:w="1290" w:type="dxa"/>
            <w:tcBorders>
              <w:top w:val="nil"/>
              <w:left w:val="nil"/>
              <w:bottom w:val="nil"/>
              <w:right w:val="nil"/>
            </w:tcBorders>
            <w:shd w:val="clear" w:color="auto" w:fill="auto"/>
            <w:noWrap/>
            <w:vAlign w:val="center"/>
            <w:hideMark/>
          </w:tcPr>
          <w:p w14:paraId="1C80CE8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(0.057)</w:t>
            </w:r>
          </w:p>
        </w:tc>
        <w:tc>
          <w:tcPr>
            <w:tcW w:w="1181" w:type="dxa"/>
            <w:tcBorders>
              <w:top w:val="nil"/>
              <w:left w:val="nil"/>
              <w:bottom w:val="nil"/>
              <w:right w:val="nil"/>
            </w:tcBorders>
            <w:shd w:val="clear" w:color="auto" w:fill="auto"/>
            <w:noWrap/>
            <w:vAlign w:val="center"/>
            <w:hideMark/>
          </w:tcPr>
          <w:p w14:paraId="14806DE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(0.821)</w:t>
            </w:r>
          </w:p>
        </w:tc>
        <w:tc>
          <w:tcPr>
            <w:tcW w:w="841" w:type="dxa"/>
            <w:tcBorders>
              <w:top w:val="nil"/>
              <w:left w:val="nil"/>
              <w:bottom w:val="nil"/>
              <w:right w:val="nil"/>
            </w:tcBorders>
            <w:shd w:val="clear" w:color="auto" w:fill="auto"/>
            <w:noWrap/>
            <w:vAlign w:val="center"/>
            <w:hideMark/>
          </w:tcPr>
          <w:p w14:paraId="1E062F9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(0.038)</w:t>
            </w:r>
          </w:p>
        </w:tc>
        <w:tc>
          <w:tcPr>
            <w:tcW w:w="786" w:type="dxa"/>
            <w:tcBorders>
              <w:top w:val="nil"/>
              <w:left w:val="nil"/>
              <w:bottom w:val="nil"/>
              <w:right w:val="nil"/>
            </w:tcBorders>
            <w:shd w:val="clear" w:color="auto" w:fill="auto"/>
            <w:noWrap/>
            <w:vAlign w:val="center"/>
            <w:hideMark/>
          </w:tcPr>
          <w:p w14:paraId="6E5C451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64D354A7"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1A6367A8"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734A1D92"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0D9DD05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Consumer Discretionary</w:t>
            </w:r>
          </w:p>
        </w:tc>
        <w:tc>
          <w:tcPr>
            <w:tcW w:w="1766" w:type="dxa"/>
            <w:tcBorders>
              <w:top w:val="nil"/>
              <w:left w:val="nil"/>
              <w:bottom w:val="nil"/>
              <w:right w:val="nil"/>
            </w:tcBorders>
            <w:shd w:val="clear" w:color="auto" w:fill="auto"/>
            <w:noWrap/>
            <w:vAlign w:val="center"/>
            <w:hideMark/>
          </w:tcPr>
          <w:p w14:paraId="7A4EEAB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-0.042</w:t>
            </w:r>
          </w:p>
        </w:tc>
        <w:tc>
          <w:tcPr>
            <w:tcW w:w="1008" w:type="dxa"/>
            <w:tcBorders>
              <w:top w:val="nil"/>
              <w:left w:val="nil"/>
              <w:bottom w:val="nil"/>
              <w:right w:val="nil"/>
            </w:tcBorders>
            <w:shd w:val="clear" w:color="auto" w:fill="auto"/>
            <w:noWrap/>
            <w:vAlign w:val="center"/>
            <w:hideMark/>
          </w:tcPr>
          <w:p w14:paraId="408FE03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-0.002</w:t>
            </w:r>
          </w:p>
        </w:tc>
        <w:tc>
          <w:tcPr>
            <w:tcW w:w="1290" w:type="dxa"/>
            <w:tcBorders>
              <w:top w:val="nil"/>
              <w:left w:val="nil"/>
              <w:bottom w:val="nil"/>
              <w:right w:val="nil"/>
            </w:tcBorders>
            <w:shd w:val="clear" w:color="auto" w:fill="auto"/>
            <w:noWrap/>
            <w:vAlign w:val="center"/>
            <w:hideMark/>
          </w:tcPr>
          <w:p w14:paraId="6A98DD7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-0.088</w:t>
            </w:r>
          </w:p>
        </w:tc>
        <w:tc>
          <w:tcPr>
            <w:tcW w:w="1181" w:type="dxa"/>
            <w:tcBorders>
              <w:top w:val="nil"/>
              <w:left w:val="nil"/>
              <w:bottom w:val="nil"/>
              <w:right w:val="nil"/>
            </w:tcBorders>
            <w:shd w:val="clear" w:color="auto" w:fill="auto"/>
            <w:noWrap/>
            <w:vAlign w:val="center"/>
            <w:hideMark/>
          </w:tcPr>
          <w:p w14:paraId="05750F6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-0.046</w:t>
            </w:r>
          </w:p>
        </w:tc>
        <w:tc>
          <w:tcPr>
            <w:tcW w:w="841" w:type="dxa"/>
            <w:tcBorders>
              <w:top w:val="nil"/>
              <w:left w:val="nil"/>
              <w:bottom w:val="nil"/>
              <w:right w:val="nil"/>
            </w:tcBorders>
            <w:shd w:val="clear" w:color="auto" w:fill="auto"/>
            <w:noWrap/>
            <w:vAlign w:val="center"/>
            <w:hideMark/>
          </w:tcPr>
          <w:p w14:paraId="76DB93FD"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0.076**</w:t>
            </w:r>
          </w:p>
        </w:tc>
        <w:tc>
          <w:tcPr>
            <w:tcW w:w="786" w:type="dxa"/>
            <w:tcBorders>
              <w:top w:val="nil"/>
              <w:left w:val="nil"/>
              <w:bottom w:val="nil"/>
              <w:right w:val="nil"/>
            </w:tcBorders>
            <w:shd w:val="clear" w:color="auto" w:fill="auto"/>
            <w:noWrap/>
            <w:vAlign w:val="center"/>
            <w:hideMark/>
          </w:tcPr>
          <w:p w14:paraId="60C9410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576</w:t>
            </w:r>
          </w:p>
        </w:tc>
        <w:tc>
          <w:tcPr>
            <w:tcW w:w="630" w:type="dxa"/>
            <w:tcBorders>
              <w:top w:val="nil"/>
              <w:left w:val="nil"/>
              <w:bottom w:val="nil"/>
              <w:right w:val="nil"/>
            </w:tcBorders>
            <w:shd w:val="clear" w:color="auto" w:fill="auto"/>
            <w:noWrap/>
            <w:vAlign w:val="bottom"/>
            <w:hideMark/>
          </w:tcPr>
          <w:p w14:paraId="23CF930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106</w:t>
            </w:r>
          </w:p>
        </w:tc>
        <w:tc>
          <w:tcPr>
            <w:tcW w:w="1133" w:type="dxa"/>
            <w:tcBorders>
              <w:top w:val="nil"/>
              <w:left w:val="nil"/>
              <w:bottom w:val="nil"/>
              <w:right w:val="nil"/>
            </w:tcBorders>
            <w:shd w:val="clear" w:color="auto" w:fill="auto"/>
            <w:noWrap/>
            <w:vAlign w:val="bottom"/>
            <w:hideMark/>
          </w:tcPr>
          <w:p w14:paraId="6D47B72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0.123</w:t>
            </w:r>
          </w:p>
        </w:tc>
      </w:tr>
      <w:tr w:rsidR="00966759" w:rsidRPr="009E5520" w14:paraId="385BE7A7"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7D5D521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002407E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(0.043)</w:t>
            </w:r>
          </w:p>
        </w:tc>
        <w:tc>
          <w:tcPr>
            <w:tcW w:w="1008" w:type="dxa"/>
            <w:tcBorders>
              <w:top w:val="nil"/>
              <w:left w:val="nil"/>
              <w:bottom w:val="nil"/>
              <w:right w:val="nil"/>
            </w:tcBorders>
            <w:shd w:val="clear" w:color="auto" w:fill="auto"/>
            <w:noWrap/>
            <w:vAlign w:val="center"/>
            <w:hideMark/>
          </w:tcPr>
          <w:p w14:paraId="01506CB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(0.036)</w:t>
            </w:r>
          </w:p>
        </w:tc>
        <w:tc>
          <w:tcPr>
            <w:tcW w:w="1290" w:type="dxa"/>
            <w:tcBorders>
              <w:top w:val="nil"/>
              <w:left w:val="nil"/>
              <w:bottom w:val="nil"/>
              <w:right w:val="nil"/>
            </w:tcBorders>
            <w:shd w:val="clear" w:color="auto" w:fill="auto"/>
            <w:noWrap/>
            <w:vAlign w:val="center"/>
            <w:hideMark/>
          </w:tcPr>
          <w:p w14:paraId="0567274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(0.075)</w:t>
            </w:r>
          </w:p>
        </w:tc>
        <w:tc>
          <w:tcPr>
            <w:tcW w:w="1181" w:type="dxa"/>
            <w:tcBorders>
              <w:top w:val="nil"/>
              <w:left w:val="nil"/>
              <w:bottom w:val="nil"/>
              <w:right w:val="nil"/>
            </w:tcBorders>
            <w:shd w:val="clear" w:color="auto" w:fill="auto"/>
            <w:noWrap/>
            <w:vAlign w:val="center"/>
            <w:hideMark/>
          </w:tcPr>
          <w:p w14:paraId="615AE0F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(0.194)</w:t>
            </w:r>
          </w:p>
        </w:tc>
        <w:tc>
          <w:tcPr>
            <w:tcW w:w="841" w:type="dxa"/>
            <w:tcBorders>
              <w:top w:val="nil"/>
              <w:left w:val="nil"/>
              <w:bottom w:val="nil"/>
              <w:right w:val="nil"/>
            </w:tcBorders>
            <w:shd w:val="clear" w:color="auto" w:fill="auto"/>
            <w:noWrap/>
            <w:vAlign w:val="center"/>
            <w:hideMark/>
          </w:tcPr>
          <w:p w14:paraId="767540C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(0.032)</w:t>
            </w:r>
          </w:p>
        </w:tc>
        <w:tc>
          <w:tcPr>
            <w:tcW w:w="786" w:type="dxa"/>
            <w:tcBorders>
              <w:top w:val="nil"/>
              <w:left w:val="nil"/>
              <w:bottom w:val="nil"/>
              <w:right w:val="nil"/>
            </w:tcBorders>
            <w:shd w:val="clear" w:color="auto" w:fill="auto"/>
            <w:noWrap/>
            <w:vAlign w:val="center"/>
            <w:hideMark/>
          </w:tcPr>
          <w:p w14:paraId="0B43762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361877E2"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63BBD80A"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48DD2889"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38D2BA5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Consumer Staples</w:t>
            </w:r>
          </w:p>
        </w:tc>
        <w:tc>
          <w:tcPr>
            <w:tcW w:w="1766" w:type="dxa"/>
            <w:tcBorders>
              <w:top w:val="nil"/>
              <w:left w:val="nil"/>
              <w:bottom w:val="nil"/>
              <w:right w:val="nil"/>
            </w:tcBorders>
            <w:shd w:val="clear" w:color="auto" w:fill="auto"/>
            <w:noWrap/>
            <w:vAlign w:val="center"/>
            <w:hideMark/>
          </w:tcPr>
          <w:p w14:paraId="0743C98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-0.283***</w:t>
            </w:r>
          </w:p>
        </w:tc>
        <w:tc>
          <w:tcPr>
            <w:tcW w:w="1008" w:type="dxa"/>
            <w:tcBorders>
              <w:top w:val="nil"/>
              <w:left w:val="nil"/>
              <w:bottom w:val="nil"/>
              <w:right w:val="nil"/>
            </w:tcBorders>
            <w:shd w:val="clear" w:color="auto" w:fill="auto"/>
            <w:noWrap/>
            <w:vAlign w:val="center"/>
            <w:hideMark/>
          </w:tcPr>
          <w:p w14:paraId="4E9696F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-0.209</w:t>
            </w:r>
          </w:p>
        </w:tc>
        <w:tc>
          <w:tcPr>
            <w:tcW w:w="1290" w:type="dxa"/>
            <w:tcBorders>
              <w:top w:val="nil"/>
              <w:left w:val="nil"/>
              <w:bottom w:val="nil"/>
              <w:right w:val="nil"/>
            </w:tcBorders>
            <w:shd w:val="clear" w:color="auto" w:fill="auto"/>
            <w:noWrap/>
            <w:vAlign w:val="center"/>
            <w:hideMark/>
          </w:tcPr>
          <w:p w14:paraId="022B06B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-0.431**</w:t>
            </w:r>
          </w:p>
        </w:tc>
        <w:tc>
          <w:tcPr>
            <w:tcW w:w="1181" w:type="dxa"/>
            <w:tcBorders>
              <w:top w:val="nil"/>
              <w:left w:val="nil"/>
              <w:bottom w:val="nil"/>
              <w:right w:val="nil"/>
            </w:tcBorders>
            <w:shd w:val="clear" w:color="auto" w:fill="auto"/>
            <w:noWrap/>
            <w:vAlign w:val="center"/>
            <w:hideMark/>
          </w:tcPr>
          <w:p w14:paraId="47AD1A5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2.327*</w:t>
            </w:r>
          </w:p>
        </w:tc>
        <w:tc>
          <w:tcPr>
            <w:tcW w:w="841" w:type="dxa"/>
            <w:tcBorders>
              <w:top w:val="nil"/>
              <w:left w:val="nil"/>
              <w:bottom w:val="nil"/>
              <w:right w:val="nil"/>
            </w:tcBorders>
            <w:shd w:val="clear" w:color="auto" w:fill="auto"/>
            <w:noWrap/>
            <w:vAlign w:val="center"/>
            <w:hideMark/>
          </w:tcPr>
          <w:p w14:paraId="56D7FAC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-0.015</w:t>
            </w:r>
          </w:p>
        </w:tc>
        <w:tc>
          <w:tcPr>
            <w:tcW w:w="786" w:type="dxa"/>
            <w:tcBorders>
              <w:top w:val="nil"/>
              <w:left w:val="nil"/>
              <w:bottom w:val="nil"/>
              <w:right w:val="nil"/>
            </w:tcBorders>
            <w:shd w:val="clear" w:color="auto" w:fill="auto"/>
            <w:noWrap/>
            <w:vAlign w:val="center"/>
            <w:hideMark/>
          </w:tcPr>
          <w:p w14:paraId="36BCBB9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175</w:t>
            </w:r>
          </w:p>
        </w:tc>
        <w:tc>
          <w:tcPr>
            <w:tcW w:w="630" w:type="dxa"/>
            <w:tcBorders>
              <w:top w:val="nil"/>
              <w:left w:val="nil"/>
              <w:bottom w:val="nil"/>
              <w:right w:val="nil"/>
            </w:tcBorders>
            <w:shd w:val="clear" w:color="auto" w:fill="auto"/>
            <w:noWrap/>
            <w:vAlign w:val="bottom"/>
            <w:hideMark/>
          </w:tcPr>
          <w:p w14:paraId="0174C5F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32</w:t>
            </w:r>
          </w:p>
        </w:tc>
        <w:tc>
          <w:tcPr>
            <w:tcW w:w="1133" w:type="dxa"/>
            <w:tcBorders>
              <w:top w:val="nil"/>
              <w:left w:val="nil"/>
              <w:bottom w:val="nil"/>
              <w:right w:val="nil"/>
            </w:tcBorders>
            <w:shd w:val="clear" w:color="auto" w:fill="auto"/>
            <w:noWrap/>
            <w:vAlign w:val="bottom"/>
            <w:hideMark/>
          </w:tcPr>
          <w:p w14:paraId="77DBDDE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0.262</w:t>
            </w:r>
          </w:p>
        </w:tc>
      </w:tr>
      <w:tr w:rsidR="00966759" w:rsidRPr="009E5520" w14:paraId="18FCE27F"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6768DC92"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3CE2ADD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(0.083)</w:t>
            </w:r>
          </w:p>
        </w:tc>
        <w:tc>
          <w:tcPr>
            <w:tcW w:w="1008" w:type="dxa"/>
            <w:tcBorders>
              <w:top w:val="nil"/>
              <w:left w:val="nil"/>
              <w:bottom w:val="nil"/>
              <w:right w:val="nil"/>
            </w:tcBorders>
            <w:shd w:val="clear" w:color="auto" w:fill="auto"/>
            <w:noWrap/>
            <w:vAlign w:val="center"/>
            <w:hideMark/>
          </w:tcPr>
          <w:p w14:paraId="5F342B6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(0.167)</w:t>
            </w:r>
          </w:p>
        </w:tc>
        <w:tc>
          <w:tcPr>
            <w:tcW w:w="1290" w:type="dxa"/>
            <w:tcBorders>
              <w:top w:val="nil"/>
              <w:left w:val="nil"/>
              <w:bottom w:val="nil"/>
              <w:right w:val="nil"/>
            </w:tcBorders>
            <w:shd w:val="clear" w:color="auto" w:fill="auto"/>
            <w:noWrap/>
            <w:vAlign w:val="center"/>
            <w:hideMark/>
          </w:tcPr>
          <w:p w14:paraId="6F71285D"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(0.21)</w:t>
            </w:r>
          </w:p>
        </w:tc>
        <w:tc>
          <w:tcPr>
            <w:tcW w:w="1181" w:type="dxa"/>
            <w:tcBorders>
              <w:top w:val="nil"/>
              <w:left w:val="nil"/>
              <w:bottom w:val="nil"/>
              <w:right w:val="nil"/>
            </w:tcBorders>
            <w:shd w:val="clear" w:color="auto" w:fill="auto"/>
            <w:noWrap/>
            <w:vAlign w:val="center"/>
            <w:hideMark/>
          </w:tcPr>
          <w:p w14:paraId="632668D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(1.242)</w:t>
            </w:r>
          </w:p>
        </w:tc>
        <w:tc>
          <w:tcPr>
            <w:tcW w:w="841" w:type="dxa"/>
            <w:tcBorders>
              <w:top w:val="nil"/>
              <w:left w:val="nil"/>
              <w:bottom w:val="nil"/>
              <w:right w:val="nil"/>
            </w:tcBorders>
            <w:shd w:val="clear" w:color="auto" w:fill="auto"/>
            <w:noWrap/>
            <w:vAlign w:val="center"/>
            <w:hideMark/>
          </w:tcPr>
          <w:p w14:paraId="539150C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(0.055)</w:t>
            </w:r>
          </w:p>
        </w:tc>
        <w:tc>
          <w:tcPr>
            <w:tcW w:w="786" w:type="dxa"/>
            <w:tcBorders>
              <w:top w:val="nil"/>
              <w:left w:val="nil"/>
              <w:bottom w:val="nil"/>
              <w:right w:val="nil"/>
            </w:tcBorders>
            <w:shd w:val="clear" w:color="auto" w:fill="auto"/>
            <w:noWrap/>
            <w:vAlign w:val="center"/>
            <w:hideMark/>
          </w:tcPr>
          <w:p w14:paraId="08D4DD7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69415C79"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0B856EEB"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240B24FA"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3889F3A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Energy</w:t>
            </w:r>
          </w:p>
        </w:tc>
        <w:tc>
          <w:tcPr>
            <w:tcW w:w="1766" w:type="dxa"/>
            <w:tcBorders>
              <w:top w:val="nil"/>
              <w:left w:val="nil"/>
              <w:bottom w:val="nil"/>
              <w:right w:val="nil"/>
            </w:tcBorders>
            <w:shd w:val="clear" w:color="auto" w:fill="auto"/>
            <w:noWrap/>
            <w:vAlign w:val="center"/>
            <w:hideMark/>
          </w:tcPr>
          <w:p w14:paraId="1F5565D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-0.434***</w:t>
            </w:r>
          </w:p>
        </w:tc>
        <w:tc>
          <w:tcPr>
            <w:tcW w:w="1008" w:type="dxa"/>
            <w:tcBorders>
              <w:top w:val="nil"/>
              <w:left w:val="nil"/>
              <w:bottom w:val="nil"/>
              <w:right w:val="nil"/>
            </w:tcBorders>
            <w:shd w:val="clear" w:color="auto" w:fill="auto"/>
            <w:noWrap/>
            <w:vAlign w:val="center"/>
            <w:hideMark/>
          </w:tcPr>
          <w:p w14:paraId="2A310C4D"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-0.980***</w:t>
            </w:r>
          </w:p>
        </w:tc>
        <w:tc>
          <w:tcPr>
            <w:tcW w:w="1290" w:type="dxa"/>
            <w:tcBorders>
              <w:top w:val="nil"/>
              <w:left w:val="nil"/>
              <w:bottom w:val="nil"/>
              <w:right w:val="nil"/>
            </w:tcBorders>
            <w:shd w:val="clear" w:color="auto" w:fill="auto"/>
            <w:noWrap/>
            <w:vAlign w:val="center"/>
            <w:hideMark/>
          </w:tcPr>
          <w:p w14:paraId="36B1B0F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w:t>
            </w:r>
          </w:p>
        </w:tc>
        <w:tc>
          <w:tcPr>
            <w:tcW w:w="1181" w:type="dxa"/>
            <w:tcBorders>
              <w:top w:val="nil"/>
              <w:left w:val="nil"/>
              <w:bottom w:val="nil"/>
              <w:right w:val="nil"/>
            </w:tcBorders>
            <w:shd w:val="clear" w:color="auto" w:fill="auto"/>
            <w:noWrap/>
            <w:vAlign w:val="center"/>
            <w:hideMark/>
          </w:tcPr>
          <w:p w14:paraId="59DF39D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5.748**</w:t>
            </w:r>
          </w:p>
        </w:tc>
        <w:tc>
          <w:tcPr>
            <w:tcW w:w="841" w:type="dxa"/>
            <w:tcBorders>
              <w:top w:val="nil"/>
              <w:left w:val="nil"/>
              <w:bottom w:val="nil"/>
              <w:right w:val="nil"/>
            </w:tcBorders>
            <w:shd w:val="clear" w:color="auto" w:fill="auto"/>
            <w:noWrap/>
            <w:vAlign w:val="center"/>
            <w:hideMark/>
          </w:tcPr>
          <w:p w14:paraId="63BAD0D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0.096</w:t>
            </w:r>
          </w:p>
        </w:tc>
        <w:tc>
          <w:tcPr>
            <w:tcW w:w="786" w:type="dxa"/>
            <w:tcBorders>
              <w:top w:val="nil"/>
              <w:left w:val="nil"/>
              <w:bottom w:val="nil"/>
              <w:right w:val="nil"/>
            </w:tcBorders>
            <w:shd w:val="clear" w:color="auto" w:fill="auto"/>
            <w:noWrap/>
            <w:vAlign w:val="center"/>
            <w:hideMark/>
          </w:tcPr>
          <w:p w14:paraId="10EA728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131</w:t>
            </w:r>
          </w:p>
        </w:tc>
        <w:tc>
          <w:tcPr>
            <w:tcW w:w="630" w:type="dxa"/>
            <w:tcBorders>
              <w:top w:val="nil"/>
              <w:left w:val="nil"/>
              <w:bottom w:val="nil"/>
              <w:right w:val="nil"/>
            </w:tcBorders>
            <w:shd w:val="clear" w:color="auto" w:fill="auto"/>
            <w:noWrap/>
            <w:vAlign w:val="bottom"/>
            <w:hideMark/>
          </w:tcPr>
          <w:p w14:paraId="0D38047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35</w:t>
            </w:r>
          </w:p>
        </w:tc>
        <w:tc>
          <w:tcPr>
            <w:tcW w:w="1133" w:type="dxa"/>
            <w:tcBorders>
              <w:top w:val="nil"/>
              <w:left w:val="nil"/>
              <w:bottom w:val="nil"/>
              <w:right w:val="nil"/>
            </w:tcBorders>
            <w:shd w:val="clear" w:color="auto" w:fill="auto"/>
            <w:noWrap/>
            <w:vAlign w:val="bottom"/>
            <w:hideMark/>
          </w:tcPr>
          <w:p w14:paraId="390F891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0.65</w:t>
            </w:r>
          </w:p>
        </w:tc>
      </w:tr>
      <w:tr w:rsidR="00966759" w:rsidRPr="009E5520" w14:paraId="072397F8"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5A965AB1"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55222A4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(0.065)</w:t>
            </w:r>
          </w:p>
        </w:tc>
        <w:tc>
          <w:tcPr>
            <w:tcW w:w="1008" w:type="dxa"/>
            <w:tcBorders>
              <w:top w:val="nil"/>
              <w:left w:val="nil"/>
              <w:bottom w:val="nil"/>
              <w:right w:val="nil"/>
            </w:tcBorders>
            <w:shd w:val="clear" w:color="auto" w:fill="auto"/>
            <w:noWrap/>
            <w:vAlign w:val="center"/>
            <w:hideMark/>
          </w:tcPr>
          <w:p w14:paraId="1ABC571C"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(0.18)</w:t>
            </w:r>
          </w:p>
        </w:tc>
        <w:tc>
          <w:tcPr>
            <w:tcW w:w="1290" w:type="dxa"/>
            <w:tcBorders>
              <w:top w:val="nil"/>
              <w:left w:val="nil"/>
              <w:bottom w:val="nil"/>
              <w:right w:val="nil"/>
            </w:tcBorders>
            <w:shd w:val="clear" w:color="auto" w:fill="auto"/>
            <w:noWrap/>
            <w:vAlign w:val="center"/>
            <w:hideMark/>
          </w:tcPr>
          <w:p w14:paraId="46668FE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(0.169)</w:t>
            </w:r>
          </w:p>
        </w:tc>
        <w:tc>
          <w:tcPr>
            <w:tcW w:w="1181" w:type="dxa"/>
            <w:tcBorders>
              <w:top w:val="nil"/>
              <w:left w:val="nil"/>
              <w:bottom w:val="nil"/>
              <w:right w:val="nil"/>
            </w:tcBorders>
            <w:shd w:val="clear" w:color="auto" w:fill="auto"/>
            <w:noWrap/>
            <w:vAlign w:val="center"/>
            <w:hideMark/>
          </w:tcPr>
          <w:p w14:paraId="67AC979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(2.397)</w:t>
            </w:r>
          </w:p>
        </w:tc>
        <w:tc>
          <w:tcPr>
            <w:tcW w:w="841" w:type="dxa"/>
            <w:tcBorders>
              <w:top w:val="nil"/>
              <w:left w:val="nil"/>
              <w:bottom w:val="nil"/>
              <w:right w:val="nil"/>
            </w:tcBorders>
            <w:shd w:val="clear" w:color="auto" w:fill="auto"/>
            <w:noWrap/>
            <w:vAlign w:val="center"/>
            <w:hideMark/>
          </w:tcPr>
          <w:p w14:paraId="63407EE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(0.067)</w:t>
            </w:r>
          </w:p>
        </w:tc>
        <w:tc>
          <w:tcPr>
            <w:tcW w:w="786" w:type="dxa"/>
            <w:tcBorders>
              <w:top w:val="nil"/>
              <w:left w:val="nil"/>
              <w:bottom w:val="nil"/>
              <w:right w:val="nil"/>
            </w:tcBorders>
            <w:shd w:val="clear" w:color="auto" w:fill="auto"/>
            <w:noWrap/>
            <w:vAlign w:val="center"/>
            <w:hideMark/>
          </w:tcPr>
          <w:p w14:paraId="3C51583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17B1BF80"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190C479A"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03FFB177"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7B89C155"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Financials</w:t>
            </w:r>
          </w:p>
        </w:tc>
        <w:tc>
          <w:tcPr>
            <w:tcW w:w="1766" w:type="dxa"/>
            <w:tcBorders>
              <w:top w:val="nil"/>
              <w:left w:val="nil"/>
              <w:bottom w:val="nil"/>
              <w:right w:val="nil"/>
            </w:tcBorders>
            <w:shd w:val="clear" w:color="auto" w:fill="auto"/>
            <w:noWrap/>
            <w:vAlign w:val="center"/>
            <w:hideMark/>
          </w:tcPr>
          <w:p w14:paraId="6ECADB9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0.009</w:t>
            </w:r>
          </w:p>
        </w:tc>
        <w:tc>
          <w:tcPr>
            <w:tcW w:w="1008" w:type="dxa"/>
            <w:tcBorders>
              <w:top w:val="nil"/>
              <w:left w:val="nil"/>
              <w:bottom w:val="nil"/>
              <w:right w:val="nil"/>
            </w:tcBorders>
            <w:shd w:val="clear" w:color="auto" w:fill="auto"/>
            <w:noWrap/>
            <w:vAlign w:val="center"/>
            <w:hideMark/>
          </w:tcPr>
          <w:p w14:paraId="7756A6C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-0.761***</w:t>
            </w:r>
          </w:p>
        </w:tc>
        <w:tc>
          <w:tcPr>
            <w:tcW w:w="1290" w:type="dxa"/>
            <w:tcBorders>
              <w:top w:val="nil"/>
              <w:left w:val="nil"/>
              <w:bottom w:val="nil"/>
              <w:right w:val="nil"/>
            </w:tcBorders>
            <w:shd w:val="clear" w:color="auto" w:fill="auto"/>
            <w:noWrap/>
            <w:vAlign w:val="center"/>
            <w:hideMark/>
          </w:tcPr>
          <w:p w14:paraId="52496E1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-0.19</w:t>
            </w:r>
          </w:p>
        </w:tc>
        <w:tc>
          <w:tcPr>
            <w:tcW w:w="1181" w:type="dxa"/>
            <w:tcBorders>
              <w:top w:val="nil"/>
              <w:left w:val="nil"/>
              <w:bottom w:val="nil"/>
              <w:right w:val="nil"/>
            </w:tcBorders>
            <w:shd w:val="clear" w:color="auto" w:fill="auto"/>
            <w:noWrap/>
            <w:vAlign w:val="center"/>
            <w:hideMark/>
          </w:tcPr>
          <w:p w14:paraId="661273E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-0.758</w:t>
            </w:r>
          </w:p>
        </w:tc>
        <w:tc>
          <w:tcPr>
            <w:tcW w:w="841" w:type="dxa"/>
            <w:tcBorders>
              <w:top w:val="nil"/>
              <w:left w:val="nil"/>
              <w:bottom w:val="nil"/>
              <w:right w:val="nil"/>
            </w:tcBorders>
            <w:shd w:val="clear" w:color="auto" w:fill="auto"/>
            <w:noWrap/>
            <w:vAlign w:val="center"/>
            <w:hideMark/>
          </w:tcPr>
          <w:p w14:paraId="6CF53A2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0.006</w:t>
            </w:r>
          </w:p>
        </w:tc>
        <w:tc>
          <w:tcPr>
            <w:tcW w:w="786" w:type="dxa"/>
            <w:tcBorders>
              <w:top w:val="nil"/>
              <w:left w:val="nil"/>
              <w:bottom w:val="nil"/>
              <w:right w:val="nil"/>
            </w:tcBorders>
            <w:shd w:val="clear" w:color="auto" w:fill="auto"/>
            <w:noWrap/>
            <w:vAlign w:val="center"/>
            <w:hideMark/>
          </w:tcPr>
          <w:p w14:paraId="16C6120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119</w:t>
            </w:r>
          </w:p>
        </w:tc>
        <w:tc>
          <w:tcPr>
            <w:tcW w:w="630" w:type="dxa"/>
            <w:tcBorders>
              <w:top w:val="nil"/>
              <w:left w:val="nil"/>
              <w:bottom w:val="nil"/>
              <w:right w:val="nil"/>
            </w:tcBorders>
            <w:shd w:val="clear" w:color="auto" w:fill="auto"/>
            <w:noWrap/>
            <w:vAlign w:val="bottom"/>
            <w:hideMark/>
          </w:tcPr>
          <w:p w14:paraId="47AED1F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28</w:t>
            </w:r>
          </w:p>
        </w:tc>
        <w:tc>
          <w:tcPr>
            <w:tcW w:w="1133" w:type="dxa"/>
            <w:tcBorders>
              <w:top w:val="nil"/>
              <w:left w:val="nil"/>
              <w:bottom w:val="nil"/>
              <w:right w:val="nil"/>
            </w:tcBorders>
            <w:shd w:val="clear" w:color="auto" w:fill="auto"/>
            <w:noWrap/>
            <w:vAlign w:val="bottom"/>
            <w:hideMark/>
          </w:tcPr>
          <w:p w14:paraId="18B8C8E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0.724</w:t>
            </w:r>
          </w:p>
        </w:tc>
      </w:tr>
      <w:tr w:rsidR="00966759" w:rsidRPr="009E5520" w14:paraId="55BCDE17"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0347E585"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783CD72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(0.044)</w:t>
            </w:r>
          </w:p>
        </w:tc>
        <w:tc>
          <w:tcPr>
            <w:tcW w:w="1008" w:type="dxa"/>
            <w:tcBorders>
              <w:top w:val="nil"/>
              <w:left w:val="nil"/>
              <w:bottom w:val="nil"/>
              <w:right w:val="nil"/>
            </w:tcBorders>
            <w:shd w:val="clear" w:color="auto" w:fill="auto"/>
            <w:noWrap/>
            <w:vAlign w:val="center"/>
            <w:hideMark/>
          </w:tcPr>
          <w:p w14:paraId="51163FE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(0.094)</w:t>
            </w:r>
          </w:p>
        </w:tc>
        <w:tc>
          <w:tcPr>
            <w:tcW w:w="1290" w:type="dxa"/>
            <w:tcBorders>
              <w:top w:val="nil"/>
              <w:left w:val="nil"/>
              <w:bottom w:val="nil"/>
              <w:right w:val="nil"/>
            </w:tcBorders>
            <w:shd w:val="clear" w:color="auto" w:fill="auto"/>
            <w:noWrap/>
            <w:vAlign w:val="center"/>
            <w:hideMark/>
          </w:tcPr>
          <w:p w14:paraId="5D9F01F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(0.121)</w:t>
            </w:r>
          </w:p>
        </w:tc>
        <w:tc>
          <w:tcPr>
            <w:tcW w:w="1181" w:type="dxa"/>
            <w:tcBorders>
              <w:top w:val="nil"/>
              <w:left w:val="nil"/>
              <w:bottom w:val="nil"/>
              <w:right w:val="nil"/>
            </w:tcBorders>
            <w:shd w:val="clear" w:color="auto" w:fill="auto"/>
            <w:noWrap/>
            <w:vAlign w:val="center"/>
            <w:hideMark/>
          </w:tcPr>
          <w:p w14:paraId="381C757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(1.591)</w:t>
            </w:r>
          </w:p>
        </w:tc>
        <w:tc>
          <w:tcPr>
            <w:tcW w:w="841" w:type="dxa"/>
            <w:tcBorders>
              <w:top w:val="nil"/>
              <w:left w:val="nil"/>
              <w:bottom w:val="nil"/>
              <w:right w:val="nil"/>
            </w:tcBorders>
            <w:shd w:val="clear" w:color="auto" w:fill="auto"/>
            <w:noWrap/>
            <w:vAlign w:val="center"/>
            <w:hideMark/>
          </w:tcPr>
          <w:p w14:paraId="36D4452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(0.058)</w:t>
            </w:r>
          </w:p>
        </w:tc>
        <w:tc>
          <w:tcPr>
            <w:tcW w:w="786" w:type="dxa"/>
            <w:tcBorders>
              <w:top w:val="nil"/>
              <w:left w:val="nil"/>
              <w:bottom w:val="nil"/>
              <w:right w:val="nil"/>
            </w:tcBorders>
            <w:shd w:val="clear" w:color="auto" w:fill="auto"/>
            <w:noWrap/>
            <w:vAlign w:val="center"/>
            <w:hideMark/>
          </w:tcPr>
          <w:p w14:paraId="086DD5F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78B634AD"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010FC9C9"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13D1CB05"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49A0E96E"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Health Care</w:t>
            </w:r>
          </w:p>
        </w:tc>
        <w:tc>
          <w:tcPr>
            <w:tcW w:w="1766" w:type="dxa"/>
            <w:tcBorders>
              <w:top w:val="nil"/>
              <w:left w:val="nil"/>
              <w:bottom w:val="nil"/>
              <w:right w:val="nil"/>
            </w:tcBorders>
            <w:shd w:val="clear" w:color="auto" w:fill="auto"/>
            <w:noWrap/>
            <w:vAlign w:val="center"/>
            <w:hideMark/>
          </w:tcPr>
          <w:p w14:paraId="3D27F46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0.082</w:t>
            </w:r>
          </w:p>
        </w:tc>
        <w:tc>
          <w:tcPr>
            <w:tcW w:w="1008" w:type="dxa"/>
            <w:tcBorders>
              <w:top w:val="nil"/>
              <w:left w:val="nil"/>
              <w:bottom w:val="nil"/>
              <w:right w:val="nil"/>
            </w:tcBorders>
            <w:shd w:val="clear" w:color="auto" w:fill="auto"/>
            <w:noWrap/>
            <w:vAlign w:val="center"/>
            <w:hideMark/>
          </w:tcPr>
          <w:p w14:paraId="40D9072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-0.009</w:t>
            </w:r>
          </w:p>
        </w:tc>
        <w:tc>
          <w:tcPr>
            <w:tcW w:w="1290" w:type="dxa"/>
            <w:tcBorders>
              <w:top w:val="nil"/>
              <w:left w:val="nil"/>
              <w:bottom w:val="nil"/>
              <w:right w:val="nil"/>
            </w:tcBorders>
            <w:shd w:val="clear" w:color="auto" w:fill="auto"/>
            <w:noWrap/>
            <w:vAlign w:val="center"/>
            <w:hideMark/>
          </w:tcPr>
          <w:p w14:paraId="60F3A81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-0.016</w:t>
            </w:r>
          </w:p>
        </w:tc>
        <w:tc>
          <w:tcPr>
            <w:tcW w:w="1181" w:type="dxa"/>
            <w:tcBorders>
              <w:top w:val="nil"/>
              <w:left w:val="nil"/>
              <w:bottom w:val="nil"/>
              <w:right w:val="nil"/>
            </w:tcBorders>
            <w:shd w:val="clear" w:color="auto" w:fill="auto"/>
            <w:noWrap/>
            <w:vAlign w:val="center"/>
            <w:hideMark/>
          </w:tcPr>
          <w:p w14:paraId="7E85A85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-2.403</w:t>
            </w:r>
          </w:p>
        </w:tc>
        <w:tc>
          <w:tcPr>
            <w:tcW w:w="841" w:type="dxa"/>
            <w:tcBorders>
              <w:top w:val="nil"/>
              <w:left w:val="nil"/>
              <w:bottom w:val="nil"/>
              <w:right w:val="nil"/>
            </w:tcBorders>
            <w:shd w:val="clear" w:color="auto" w:fill="auto"/>
            <w:noWrap/>
            <w:vAlign w:val="center"/>
            <w:hideMark/>
          </w:tcPr>
          <w:p w14:paraId="689908B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 xml:space="preserve">-0.040*  </w:t>
            </w:r>
          </w:p>
        </w:tc>
        <w:tc>
          <w:tcPr>
            <w:tcW w:w="786" w:type="dxa"/>
            <w:tcBorders>
              <w:top w:val="nil"/>
              <w:left w:val="nil"/>
              <w:bottom w:val="nil"/>
              <w:right w:val="nil"/>
            </w:tcBorders>
            <w:shd w:val="clear" w:color="auto" w:fill="auto"/>
            <w:noWrap/>
            <w:vAlign w:val="center"/>
            <w:hideMark/>
          </w:tcPr>
          <w:p w14:paraId="51EF79E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215</w:t>
            </w:r>
          </w:p>
        </w:tc>
        <w:tc>
          <w:tcPr>
            <w:tcW w:w="630" w:type="dxa"/>
            <w:tcBorders>
              <w:top w:val="nil"/>
              <w:left w:val="nil"/>
              <w:bottom w:val="nil"/>
              <w:right w:val="nil"/>
            </w:tcBorders>
            <w:shd w:val="clear" w:color="auto" w:fill="auto"/>
            <w:noWrap/>
            <w:vAlign w:val="bottom"/>
            <w:hideMark/>
          </w:tcPr>
          <w:p w14:paraId="6B2408E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39</w:t>
            </w:r>
          </w:p>
        </w:tc>
        <w:tc>
          <w:tcPr>
            <w:tcW w:w="1133" w:type="dxa"/>
            <w:tcBorders>
              <w:top w:val="nil"/>
              <w:left w:val="nil"/>
              <w:bottom w:val="nil"/>
              <w:right w:val="nil"/>
            </w:tcBorders>
            <w:shd w:val="clear" w:color="auto" w:fill="auto"/>
            <w:noWrap/>
            <w:vAlign w:val="bottom"/>
            <w:hideMark/>
          </w:tcPr>
          <w:p w14:paraId="60756C8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0.445</w:t>
            </w:r>
          </w:p>
        </w:tc>
      </w:tr>
      <w:tr w:rsidR="00966759" w:rsidRPr="009E5520" w14:paraId="74E37C87"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72662CF8"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54D8221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(0.052)</w:t>
            </w:r>
          </w:p>
        </w:tc>
        <w:tc>
          <w:tcPr>
            <w:tcW w:w="1008" w:type="dxa"/>
            <w:tcBorders>
              <w:top w:val="nil"/>
              <w:left w:val="nil"/>
              <w:bottom w:val="nil"/>
              <w:right w:val="nil"/>
            </w:tcBorders>
            <w:shd w:val="clear" w:color="auto" w:fill="auto"/>
            <w:noWrap/>
            <w:vAlign w:val="center"/>
            <w:hideMark/>
          </w:tcPr>
          <w:p w14:paraId="02A10A9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(0.039)</w:t>
            </w:r>
          </w:p>
        </w:tc>
        <w:tc>
          <w:tcPr>
            <w:tcW w:w="1290" w:type="dxa"/>
            <w:tcBorders>
              <w:top w:val="nil"/>
              <w:left w:val="nil"/>
              <w:bottom w:val="nil"/>
              <w:right w:val="nil"/>
            </w:tcBorders>
            <w:shd w:val="clear" w:color="auto" w:fill="auto"/>
            <w:noWrap/>
            <w:vAlign w:val="center"/>
            <w:hideMark/>
          </w:tcPr>
          <w:p w14:paraId="7720708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(0.063)</w:t>
            </w:r>
          </w:p>
        </w:tc>
        <w:tc>
          <w:tcPr>
            <w:tcW w:w="1181" w:type="dxa"/>
            <w:tcBorders>
              <w:top w:val="nil"/>
              <w:left w:val="nil"/>
              <w:bottom w:val="nil"/>
              <w:right w:val="nil"/>
            </w:tcBorders>
            <w:shd w:val="clear" w:color="auto" w:fill="auto"/>
            <w:noWrap/>
            <w:vAlign w:val="center"/>
            <w:hideMark/>
          </w:tcPr>
          <w:p w14:paraId="328A39A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(2.495)</w:t>
            </w:r>
          </w:p>
        </w:tc>
        <w:tc>
          <w:tcPr>
            <w:tcW w:w="841" w:type="dxa"/>
            <w:tcBorders>
              <w:top w:val="nil"/>
              <w:left w:val="nil"/>
              <w:bottom w:val="nil"/>
              <w:right w:val="nil"/>
            </w:tcBorders>
            <w:shd w:val="clear" w:color="auto" w:fill="auto"/>
            <w:noWrap/>
            <w:vAlign w:val="center"/>
            <w:hideMark/>
          </w:tcPr>
          <w:p w14:paraId="7BD1714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(0.022)</w:t>
            </w:r>
          </w:p>
        </w:tc>
        <w:tc>
          <w:tcPr>
            <w:tcW w:w="786" w:type="dxa"/>
            <w:tcBorders>
              <w:top w:val="nil"/>
              <w:left w:val="nil"/>
              <w:bottom w:val="nil"/>
              <w:right w:val="nil"/>
            </w:tcBorders>
            <w:shd w:val="clear" w:color="auto" w:fill="auto"/>
            <w:noWrap/>
            <w:vAlign w:val="center"/>
            <w:hideMark/>
          </w:tcPr>
          <w:p w14:paraId="2CF3E64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23D5BC83"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59ADA017"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7F8C1AEE"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562D2FA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Industrials</w:t>
            </w:r>
          </w:p>
        </w:tc>
        <w:tc>
          <w:tcPr>
            <w:tcW w:w="1766" w:type="dxa"/>
            <w:tcBorders>
              <w:top w:val="nil"/>
              <w:left w:val="nil"/>
              <w:bottom w:val="nil"/>
              <w:right w:val="nil"/>
            </w:tcBorders>
            <w:shd w:val="clear" w:color="auto" w:fill="auto"/>
            <w:noWrap/>
            <w:vAlign w:val="center"/>
            <w:hideMark/>
          </w:tcPr>
          <w:p w14:paraId="1E89964C"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-0.172***</w:t>
            </w:r>
          </w:p>
        </w:tc>
        <w:tc>
          <w:tcPr>
            <w:tcW w:w="1008" w:type="dxa"/>
            <w:tcBorders>
              <w:top w:val="nil"/>
              <w:left w:val="nil"/>
              <w:bottom w:val="nil"/>
              <w:right w:val="nil"/>
            </w:tcBorders>
            <w:shd w:val="clear" w:color="auto" w:fill="auto"/>
            <w:noWrap/>
            <w:vAlign w:val="center"/>
            <w:hideMark/>
          </w:tcPr>
          <w:p w14:paraId="1F57B4C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-0.087</w:t>
            </w:r>
          </w:p>
        </w:tc>
        <w:tc>
          <w:tcPr>
            <w:tcW w:w="1290" w:type="dxa"/>
            <w:tcBorders>
              <w:top w:val="nil"/>
              <w:left w:val="nil"/>
              <w:bottom w:val="nil"/>
              <w:right w:val="nil"/>
            </w:tcBorders>
            <w:shd w:val="clear" w:color="auto" w:fill="auto"/>
            <w:noWrap/>
            <w:vAlign w:val="center"/>
            <w:hideMark/>
          </w:tcPr>
          <w:p w14:paraId="02BF27F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-0.272***</w:t>
            </w:r>
          </w:p>
        </w:tc>
        <w:tc>
          <w:tcPr>
            <w:tcW w:w="1181" w:type="dxa"/>
            <w:tcBorders>
              <w:top w:val="nil"/>
              <w:left w:val="nil"/>
              <w:bottom w:val="nil"/>
              <w:right w:val="nil"/>
            </w:tcBorders>
            <w:shd w:val="clear" w:color="auto" w:fill="auto"/>
            <w:noWrap/>
            <w:vAlign w:val="center"/>
            <w:hideMark/>
          </w:tcPr>
          <w:p w14:paraId="7A6CD0E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0.736</w:t>
            </w:r>
          </w:p>
        </w:tc>
        <w:tc>
          <w:tcPr>
            <w:tcW w:w="841" w:type="dxa"/>
            <w:tcBorders>
              <w:top w:val="nil"/>
              <w:left w:val="nil"/>
              <w:bottom w:val="nil"/>
              <w:right w:val="nil"/>
            </w:tcBorders>
            <w:shd w:val="clear" w:color="auto" w:fill="auto"/>
            <w:noWrap/>
            <w:vAlign w:val="center"/>
            <w:hideMark/>
          </w:tcPr>
          <w:p w14:paraId="3B96DAC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0.012</w:t>
            </w:r>
          </w:p>
        </w:tc>
        <w:tc>
          <w:tcPr>
            <w:tcW w:w="786" w:type="dxa"/>
            <w:tcBorders>
              <w:top w:val="nil"/>
              <w:left w:val="nil"/>
              <w:bottom w:val="nil"/>
              <w:right w:val="nil"/>
            </w:tcBorders>
            <w:shd w:val="clear" w:color="auto" w:fill="auto"/>
            <w:noWrap/>
            <w:vAlign w:val="center"/>
            <w:hideMark/>
          </w:tcPr>
          <w:p w14:paraId="2554D3C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794</w:t>
            </w:r>
          </w:p>
        </w:tc>
        <w:tc>
          <w:tcPr>
            <w:tcW w:w="630" w:type="dxa"/>
            <w:tcBorders>
              <w:top w:val="nil"/>
              <w:left w:val="nil"/>
              <w:bottom w:val="nil"/>
              <w:right w:val="nil"/>
            </w:tcBorders>
            <w:shd w:val="clear" w:color="auto" w:fill="auto"/>
            <w:noWrap/>
            <w:vAlign w:val="bottom"/>
            <w:hideMark/>
          </w:tcPr>
          <w:p w14:paraId="424C281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139</w:t>
            </w:r>
          </w:p>
        </w:tc>
        <w:tc>
          <w:tcPr>
            <w:tcW w:w="1133" w:type="dxa"/>
            <w:tcBorders>
              <w:top w:val="nil"/>
              <w:left w:val="nil"/>
              <w:bottom w:val="nil"/>
              <w:right w:val="nil"/>
            </w:tcBorders>
            <w:shd w:val="clear" w:color="auto" w:fill="auto"/>
            <w:noWrap/>
            <w:vAlign w:val="bottom"/>
            <w:hideMark/>
          </w:tcPr>
          <w:p w14:paraId="7EAAF52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0.337</w:t>
            </w:r>
          </w:p>
        </w:tc>
      </w:tr>
      <w:tr w:rsidR="00966759" w:rsidRPr="009E5520" w14:paraId="425256ED"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3CF2122C"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2DB0099D"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(0.036)</w:t>
            </w:r>
          </w:p>
        </w:tc>
        <w:tc>
          <w:tcPr>
            <w:tcW w:w="1008" w:type="dxa"/>
            <w:tcBorders>
              <w:top w:val="nil"/>
              <w:left w:val="nil"/>
              <w:bottom w:val="nil"/>
              <w:right w:val="nil"/>
            </w:tcBorders>
            <w:shd w:val="clear" w:color="auto" w:fill="auto"/>
            <w:noWrap/>
            <w:vAlign w:val="center"/>
            <w:hideMark/>
          </w:tcPr>
          <w:p w14:paraId="556D878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(0.055)</w:t>
            </w:r>
          </w:p>
        </w:tc>
        <w:tc>
          <w:tcPr>
            <w:tcW w:w="1290" w:type="dxa"/>
            <w:tcBorders>
              <w:top w:val="nil"/>
              <w:left w:val="nil"/>
              <w:bottom w:val="nil"/>
              <w:right w:val="nil"/>
            </w:tcBorders>
            <w:shd w:val="clear" w:color="auto" w:fill="auto"/>
            <w:noWrap/>
            <w:vAlign w:val="center"/>
            <w:hideMark/>
          </w:tcPr>
          <w:p w14:paraId="65F5286C"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(0.071)</w:t>
            </w:r>
          </w:p>
        </w:tc>
        <w:tc>
          <w:tcPr>
            <w:tcW w:w="1181" w:type="dxa"/>
            <w:tcBorders>
              <w:top w:val="nil"/>
              <w:left w:val="nil"/>
              <w:bottom w:val="nil"/>
              <w:right w:val="nil"/>
            </w:tcBorders>
            <w:shd w:val="clear" w:color="auto" w:fill="auto"/>
            <w:noWrap/>
            <w:vAlign w:val="center"/>
            <w:hideMark/>
          </w:tcPr>
          <w:p w14:paraId="091CA40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(0.848)</w:t>
            </w:r>
          </w:p>
        </w:tc>
        <w:tc>
          <w:tcPr>
            <w:tcW w:w="841" w:type="dxa"/>
            <w:tcBorders>
              <w:top w:val="nil"/>
              <w:left w:val="nil"/>
              <w:bottom w:val="nil"/>
              <w:right w:val="nil"/>
            </w:tcBorders>
            <w:shd w:val="clear" w:color="auto" w:fill="auto"/>
            <w:noWrap/>
            <w:vAlign w:val="center"/>
            <w:hideMark/>
          </w:tcPr>
          <w:p w14:paraId="2ACD96D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(0.023)</w:t>
            </w:r>
          </w:p>
        </w:tc>
        <w:tc>
          <w:tcPr>
            <w:tcW w:w="786" w:type="dxa"/>
            <w:tcBorders>
              <w:top w:val="nil"/>
              <w:left w:val="nil"/>
              <w:bottom w:val="nil"/>
              <w:right w:val="nil"/>
            </w:tcBorders>
            <w:shd w:val="clear" w:color="auto" w:fill="auto"/>
            <w:noWrap/>
            <w:vAlign w:val="center"/>
            <w:hideMark/>
          </w:tcPr>
          <w:p w14:paraId="2C21222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0E272C46"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0FDA3C92"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1DCD591E"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6BDD8A2D"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Information Technology</w:t>
            </w:r>
          </w:p>
        </w:tc>
        <w:tc>
          <w:tcPr>
            <w:tcW w:w="1766" w:type="dxa"/>
            <w:tcBorders>
              <w:top w:val="nil"/>
              <w:left w:val="nil"/>
              <w:bottom w:val="nil"/>
              <w:right w:val="nil"/>
            </w:tcBorders>
            <w:shd w:val="clear" w:color="auto" w:fill="auto"/>
            <w:noWrap/>
            <w:vAlign w:val="center"/>
            <w:hideMark/>
          </w:tcPr>
          <w:p w14:paraId="2D0AD68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-0.248***</w:t>
            </w:r>
          </w:p>
        </w:tc>
        <w:tc>
          <w:tcPr>
            <w:tcW w:w="1008" w:type="dxa"/>
            <w:tcBorders>
              <w:top w:val="nil"/>
              <w:left w:val="nil"/>
              <w:bottom w:val="nil"/>
              <w:right w:val="nil"/>
            </w:tcBorders>
            <w:shd w:val="clear" w:color="auto" w:fill="auto"/>
            <w:noWrap/>
            <w:vAlign w:val="center"/>
            <w:hideMark/>
          </w:tcPr>
          <w:p w14:paraId="13D4244D"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-0.218</w:t>
            </w:r>
          </w:p>
        </w:tc>
        <w:tc>
          <w:tcPr>
            <w:tcW w:w="1290" w:type="dxa"/>
            <w:tcBorders>
              <w:top w:val="nil"/>
              <w:left w:val="nil"/>
              <w:bottom w:val="nil"/>
              <w:right w:val="nil"/>
            </w:tcBorders>
            <w:shd w:val="clear" w:color="auto" w:fill="auto"/>
            <w:noWrap/>
            <w:vAlign w:val="center"/>
            <w:hideMark/>
          </w:tcPr>
          <w:p w14:paraId="4C81671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-0.017</w:t>
            </w:r>
          </w:p>
        </w:tc>
        <w:tc>
          <w:tcPr>
            <w:tcW w:w="1181" w:type="dxa"/>
            <w:tcBorders>
              <w:top w:val="nil"/>
              <w:left w:val="nil"/>
              <w:bottom w:val="nil"/>
              <w:right w:val="nil"/>
            </w:tcBorders>
            <w:shd w:val="clear" w:color="auto" w:fill="auto"/>
            <w:noWrap/>
            <w:vAlign w:val="center"/>
            <w:hideMark/>
          </w:tcPr>
          <w:p w14:paraId="1B5D351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-0.719</w:t>
            </w:r>
          </w:p>
        </w:tc>
        <w:tc>
          <w:tcPr>
            <w:tcW w:w="841" w:type="dxa"/>
            <w:tcBorders>
              <w:top w:val="nil"/>
              <w:left w:val="nil"/>
              <w:bottom w:val="nil"/>
              <w:right w:val="nil"/>
            </w:tcBorders>
            <w:shd w:val="clear" w:color="auto" w:fill="auto"/>
            <w:noWrap/>
            <w:vAlign w:val="center"/>
            <w:hideMark/>
          </w:tcPr>
          <w:p w14:paraId="61C9F191"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-0.002</w:t>
            </w:r>
          </w:p>
        </w:tc>
        <w:tc>
          <w:tcPr>
            <w:tcW w:w="786" w:type="dxa"/>
            <w:tcBorders>
              <w:top w:val="nil"/>
              <w:left w:val="nil"/>
              <w:bottom w:val="nil"/>
              <w:right w:val="nil"/>
            </w:tcBorders>
            <w:shd w:val="clear" w:color="auto" w:fill="auto"/>
            <w:noWrap/>
            <w:vAlign w:val="center"/>
            <w:hideMark/>
          </w:tcPr>
          <w:p w14:paraId="1B45357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283</w:t>
            </w:r>
          </w:p>
        </w:tc>
        <w:tc>
          <w:tcPr>
            <w:tcW w:w="630" w:type="dxa"/>
            <w:tcBorders>
              <w:top w:val="nil"/>
              <w:left w:val="nil"/>
              <w:bottom w:val="nil"/>
              <w:right w:val="nil"/>
            </w:tcBorders>
            <w:shd w:val="clear" w:color="auto" w:fill="auto"/>
            <w:noWrap/>
            <w:vAlign w:val="center"/>
            <w:hideMark/>
          </w:tcPr>
          <w:p w14:paraId="4920343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75</w:t>
            </w:r>
          </w:p>
        </w:tc>
        <w:tc>
          <w:tcPr>
            <w:tcW w:w="1133" w:type="dxa"/>
            <w:tcBorders>
              <w:top w:val="nil"/>
              <w:left w:val="nil"/>
              <w:bottom w:val="nil"/>
              <w:right w:val="nil"/>
            </w:tcBorders>
            <w:shd w:val="clear" w:color="auto" w:fill="auto"/>
            <w:noWrap/>
            <w:vAlign w:val="center"/>
            <w:hideMark/>
          </w:tcPr>
          <w:p w14:paraId="7380586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0.242</w:t>
            </w:r>
          </w:p>
        </w:tc>
      </w:tr>
      <w:tr w:rsidR="00966759" w:rsidRPr="009E5520" w14:paraId="1A6AE3CD"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69E08FC4"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66F8310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(0.059)</w:t>
            </w:r>
          </w:p>
        </w:tc>
        <w:tc>
          <w:tcPr>
            <w:tcW w:w="1008" w:type="dxa"/>
            <w:tcBorders>
              <w:top w:val="nil"/>
              <w:left w:val="nil"/>
              <w:bottom w:val="nil"/>
              <w:right w:val="nil"/>
            </w:tcBorders>
            <w:shd w:val="clear" w:color="auto" w:fill="auto"/>
            <w:noWrap/>
            <w:vAlign w:val="center"/>
            <w:hideMark/>
          </w:tcPr>
          <w:p w14:paraId="5A7F0B0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(0.153)</w:t>
            </w:r>
          </w:p>
        </w:tc>
        <w:tc>
          <w:tcPr>
            <w:tcW w:w="1290" w:type="dxa"/>
            <w:tcBorders>
              <w:top w:val="nil"/>
              <w:left w:val="nil"/>
              <w:bottom w:val="nil"/>
              <w:right w:val="nil"/>
            </w:tcBorders>
            <w:shd w:val="clear" w:color="auto" w:fill="auto"/>
            <w:noWrap/>
            <w:vAlign w:val="center"/>
            <w:hideMark/>
          </w:tcPr>
          <w:p w14:paraId="56D5F72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(0.045)</w:t>
            </w:r>
          </w:p>
        </w:tc>
        <w:tc>
          <w:tcPr>
            <w:tcW w:w="1181" w:type="dxa"/>
            <w:tcBorders>
              <w:top w:val="nil"/>
              <w:left w:val="nil"/>
              <w:bottom w:val="nil"/>
              <w:right w:val="nil"/>
            </w:tcBorders>
            <w:shd w:val="clear" w:color="auto" w:fill="auto"/>
            <w:noWrap/>
            <w:vAlign w:val="center"/>
            <w:hideMark/>
          </w:tcPr>
          <w:p w14:paraId="6978AD6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(3.323)</w:t>
            </w:r>
          </w:p>
        </w:tc>
        <w:tc>
          <w:tcPr>
            <w:tcW w:w="841" w:type="dxa"/>
            <w:tcBorders>
              <w:top w:val="nil"/>
              <w:left w:val="nil"/>
              <w:bottom w:val="nil"/>
              <w:right w:val="nil"/>
            </w:tcBorders>
            <w:shd w:val="clear" w:color="auto" w:fill="auto"/>
            <w:noWrap/>
            <w:vAlign w:val="center"/>
            <w:hideMark/>
          </w:tcPr>
          <w:p w14:paraId="55A10E66"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(0.031)</w:t>
            </w:r>
          </w:p>
        </w:tc>
        <w:tc>
          <w:tcPr>
            <w:tcW w:w="786" w:type="dxa"/>
            <w:tcBorders>
              <w:top w:val="nil"/>
              <w:left w:val="nil"/>
              <w:bottom w:val="nil"/>
              <w:right w:val="nil"/>
            </w:tcBorders>
            <w:shd w:val="clear" w:color="auto" w:fill="auto"/>
            <w:noWrap/>
            <w:vAlign w:val="center"/>
            <w:hideMark/>
          </w:tcPr>
          <w:p w14:paraId="1EB251EC"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39FD8FAB"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4F7D7128"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14BCAD91"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11B1E1E7"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 xml:space="preserve"> Materials</w:t>
            </w:r>
          </w:p>
        </w:tc>
        <w:tc>
          <w:tcPr>
            <w:tcW w:w="1766" w:type="dxa"/>
            <w:tcBorders>
              <w:top w:val="nil"/>
              <w:left w:val="nil"/>
              <w:bottom w:val="nil"/>
              <w:right w:val="nil"/>
            </w:tcBorders>
            <w:shd w:val="clear" w:color="auto" w:fill="auto"/>
            <w:noWrap/>
            <w:vAlign w:val="center"/>
            <w:hideMark/>
          </w:tcPr>
          <w:p w14:paraId="703417C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-0.282***</w:t>
            </w:r>
          </w:p>
        </w:tc>
        <w:tc>
          <w:tcPr>
            <w:tcW w:w="1008" w:type="dxa"/>
            <w:tcBorders>
              <w:top w:val="nil"/>
              <w:left w:val="nil"/>
              <w:bottom w:val="nil"/>
              <w:right w:val="nil"/>
            </w:tcBorders>
            <w:shd w:val="clear" w:color="auto" w:fill="auto"/>
            <w:noWrap/>
            <w:vAlign w:val="center"/>
            <w:hideMark/>
          </w:tcPr>
          <w:p w14:paraId="19805A3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-0.532***</w:t>
            </w:r>
          </w:p>
        </w:tc>
        <w:tc>
          <w:tcPr>
            <w:tcW w:w="1290" w:type="dxa"/>
            <w:tcBorders>
              <w:top w:val="nil"/>
              <w:left w:val="nil"/>
              <w:bottom w:val="nil"/>
              <w:right w:val="nil"/>
            </w:tcBorders>
            <w:shd w:val="clear" w:color="auto" w:fill="auto"/>
            <w:noWrap/>
            <w:vAlign w:val="center"/>
            <w:hideMark/>
          </w:tcPr>
          <w:p w14:paraId="6C111F9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-0.548***</w:t>
            </w:r>
          </w:p>
        </w:tc>
        <w:tc>
          <w:tcPr>
            <w:tcW w:w="1181" w:type="dxa"/>
            <w:tcBorders>
              <w:top w:val="nil"/>
              <w:left w:val="nil"/>
              <w:bottom w:val="nil"/>
              <w:right w:val="nil"/>
            </w:tcBorders>
            <w:shd w:val="clear" w:color="auto" w:fill="auto"/>
            <w:noWrap/>
            <w:vAlign w:val="center"/>
            <w:hideMark/>
          </w:tcPr>
          <w:p w14:paraId="67F574C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-7.822</w:t>
            </w:r>
          </w:p>
        </w:tc>
        <w:tc>
          <w:tcPr>
            <w:tcW w:w="841" w:type="dxa"/>
            <w:tcBorders>
              <w:top w:val="nil"/>
              <w:left w:val="nil"/>
              <w:bottom w:val="nil"/>
              <w:right w:val="nil"/>
            </w:tcBorders>
            <w:shd w:val="clear" w:color="auto" w:fill="auto"/>
            <w:noWrap/>
            <w:vAlign w:val="center"/>
            <w:hideMark/>
          </w:tcPr>
          <w:p w14:paraId="4E8E455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-0.011</w:t>
            </w:r>
          </w:p>
        </w:tc>
        <w:tc>
          <w:tcPr>
            <w:tcW w:w="786" w:type="dxa"/>
            <w:tcBorders>
              <w:top w:val="nil"/>
              <w:left w:val="nil"/>
              <w:bottom w:val="nil"/>
              <w:right w:val="nil"/>
            </w:tcBorders>
            <w:shd w:val="clear" w:color="auto" w:fill="auto"/>
            <w:noWrap/>
            <w:vAlign w:val="center"/>
            <w:hideMark/>
          </w:tcPr>
          <w:p w14:paraId="43062FC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526</w:t>
            </w:r>
          </w:p>
        </w:tc>
        <w:tc>
          <w:tcPr>
            <w:tcW w:w="630" w:type="dxa"/>
            <w:tcBorders>
              <w:top w:val="nil"/>
              <w:left w:val="nil"/>
              <w:bottom w:val="nil"/>
              <w:right w:val="nil"/>
            </w:tcBorders>
            <w:shd w:val="clear" w:color="auto" w:fill="auto"/>
            <w:noWrap/>
            <w:vAlign w:val="center"/>
            <w:hideMark/>
          </w:tcPr>
          <w:p w14:paraId="5F62FE91"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123</w:t>
            </w:r>
          </w:p>
        </w:tc>
        <w:tc>
          <w:tcPr>
            <w:tcW w:w="1133" w:type="dxa"/>
            <w:tcBorders>
              <w:top w:val="nil"/>
              <w:left w:val="nil"/>
              <w:bottom w:val="nil"/>
              <w:right w:val="nil"/>
            </w:tcBorders>
            <w:shd w:val="clear" w:color="auto" w:fill="auto"/>
            <w:noWrap/>
            <w:vAlign w:val="center"/>
            <w:hideMark/>
          </w:tcPr>
          <w:p w14:paraId="73CCD96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0.368</w:t>
            </w:r>
          </w:p>
        </w:tc>
      </w:tr>
      <w:tr w:rsidR="00966759" w:rsidRPr="009E5520" w14:paraId="63E6DD8D"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255B5E3B"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3D3ACD0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(0.062)</w:t>
            </w:r>
          </w:p>
        </w:tc>
        <w:tc>
          <w:tcPr>
            <w:tcW w:w="1008" w:type="dxa"/>
            <w:tcBorders>
              <w:top w:val="nil"/>
              <w:left w:val="nil"/>
              <w:bottom w:val="nil"/>
              <w:right w:val="nil"/>
            </w:tcBorders>
            <w:shd w:val="clear" w:color="auto" w:fill="auto"/>
            <w:noWrap/>
            <w:vAlign w:val="center"/>
            <w:hideMark/>
          </w:tcPr>
          <w:p w14:paraId="13D79BD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(0.145)</w:t>
            </w:r>
          </w:p>
        </w:tc>
        <w:tc>
          <w:tcPr>
            <w:tcW w:w="1290" w:type="dxa"/>
            <w:tcBorders>
              <w:top w:val="nil"/>
              <w:left w:val="nil"/>
              <w:bottom w:val="nil"/>
              <w:right w:val="nil"/>
            </w:tcBorders>
            <w:shd w:val="clear" w:color="auto" w:fill="auto"/>
            <w:noWrap/>
            <w:vAlign w:val="center"/>
            <w:hideMark/>
          </w:tcPr>
          <w:p w14:paraId="518195D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(0.161)</w:t>
            </w:r>
          </w:p>
        </w:tc>
        <w:tc>
          <w:tcPr>
            <w:tcW w:w="1181" w:type="dxa"/>
            <w:tcBorders>
              <w:top w:val="nil"/>
              <w:left w:val="nil"/>
              <w:bottom w:val="nil"/>
              <w:right w:val="nil"/>
            </w:tcBorders>
            <w:shd w:val="clear" w:color="auto" w:fill="auto"/>
            <w:noWrap/>
            <w:vAlign w:val="center"/>
            <w:hideMark/>
          </w:tcPr>
          <w:p w14:paraId="735D342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(7.866)</w:t>
            </w:r>
          </w:p>
        </w:tc>
        <w:tc>
          <w:tcPr>
            <w:tcW w:w="841" w:type="dxa"/>
            <w:tcBorders>
              <w:top w:val="nil"/>
              <w:left w:val="nil"/>
              <w:bottom w:val="nil"/>
              <w:right w:val="nil"/>
            </w:tcBorders>
            <w:shd w:val="clear" w:color="auto" w:fill="auto"/>
            <w:noWrap/>
            <w:vAlign w:val="center"/>
            <w:hideMark/>
          </w:tcPr>
          <w:p w14:paraId="59A7F74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(0.058)</w:t>
            </w:r>
          </w:p>
        </w:tc>
        <w:tc>
          <w:tcPr>
            <w:tcW w:w="786" w:type="dxa"/>
            <w:tcBorders>
              <w:top w:val="nil"/>
              <w:left w:val="nil"/>
              <w:bottom w:val="nil"/>
              <w:right w:val="nil"/>
            </w:tcBorders>
            <w:shd w:val="clear" w:color="auto" w:fill="auto"/>
            <w:noWrap/>
            <w:vAlign w:val="center"/>
            <w:hideMark/>
          </w:tcPr>
          <w:p w14:paraId="1BC6DAC8"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36C3D8AA"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125BB978"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7710ACAF"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2ACE4377"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Real Estate</w:t>
            </w:r>
          </w:p>
        </w:tc>
        <w:tc>
          <w:tcPr>
            <w:tcW w:w="1766" w:type="dxa"/>
            <w:tcBorders>
              <w:top w:val="nil"/>
              <w:left w:val="nil"/>
              <w:bottom w:val="nil"/>
              <w:right w:val="nil"/>
            </w:tcBorders>
            <w:shd w:val="clear" w:color="auto" w:fill="auto"/>
            <w:noWrap/>
            <w:vAlign w:val="center"/>
            <w:hideMark/>
          </w:tcPr>
          <w:p w14:paraId="45FEEC8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-0.279***</w:t>
            </w:r>
          </w:p>
        </w:tc>
        <w:tc>
          <w:tcPr>
            <w:tcW w:w="1008" w:type="dxa"/>
            <w:tcBorders>
              <w:top w:val="nil"/>
              <w:left w:val="nil"/>
              <w:bottom w:val="nil"/>
              <w:right w:val="nil"/>
            </w:tcBorders>
            <w:shd w:val="clear" w:color="auto" w:fill="auto"/>
            <w:noWrap/>
            <w:vAlign w:val="center"/>
            <w:hideMark/>
          </w:tcPr>
          <w:p w14:paraId="5FC47E4F"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-0.911***</w:t>
            </w:r>
          </w:p>
        </w:tc>
        <w:tc>
          <w:tcPr>
            <w:tcW w:w="1290" w:type="dxa"/>
            <w:tcBorders>
              <w:top w:val="nil"/>
              <w:left w:val="nil"/>
              <w:bottom w:val="nil"/>
              <w:right w:val="nil"/>
            </w:tcBorders>
            <w:shd w:val="clear" w:color="auto" w:fill="auto"/>
            <w:noWrap/>
            <w:vAlign w:val="center"/>
            <w:hideMark/>
          </w:tcPr>
          <w:p w14:paraId="102E8E4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-0.239</w:t>
            </w:r>
          </w:p>
        </w:tc>
        <w:tc>
          <w:tcPr>
            <w:tcW w:w="1181" w:type="dxa"/>
            <w:tcBorders>
              <w:top w:val="nil"/>
              <w:left w:val="nil"/>
              <w:bottom w:val="nil"/>
              <w:right w:val="nil"/>
            </w:tcBorders>
            <w:shd w:val="clear" w:color="auto" w:fill="auto"/>
            <w:noWrap/>
            <w:vAlign w:val="center"/>
            <w:hideMark/>
          </w:tcPr>
          <w:p w14:paraId="651594C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-46.673*</w:t>
            </w:r>
          </w:p>
        </w:tc>
        <w:tc>
          <w:tcPr>
            <w:tcW w:w="841" w:type="dxa"/>
            <w:tcBorders>
              <w:top w:val="nil"/>
              <w:left w:val="nil"/>
              <w:bottom w:val="nil"/>
              <w:right w:val="nil"/>
            </w:tcBorders>
            <w:shd w:val="clear" w:color="auto" w:fill="auto"/>
            <w:noWrap/>
            <w:vAlign w:val="center"/>
            <w:hideMark/>
          </w:tcPr>
          <w:p w14:paraId="07FAA09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0.086</w:t>
            </w:r>
          </w:p>
        </w:tc>
        <w:tc>
          <w:tcPr>
            <w:tcW w:w="786" w:type="dxa"/>
            <w:tcBorders>
              <w:top w:val="nil"/>
              <w:left w:val="nil"/>
              <w:bottom w:val="nil"/>
              <w:right w:val="nil"/>
            </w:tcBorders>
            <w:shd w:val="clear" w:color="auto" w:fill="auto"/>
            <w:noWrap/>
            <w:vAlign w:val="center"/>
            <w:hideMark/>
          </w:tcPr>
          <w:p w14:paraId="34EEAC9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136</w:t>
            </w:r>
          </w:p>
        </w:tc>
        <w:tc>
          <w:tcPr>
            <w:tcW w:w="630" w:type="dxa"/>
            <w:tcBorders>
              <w:top w:val="nil"/>
              <w:left w:val="nil"/>
              <w:bottom w:val="nil"/>
              <w:right w:val="nil"/>
            </w:tcBorders>
            <w:shd w:val="clear" w:color="auto" w:fill="auto"/>
            <w:noWrap/>
            <w:vAlign w:val="center"/>
            <w:hideMark/>
          </w:tcPr>
          <w:p w14:paraId="435F4B5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22</w:t>
            </w:r>
          </w:p>
        </w:tc>
        <w:tc>
          <w:tcPr>
            <w:tcW w:w="1133" w:type="dxa"/>
            <w:tcBorders>
              <w:top w:val="nil"/>
              <w:left w:val="nil"/>
              <w:bottom w:val="nil"/>
              <w:right w:val="nil"/>
            </w:tcBorders>
            <w:shd w:val="clear" w:color="auto" w:fill="auto"/>
            <w:noWrap/>
            <w:vAlign w:val="center"/>
            <w:hideMark/>
          </w:tcPr>
          <w:p w14:paraId="39D9E41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0.642</w:t>
            </w:r>
          </w:p>
        </w:tc>
      </w:tr>
      <w:tr w:rsidR="00966759" w:rsidRPr="009E5520" w14:paraId="11F1C1A9" w14:textId="77777777" w:rsidTr="00966759">
        <w:trPr>
          <w:trHeight w:hRule="exact" w:val="259"/>
          <w:jc w:val="center"/>
        </w:trPr>
        <w:tc>
          <w:tcPr>
            <w:tcW w:w="2005" w:type="dxa"/>
            <w:tcBorders>
              <w:top w:val="nil"/>
              <w:left w:val="nil"/>
              <w:bottom w:val="nil"/>
              <w:right w:val="nil"/>
            </w:tcBorders>
            <w:shd w:val="clear" w:color="auto" w:fill="auto"/>
            <w:noWrap/>
            <w:vAlign w:val="center"/>
            <w:hideMark/>
          </w:tcPr>
          <w:p w14:paraId="55BD9D59"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p>
        </w:tc>
        <w:tc>
          <w:tcPr>
            <w:tcW w:w="1766" w:type="dxa"/>
            <w:tcBorders>
              <w:top w:val="nil"/>
              <w:left w:val="nil"/>
              <w:bottom w:val="nil"/>
              <w:right w:val="nil"/>
            </w:tcBorders>
            <w:shd w:val="clear" w:color="auto" w:fill="auto"/>
            <w:noWrap/>
            <w:vAlign w:val="center"/>
            <w:hideMark/>
          </w:tcPr>
          <w:p w14:paraId="664A4F3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(0.07)</w:t>
            </w:r>
          </w:p>
        </w:tc>
        <w:tc>
          <w:tcPr>
            <w:tcW w:w="1008" w:type="dxa"/>
            <w:tcBorders>
              <w:top w:val="nil"/>
              <w:left w:val="nil"/>
              <w:bottom w:val="nil"/>
              <w:right w:val="nil"/>
            </w:tcBorders>
            <w:shd w:val="clear" w:color="auto" w:fill="auto"/>
            <w:noWrap/>
            <w:vAlign w:val="center"/>
            <w:hideMark/>
          </w:tcPr>
          <w:p w14:paraId="4BCD38A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(0.14)</w:t>
            </w:r>
          </w:p>
        </w:tc>
        <w:tc>
          <w:tcPr>
            <w:tcW w:w="1290" w:type="dxa"/>
            <w:tcBorders>
              <w:top w:val="nil"/>
              <w:left w:val="nil"/>
              <w:bottom w:val="nil"/>
              <w:right w:val="nil"/>
            </w:tcBorders>
            <w:shd w:val="clear" w:color="auto" w:fill="auto"/>
            <w:noWrap/>
            <w:vAlign w:val="center"/>
            <w:hideMark/>
          </w:tcPr>
          <w:p w14:paraId="1B02884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(0.158)</w:t>
            </w:r>
          </w:p>
        </w:tc>
        <w:tc>
          <w:tcPr>
            <w:tcW w:w="1181" w:type="dxa"/>
            <w:tcBorders>
              <w:top w:val="nil"/>
              <w:left w:val="nil"/>
              <w:bottom w:val="nil"/>
              <w:right w:val="nil"/>
            </w:tcBorders>
            <w:shd w:val="clear" w:color="auto" w:fill="auto"/>
            <w:noWrap/>
            <w:vAlign w:val="center"/>
            <w:hideMark/>
          </w:tcPr>
          <w:p w14:paraId="4B32D513"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(24.051)</w:t>
            </w:r>
          </w:p>
        </w:tc>
        <w:tc>
          <w:tcPr>
            <w:tcW w:w="841" w:type="dxa"/>
            <w:tcBorders>
              <w:top w:val="nil"/>
              <w:left w:val="nil"/>
              <w:bottom w:val="nil"/>
              <w:right w:val="nil"/>
            </w:tcBorders>
            <w:shd w:val="clear" w:color="auto" w:fill="auto"/>
            <w:noWrap/>
            <w:vAlign w:val="center"/>
            <w:hideMark/>
          </w:tcPr>
          <w:p w14:paraId="7825061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(0.077)</w:t>
            </w:r>
          </w:p>
        </w:tc>
        <w:tc>
          <w:tcPr>
            <w:tcW w:w="786" w:type="dxa"/>
            <w:tcBorders>
              <w:top w:val="nil"/>
              <w:left w:val="nil"/>
              <w:bottom w:val="nil"/>
              <w:right w:val="nil"/>
            </w:tcBorders>
            <w:shd w:val="clear" w:color="auto" w:fill="auto"/>
            <w:noWrap/>
            <w:vAlign w:val="center"/>
            <w:hideMark/>
          </w:tcPr>
          <w:p w14:paraId="3F68093C"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bottom w:val="nil"/>
              <w:right w:val="nil"/>
            </w:tcBorders>
            <w:shd w:val="clear" w:color="auto" w:fill="auto"/>
            <w:noWrap/>
            <w:vAlign w:val="bottom"/>
            <w:hideMark/>
          </w:tcPr>
          <w:p w14:paraId="15370AF5"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bottom w:val="nil"/>
              <w:right w:val="nil"/>
            </w:tcBorders>
            <w:shd w:val="clear" w:color="auto" w:fill="auto"/>
            <w:noWrap/>
            <w:vAlign w:val="bottom"/>
            <w:hideMark/>
          </w:tcPr>
          <w:p w14:paraId="7BAC0967"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966759" w:rsidRPr="009E5520" w14:paraId="71460803" w14:textId="77777777" w:rsidTr="00966759">
        <w:trPr>
          <w:trHeight w:hRule="exact" w:val="259"/>
          <w:jc w:val="center"/>
        </w:trPr>
        <w:tc>
          <w:tcPr>
            <w:tcW w:w="2005" w:type="dxa"/>
            <w:tcBorders>
              <w:top w:val="nil"/>
              <w:left w:val="nil"/>
              <w:right w:val="nil"/>
            </w:tcBorders>
            <w:shd w:val="clear" w:color="auto" w:fill="auto"/>
            <w:noWrap/>
            <w:vAlign w:val="center"/>
            <w:hideMark/>
          </w:tcPr>
          <w:p w14:paraId="029F3303" w14:textId="77777777" w:rsidR="00521FEF" w:rsidRPr="009E5520" w:rsidRDefault="00521FEF" w:rsidP="00114EAB">
            <w:pPr>
              <w:spacing w:after="0" w:line="240" w:lineRule="auto"/>
              <w:ind w:firstLine="0"/>
              <w:jc w:val="left"/>
              <w:rPr>
                <w:rFonts w:eastAsia="Times New Roman" w:cs="Times New Roman"/>
                <w:color w:val="000000"/>
                <w:sz w:val="20"/>
                <w:szCs w:val="20"/>
                <w:lang w:eastAsia="en-NZ"/>
              </w:rPr>
            </w:pPr>
            <w:r w:rsidRPr="009E5520">
              <w:rPr>
                <w:rFonts w:eastAsia="Times New Roman" w:cs="Times New Roman"/>
                <w:color w:val="000000"/>
                <w:sz w:val="20"/>
                <w:szCs w:val="20"/>
                <w:lang w:eastAsia="en-NZ"/>
              </w:rPr>
              <w:t xml:space="preserve"> Utilities</w:t>
            </w:r>
          </w:p>
        </w:tc>
        <w:tc>
          <w:tcPr>
            <w:tcW w:w="1766" w:type="dxa"/>
            <w:tcBorders>
              <w:top w:val="nil"/>
              <w:left w:val="nil"/>
              <w:right w:val="nil"/>
            </w:tcBorders>
            <w:shd w:val="clear" w:color="auto" w:fill="auto"/>
            <w:noWrap/>
            <w:vAlign w:val="center"/>
            <w:hideMark/>
          </w:tcPr>
          <w:p w14:paraId="3074999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-0.579***</w:t>
            </w:r>
          </w:p>
        </w:tc>
        <w:tc>
          <w:tcPr>
            <w:tcW w:w="1008" w:type="dxa"/>
            <w:tcBorders>
              <w:top w:val="nil"/>
              <w:left w:val="nil"/>
              <w:right w:val="nil"/>
            </w:tcBorders>
            <w:shd w:val="clear" w:color="auto" w:fill="auto"/>
            <w:noWrap/>
            <w:vAlign w:val="center"/>
            <w:hideMark/>
          </w:tcPr>
          <w:p w14:paraId="0433E7E2"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-1.332***</w:t>
            </w:r>
          </w:p>
        </w:tc>
        <w:tc>
          <w:tcPr>
            <w:tcW w:w="1290" w:type="dxa"/>
            <w:tcBorders>
              <w:top w:val="nil"/>
              <w:left w:val="nil"/>
              <w:right w:val="nil"/>
            </w:tcBorders>
            <w:shd w:val="clear" w:color="auto" w:fill="auto"/>
            <w:noWrap/>
            <w:vAlign w:val="center"/>
            <w:hideMark/>
          </w:tcPr>
          <w:p w14:paraId="565386EB"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0.001</w:t>
            </w:r>
          </w:p>
        </w:tc>
        <w:tc>
          <w:tcPr>
            <w:tcW w:w="1181" w:type="dxa"/>
            <w:tcBorders>
              <w:top w:val="nil"/>
              <w:left w:val="nil"/>
              <w:right w:val="nil"/>
            </w:tcBorders>
            <w:shd w:val="clear" w:color="auto" w:fill="auto"/>
            <w:noWrap/>
            <w:vAlign w:val="center"/>
            <w:hideMark/>
          </w:tcPr>
          <w:p w14:paraId="5D6BB997"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0.106</w:t>
            </w:r>
          </w:p>
        </w:tc>
        <w:tc>
          <w:tcPr>
            <w:tcW w:w="841" w:type="dxa"/>
            <w:tcBorders>
              <w:top w:val="nil"/>
              <w:left w:val="nil"/>
              <w:right w:val="nil"/>
            </w:tcBorders>
            <w:shd w:val="clear" w:color="auto" w:fill="auto"/>
            <w:noWrap/>
            <w:vAlign w:val="center"/>
            <w:hideMark/>
          </w:tcPr>
          <w:p w14:paraId="08BBB5FE"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-0.009</w:t>
            </w:r>
          </w:p>
        </w:tc>
        <w:tc>
          <w:tcPr>
            <w:tcW w:w="786" w:type="dxa"/>
            <w:tcBorders>
              <w:top w:val="nil"/>
              <w:left w:val="nil"/>
              <w:right w:val="nil"/>
            </w:tcBorders>
            <w:shd w:val="clear" w:color="auto" w:fill="auto"/>
            <w:noWrap/>
            <w:vAlign w:val="center"/>
            <w:hideMark/>
          </w:tcPr>
          <w:p w14:paraId="24418679"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86</w:t>
            </w:r>
          </w:p>
        </w:tc>
        <w:tc>
          <w:tcPr>
            <w:tcW w:w="630" w:type="dxa"/>
            <w:tcBorders>
              <w:top w:val="nil"/>
              <w:left w:val="nil"/>
              <w:right w:val="nil"/>
            </w:tcBorders>
            <w:shd w:val="clear" w:color="auto" w:fill="auto"/>
            <w:noWrap/>
            <w:vAlign w:val="center"/>
            <w:hideMark/>
          </w:tcPr>
          <w:p w14:paraId="00D0A87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16</w:t>
            </w:r>
          </w:p>
        </w:tc>
        <w:tc>
          <w:tcPr>
            <w:tcW w:w="1133" w:type="dxa"/>
            <w:tcBorders>
              <w:top w:val="nil"/>
              <w:left w:val="nil"/>
              <w:right w:val="nil"/>
            </w:tcBorders>
            <w:shd w:val="clear" w:color="auto" w:fill="auto"/>
            <w:noWrap/>
            <w:vAlign w:val="center"/>
            <w:hideMark/>
          </w:tcPr>
          <w:p w14:paraId="5FDB0B1C"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eastAsia="Times New Roman" w:cs="Times New Roman"/>
                <w:color w:val="000000"/>
                <w:sz w:val="18"/>
                <w:szCs w:val="18"/>
                <w:lang w:eastAsia="en-NZ"/>
              </w:rPr>
              <w:t>0.908</w:t>
            </w:r>
          </w:p>
        </w:tc>
      </w:tr>
      <w:tr w:rsidR="00966759" w:rsidRPr="009E5520" w14:paraId="644DDA5B" w14:textId="77777777" w:rsidTr="00966759">
        <w:trPr>
          <w:trHeight w:hRule="exact" w:val="259"/>
          <w:jc w:val="center"/>
        </w:trPr>
        <w:tc>
          <w:tcPr>
            <w:tcW w:w="2005" w:type="dxa"/>
            <w:tcBorders>
              <w:top w:val="nil"/>
              <w:left w:val="nil"/>
              <w:bottom w:val="single" w:sz="4" w:space="0" w:color="auto"/>
              <w:right w:val="nil"/>
            </w:tcBorders>
            <w:shd w:val="clear" w:color="auto" w:fill="auto"/>
            <w:noWrap/>
            <w:vAlign w:val="center"/>
            <w:hideMark/>
          </w:tcPr>
          <w:p w14:paraId="26AE5467" w14:textId="77777777" w:rsidR="00521FEF" w:rsidRPr="009E5520" w:rsidRDefault="00521FEF" w:rsidP="00114EAB">
            <w:pPr>
              <w:spacing w:after="0" w:line="240" w:lineRule="auto"/>
              <w:ind w:firstLine="0"/>
              <w:jc w:val="center"/>
              <w:rPr>
                <w:rFonts w:eastAsia="Times New Roman" w:cs="Times New Roman"/>
                <w:color w:val="000000"/>
                <w:sz w:val="20"/>
                <w:szCs w:val="20"/>
                <w:lang w:eastAsia="en-NZ"/>
              </w:rPr>
            </w:pPr>
          </w:p>
        </w:tc>
        <w:tc>
          <w:tcPr>
            <w:tcW w:w="1766" w:type="dxa"/>
            <w:tcBorders>
              <w:top w:val="nil"/>
              <w:left w:val="nil"/>
              <w:right w:val="nil"/>
            </w:tcBorders>
            <w:shd w:val="clear" w:color="auto" w:fill="auto"/>
            <w:noWrap/>
            <w:vAlign w:val="center"/>
            <w:hideMark/>
          </w:tcPr>
          <w:p w14:paraId="08E8A9E5"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(0.054)</w:t>
            </w:r>
          </w:p>
        </w:tc>
        <w:tc>
          <w:tcPr>
            <w:tcW w:w="1008" w:type="dxa"/>
            <w:tcBorders>
              <w:top w:val="nil"/>
              <w:left w:val="nil"/>
              <w:right w:val="nil"/>
            </w:tcBorders>
            <w:shd w:val="clear" w:color="auto" w:fill="auto"/>
            <w:noWrap/>
            <w:vAlign w:val="center"/>
            <w:hideMark/>
          </w:tcPr>
          <w:p w14:paraId="60CA6BB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(0.217)</w:t>
            </w:r>
          </w:p>
        </w:tc>
        <w:tc>
          <w:tcPr>
            <w:tcW w:w="1290" w:type="dxa"/>
            <w:tcBorders>
              <w:top w:val="nil"/>
              <w:left w:val="nil"/>
              <w:right w:val="nil"/>
            </w:tcBorders>
            <w:shd w:val="clear" w:color="auto" w:fill="auto"/>
            <w:noWrap/>
            <w:vAlign w:val="center"/>
            <w:hideMark/>
          </w:tcPr>
          <w:p w14:paraId="5092334D"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(0.104)</w:t>
            </w:r>
          </w:p>
        </w:tc>
        <w:tc>
          <w:tcPr>
            <w:tcW w:w="1181" w:type="dxa"/>
            <w:tcBorders>
              <w:top w:val="nil"/>
              <w:left w:val="nil"/>
              <w:right w:val="nil"/>
            </w:tcBorders>
            <w:shd w:val="clear" w:color="auto" w:fill="auto"/>
            <w:noWrap/>
            <w:vAlign w:val="center"/>
            <w:hideMark/>
          </w:tcPr>
          <w:p w14:paraId="13C6EE30"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(1.621)</w:t>
            </w:r>
          </w:p>
        </w:tc>
        <w:tc>
          <w:tcPr>
            <w:tcW w:w="841" w:type="dxa"/>
            <w:tcBorders>
              <w:top w:val="nil"/>
              <w:left w:val="nil"/>
              <w:right w:val="nil"/>
            </w:tcBorders>
            <w:shd w:val="clear" w:color="auto" w:fill="auto"/>
            <w:noWrap/>
            <w:vAlign w:val="center"/>
            <w:hideMark/>
          </w:tcPr>
          <w:p w14:paraId="51AC596A"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r w:rsidRPr="00966759">
              <w:rPr>
                <w:rFonts w:cs="Times New Roman"/>
                <w:color w:val="000000"/>
                <w:sz w:val="18"/>
                <w:szCs w:val="18"/>
              </w:rPr>
              <w:t>(0.051)</w:t>
            </w:r>
          </w:p>
        </w:tc>
        <w:tc>
          <w:tcPr>
            <w:tcW w:w="786" w:type="dxa"/>
            <w:tcBorders>
              <w:top w:val="nil"/>
              <w:left w:val="nil"/>
              <w:right w:val="nil"/>
            </w:tcBorders>
            <w:shd w:val="clear" w:color="auto" w:fill="auto"/>
            <w:noWrap/>
            <w:vAlign w:val="center"/>
            <w:hideMark/>
          </w:tcPr>
          <w:p w14:paraId="5BEF1744" w14:textId="77777777" w:rsidR="00521FEF" w:rsidRPr="00966759" w:rsidRDefault="00521FEF" w:rsidP="00114EAB">
            <w:pPr>
              <w:spacing w:after="0" w:line="240" w:lineRule="auto"/>
              <w:ind w:firstLine="0"/>
              <w:jc w:val="left"/>
              <w:rPr>
                <w:rFonts w:eastAsia="Times New Roman" w:cs="Times New Roman"/>
                <w:color w:val="000000"/>
                <w:sz w:val="18"/>
                <w:szCs w:val="18"/>
                <w:lang w:eastAsia="en-NZ"/>
              </w:rPr>
            </w:pPr>
          </w:p>
        </w:tc>
        <w:tc>
          <w:tcPr>
            <w:tcW w:w="630" w:type="dxa"/>
            <w:tcBorders>
              <w:top w:val="nil"/>
              <w:left w:val="nil"/>
              <w:right w:val="nil"/>
            </w:tcBorders>
            <w:shd w:val="clear" w:color="auto" w:fill="auto"/>
            <w:noWrap/>
            <w:vAlign w:val="bottom"/>
            <w:hideMark/>
          </w:tcPr>
          <w:p w14:paraId="7E5C6AC9"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c>
          <w:tcPr>
            <w:tcW w:w="1133" w:type="dxa"/>
            <w:tcBorders>
              <w:top w:val="nil"/>
              <w:left w:val="nil"/>
              <w:right w:val="nil"/>
            </w:tcBorders>
            <w:shd w:val="clear" w:color="auto" w:fill="auto"/>
            <w:noWrap/>
            <w:vAlign w:val="bottom"/>
            <w:hideMark/>
          </w:tcPr>
          <w:p w14:paraId="3A798E1E" w14:textId="77777777" w:rsidR="00521FEF" w:rsidRPr="00966759" w:rsidRDefault="00521FEF" w:rsidP="00114EAB">
            <w:pPr>
              <w:spacing w:after="0" w:line="240" w:lineRule="auto"/>
              <w:ind w:firstLine="0"/>
              <w:jc w:val="left"/>
              <w:rPr>
                <w:rFonts w:eastAsia="Times New Roman" w:cs="Times New Roman"/>
                <w:sz w:val="18"/>
                <w:szCs w:val="18"/>
                <w:lang w:eastAsia="en-NZ"/>
              </w:rPr>
            </w:pPr>
          </w:p>
        </w:tc>
      </w:tr>
      <w:tr w:rsidR="00521FEF" w:rsidRPr="009E5520" w14:paraId="423D6DA2" w14:textId="77777777" w:rsidTr="00966759">
        <w:trPr>
          <w:trHeight w:hRule="exact" w:val="2135"/>
          <w:jc w:val="center"/>
        </w:trPr>
        <w:tc>
          <w:tcPr>
            <w:tcW w:w="10644" w:type="dxa"/>
            <w:gridSpan w:val="9"/>
            <w:tcBorders>
              <w:left w:val="nil"/>
              <w:bottom w:val="single" w:sz="4" w:space="0" w:color="auto"/>
              <w:right w:val="nil"/>
            </w:tcBorders>
            <w:shd w:val="clear" w:color="auto" w:fill="auto"/>
            <w:noWrap/>
            <w:vAlign w:val="center"/>
          </w:tcPr>
          <w:p w14:paraId="19BEBD83" w14:textId="77777777" w:rsidR="00521FEF" w:rsidRPr="009E5520" w:rsidRDefault="00521FEF" w:rsidP="00114EAB">
            <w:pPr>
              <w:pStyle w:val="Footnoot"/>
            </w:pPr>
            <w:r w:rsidRPr="009E5520">
              <w:t xml:space="preserve">Notes: </w:t>
            </w:r>
            <w:r w:rsidRPr="009E5520">
              <w:rPr>
                <w:rFonts w:eastAsia="Times New Roman"/>
                <w:lang w:eastAsia="en-NZ"/>
              </w:rPr>
              <w:t>Table 4 presents the determinants of labour share over time and sectors. In each row, the dependent variable is</w:t>
            </w:r>
            <w:r>
              <w:rPr>
                <w:rFonts w:eastAsia="Times New Roman"/>
                <w:lang w:eastAsia="en-NZ"/>
              </w:rPr>
              <w:t xml:space="preserve"> the</w:t>
            </w:r>
            <w:r w:rsidRPr="009E5520">
              <w:rPr>
                <w:rFonts w:eastAsia="Times New Roman"/>
                <w:lang w:eastAsia="en-NZ"/>
              </w:rPr>
              <w:t xml:space="preserve"> </w:t>
            </w:r>
            <w:r w:rsidRPr="009E5520">
              <w:t xml:space="preserve">natural logarithm of </w:t>
            </w:r>
            <w:r w:rsidRPr="009E5520">
              <w:rPr>
                <w:rFonts w:eastAsia="Times New Roman"/>
                <w:lang w:eastAsia="en-NZ"/>
              </w:rPr>
              <w:t xml:space="preserve">labour share </w:t>
            </w:r>
            <w:r w:rsidRPr="009E5520">
              <w:t>measured as the natural logarithm of labour cost divided by the sum of earnings before interest, tax, depreciation, and amortisation (</w:t>
            </w:r>
            <w:r w:rsidRPr="009E5520">
              <w:rPr>
                <w:i/>
              </w:rPr>
              <w:t>EBITDA</w:t>
            </w:r>
            <w:r w:rsidRPr="009E5520">
              <w:t xml:space="preserve">) and labour cost. </w:t>
            </w:r>
            <w:r w:rsidRPr="009E5520">
              <w:rPr>
                <w:rFonts w:eastAsia="Times New Roman"/>
                <w:lang w:eastAsia="en-NZ"/>
              </w:rPr>
              <w:t xml:space="preserve">Panel A reports the determinants of labour share in five periods between 2004 and 2019. Panel B reports the determinants of labour share across 11 sectors. </w:t>
            </w:r>
            <w:r w:rsidRPr="009E5520">
              <w:t xml:space="preserve">Each regression includes control variables, region, industry, and year fixed effects. Continuous variables are </w:t>
            </w:r>
            <w:proofErr w:type="spellStart"/>
            <w:r w:rsidRPr="009E5520">
              <w:t>winsorised</w:t>
            </w:r>
            <w:proofErr w:type="spellEnd"/>
            <w:r w:rsidRPr="009E5520">
              <w:t xml:space="preserve"> at 1 per cent and 99 per cent. Robust standard errors clustered at the firm level are reported in parentheses. </w:t>
            </w:r>
          </w:p>
          <w:p w14:paraId="45790602" w14:textId="77777777" w:rsidR="00521FEF" w:rsidRPr="009E5520" w:rsidRDefault="00521FEF" w:rsidP="00114EAB">
            <w:pPr>
              <w:pStyle w:val="Footnoot"/>
            </w:pPr>
            <w:r w:rsidRPr="009E5520">
              <w:t>*, **, *** Indicate significance at the 10%, 5% and 1% levels, respectively.</w:t>
            </w:r>
          </w:p>
          <w:p w14:paraId="4EE85623" w14:textId="77777777" w:rsidR="00521FEF" w:rsidRPr="009E5520" w:rsidRDefault="00521FEF" w:rsidP="00114EAB">
            <w:pPr>
              <w:pStyle w:val="Footnoot"/>
            </w:pPr>
            <w:r w:rsidRPr="009E5520">
              <w:t>All variables are defined in Appendix B.</w:t>
            </w:r>
          </w:p>
        </w:tc>
      </w:tr>
    </w:tbl>
    <w:p w14:paraId="4BA73816" w14:textId="77777777" w:rsidR="00966759" w:rsidRDefault="00966759" w:rsidP="00340937"/>
    <w:p w14:paraId="626E824F" w14:textId="0AA3DECE" w:rsidR="00340937" w:rsidRPr="00340937" w:rsidRDefault="00340937" w:rsidP="00340937">
      <w:r w:rsidRPr="00340937">
        <w:t xml:space="preserve">Second, the importance of industry heterogeneity in understanding declining labour share has been highlighted in several papers </w:t>
      </w:r>
      <w:r w:rsidRPr="00340937">
        <w:fldChar w:fldCharType="begin" w:fldLock="1"/>
      </w:r>
      <w:r w:rsidR="00F25C01">
        <w:instrText>ADDIN CSL_CITATION {"citationItems":[{"id":"ITEM-1","itemData":{"DOI":"10.1093/QJE/QJT032","ISSN":"0033-5533","abstract":"The stability of the labor share of income is a key foundation in macroeconomic models. We document, however, that the global labor share has significantly declined since the early 1980s, with the decline occurring within the large majority of countries and industries. We show that the decrease in the relative price of investment goods, often attributed to advances in information technology and the computer age, induced firms to shift away from labor and toward capital. The lower price of investment goods explains roughly half of the observed decline in the labor share, even when we allow for other mechanisms influencing factor shares, such as increasing profits, capital-augmenting technology growth, and the changing skill composition of the labor force. We highlight the implications of this explanation for welfare and macroeconomic dynamics. © The Author(s) 2013. Published by Oxford University Press, on behalf of President and Fellows of Harvard College. All rights reserved.","author":[{"dropping-particle":"","family":"Karabarbounis","given":"Loukas","non-dropping-particle":"","parse-names":false,"suffix":""},{"dropping-particle":"","family":"Neiman","given":"Brent","non-dropping-particle":"","parse-names":false,"suffix":""}],"container-title":"The Quarterly Journal of Economics","id":"ITEM-1","issue":"1","issued":{"date-parts":[["2014","2","1"]]},"page":"61-103","publisher":"Oxford Academic","title":"The global decline of the labor share","type":"article-journal","volume":"129"},"uris":["http://www.mendeley.com/documents/?uuid=25f97c6b-0679-3d66-b9f1-1bee05b8ef3d"]},{"id":"ITEM-2","itemData":{"DOI":"10.1093/qje/qjaa004","ISSN":"0033-5533","abstract":"The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Economics","id":"ITEM-2","issue":"2","issued":{"date-parts":[["2020","5","1"]]},"page":"645-709","title":"The fall of the labor share and the rise of superstar firms","type":"article-journal","volume":"135"},"uris":["http://www.mendeley.com/documents/?uuid=f6363795-3c75-399a-98f2-de75ec243b69"]}],"mendeley":{"formattedCitation":"(Autor et al., 2020; Karabarbounis &amp; Neiman, 2014)","manualFormatting":"(e.g., Autor et al., 2020; Karabarbounis and Neiman, 2014)","plainTextFormattedCitation":"(Autor et al., 2020; Karabarbounis &amp; Neiman, 2014)","previouslyFormattedCitation":"(Karabarbounis and Neiman 2014; Autor et al. 2020)"},"properties":{"noteIndex":0},"schema":"https://github.com/citation-style-language/schema/raw/master/csl-citation.json"}</w:instrText>
      </w:r>
      <w:r w:rsidRPr="00340937">
        <w:fldChar w:fldCharType="separate"/>
      </w:r>
      <w:r w:rsidRPr="00340937">
        <w:rPr>
          <w:noProof/>
        </w:rPr>
        <w:t xml:space="preserve">(e.g., Autor et al., 2020; Karabarbounis </w:t>
      </w:r>
      <w:r w:rsidR="00F25C01">
        <w:rPr>
          <w:noProof/>
        </w:rPr>
        <w:t>and</w:t>
      </w:r>
      <w:r w:rsidRPr="00340937">
        <w:rPr>
          <w:noProof/>
        </w:rPr>
        <w:t xml:space="preserve"> Neiman, 2014)</w:t>
      </w:r>
      <w:r w:rsidRPr="00340937">
        <w:fldChar w:fldCharType="end"/>
      </w:r>
      <w:r w:rsidRPr="00340937">
        <w:t xml:space="preserve">. To explore this heterogeneity, we investigate sector differences by estimating equation (1) for 11 sectors, defined based on their one-digit </w:t>
      </w:r>
      <w:r w:rsidRPr="00340937">
        <w:rPr>
          <w:i/>
          <w:iCs/>
        </w:rPr>
        <w:t>GICS</w:t>
      </w:r>
      <w:r w:rsidRPr="00340937">
        <w:t xml:space="preserve">, including region, industry, and year fixed effects and clustered standard error at the firm-level (Table 4 panel B). The result shows that the coefficients of </w:t>
      </w:r>
      <w:r w:rsidRPr="00340937">
        <w:rPr>
          <w:i/>
          <w:iCs/>
        </w:rPr>
        <w:t xml:space="preserve">TFP </w:t>
      </w:r>
      <w:r w:rsidRPr="00340937">
        <w:t xml:space="preserve">and </w:t>
      </w:r>
      <w:proofErr w:type="spellStart"/>
      <w:r w:rsidRPr="00340937">
        <w:rPr>
          <w:i/>
          <w:iCs/>
        </w:rPr>
        <w:t>LnMarkup</w:t>
      </w:r>
      <w:proofErr w:type="spellEnd"/>
      <w:r w:rsidRPr="00340937">
        <w:t xml:space="preserve"> are negative in all sectors with a significance level of less than 10 per cent in 6 and 4 out of 11, respectively.</w:t>
      </w:r>
      <w:r w:rsidRPr="00340937">
        <w:rPr>
          <w:vertAlign w:val="superscript"/>
        </w:rPr>
        <w:footnoteReference w:id="7"/>
      </w:r>
      <w:r w:rsidRPr="00340937">
        <w:t xml:space="preserve"> In addition, we do not find evidence of a significant impact of technological progress, </w:t>
      </w:r>
      <w:proofErr w:type="spellStart"/>
      <w:r w:rsidRPr="00340937">
        <w:rPr>
          <w:i/>
          <w:iCs/>
        </w:rPr>
        <w:t>LnCapital</w:t>
      </w:r>
      <w:proofErr w:type="spellEnd"/>
      <w:r w:rsidRPr="00340937">
        <w:rPr>
          <w:i/>
          <w:iCs/>
        </w:rPr>
        <w:t>/VA</w:t>
      </w:r>
      <w:r w:rsidRPr="00340937">
        <w:t xml:space="preserve"> and </w:t>
      </w:r>
      <w:r w:rsidRPr="00340937">
        <w:rPr>
          <w:i/>
          <w:iCs/>
        </w:rPr>
        <w:t>TFP,</w:t>
      </w:r>
      <w:r w:rsidRPr="00340937">
        <w:t xml:space="preserve"> on labour share in high-tech sectors, including health care, information technology and Communication services,</w:t>
      </w:r>
      <w:r w:rsidRPr="00340937">
        <w:rPr>
          <w:vertAlign w:val="superscript"/>
        </w:rPr>
        <w:footnoteReference w:id="8"/>
      </w:r>
      <w:r w:rsidRPr="00340937">
        <w:t xml:space="preserve"> </w:t>
      </w:r>
      <w:r w:rsidRPr="00340937">
        <w:lastRenderedPageBreak/>
        <w:t xml:space="preserve">with the exception of </w:t>
      </w:r>
      <w:proofErr w:type="spellStart"/>
      <w:r w:rsidRPr="00340937">
        <w:rPr>
          <w:i/>
          <w:iCs/>
        </w:rPr>
        <w:t>LnCapital</w:t>
      </w:r>
      <w:proofErr w:type="spellEnd"/>
      <w:r w:rsidRPr="00340937">
        <w:rPr>
          <w:i/>
          <w:iCs/>
        </w:rPr>
        <w:t>/VA</w:t>
      </w:r>
      <w:r w:rsidRPr="00340937">
        <w:t xml:space="preserve"> in the information technology sector. This result shows that firms operating in high-tech sectors are not significantly affected by technological progress. Since a high proportion of employees in high-tech firms are highly skilled, this result is consistent with a skilled-biased technological progress impact on labour share </w:t>
      </w:r>
      <w:r w:rsidRPr="00340937">
        <w:fldChar w:fldCharType="begin" w:fldLock="1"/>
      </w:r>
      <w:r w:rsidR="00BA76AC">
        <w:instrText>ADDIN CSL_CITATION {"citationItems":[{"id":"ITEM-1","itemData":{"DOI":"10.1111/1468-0262.00150","ISSN":"1468-0262","abstract":"The supply and price of skilled labor relative to unskilled labor have changed dramatically over the postwar period. The relative quantity of skilled labor has increased substantially, and the skill premium, which is the wage of skilled labor relative to that of unskilled labor, has grown significantly since 1980. Many studies have found that accounting for the increase in the skill premium on the basis of observable variables is difficult and have concluded implicitly that latent skill-biased technological change must be the main factor responsible. This paper examines that view systematically. We develop a framework that provides a simple, explicit economic mechanism for understanding skill-biased technological change in terms of observable variables, and we use the framework to evaluate the fraction of variation in the skill premium that can be accounted for by changes in observed factor quantities. We find that with capital-skill complementarity, changes in observed inputs alone can account for most of the variations in the skill premium over the last 30 years.","author":[{"dropping-particle":"","family":"Krusell","given":"Per","non-dropping-particle":"","parse-names":false,"suffix":""},{"dropping-particle":"","family":"Ohanian","given":"Lee E.","non-dropping-particle":"","parse-names":false,"suffix":""},{"dropping-particle":"","family":"Ríos-Rull","given":"José Víctor","non-dropping-particle":"","parse-names":false,"suffix":""},{"dropping-particle":"","family":"Violante","given":"Giovanni L.","non-dropping-particle":"","parse-names":false,"suffix":""}],"container-title":"Econometrica","id":"ITEM-1","issue":"5","issued":{"date-parts":[["2000","9","1"]]},"page":"1029-1053","publisher":"John Wiley &amp; Sons, Ltd","title":"Capital-skill complementarity and inequality: A macroeconomic analysis","type":"article-journal","volume":"68"},"uris":["http://www.mendeley.com/documents/?uuid=884ac027-c64e-304e-80ea-a21ed3b3a498"]}],"mendeley":{"formattedCitation":"(Krusell et al., 2000)","manualFormatting":"(e.g., Krusell et al., 2000)","plainTextFormattedCitation":"(Krusell et al., 2000)","previouslyFormattedCitation":"(Krusell, Ohanian, Ríos-Rull, and Violante 2000)"},"properties":{"noteIndex":0},"schema":"https://github.com/citation-style-language/schema/raw/master/csl-citation.json"}</w:instrText>
      </w:r>
      <w:r w:rsidRPr="00340937">
        <w:fldChar w:fldCharType="separate"/>
      </w:r>
      <w:r w:rsidRPr="00340937">
        <w:rPr>
          <w:noProof/>
        </w:rPr>
        <w:t>(e.g., Krusell et al., 2000)</w:t>
      </w:r>
      <w:r w:rsidRPr="00340937">
        <w:fldChar w:fldCharType="end"/>
      </w:r>
      <w:r w:rsidRPr="00340937">
        <w:t xml:space="preserve">. Moreover, our result shows that product market power has insignificant or a low significant impact on declining labour share in high-tech sectors. However, this contrasts with the findings of </w:t>
      </w:r>
      <w:r w:rsidRPr="00340937">
        <w:fldChar w:fldCharType="begin" w:fldLock="1"/>
      </w:r>
      <w:r w:rsidR="00BA76AC">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firms","type":"article-journal","volume":"135"},"uris":["http://www.mendeley.com/documents/?uuid=f6363795-3c75-399a-98f2-de75ec243b69"]}],"mendeley":{"formattedCitation":"(Autor et al., 2020)","manualFormatting":"Autor et al. (2020)","plainTextFormattedCitation":"(Autor et al., 2020)","previouslyFormattedCitation":"(Autor et al. 2020)"},"properties":{"noteIndex":0},"schema":"https://github.com/citation-style-language/schema/raw/master/csl-citation.json"}</w:instrText>
      </w:r>
      <w:r w:rsidRPr="00340937">
        <w:fldChar w:fldCharType="separate"/>
      </w:r>
      <w:r w:rsidRPr="00340937">
        <w:rPr>
          <w:noProof/>
        </w:rPr>
        <w:t>Autor et al. (2020)</w:t>
      </w:r>
      <w:r w:rsidRPr="00340937">
        <w:fldChar w:fldCharType="end"/>
      </w:r>
      <w:r w:rsidRPr="00340937">
        <w:t xml:space="preserve"> who posit that ﬁrm concentration predicts a larger fall in the labour share in high-tech sectors. One explanation could be that there is insufficient variation in the data of this sub-sample of companies to identify the impact of the product market. </w:t>
      </w:r>
    </w:p>
    <w:p w14:paraId="448A0CB5" w14:textId="3627A220" w:rsidR="00340937" w:rsidRPr="00340937" w:rsidRDefault="00340937" w:rsidP="00340937">
      <w:r w:rsidRPr="00340937">
        <w:t xml:space="preserve">Third, technological progress allows businesses to automate their routine and well-defined tasks and substitute their low-skilled workers in production. Therefore, we expect that labour share is unaffected by technological progress in firms that show a higher probability of skilled employees or are less capital-intensive. To evaluate this hypothesis, we focus on two subsets of firms. The first subset is firms with R&amp;D expenditure, based on the argument that firms investing in R&amp;D require highly skilled employees to execute R&amp;D projects and increase the likelihood of successful innovation </w:t>
      </w:r>
      <w:r w:rsidRPr="00340937">
        <w:fldChar w:fldCharType="begin" w:fldLock="1"/>
      </w:r>
      <w:r w:rsidR="00BA76AC">
        <w:instrText>ADDIN CSL_CITATION {"citationItems":[{"id":"ITEM-1","itemData":{"DOI":"10.1016/j.jbankfin.2013.03.003","ISSN":"03784266","abstract":"We study the determinants and effects of the relative compensation of top executives and lower-level employees. First, we show that CEO-employee pay ratios depend on the balance of power between the CEO (relative to the board) and ordinary employees (relative to management). Second, our results suggest that employees do not perceive higher pay ratios as an inequitable outcome to be redressed via costly behaviors that lower productivity. We do not find a negative relation between relative pay and employee productivity, either in our full sample or in subsamples where employees are well-informed about executive pay and are protected against career retributions. Rather, we find that productivity increases with relative pay when the firm has fewer employees who are well-informed, and when promotion decisions are predominantly merit-based. We also find that firm value and operating performance both increase with relative pay. We conclude that ordinary employees appear to perceive an opportunity in higher pay ratios but the extent to which such perception incentivizes them depends on the likelihood of success in a series of sequential promotion tournaments. © 2013 Elsevier B.V.","author":[{"dropping-particle":"","family":"Faleye","given":"Olubunmi","non-dropping-particle":"","parse-names":false,"suffix":""},{"dropping-particle":"","family":"Reis","given":"Ebru","non-dropping-particle":"","parse-names":false,"suffix":""},{"dropping-particle":"","family":"Venkateswaran","given":"Anand","non-dropping-particle":"","parse-names":false,"suffix":""}],"container-title":"Journal of Banking and Finance","id":"ITEM-1","issue":"8","issued":{"date-parts":[["2013","8","1"]]},"page":"3258-3272","publisher":"North-Holland","title":"The determinants and effects of CEO-employee pay ratios","type":"article-journal","volume":"37"},"uris":["http://www.mendeley.com/documents/?uuid=e5f3f9b6-68e5-4bc4-9537-454d7779e4e7"]}],"mendeley":{"formattedCitation":"(Faleye et al., 2013)","plainTextFormattedCitation":"(Faleye et al., 2013)","previouslyFormattedCitation":"(Faleye, Reis, and Venkateswaran 2013)"},"properties":{"noteIndex":0},"schema":"https://github.com/citation-style-language/schema/raw/master/csl-citation.json"}</w:instrText>
      </w:r>
      <w:r w:rsidRPr="00340937">
        <w:fldChar w:fldCharType="separate"/>
      </w:r>
      <w:r w:rsidR="00BA76AC" w:rsidRPr="00BA76AC">
        <w:rPr>
          <w:noProof/>
        </w:rPr>
        <w:t>(Faleye et al., 2013)</w:t>
      </w:r>
      <w:r w:rsidRPr="00340937">
        <w:fldChar w:fldCharType="end"/>
      </w:r>
      <w:r w:rsidRPr="00340937">
        <w:t xml:space="preserve">. The second subset consists of firms where the capital intensity, the ratio of PPE to the number of employees, is less than the first quartile in the corresponding sector, based on the intuition that capital has a less significant role in production in lower capital intensity firms. As the first and third columns of Table 5 reveal, </w:t>
      </w:r>
      <w:proofErr w:type="spellStart"/>
      <w:r w:rsidRPr="00340937">
        <w:rPr>
          <w:i/>
          <w:iCs/>
        </w:rPr>
        <w:t>LnCapital</w:t>
      </w:r>
      <w:proofErr w:type="spellEnd"/>
      <w:r w:rsidRPr="00340937">
        <w:rPr>
          <w:i/>
          <w:iCs/>
        </w:rPr>
        <w:t>/VA</w:t>
      </w:r>
      <w:r w:rsidRPr="00340937">
        <w:t xml:space="preserve"> and </w:t>
      </w:r>
      <w:r w:rsidRPr="00340937">
        <w:rPr>
          <w:i/>
          <w:iCs/>
        </w:rPr>
        <w:t>TFP</w:t>
      </w:r>
      <w:r w:rsidRPr="00340937">
        <w:t xml:space="preserve"> do not have a significant impact on labour share in both high R&amp;D and low capital-intensive firms.  Thus, labour share does not significantly decline with technological progress when employees have higher skill levels or greater roles in production. </w:t>
      </w:r>
    </w:p>
    <w:p w14:paraId="5E298CED" w14:textId="7B103FED" w:rsidR="000373C9" w:rsidRPr="003B319E" w:rsidRDefault="000373C9" w:rsidP="000373C9">
      <w:r w:rsidRPr="00340937">
        <w:t>Lastly, it is possible that labour share in firms with higher levels of external funds, measured by the ratio of total debt to total asset, is impacted differently by technological progress and product market power. One might expect that better access to external funds encourages firms to invest more in new technologies and automate their tasks. At the same time, leverage may decrease firms' ability to make their payroll and be negatively associated with compensation. Hence, we expect a more considerable decline in labour share by increasing technological progress and mark-up in high leverage firms. To test this hypothesis, we separate the subset of firms where the leverage is higher than the third quartile in the corresponding sector. Columns</w:t>
      </w:r>
      <w:r>
        <w:t xml:space="preserve"> </w:t>
      </w:r>
      <w:r w:rsidRPr="00340937">
        <w:t xml:space="preserve">5 and 6 in Table 5 shows that technological progress and product market power have a larger significant negative impact on labour share in a high leverage subsample compared to the rest of the observations. </w:t>
      </w:r>
    </w:p>
    <w:p w14:paraId="798F9603" w14:textId="77777777" w:rsidR="00966759" w:rsidRDefault="00966759" w:rsidP="00521FEF">
      <w:pPr>
        <w:pStyle w:val="Caption"/>
        <w:jc w:val="center"/>
        <w:rPr>
          <w:b/>
          <w:bCs/>
          <w:iCs w:val="0"/>
          <w:color w:val="auto"/>
          <w:sz w:val="24"/>
          <w:szCs w:val="24"/>
        </w:rPr>
      </w:pPr>
    </w:p>
    <w:p w14:paraId="499EF1FA" w14:textId="77777777" w:rsidR="00966759" w:rsidRDefault="00966759" w:rsidP="00521FEF">
      <w:pPr>
        <w:pStyle w:val="Caption"/>
        <w:jc w:val="center"/>
        <w:rPr>
          <w:b/>
          <w:bCs/>
          <w:iCs w:val="0"/>
          <w:color w:val="auto"/>
          <w:sz w:val="24"/>
          <w:szCs w:val="24"/>
        </w:rPr>
      </w:pPr>
    </w:p>
    <w:p w14:paraId="6B80B17C" w14:textId="77777777" w:rsidR="00966759" w:rsidRDefault="00966759" w:rsidP="00521FEF">
      <w:pPr>
        <w:pStyle w:val="Caption"/>
        <w:jc w:val="center"/>
        <w:rPr>
          <w:b/>
          <w:bCs/>
          <w:iCs w:val="0"/>
          <w:color w:val="auto"/>
          <w:sz w:val="24"/>
          <w:szCs w:val="24"/>
        </w:rPr>
      </w:pPr>
    </w:p>
    <w:p w14:paraId="723AC193" w14:textId="77777777" w:rsidR="00966759" w:rsidRDefault="00966759" w:rsidP="000373C9">
      <w:pPr>
        <w:pStyle w:val="Caption"/>
        <w:ind w:firstLine="0"/>
        <w:rPr>
          <w:b/>
          <w:bCs/>
          <w:iCs w:val="0"/>
          <w:color w:val="auto"/>
          <w:sz w:val="24"/>
          <w:szCs w:val="24"/>
        </w:rPr>
      </w:pPr>
    </w:p>
    <w:p w14:paraId="4C21A2BF" w14:textId="7BD7F846" w:rsidR="00521FEF" w:rsidRPr="00966759" w:rsidRDefault="00521FEF" w:rsidP="00521FEF">
      <w:pPr>
        <w:pStyle w:val="Caption"/>
        <w:jc w:val="center"/>
        <w:rPr>
          <w:b/>
          <w:bCs/>
          <w:i w:val="0"/>
          <w:color w:val="auto"/>
          <w:sz w:val="22"/>
          <w:szCs w:val="22"/>
        </w:rPr>
      </w:pPr>
      <w:r w:rsidRPr="00966759">
        <w:rPr>
          <w:b/>
          <w:bCs/>
          <w:i w:val="0"/>
          <w:color w:val="auto"/>
          <w:sz w:val="22"/>
          <w:szCs w:val="22"/>
        </w:rPr>
        <w:lastRenderedPageBreak/>
        <w:t xml:space="preserve">Table </w:t>
      </w:r>
      <w:r w:rsidR="00715602">
        <w:rPr>
          <w:b/>
          <w:bCs/>
          <w:i w:val="0"/>
          <w:color w:val="auto"/>
          <w:sz w:val="22"/>
          <w:szCs w:val="22"/>
        </w:rPr>
        <w:t>5</w:t>
      </w:r>
      <w:r w:rsidR="007E2373">
        <w:rPr>
          <w:b/>
          <w:bCs/>
          <w:i w:val="0"/>
          <w:color w:val="auto"/>
          <w:sz w:val="22"/>
          <w:szCs w:val="22"/>
        </w:rPr>
        <w:t>.</w:t>
      </w:r>
      <w:r w:rsidRPr="00966759">
        <w:rPr>
          <w:b/>
          <w:bCs/>
          <w:i w:val="0"/>
          <w:color w:val="auto"/>
          <w:sz w:val="22"/>
          <w:szCs w:val="22"/>
        </w:rPr>
        <w:t xml:space="preserve"> The determinants of labour share within different sub-groups</w:t>
      </w:r>
    </w:p>
    <w:tbl>
      <w:tblPr>
        <w:tblW w:w="9214" w:type="dxa"/>
        <w:jc w:val="center"/>
        <w:tblLayout w:type="fixed"/>
        <w:tblLook w:val="04A0" w:firstRow="1" w:lastRow="0" w:firstColumn="1" w:lastColumn="0" w:noHBand="0" w:noVBand="1"/>
      </w:tblPr>
      <w:tblGrid>
        <w:gridCol w:w="1989"/>
        <w:gridCol w:w="1112"/>
        <w:gridCol w:w="1111"/>
        <w:gridCol w:w="1111"/>
        <w:gridCol w:w="1112"/>
        <w:gridCol w:w="1362"/>
        <w:gridCol w:w="1417"/>
      </w:tblGrid>
      <w:tr w:rsidR="00521FEF" w:rsidRPr="009E5520" w14:paraId="13C83E6A" w14:textId="77777777" w:rsidTr="00114EAB">
        <w:trPr>
          <w:trHeight w:val="599"/>
          <w:jc w:val="center"/>
        </w:trPr>
        <w:tc>
          <w:tcPr>
            <w:tcW w:w="1989" w:type="dxa"/>
            <w:tcBorders>
              <w:top w:val="nil"/>
              <w:left w:val="nil"/>
              <w:bottom w:val="single" w:sz="4" w:space="0" w:color="auto"/>
              <w:right w:val="nil"/>
            </w:tcBorders>
            <w:shd w:val="clear" w:color="auto" w:fill="auto"/>
            <w:noWrap/>
            <w:vAlign w:val="center"/>
          </w:tcPr>
          <w:p w14:paraId="416D4E6E" w14:textId="77777777" w:rsidR="00521FEF" w:rsidRPr="009E5520" w:rsidRDefault="00521FEF" w:rsidP="00114EAB">
            <w:pPr>
              <w:spacing w:after="0" w:line="240" w:lineRule="auto"/>
              <w:ind w:firstLine="0"/>
              <w:jc w:val="left"/>
              <w:rPr>
                <w:rFonts w:eastAsia="Times New Roman" w:cs="Times New Roman"/>
                <w:sz w:val="18"/>
                <w:szCs w:val="18"/>
                <w:lang w:eastAsia="en-NZ"/>
              </w:rPr>
            </w:pPr>
          </w:p>
        </w:tc>
        <w:tc>
          <w:tcPr>
            <w:tcW w:w="7225" w:type="dxa"/>
            <w:gridSpan w:val="6"/>
            <w:tcBorders>
              <w:top w:val="nil"/>
              <w:left w:val="nil"/>
              <w:bottom w:val="single" w:sz="4" w:space="0" w:color="auto"/>
              <w:right w:val="nil"/>
            </w:tcBorders>
            <w:vAlign w:val="center"/>
          </w:tcPr>
          <w:p w14:paraId="1966B206" w14:textId="77777777" w:rsidR="00521FEF" w:rsidRPr="009E5520" w:rsidRDefault="00521FEF" w:rsidP="00114EAB">
            <w:pPr>
              <w:spacing w:after="0" w:line="240" w:lineRule="auto"/>
              <w:ind w:firstLine="0"/>
              <w:jc w:val="center"/>
              <w:rPr>
                <w:rFonts w:cs="Times New Roman"/>
                <w:color w:val="000000"/>
                <w:sz w:val="18"/>
                <w:szCs w:val="18"/>
              </w:rPr>
            </w:pPr>
            <w:proofErr w:type="spellStart"/>
            <w:r w:rsidRPr="009E5520">
              <w:rPr>
                <w:rFonts w:cs="Times New Roman"/>
                <w:sz w:val="18"/>
                <w:szCs w:val="18"/>
              </w:rPr>
              <w:t>L</w:t>
            </w:r>
            <w:r>
              <w:rPr>
                <w:rFonts w:cs="Times New Roman"/>
                <w:sz w:val="18"/>
                <w:szCs w:val="18"/>
              </w:rPr>
              <w:t>n</w:t>
            </w:r>
            <w:r w:rsidRPr="009E5520">
              <w:rPr>
                <w:rFonts w:cs="Times New Roman"/>
                <w:sz w:val="18"/>
                <w:szCs w:val="18"/>
              </w:rPr>
              <w:t>Labo</w:t>
            </w:r>
            <w:r>
              <w:rPr>
                <w:rFonts w:cs="Times New Roman"/>
                <w:sz w:val="18"/>
                <w:szCs w:val="18"/>
              </w:rPr>
              <w:t>u</w:t>
            </w:r>
            <w:r w:rsidRPr="009E5520">
              <w:rPr>
                <w:rFonts w:cs="Times New Roman"/>
                <w:sz w:val="18"/>
                <w:szCs w:val="18"/>
              </w:rPr>
              <w:t>rShare</w:t>
            </w:r>
            <w:proofErr w:type="spellEnd"/>
          </w:p>
        </w:tc>
      </w:tr>
      <w:tr w:rsidR="00521FEF" w:rsidRPr="009E5520" w14:paraId="1DB80C30" w14:textId="77777777" w:rsidTr="00114EAB">
        <w:trPr>
          <w:trHeight w:val="599"/>
          <w:jc w:val="center"/>
        </w:trPr>
        <w:tc>
          <w:tcPr>
            <w:tcW w:w="1989" w:type="dxa"/>
            <w:tcBorders>
              <w:top w:val="nil"/>
              <w:left w:val="nil"/>
              <w:bottom w:val="single" w:sz="4" w:space="0" w:color="auto"/>
              <w:right w:val="nil"/>
            </w:tcBorders>
            <w:shd w:val="clear" w:color="auto" w:fill="auto"/>
            <w:noWrap/>
            <w:vAlign w:val="center"/>
            <w:hideMark/>
          </w:tcPr>
          <w:p w14:paraId="040F1EC3" w14:textId="77777777" w:rsidR="00521FEF" w:rsidRPr="009E5520" w:rsidRDefault="00521FEF" w:rsidP="00114EAB">
            <w:pPr>
              <w:spacing w:after="0" w:line="240" w:lineRule="auto"/>
              <w:ind w:firstLine="0"/>
              <w:jc w:val="left"/>
              <w:rPr>
                <w:rFonts w:eastAsia="Times New Roman" w:cs="Times New Roman"/>
                <w:sz w:val="18"/>
                <w:szCs w:val="18"/>
                <w:lang w:eastAsia="en-NZ"/>
              </w:rPr>
            </w:pPr>
          </w:p>
        </w:tc>
        <w:tc>
          <w:tcPr>
            <w:tcW w:w="1112" w:type="dxa"/>
            <w:tcBorders>
              <w:top w:val="nil"/>
              <w:left w:val="nil"/>
              <w:bottom w:val="single" w:sz="4" w:space="0" w:color="auto"/>
              <w:right w:val="nil"/>
            </w:tcBorders>
            <w:vAlign w:val="center"/>
          </w:tcPr>
          <w:p w14:paraId="531BBF6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R&amp;D</w:t>
            </w:r>
          </w:p>
        </w:tc>
        <w:tc>
          <w:tcPr>
            <w:tcW w:w="1111" w:type="dxa"/>
            <w:tcBorders>
              <w:top w:val="nil"/>
              <w:left w:val="nil"/>
              <w:bottom w:val="single" w:sz="4" w:space="0" w:color="auto"/>
              <w:right w:val="nil"/>
            </w:tcBorders>
            <w:vAlign w:val="center"/>
          </w:tcPr>
          <w:p w14:paraId="6A8BDFA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Excluding R&amp;D</w:t>
            </w:r>
          </w:p>
        </w:tc>
        <w:tc>
          <w:tcPr>
            <w:tcW w:w="1111" w:type="dxa"/>
            <w:tcBorders>
              <w:top w:val="nil"/>
              <w:left w:val="nil"/>
              <w:bottom w:val="single" w:sz="4" w:space="0" w:color="auto"/>
              <w:right w:val="nil"/>
            </w:tcBorders>
            <w:vAlign w:val="center"/>
          </w:tcPr>
          <w:p w14:paraId="13113F07"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color w:val="000000"/>
                <w:sz w:val="18"/>
                <w:szCs w:val="18"/>
              </w:rPr>
              <w:t>PPE-Low</w:t>
            </w:r>
          </w:p>
        </w:tc>
        <w:tc>
          <w:tcPr>
            <w:tcW w:w="1112" w:type="dxa"/>
            <w:tcBorders>
              <w:top w:val="nil"/>
              <w:left w:val="nil"/>
              <w:bottom w:val="single" w:sz="4" w:space="0" w:color="auto"/>
              <w:right w:val="nil"/>
            </w:tcBorders>
            <w:vAlign w:val="center"/>
          </w:tcPr>
          <w:p w14:paraId="17ABAC16"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color w:val="000000"/>
                <w:sz w:val="18"/>
                <w:szCs w:val="18"/>
              </w:rPr>
              <w:t xml:space="preserve">Excluding </w:t>
            </w:r>
          </w:p>
          <w:p w14:paraId="2FF598D7" w14:textId="77777777" w:rsidR="00521FEF" w:rsidRPr="009E5520" w:rsidRDefault="00521FEF" w:rsidP="00114EAB">
            <w:pPr>
              <w:spacing w:after="0" w:line="240" w:lineRule="auto"/>
              <w:ind w:firstLine="0"/>
              <w:jc w:val="left"/>
              <w:rPr>
                <w:rFonts w:eastAsia="Times New Roman" w:cs="Times New Roman"/>
                <w:b/>
                <w:bCs/>
                <w:color w:val="000000"/>
                <w:sz w:val="18"/>
                <w:szCs w:val="18"/>
                <w:lang w:eastAsia="en-NZ"/>
              </w:rPr>
            </w:pPr>
            <w:r w:rsidRPr="009E5520">
              <w:rPr>
                <w:rFonts w:cs="Times New Roman"/>
                <w:color w:val="000000"/>
                <w:sz w:val="18"/>
                <w:szCs w:val="18"/>
              </w:rPr>
              <w:t>PPE-Low</w:t>
            </w:r>
          </w:p>
        </w:tc>
        <w:tc>
          <w:tcPr>
            <w:tcW w:w="1362" w:type="dxa"/>
            <w:tcBorders>
              <w:top w:val="nil"/>
              <w:left w:val="nil"/>
              <w:bottom w:val="single" w:sz="4" w:space="0" w:color="auto"/>
              <w:right w:val="nil"/>
            </w:tcBorders>
            <w:shd w:val="clear" w:color="auto" w:fill="auto"/>
            <w:noWrap/>
            <w:vAlign w:val="center"/>
            <w:hideMark/>
          </w:tcPr>
          <w:p w14:paraId="7BF54991"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color w:val="000000"/>
                <w:sz w:val="18"/>
                <w:szCs w:val="18"/>
              </w:rPr>
              <w:t>Leverage-High</w:t>
            </w:r>
          </w:p>
        </w:tc>
        <w:tc>
          <w:tcPr>
            <w:tcW w:w="1417" w:type="dxa"/>
            <w:tcBorders>
              <w:top w:val="nil"/>
              <w:left w:val="nil"/>
              <w:bottom w:val="single" w:sz="4" w:space="0" w:color="auto"/>
              <w:right w:val="nil"/>
            </w:tcBorders>
            <w:shd w:val="clear" w:color="auto" w:fill="auto"/>
            <w:noWrap/>
            <w:vAlign w:val="center"/>
            <w:hideMark/>
          </w:tcPr>
          <w:p w14:paraId="0C143B3C"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color w:val="000000"/>
                <w:sz w:val="18"/>
                <w:szCs w:val="18"/>
              </w:rPr>
              <w:t>Excluding</w:t>
            </w:r>
          </w:p>
          <w:p w14:paraId="7F313480"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Leverage-High</w:t>
            </w:r>
          </w:p>
        </w:tc>
      </w:tr>
      <w:tr w:rsidR="00521FEF" w:rsidRPr="009E5520" w14:paraId="73984F4A" w14:textId="77777777" w:rsidTr="00114EAB">
        <w:trPr>
          <w:trHeight w:hRule="exact" w:val="284"/>
          <w:jc w:val="center"/>
        </w:trPr>
        <w:tc>
          <w:tcPr>
            <w:tcW w:w="1989" w:type="dxa"/>
            <w:tcBorders>
              <w:top w:val="single" w:sz="4" w:space="0" w:color="auto"/>
              <w:left w:val="nil"/>
              <w:bottom w:val="nil"/>
              <w:right w:val="nil"/>
            </w:tcBorders>
            <w:shd w:val="clear" w:color="auto" w:fill="auto"/>
            <w:noWrap/>
            <w:vAlign w:val="center"/>
            <w:hideMark/>
          </w:tcPr>
          <w:p w14:paraId="38B84051"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roofErr w:type="spellStart"/>
            <w:r w:rsidRPr="009E5520">
              <w:rPr>
                <w:rFonts w:eastAsia="Times New Roman" w:cs="Times New Roman"/>
                <w:color w:val="000000"/>
                <w:sz w:val="18"/>
                <w:szCs w:val="18"/>
                <w:lang w:eastAsia="en-NZ"/>
              </w:rPr>
              <w:t>LnCapital</w:t>
            </w:r>
            <w:proofErr w:type="spellEnd"/>
            <w:r w:rsidRPr="009E5520">
              <w:rPr>
                <w:rFonts w:eastAsia="Times New Roman" w:cs="Times New Roman"/>
                <w:color w:val="000000"/>
                <w:sz w:val="18"/>
                <w:szCs w:val="18"/>
                <w:lang w:eastAsia="en-NZ"/>
              </w:rPr>
              <w:t>/VA</w:t>
            </w:r>
          </w:p>
        </w:tc>
        <w:tc>
          <w:tcPr>
            <w:tcW w:w="1112" w:type="dxa"/>
            <w:tcBorders>
              <w:top w:val="nil"/>
              <w:left w:val="nil"/>
              <w:bottom w:val="nil"/>
              <w:right w:val="nil"/>
            </w:tcBorders>
            <w:vAlign w:val="center"/>
          </w:tcPr>
          <w:p w14:paraId="0F8823B8"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-0.064</w:t>
            </w:r>
          </w:p>
        </w:tc>
        <w:tc>
          <w:tcPr>
            <w:tcW w:w="1111" w:type="dxa"/>
            <w:tcBorders>
              <w:top w:val="nil"/>
              <w:left w:val="nil"/>
              <w:bottom w:val="nil"/>
              <w:right w:val="nil"/>
            </w:tcBorders>
            <w:vAlign w:val="center"/>
          </w:tcPr>
          <w:p w14:paraId="74CEF77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-0.187***</w:t>
            </w:r>
          </w:p>
        </w:tc>
        <w:tc>
          <w:tcPr>
            <w:tcW w:w="1111" w:type="dxa"/>
            <w:tcBorders>
              <w:top w:val="nil"/>
              <w:left w:val="nil"/>
              <w:bottom w:val="nil"/>
              <w:right w:val="nil"/>
            </w:tcBorders>
            <w:vAlign w:val="center"/>
          </w:tcPr>
          <w:p w14:paraId="42F8CE8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-0.043</w:t>
            </w:r>
          </w:p>
        </w:tc>
        <w:tc>
          <w:tcPr>
            <w:tcW w:w="1112" w:type="dxa"/>
            <w:tcBorders>
              <w:top w:val="nil"/>
              <w:left w:val="nil"/>
              <w:bottom w:val="nil"/>
              <w:right w:val="nil"/>
            </w:tcBorders>
            <w:vAlign w:val="center"/>
          </w:tcPr>
          <w:p w14:paraId="5E18B8C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-0.105***</w:t>
            </w:r>
          </w:p>
        </w:tc>
        <w:tc>
          <w:tcPr>
            <w:tcW w:w="1362" w:type="dxa"/>
            <w:tcBorders>
              <w:top w:val="nil"/>
              <w:left w:val="nil"/>
              <w:bottom w:val="nil"/>
              <w:right w:val="nil"/>
            </w:tcBorders>
            <w:shd w:val="clear" w:color="auto" w:fill="auto"/>
            <w:noWrap/>
            <w:vAlign w:val="center"/>
          </w:tcPr>
          <w:p w14:paraId="7575CE62" w14:textId="77777777" w:rsidR="00521FEF" w:rsidRPr="009E5520" w:rsidRDefault="00521FEF" w:rsidP="00114EAB">
            <w:pPr>
              <w:spacing w:after="0"/>
              <w:ind w:firstLine="0"/>
              <w:jc w:val="left"/>
              <w:rPr>
                <w:rFonts w:cs="Times New Roman"/>
                <w:sz w:val="18"/>
                <w:szCs w:val="18"/>
              </w:rPr>
            </w:pPr>
            <w:r w:rsidRPr="009E5520">
              <w:rPr>
                <w:rFonts w:cs="Times New Roman"/>
                <w:sz w:val="18"/>
                <w:szCs w:val="18"/>
              </w:rPr>
              <w:t>-0.146***</w:t>
            </w:r>
          </w:p>
        </w:tc>
        <w:tc>
          <w:tcPr>
            <w:tcW w:w="1417" w:type="dxa"/>
            <w:tcBorders>
              <w:top w:val="nil"/>
              <w:left w:val="nil"/>
              <w:bottom w:val="nil"/>
              <w:right w:val="nil"/>
            </w:tcBorders>
            <w:shd w:val="clear" w:color="auto" w:fill="auto"/>
            <w:noWrap/>
            <w:vAlign w:val="center"/>
          </w:tcPr>
          <w:p w14:paraId="437B7DDD" w14:textId="77777777" w:rsidR="00521FEF" w:rsidRPr="009E5520" w:rsidRDefault="00521FEF" w:rsidP="00114EAB">
            <w:pPr>
              <w:spacing w:after="0"/>
              <w:ind w:firstLine="0"/>
              <w:jc w:val="left"/>
              <w:rPr>
                <w:rFonts w:cs="Times New Roman"/>
                <w:sz w:val="18"/>
                <w:szCs w:val="18"/>
              </w:rPr>
            </w:pPr>
            <w:r w:rsidRPr="009E5520">
              <w:rPr>
                <w:rFonts w:cs="Times New Roman"/>
                <w:sz w:val="18"/>
                <w:szCs w:val="18"/>
              </w:rPr>
              <w:t>-0.161***</w:t>
            </w:r>
          </w:p>
        </w:tc>
      </w:tr>
      <w:tr w:rsidR="00521FEF" w:rsidRPr="009E5520" w14:paraId="309535AB"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3526B91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
        </w:tc>
        <w:tc>
          <w:tcPr>
            <w:tcW w:w="1112" w:type="dxa"/>
            <w:tcBorders>
              <w:top w:val="nil"/>
              <w:left w:val="nil"/>
              <w:bottom w:val="nil"/>
              <w:right w:val="nil"/>
            </w:tcBorders>
            <w:vAlign w:val="center"/>
          </w:tcPr>
          <w:p w14:paraId="2996FD06"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(0.043)</w:t>
            </w:r>
          </w:p>
        </w:tc>
        <w:tc>
          <w:tcPr>
            <w:tcW w:w="1111" w:type="dxa"/>
            <w:tcBorders>
              <w:top w:val="nil"/>
              <w:left w:val="nil"/>
              <w:bottom w:val="nil"/>
              <w:right w:val="nil"/>
            </w:tcBorders>
            <w:vAlign w:val="center"/>
          </w:tcPr>
          <w:p w14:paraId="207590F8"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(0.023)</w:t>
            </w:r>
          </w:p>
        </w:tc>
        <w:tc>
          <w:tcPr>
            <w:tcW w:w="1111" w:type="dxa"/>
            <w:tcBorders>
              <w:top w:val="nil"/>
              <w:left w:val="nil"/>
              <w:bottom w:val="nil"/>
              <w:right w:val="nil"/>
            </w:tcBorders>
            <w:vAlign w:val="center"/>
          </w:tcPr>
          <w:p w14:paraId="59474000"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(0.039)</w:t>
            </w:r>
          </w:p>
        </w:tc>
        <w:tc>
          <w:tcPr>
            <w:tcW w:w="1112" w:type="dxa"/>
            <w:tcBorders>
              <w:top w:val="nil"/>
              <w:left w:val="nil"/>
              <w:bottom w:val="nil"/>
              <w:right w:val="nil"/>
            </w:tcBorders>
            <w:vAlign w:val="center"/>
          </w:tcPr>
          <w:p w14:paraId="1D6F2BE6"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(0.026)</w:t>
            </w:r>
          </w:p>
        </w:tc>
        <w:tc>
          <w:tcPr>
            <w:tcW w:w="1362" w:type="dxa"/>
            <w:tcBorders>
              <w:top w:val="nil"/>
              <w:left w:val="nil"/>
              <w:bottom w:val="nil"/>
              <w:right w:val="nil"/>
            </w:tcBorders>
            <w:shd w:val="clear" w:color="auto" w:fill="auto"/>
            <w:noWrap/>
            <w:vAlign w:val="center"/>
            <w:hideMark/>
          </w:tcPr>
          <w:p w14:paraId="4CF3DF9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w:t>
            </w:r>
          </w:p>
        </w:tc>
        <w:tc>
          <w:tcPr>
            <w:tcW w:w="1417" w:type="dxa"/>
            <w:tcBorders>
              <w:top w:val="nil"/>
              <w:left w:val="nil"/>
              <w:bottom w:val="nil"/>
              <w:right w:val="nil"/>
            </w:tcBorders>
            <w:shd w:val="clear" w:color="auto" w:fill="auto"/>
            <w:noWrap/>
            <w:vAlign w:val="center"/>
            <w:hideMark/>
          </w:tcPr>
          <w:p w14:paraId="42D6415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(0.024)</w:t>
            </w:r>
          </w:p>
        </w:tc>
      </w:tr>
      <w:tr w:rsidR="00521FEF" w:rsidRPr="009E5520" w14:paraId="1F373217"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6738A82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TFPOP</w:t>
            </w:r>
          </w:p>
        </w:tc>
        <w:tc>
          <w:tcPr>
            <w:tcW w:w="1112" w:type="dxa"/>
            <w:tcBorders>
              <w:top w:val="nil"/>
              <w:left w:val="nil"/>
              <w:bottom w:val="nil"/>
              <w:right w:val="nil"/>
            </w:tcBorders>
            <w:vAlign w:val="center"/>
          </w:tcPr>
          <w:p w14:paraId="0397C181"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-0.099</w:t>
            </w:r>
          </w:p>
        </w:tc>
        <w:tc>
          <w:tcPr>
            <w:tcW w:w="1111" w:type="dxa"/>
            <w:tcBorders>
              <w:top w:val="nil"/>
              <w:left w:val="nil"/>
              <w:bottom w:val="nil"/>
              <w:right w:val="nil"/>
            </w:tcBorders>
            <w:vAlign w:val="center"/>
          </w:tcPr>
          <w:p w14:paraId="6FE7237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-0.206***</w:t>
            </w:r>
          </w:p>
        </w:tc>
        <w:tc>
          <w:tcPr>
            <w:tcW w:w="1111" w:type="dxa"/>
            <w:tcBorders>
              <w:top w:val="nil"/>
              <w:left w:val="nil"/>
              <w:bottom w:val="nil"/>
              <w:right w:val="nil"/>
            </w:tcBorders>
            <w:vAlign w:val="center"/>
          </w:tcPr>
          <w:p w14:paraId="11486F8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-0.037</w:t>
            </w:r>
          </w:p>
        </w:tc>
        <w:tc>
          <w:tcPr>
            <w:tcW w:w="1112" w:type="dxa"/>
            <w:tcBorders>
              <w:top w:val="nil"/>
              <w:left w:val="nil"/>
              <w:bottom w:val="nil"/>
              <w:right w:val="nil"/>
            </w:tcBorders>
            <w:vAlign w:val="center"/>
          </w:tcPr>
          <w:p w14:paraId="22EAC1F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-0.146***</w:t>
            </w:r>
          </w:p>
        </w:tc>
        <w:tc>
          <w:tcPr>
            <w:tcW w:w="1362" w:type="dxa"/>
            <w:tcBorders>
              <w:top w:val="nil"/>
              <w:left w:val="nil"/>
              <w:bottom w:val="nil"/>
              <w:right w:val="nil"/>
            </w:tcBorders>
            <w:shd w:val="clear" w:color="auto" w:fill="auto"/>
            <w:noWrap/>
            <w:vAlign w:val="center"/>
            <w:hideMark/>
          </w:tcPr>
          <w:p w14:paraId="2320F91A"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-0.242***</w:t>
            </w:r>
          </w:p>
        </w:tc>
        <w:tc>
          <w:tcPr>
            <w:tcW w:w="1417" w:type="dxa"/>
            <w:tcBorders>
              <w:top w:val="nil"/>
              <w:left w:val="nil"/>
              <w:bottom w:val="nil"/>
              <w:right w:val="nil"/>
            </w:tcBorders>
            <w:shd w:val="clear" w:color="auto" w:fill="auto"/>
            <w:noWrap/>
            <w:vAlign w:val="center"/>
            <w:hideMark/>
          </w:tcPr>
          <w:p w14:paraId="43012D6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-0.157***</w:t>
            </w:r>
          </w:p>
        </w:tc>
      </w:tr>
      <w:tr w:rsidR="00521FEF" w:rsidRPr="009E5520" w14:paraId="7A92E027"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23897140"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
        </w:tc>
        <w:tc>
          <w:tcPr>
            <w:tcW w:w="1112" w:type="dxa"/>
            <w:tcBorders>
              <w:top w:val="nil"/>
              <w:left w:val="nil"/>
              <w:bottom w:val="nil"/>
              <w:right w:val="nil"/>
            </w:tcBorders>
            <w:vAlign w:val="center"/>
          </w:tcPr>
          <w:p w14:paraId="6ACA765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(0.061)</w:t>
            </w:r>
          </w:p>
        </w:tc>
        <w:tc>
          <w:tcPr>
            <w:tcW w:w="1111" w:type="dxa"/>
            <w:tcBorders>
              <w:top w:val="nil"/>
              <w:left w:val="nil"/>
              <w:bottom w:val="nil"/>
              <w:right w:val="nil"/>
            </w:tcBorders>
            <w:vAlign w:val="center"/>
          </w:tcPr>
          <w:p w14:paraId="742BF758"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(0.032)</w:t>
            </w:r>
          </w:p>
        </w:tc>
        <w:tc>
          <w:tcPr>
            <w:tcW w:w="1111" w:type="dxa"/>
            <w:tcBorders>
              <w:top w:val="nil"/>
              <w:left w:val="nil"/>
              <w:bottom w:val="nil"/>
              <w:right w:val="nil"/>
            </w:tcBorders>
            <w:vAlign w:val="center"/>
          </w:tcPr>
          <w:p w14:paraId="55BCED4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(0.048)</w:t>
            </w:r>
          </w:p>
        </w:tc>
        <w:tc>
          <w:tcPr>
            <w:tcW w:w="1112" w:type="dxa"/>
            <w:tcBorders>
              <w:top w:val="nil"/>
              <w:left w:val="nil"/>
              <w:bottom w:val="nil"/>
              <w:right w:val="nil"/>
            </w:tcBorders>
            <w:vAlign w:val="center"/>
          </w:tcPr>
          <w:p w14:paraId="4BE7451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(0.034)</w:t>
            </w:r>
          </w:p>
        </w:tc>
        <w:tc>
          <w:tcPr>
            <w:tcW w:w="1362" w:type="dxa"/>
            <w:tcBorders>
              <w:top w:val="nil"/>
              <w:left w:val="nil"/>
              <w:bottom w:val="nil"/>
              <w:right w:val="nil"/>
            </w:tcBorders>
            <w:shd w:val="clear" w:color="auto" w:fill="auto"/>
            <w:noWrap/>
            <w:vAlign w:val="center"/>
            <w:hideMark/>
          </w:tcPr>
          <w:p w14:paraId="0253233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(0.062)</w:t>
            </w:r>
          </w:p>
        </w:tc>
        <w:tc>
          <w:tcPr>
            <w:tcW w:w="1417" w:type="dxa"/>
            <w:tcBorders>
              <w:top w:val="nil"/>
              <w:left w:val="nil"/>
              <w:bottom w:val="nil"/>
              <w:right w:val="nil"/>
            </w:tcBorders>
            <w:shd w:val="clear" w:color="auto" w:fill="auto"/>
            <w:noWrap/>
            <w:vAlign w:val="center"/>
            <w:hideMark/>
          </w:tcPr>
          <w:p w14:paraId="4A7B630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(0.027)</w:t>
            </w:r>
          </w:p>
        </w:tc>
      </w:tr>
      <w:tr w:rsidR="00521FEF" w:rsidRPr="009E5520" w14:paraId="0C0E0830"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6FAE3C7D"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roofErr w:type="spellStart"/>
            <w:r w:rsidRPr="009E5520">
              <w:rPr>
                <w:rFonts w:eastAsia="Times New Roman" w:cs="Times New Roman"/>
                <w:color w:val="000000"/>
                <w:sz w:val="18"/>
                <w:szCs w:val="18"/>
                <w:lang w:eastAsia="en-NZ"/>
              </w:rPr>
              <w:t>LnMarkupOP</w:t>
            </w:r>
            <w:proofErr w:type="spellEnd"/>
          </w:p>
        </w:tc>
        <w:tc>
          <w:tcPr>
            <w:tcW w:w="1112" w:type="dxa"/>
            <w:tcBorders>
              <w:top w:val="nil"/>
              <w:left w:val="nil"/>
              <w:bottom w:val="nil"/>
              <w:right w:val="nil"/>
            </w:tcBorders>
            <w:vAlign w:val="center"/>
          </w:tcPr>
          <w:p w14:paraId="0A537F3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-0.191**</w:t>
            </w:r>
          </w:p>
        </w:tc>
        <w:tc>
          <w:tcPr>
            <w:tcW w:w="1111" w:type="dxa"/>
            <w:tcBorders>
              <w:top w:val="nil"/>
              <w:left w:val="nil"/>
              <w:bottom w:val="nil"/>
              <w:right w:val="nil"/>
            </w:tcBorders>
            <w:vAlign w:val="center"/>
          </w:tcPr>
          <w:p w14:paraId="4044724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-0.246***</w:t>
            </w:r>
          </w:p>
        </w:tc>
        <w:tc>
          <w:tcPr>
            <w:tcW w:w="1111" w:type="dxa"/>
            <w:tcBorders>
              <w:top w:val="nil"/>
              <w:left w:val="nil"/>
              <w:bottom w:val="nil"/>
              <w:right w:val="nil"/>
            </w:tcBorders>
            <w:vAlign w:val="center"/>
          </w:tcPr>
          <w:p w14:paraId="1CE07C4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-0.128**</w:t>
            </w:r>
          </w:p>
        </w:tc>
        <w:tc>
          <w:tcPr>
            <w:tcW w:w="1112" w:type="dxa"/>
            <w:tcBorders>
              <w:top w:val="nil"/>
              <w:left w:val="nil"/>
              <w:bottom w:val="nil"/>
              <w:right w:val="nil"/>
            </w:tcBorders>
            <w:vAlign w:val="center"/>
          </w:tcPr>
          <w:p w14:paraId="6B0BDCD8"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-0.278***</w:t>
            </w:r>
          </w:p>
        </w:tc>
        <w:tc>
          <w:tcPr>
            <w:tcW w:w="1362" w:type="dxa"/>
            <w:tcBorders>
              <w:top w:val="nil"/>
              <w:left w:val="nil"/>
              <w:bottom w:val="nil"/>
              <w:right w:val="nil"/>
            </w:tcBorders>
            <w:shd w:val="clear" w:color="auto" w:fill="auto"/>
            <w:noWrap/>
            <w:vAlign w:val="center"/>
            <w:hideMark/>
          </w:tcPr>
          <w:p w14:paraId="412447C0"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-0.275***</w:t>
            </w:r>
          </w:p>
        </w:tc>
        <w:tc>
          <w:tcPr>
            <w:tcW w:w="1417" w:type="dxa"/>
            <w:tcBorders>
              <w:top w:val="nil"/>
              <w:left w:val="nil"/>
              <w:bottom w:val="nil"/>
              <w:right w:val="nil"/>
            </w:tcBorders>
            <w:shd w:val="clear" w:color="auto" w:fill="auto"/>
            <w:noWrap/>
            <w:vAlign w:val="center"/>
            <w:hideMark/>
          </w:tcPr>
          <w:p w14:paraId="27E15F3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-0.207***</w:t>
            </w:r>
          </w:p>
        </w:tc>
      </w:tr>
      <w:tr w:rsidR="00521FEF" w:rsidRPr="009E5520" w14:paraId="58B4A025"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115CD90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
        </w:tc>
        <w:tc>
          <w:tcPr>
            <w:tcW w:w="1112" w:type="dxa"/>
            <w:tcBorders>
              <w:top w:val="nil"/>
              <w:left w:val="nil"/>
              <w:bottom w:val="nil"/>
              <w:right w:val="nil"/>
            </w:tcBorders>
            <w:vAlign w:val="center"/>
          </w:tcPr>
          <w:p w14:paraId="31FFA9BB"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(0.087)</w:t>
            </w:r>
          </w:p>
        </w:tc>
        <w:tc>
          <w:tcPr>
            <w:tcW w:w="1111" w:type="dxa"/>
            <w:tcBorders>
              <w:top w:val="nil"/>
              <w:left w:val="nil"/>
              <w:bottom w:val="nil"/>
              <w:right w:val="nil"/>
            </w:tcBorders>
            <w:vAlign w:val="center"/>
          </w:tcPr>
          <w:p w14:paraId="381F34E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(0.038)</w:t>
            </w:r>
          </w:p>
        </w:tc>
        <w:tc>
          <w:tcPr>
            <w:tcW w:w="1111" w:type="dxa"/>
            <w:tcBorders>
              <w:top w:val="nil"/>
              <w:left w:val="nil"/>
              <w:bottom w:val="nil"/>
              <w:right w:val="nil"/>
            </w:tcBorders>
            <w:vAlign w:val="center"/>
          </w:tcPr>
          <w:p w14:paraId="203CCD0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(0.049)</w:t>
            </w:r>
          </w:p>
        </w:tc>
        <w:tc>
          <w:tcPr>
            <w:tcW w:w="1112" w:type="dxa"/>
            <w:tcBorders>
              <w:top w:val="nil"/>
              <w:left w:val="nil"/>
              <w:bottom w:val="nil"/>
              <w:right w:val="nil"/>
            </w:tcBorders>
            <w:vAlign w:val="center"/>
          </w:tcPr>
          <w:p w14:paraId="5792098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(0.045)</w:t>
            </w:r>
          </w:p>
        </w:tc>
        <w:tc>
          <w:tcPr>
            <w:tcW w:w="1362" w:type="dxa"/>
            <w:tcBorders>
              <w:top w:val="nil"/>
              <w:left w:val="nil"/>
              <w:bottom w:val="nil"/>
              <w:right w:val="nil"/>
            </w:tcBorders>
            <w:shd w:val="clear" w:color="auto" w:fill="auto"/>
            <w:noWrap/>
            <w:vAlign w:val="center"/>
            <w:hideMark/>
          </w:tcPr>
          <w:p w14:paraId="1883D87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(0.066)</w:t>
            </w:r>
          </w:p>
        </w:tc>
        <w:tc>
          <w:tcPr>
            <w:tcW w:w="1417" w:type="dxa"/>
            <w:tcBorders>
              <w:top w:val="nil"/>
              <w:left w:val="nil"/>
              <w:bottom w:val="nil"/>
              <w:right w:val="nil"/>
            </w:tcBorders>
            <w:shd w:val="clear" w:color="auto" w:fill="auto"/>
            <w:noWrap/>
            <w:vAlign w:val="center"/>
            <w:hideMark/>
          </w:tcPr>
          <w:p w14:paraId="1514C41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(0.036)</w:t>
            </w:r>
          </w:p>
        </w:tc>
      </w:tr>
      <w:tr w:rsidR="00521FEF" w:rsidRPr="009E5520" w14:paraId="05083CEE"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24707ED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roofErr w:type="spellStart"/>
            <w:r w:rsidRPr="009E5520">
              <w:rPr>
                <w:rFonts w:eastAsia="Times New Roman" w:cs="Times New Roman"/>
                <w:color w:val="000000"/>
                <w:sz w:val="18"/>
                <w:szCs w:val="18"/>
                <w:lang w:eastAsia="en-NZ"/>
              </w:rPr>
              <w:t>IndHHIEmp</w:t>
            </w:r>
            <w:proofErr w:type="spellEnd"/>
          </w:p>
        </w:tc>
        <w:tc>
          <w:tcPr>
            <w:tcW w:w="1112" w:type="dxa"/>
            <w:tcBorders>
              <w:top w:val="nil"/>
              <w:left w:val="nil"/>
              <w:bottom w:val="nil"/>
              <w:right w:val="nil"/>
            </w:tcBorders>
            <w:vAlign w:val="center"/>
          </w:tcPr>
          <w:p w14:paraId="0ABEB7F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-0.557</w:t>
            </w:r>
          </w:p>
        </w:tc>
        <w:tc>
          <w:tcPr>
            <w:tcW w:w="1111" w:type="dxa"/>
            <w:tcBorders>
              <w:top w:val="nil"/>
              <w:left w:val="nil"/>
              <w:bottom w:val="nil"/>
              <w:right w:val="nil"/>
            </w:tcBorders>
            <w:vAlign w:val="center"/>
          </w:tcPr>
          <w:p w14:paraId="51A3C7C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0.325*</w:t>
            </w:r>
          </w:p>
        </w:tc>
        <w:tc>
          <w:tcPr>
            <w:tcW w:w="1111" w:type="dxa"/>
            <w:tcBorders>
              <w:top w:val="nil"/>
              <w:left w:val="nil"/>
              <w:bottom w:val="nil"/>
              <w:right w:val="nil"/>
            </w:tcBorders>
            <w:vAlign w:val="center"/>
          </w:tcPr>
          <w:p w14:paraId="1335249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-0.131</w:t>
            </w:r>
          </w:p>
        </w:tc>
        <w:tc>
          <w:tcPr>
            <w:tcW w:w="1112" w:type="dxa"/>
            <w:tcBorders>
              <w:top w:val="nil"/>
              <w:left w:val="nil"/>
              <w:bottom w:val="nil"/>
              <w:right w:val="nil"/>
            </w:tcBorders>
            <w:vAlign w:val="center"/>
          </w:tcPr>
          <w:p w14:paraId="78C8BCB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0.266</w:t>
            </w:r>
          </w:p>
        </w:tc>
        <w:tc>
          <w:tcPr>
            <w:tcW w:w="1362" w:type="dxa"/>
            <w:tcBorders>
              <w:top w:val="nil"/>
              <w:left w:val="nil"/>
              <w:bottom w:val="nil"/>
              <w:right w:val="nil"/>
            </w:tcBorders>
            <w:shd w:val="clear" w:color="auto" w:fill="auto"/>
            <w:noWrap/>
            <w:vAlign w:val="center"/>
            <w:hideMark/>
          </w:tcPr>
          <w:p w14:paraId="47FDBEB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-0.191</w:t>
            </w:r>
          </w:p>
        </w:tc>
        <w:tc>
          <w:tcPr>
            <w:tcW w:w="1417" w:type="dxa"/>
            <w:tcBorders>
              <w:top w:val="nil"/>
              <w:left w:val="nil"/>
              <w:bottom w:val="nil"/>
              <w:right w:val="nil"/>
            </w:tcBorders>
            <w:shd w:val="clear" w:color="auto" w:fill="auto"/>
            <w:noWrap/>
            <w:vAlign w:val="center"/>
            <w:hideMark/>
          </w:tcPr>
          <w:p w14:paraId="6C89FEF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0.174</w:t>
            </w:r>
          </w:p>
        </w:tc>
      </w:tr>
      <w:tr w:rsidR="00521FEF" w:rsidRPr="009E5520" w14:paraId="20AC2F4F"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2816243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
        </w:tc>
        <w:tc>
          <w:tcPr>
            <w:tcW w:w="1112" w:type="dxa"/>
            <w:tcBorders>
              <w:top w:val="nil"/>
              <w:left w:val="nil"/>
              <w:bottom w:val="nil"/>
              <w:right w:val="nil"/>
            </w:tcBorders>
            <w:vAlign w:val="center"/>
          </w:tcPr>
          <w:p w14:paraId="747937A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(0.499)</w:t>
            </w:r>
          </w:p>
        </w:tc>
        <w:tc>
          <w:tcPr>
            <w:tcW w:w="1111" w:type="dxa"/>
            <w:tcBorders>
              <w:top w:val="nil"/>
              <w:left w:val="nil"/>
              <w:bottom w:val="nil"/>
              <w:right w:val="nil"/>
            </w:tcBorders>
            <w:vAlign w:val="center"/>
          </w:tcPr>
          <w:p w14:paraId="695A3A9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(0.166)</w:t>
            </w:r>
          </w:p>
        </w:tc>
        <w:tc>
          <w:tcPr>
            <w:tcW w:w="1111" w:type="dxa"/>
            <w:tcBorders>
              <w:top w:val="nil"/>
              <w:left w:val="nil"/>
              <w:bottom w:val="nil"/>
              <w:right w:val="nil"/>
            </w:tcBorders>
            <w:vAlign w:val="center"/>
          </w:tcPr>
          <w:p w14:paraId="4587BDF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(0.206)</w:t>
            </w:r>
          </w:p>
        </w:tc>
        <w:tc>
          <w:tcPr>
            <w:tcW w:w="1112" w:type="dxa"/>
            <w:tcBorders>
              <w:top w:val="nil"/>
              <w:left w:val="nil"/>
              <w:bottom w:val="nil"/>
              <w:right w:val="nil"/>
            </w:tcBorders>
            <w:vAlign w:val="center"/>
          </w:tcPr>
          <w:p w14:paraId="038F0B7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(0.186)</w:t>
            </w:r>
          </w:p>
        </w:tc>
        <w:tc>
          <w:tcPr>
            <w:tcW w:w="1362" w:type="dxa"/>
            <w:tcBorders>
              <w:top w:val="nil"/>
              <w:left w:val="nil"/>
              <w:bottom w:val="nil"/>
              <w:right w:val="nil"/>
            </w:tcBorders>
            <w:shd w:val="clear" w:color="auto" w:fill="auto"/>
            <w:noWrap/>
            <w:vAlign w:val="center"/>
            <w:hideMark/>
          </w:tcPr>
          <w:p w14:paraId="21B7953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(0.284)</w:t>
            </w:r>
          </w:p>
        </w:tc>
        <w:tc>
          <w:tcPr>
            <w:tcW w:w="1417" w:type="dxa"/>
            <w:tcBorders>
              <w:top w:val="nil"/>
              <w:left w:val="nil"/>
              <w:bottom w:val="nil"/>
              <w:right w:val="nil"/>
            </w:tcBorders>
            <w:shd w:val="clear" w:color="auto" w:fill="auto"/>
            <w:noWrap/>
            <w:vAlign w:val="center"/>
            <w:hideMark/>
          </w:tcPr>
          <w:p w14:paraId="1AE36526"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(0.183)</w:t>
            </w:r>
          </w:p>
        </w:tc>
      </w:tr>
      <w:tr w:rsidR="00521FEF" w:rsidRPr="009E5520" w14:paraId="7DDB571E"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089FAEA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Union</w:t>
            </w:r>
          </w:p>
        </w:tc>
        <w:tc>
          <w:tcPr>
            <w:tcW w:w="1112" w:type="dxa"/>
            <w:tcBorders>
              <w:top w:val="nil"/>
              <w:left w:val="nil"/>
              <w:bottom w:val="nil"/>
              <w:right w:val="nil"/>
            </w:tcBorders>
            <w:vAlign w:val="center"/>
          </w:tcPr>
          <w:p w14:paraId="70FB5AE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0.002</w:t>
            </w:r>
          </w:p>
        </w:tc>
        <w:tc>
          <w:tcPr>
            <w:tcW w:w="1111" w:type="dxa"/>
            <w:tcBorders>
              <w:top w:val="nil"/>
              <w:left w:val="nil"/>
              <w:bottom w:val="nil"/>
              <w:right w:val="nil"/>
            </w:tcBorders>
            <w:vAlign w:val="center"/>
          </w:tcPr>
          <w:p w14:paraId="75DA8EBA"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0.027</w:t>
            </w:r>
          </w:p>
        </w:tc>
        <w:tc>
          <w:tcPr>
            <w:tcW w:w="1111" w:type="dxa"/>
            <w:tcBorders>
              <w:top w:val="nil"/>
              <w:left w:val="nil"/>
              <w:bottom w:val="nil"/>
              <w:right w:val="nil"/>
            </w:tcBorders>
            <w:vAlign w:val="center"/>
          </w:tcPr>
          <w:p w14:paraId="5CA274D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0.018</w:t>
            </w:r>
          </w:p>
        </w:tc>
        <w:tc>
          <w:tcPr>
            <w:tcW w:w="1112" w:type="dxa"/>
            <w:tcBorders>
              <w:top w:val="nil"/>
              <w:left w:val="nil"/>
              <w:bottom w:val="nil"/>
              <w:right w:val="nil"/>
            </w:tcBorders>
            <w:vAlign w:val="center"/>
          </w:tcPr>
          <w:p w14:paraId="5F6A803A"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0.017</w:t>
            </w:r>
          </w:p>
        </w:tc>
        <w:tc>
          <w:tcPr>
            <w:tcW w:w="1362" w:type="dxa"/>
            <w:tcBorders>
              <w:top w:val="nil"/>
              <w:left w:val="nil"/>
              <w:bottom w:val="nil"/>
              <w:right w:val="nil"/>
            </w:tcBorders>
            <w:shd w:val="clear" w:color="auto" w:fill="auto"/>
            <w:noWrap/>
            <w:vAlign w:val="center"/>
            <w:hideMark/>
          </w:tcPr>
          <w:p w14:paraId="13C61C8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0.023</w:t>
            </w:r>
          </w:p>
        </w:tc>
        <w:tc>
          <w:tcPr>
            <w:tcW w:w="1417" w:type="dxa"/>
            <w:tcBorders>
              <w:top w:val="nil"/>
              <w:left w:val="nil"/>
              <w:bottom w:val="nil"/>
              <w:right w:val="nil"/>
            </w:tcBorders>
            <w:shd w:val="clear" w:color="auto" w:fill="auto"/>
            <w:noWrap/>
            <w:vAlign w:val="center"/>
            <w:hideMark/>
          </w:tcPr>
          <w:p w14:paraId="3240DFED"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0.033*</w:t>
            </w:r>
          </w:p>
        </w:tc>
      </w:tr>
      <w:tr w:rsidR="00521FEF" w:rsidRPr="009E5520" w14:paraId="75C863FF"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62AA19CD"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p>
        </w:tc>
        <w:tc>
          <w:tcPr>
            <w:tcW w:w="1112" w:type="dxa"/>
            <w:tcBorders>
              <w:top w:val="nil"/>
              <w:left w:val="nil"/>
              <w:bottom w:val="nil"/>
              <w:right w:val="nil"/>
            </w:tcBorders>
            <w:vAlign w:val="center"/>
          </w:tcPr>
          <w:p w14:paraId="32ACA9B6"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(0.035)</w:t>
            </w:r>
          </w:p>
        </w:tc>
        <w:tc>
          <w:tcPr>
            <w:tcW w:w="1111" w:type="dxa"/>
            <w:tcBorders>
              <w:top w:val="nil"/>
              <w:left w:val="nil"/>
              <w:bottom w:val="nil"/>
              <w:right w:val="nil"/>
            </w:tcBorders>
            <w:vAlign w:val="center"/>
          </w:tcPr>
          <w:p w14:paraId="24F7759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(0.018)</w:t>
            </w:r>
          </w:p>
        </w:tc>
        <w:tc>
          <w:tcPr>
            <w:tcW w:w="1111" w:type="dxa"/>
            <w:tcBorders>
              <w:top w:val="nil"/>
              <w:left w:val="nil"/>
              <w:bottom w:val="nil"/>
              <w:right w:val="nil"/>
            </w:tcBorders>
            <w:vAlign w:val="center"/>
          </w:tcPr>
          <w:p w14:paraId="44673730"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(0.021)</w:t>
            </w:r>
          </w:p>
        </w:tc>
        <w:tc>
          <w:tcPr>
            <w:tcW w:w="1112" w:type="dxa"/>
            <w:tcBorders>
              <w:top w:val="nil"/>
              <w:left w:val="nil"/>
              <w:bottom w:val="nil"/>
              <w:right w:val="nil"/>
            </w:tcBorders>
            <w:vAlign w:val="center"/>
          </w:tcPr>
          <w:p w14:paraId="46BD06A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(0.019)</w:t>
            </w:r>
          </w:p>
        </w:tc>
        <w:tc>
          <w:tcPr>
            <w:tcW w:w="1362" w:type="dxa"/>
            <w:tcBorders>
              <w:top w:val="nil"/>
              <w:left w:val="nil"/>
              <w:bottom w:val="nil"/>
              <w:right w:val="nil"/>
            </w:tcBorders>
            <w:shd w:val="clear" w:color="auto" w:fill="auto"/>
            <w:noWrap/>
            <w:vAlign w:val="center"/>
          </w:tcPr>
          <w:p w14:paraId="5CB502D1"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(0.033)</w:t>
            </w:r>
          </w:p>
        </w:tc>
        <w:tc>
          <w:tcPr>
            <w:tcW w:w="1417" w:type="dxa"/>
            <w:tcBorders>
              <w:top w:val="nil"/>
              <w:left w:val="nil"/>
              <w:bottom w:val="nil"/>
              <w:right w:val="nil"/>
            </w:tcBorders>
            <w:shd w:val="clear" w:color="auto" w:fill="auto"/>
            <w:noWrap/>
            <w:vAlign w:val="center"/>
          </w:tcPr>
          <w:p w14:paraId="2739F71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(0.02)</w:t>
            </w:r>
          </w:p>
        </w:tc>
      </w:tr>
      <w:tr w:rsidR="00521FEF" w:rsidRPr="009E5520" w14:paraId="67916759" w14:textId="77777777" w:rsidTr="00114EAB">
        <w:trPr>
          <w:trHeight w:hRule="exact" w:val="284"/>
          <w:jc w:val="center"/>
        </w:trPr>
        <w:tc>
          <w:tcPr>
            <w:tcW w:w="1989" w:type="dxa"/>
            <w:tcBorders>
              <w:top w:val="nil"/>
              <w:left w:val="nil"/>
              <w:bottom w:val="nil"/>
              <w:right w:val="nil"/>
            </w:tcBorders>
            <w:shd w:val="clear" w:color="auto" w:fill="auto"/>
            <w:noWrap/>
            <w:vAlign w:val="center"/>
          </w:tcPr>
          <w:p w14:paraId="23B1348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Control</w:t>
            </w:r>
          </w:p>
        </w:tc>
        <w:tc>
          <w:tcPr>
            <w:tcW w:w="1112" w:type="dxa"/>
            <w:tcBorders>
              <w:top w:val="nil"/>
              <w:left w:val="nil"/>
              <w:bottom w:val="nil"/>
              <w:right w:val="nil"/>
            </w:tcBorders>
            <w:vAlign w:val="center"/>
          </w:tcPr>
          <w:p w14:paraId="60383744"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Yes</w:t>
            </w:r>
          </w:p>
        </w:tc>
        <w:tc>
          <w:tcPr>
            <w:tcW w:w="1111" w:type="dxa"/>
            <w:tcBorders>
              <w:top w:val="nil"/>
              <w:left w:val="nil"/>
              <w:bottom w:val="nil"/>
              <w:right w:val="nil"/>
            </w:tcBorders>
            <w:vAlign w:val="center"/>
          </w:tcPr>
          <w:p w14:paraId="67AD15F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Yes</w:t>
            </w:r>
          </w:p>
        </w:tc>
        <w:tc>
          <w:tcPr>
            <w:tcW w:w="1111" w:type="dxa"/>
            <w:tcBorders>
              <w:top w:val="nil"/>
              <w:left w:val="nil"/>
              <w:bottom w:val="nil"/>
              <w:right w:val="nil"/>
            </w:tcBorders>
            <w:vAlign w:val="center"/>
          </w:tcPr>
          <w:p w14:paraId="762FFAD8"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Yes</w:t>
            </w:r>
          </w:p>
        </w:tc>
        <w:tc>
          <w:tcPr>
            <w:tcW w:w="1112" w:type="dxa"/>
            <w:tcBorders>
              <w:top w:val="nil"/>
              <w:left w:val="nil"/>
              <w:bottom w:val="nil"/>
              <w:right w:val="nil"/>
            </w:tcBorders>
            <w:vAlign w:val="center"/>
          </w:tcPr>
          <w:p w14:paraId="29B71C11"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Yes</w:t>
            </w:r>
          </w:p>
        </w:tc>
        <w:tc>
          <w:tcPr>
            <w:tcW w:w="1362" w:type="dxa"/>
            <w:tcBorders>
              <w:top w:val="nil"/>
              <w:left w:val="nil"/>
              <w:bottom w:val="nil"/>
              <w:right w:val="nil"/>
            </w:tcBorders>
            <w:shd w:val="clear" w:color="auto" w:fill="auto"/>
            <w:noWrap/>
            <w:vAlign w:val="center"/>
          </w:tcPr>
          <w:p w14:paraId="70BC8BB8"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Yes</w:t>
            </w:r>
          </w:p>
        </w:tc>
        <w:tc>
          <w:tcPr>
            <w:tcW w:w="1417" w:type="dxa"/>
            <w:tcBorders>
              <w:top w:val="nil"/>
              <w:left w:val="nil"/>
              <w:bottom w:val="nil"/>
              <w:right w:val="nil"/>
            </w:tcBorders>
            <w:shd w:val="clear" w:color="auto" w:fill="auto"/>
            <w:noWrap/>
            <w:vAlign w:val="center"/>
          </w:tcPr>
          <w:p w14:paraId="0C48FFF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Yes</w:t>
            </w:r>
          </w:p>
        </w:tc>
      </w:tr>
      <w:tr w:rsidR="00521FEF" w:rsidRPr="009E5520" w14:paraId="7AD5918E"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5036A46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Observation</w:t>
            </w:r>
          </w:p>
        </w:tc>
        <w:tc>
          <w:tcPr>
            <w:tcW w:w="1112" w:type="dxa"/>
            <w:tcBorders>
              <w:top w:val="nil"/>
              <w:left w:val="nil"/>
              <w:bottom w:val="nil"/>
              <w:right w:val="nil"/>
            </w:tcBorders>
            <w:vAlign w:val="center"/>
          </w:tcPr>
          <w:p w14:paraId="5B4D48B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540</w:t>
            </w:r>
          </w:p>
        </w:tc>
        <w:tc>
          <w:tcPr>
            <w:tcW w:w="1111" w:type="dxa"/>
            <w:tcBorders>
              <w:top w:val="nil"/>
              <w:left w:val="nil"/>
              <w:bottom w:val="nil"/>
              <w:right w:val="nil"/>
            </w:tcBorders>
            <w:vAlign w:val="center"/>
          </w:tcPr>
          <w:p w14:paraId="3EECBEF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2752</w:t>
            </w:r>
          </w:p>
        </w:tc>
        <w:tc>
          <w:tcPr>
            <w:tcW w:w="1111" w:type="dxa"/>
            <w:tcBorders>
              <w:top w:val="nil"/>
              <w:left w:val="nil"/>
              <w:bottom w:val="nil"/>
              <w:right w:val="nil"/>
            </w:tcBorders>
            <w:vAlign w:val="center"/>
          </w:tcPr>
          <w:p w14:paraId="1B672C6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637</w:t>
            </w:r>
          </w:p>
        </w:tc>
        <w:tc>
          <w:tcPr>
            <w:tcW w:w="1112" w:type="dxa"/>
            <w:tcBorders>
              <w:top w:val="nil"/>
              <w:left w:val="nil"/>
              <w:bottom w:val="nil"/>
              <w:right w:val="nil"/>
            </w:tcBorders>
            <w:vAlign w:val="center"/>
          </w:tcPr>
          <w:p w14:paraId="601F2C01"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2655</w:t>
            </w:r>
          </w:p>
        </w:tc>
        <w:tc>
          <w:tcPr>
            <w:tcW w:w="1362" w:type="dxa"/>
            <w:tcBorders>
              <w:top w:val="nil"/>
              <w:left w:val="nil"/>
              <w:bottom w:val="nil"/>
              <w:right w:val="nil"/>
            </w:tcBorders>
            <w:shd w:val="clear" w:color="auto" w:fill="auto"/>
            <w:noWrap/>
            <w:vAlign w:val="center"/>
          </w:tcPr>
          <w:p w14:paraId="26E8123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776</w:t>
            </w:r>
          </w:p>
        </w:tc>
        <w:tc>
          <w:tcPr>
            <w:tcW w:w="1417" w:type="dxa"/>
            <w:tcBorders>
              <w:top w:val="nil"/>
              <w:left w:val="nil"/>
              <w:bottom w:val="nil"/>
              <w:right w:val="nil"/>
            </w:tcBorders>
            <w:shd w:val="clear" w:color="auto" w:fill="auto"/>
            <w:noWrap/>
            <w:vAlign w:val="center"/>
          </w:tcPr>
          <w:p w14:paraId="3010428B"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2516</w:t>
            </w:r>
          </w:p>
        </w:tc>
      </w:tr>
      <w:tr w:rsidR="00521FEF" w:rsidRPr="009E5520" w14:paraId="34971330"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6E3DE43A"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Firm</w:t>
            </w:r>
          </w:p>
        </w:tc>
        <w:tc>
          <w:tcPr>
            <w:tcW w:w="1112" w:type="dxa"/>
            <w:tcBorders>
              <w:top w:val="nil"/>
              <w:left w:val="nil"/>
              <w:bottom w:val="nil"/>
              <w:right w:val="nil"/>
            </w:tcBorders>
            <w:vAlign w:val="center"/>
          </w:tcPr>
          <w:p w14:paraId="576977C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139</w:t>
            </w:r>
          </w:p>
        </w:tc>
        <w:tc>
          <w:tcPr>
            <w:tcW w:w="1111" w:type="dxa"/>
            <w:tcBorders>
              <w:top w:val="nil"/>
              <w:left w:val="nil"/>
              <w:bottom w:val="nil"/>
              <w:right w:val="nil"/>
            </w:tcBorders>
            <w:vAlign w:val="center"/>
          </w:tcPr>
          <w:p w14:paraId="04253776"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596</w:t>
            </w:r>
          </w:p>
        </w:tc>
        <w:tc>
          <w:tcPr>
            <w:tcW w:w="1111" w:type="dxa"/>
            <w:tcBorders>
              <w:top w:val="nil"/>
              <w:left w:val="nil"/>
              <w:bottom w:val="nil"/>
              <w:right w:val="nil"/>
            </w:tcBorders>
            <w:vAlign w:val="center"/>
          </w:tcPr>
          <w:p w14:paraId="22CD4A63"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216</w:t>
            </w:r>
          </w:p>
        </w:tc>
        <w:tc>
          <w:tcPr>
            <w:tcW w:w="1112" w:type="dxa"/>
            <w:tcBorders>
              <w:top w:val="nil"/>
              <w:left w:val="nil"/>
              <w:bottom w:val="nil"/>
              <w:right w:val="nil"/>
            </w:tcBorders>
            <w:vAlign w:val="center"/>
          </w:tcPr>
          <w:p w14:paraId="38AB8B5C"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560</w:t>
            </w:r>
          </w:p>
        </w:tc>
        <w:tc>
          <w:tcPr>
            <w:tcW w:w="1362" w:type="dxa"/>
            <w:tcBorders>
              <w:top w:val="nil"/>
              <w:left w:val="nil"/>
              <w:bottom w:val="nil"/>
              <w:right w:val="nil"/>
            </w:tcBorders>
            <w:shd w:val="clear" w:color="auto" w:fill="auto"/>
            <w:noWrap/>
            <w:vAlign w:val="center"/>
          </w:tcPr>
          <w:p w14:paraId="280E28A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262</w:t>
            </w:r>
          </w:p>
        </w:tc>
        <w:tc>
          <w:tcPr>
            <w:tcW w:w="1417" w:type="dxa"/>
            <w:tcBorders>
              <w:top w:val="nil"/>
              <w:left w:val="nil"/>
              <w:bottom w:val="nil"/>
              <w:right w:val="nil"/>
            </w:tcBorders>
            <w:shd w:val="clear" w:color="auto" w:fill="auto"/>
            <w:noWrap/>
            <w:vAlign w:val="center"/>
          </w:tcPr>
          <w:p w14:paraId="42398B0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576</w:t>
            </w:r>
          </w:p>
        </w:tc>
      </w:tr>
      <w:tr w:rsidR="00521FEF" w:rsidRPr="009E5520" w14:paraId="75C97ED6" w14:textId="77777777" w:rsidTr="00114EAB">
        <w:trPr>
          <w:trHeight w:hRule="exact" w:val="284"/>
          <w:jc w:val="center"/>
        </w:trPr>
        <w:tc>
          <w:tcPr>
            <w:tcW w:w="1989" w:type="dxa"/>
            <w:tcBorders>
              <w:top w:val="nil"/>
              <w:left w:val="nil"/>
              <w:bottom w:val="nil"/>
              <w:right w:val="nil"/>
            </w:tcBorders>
            <w:shd w:val="clear" w:color="auto" w:fill="auto"/>
            <w:noWrap/>
            <w:vAlign w:val="center"/>
            <w:hideMark/>
          </w:tcPr>
          <w:p w14:paraId="22C7E02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Adjusted R2</w:t>
            </w:r>
          </w:p>
        </w:tc>
        <w:tc>
          <w:tcPr>
            <w:tcW w:w="1112" w:type="dxa"/>
            <w:tcBorders>
              <w:top w:val="nil"/>
              <w:left w:val="nil"/>
              <w:bottom w:val="nil"/>
              <w:right w:val="nil"/>
            </w:tcBorders>
            <w:vAlign w:val="center"/>
          </w:tcPr>
          <w:p w14:paraId="68EEBEC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0.305</w:t>
            </w:r>
          </w:p>
        </w:tc>
        <w:tc>
          <w:tcPr>
            <w:tcW w:w="1111" w:type="dxa"/>
            <w:tcBorders>
              <w:top w:val="nil"/>
              <w:left w:val="nil"/>
              <w:bottom w:val="nil"/>
              <w:right w:val="nil"/>
            </w:tcBorders>
            <w:vAlign w:val="center"/>
          </w:tcPr>
          <w:p w14:paraId="2A191815"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0.481</w:t>
            </w:r>
          </w:p>
        </w:tc>
        <w:tc>
          <w:tcPr>
            <w:tcW w:w="1111" w:type="dxa"/>
            <w:tcBorders>
              <w:top w:val="nil"/>
              <w:left w:val="nil"/>
              <w:bottom w:val="nil"/>
              <w:right w:val="nil"/>
            </w:tcBorders>
            <w:vAlign w:val="center"/>
          </w:tcPr>
          <w:p w14:paraId="1FBD9DEB"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0.203</w:t>
            </w:r>
          </w:p>
        </w:tc>
        <w:tc>
          <w:tcPr>
            <w:tcW w:w="1112" w:type="dxa"/>
            <w:tcBorders>
              <w:top w:val="nil"/>
              <w:left w:val="nil"/>
              <w:bottom w:val="nil"/>
              <w:right w:val="nil"/>
            </w:tcBorders>
            <w:vAlign w:val="center"/>
          </w:tcPr>
          <w:p w14:paraId="4860145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0.47</w:t>
            </w:r>
          </w:p>
        </w:tc>
        <w:tc>
          <w:tcPr>
            <w:tcW w:w="1362" w:type="dxa"/>
            <w:tcBorders>
              <w:top w:val="nil"/>
              <w:left w:val="nil"/>
              <w:bottom w:val="nil"/>
              <w:right w:val="nil"/>
            </w:tcBorders>
            <w:shd w:val="clear" w:color="auto" w:fill="auto"/>
            <w:noWrap/>
            <w:vAlign w:val="center"/>
          </w:tcPr>
          <w:p w14:paraId="28FA2561"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0.534</w:t>
            </w:r>
          </w:p>
        </w:tc>
        <w:tc>
          <w:tcPr>
            <w:tcW w:w="1417" w:type="dxa"/>
            <w:tcBorders>
              <w:top w:val="nil"/>
              <w:left w:val="nil"/>
              <w:bottom w:val="nil"/>
              <w:right w:val="nil"/>
            </w:tcBorders>
            <w:shd w:val="clear" w:color="auto" w:fill="auto"/>
            <w:noWrap/>
            <w:vAlign w:val="center"/>
          </w:tcPr>
          <w:p w14:paraId="1F78BBC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0.452</w:t>
            </w:r>
          </w:p>
        </w:tc>
      </w:tr>
      <w:tr w:rsidR="00521FEF" w:rsidRPr="009E5520" w14:paraId="061808D8" w14:textId="77777777" w:rsidTr="00114EAB">
        <w:trPr>
          <w:trHeight w:hRule="exact" w:val="284"/>
          <w:jc w:val="center"/>
        </w:trPr>
        <w:tc>
          <w:tcPr>
            <w:tcW w:w="1989" w:type="dxa"/>
            <w:tcBorders>
              <w:top w:val="nil"/>
              <w:left w:val="nil"/>
              <w:bottom w:val="single" w:sz="4" w:space="0" w:color="auto"/>
              <w:right w:val="nil"/>
            </w:tcBorders>
            <w:shd w:val="clear" w:color="auto" w:fill="auto"/>
            <w:noWrap/>
            <w:vAlign w:val="center"/>
            <w:hideMark/>
          </w:tcPr>
          <w:p w14:paraId="4E13D000"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eastAsia="Times New Roman" w:cs="Times New Roman"/>
                <w:color w:val="000000"/>
                <w:sz w:val="18"/>
                <w:szCs w:val="18"/>
                <w:lang w:eastAsia="en-NZ"/>
              </w:rPr>
              <w:t>Root MSE</w:t>
            </w:r>
          </w:p>
        </w:tc>
        <w:tc>
          <w:tcPr>
            <w:tcW w:w="1112" w:type="dxa"/>
            <w:tcBorders>
              <w:top w:val="nil"/>
              <w:left w:val="nil"/>
              <w:bottom w:val="nil"/>
              <w:right w:val="nil"/>
            </w:tcBorders>
            <w:vAlign w:val="center"/>
          </w:tcPr>
          <w:p w14:paraId="691F7E5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0.451</w:t>
            </w:r>
          </w:p>
        </w:tc>
        <w:tc>
          <w:tcPr>
            <w:tcW w:w="1111" w:type="dxa"/>
            <w:tcBorders>
              <w:top w:val="nil"/>
              <w:left w:val="nil"/>
              <w:bottom w:val="nil"/>
              <w:right w:val="nil"/>
            </w:tcBorders>
            <w:vAlign w:val="center"/>
          </w:tcPr>
          <w:p w14:paraId="783FCB57"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0.527</w:t>
            </w:r>
          </w:p>
        </w:tc>
        <w:tc>
          <w:tcPr>
            <w:tcW w:w="1111" w:type="dxa"/>
            <w:tcBorders>
              <w:top w:val="nil"/>
              <w:left w:val="nil"/>
              <w:bottom w:val="nil"/>
              <w:right w:val="nil"/>
            </w:tcBorders>
            <w:vAlign w:val="center"/>
          </w:tcPr>
          <w:p w14:paraId="4268B7B9"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0.348</w:t>
            </w:r>
          </w:p>
        </w:tc>
        <w:tc>
          <w:tcPr>
            <w:tcW w:w="1112" w:type="dxa"/>
            <w:tcBorders>
              <w:top w:val="nil"/>
              <w:left w:val="nil"/>
              <w:bottom w:val="nil"/>
              <w:right w:val="nil"/>
            </w:tcBorders>
            <w:vAlign w:val="center"/>
          </w:tcPr>
          <w:p w14:paraId="465D1C6F"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0.538</w:t>
            </w:r>
          </w:p>
        </w:tc>
        <w:tc>
          <w:tcPr>
            <w:tcW w:w="1362" w:type="dxa"/>
            <w:tcBorders>
              <w:top w:val="nil"/>
              <w:left w:val="nil"/>
              <w:bottom w:val="nil"/>
              <w:right w:val="nil"/>
            </w:tcBorders>
            <w:shd w:val="clear" w:color="auto" w:fill="auto"/>
            <w:noWrap/>
            <w:vAlign w:val="center"/>
          </w:tcPr>
          <w:p w14:paraId="7D189B32"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0.533</w:t>
            </w:r>
          </w:p>
        </w:tc>
        <w:tc>
          <w:tcPr>
            <w:tcW w:w="1417" w:type="dxa"/>
            <w:tcBorders>
              <w:top w:val="nil"/>
              <w:left w:val="nil"/>
              <w:bottom w:val="nil"/>
              <w:right w:val="nil"/>
            </w:tcBorders>
            <w:shd w:val="clear" w:color="auto" w:fill="auto"/>
            <w:noWrap/>
            <w:vAlign w:val="center"/>
          </w:tcPr>
          <w:p w14:paraId="3406DB4E" w14:textId="77777777" w:rsidR="00521FEF" w:rsidRPr="009E5520" w:rsidRDefault="00521FEF" w:rsidP="00114EAB">
            <w:pPr>
              <w:spacing w:after="0" w:line="240" w:lineRule="auto"/>
              <w:ind w:firstLine="0"/>
              <w:jc w:val="left"/>
              <w:rPr>
                <w:rFonts w:eastAsia="Times New Roman" w:cs="Times New Roman"/>
                <w:color w:val="000000"/>
                <w:sz w:val="18"/>
                <w:szCs w:val="18"/>
                <w:lang w:eastAsia="en-NZ"/>
              </w:rPr>
            </w:pPr>
            <w:r w:rsidRPr="009E5520">
              <w:rPr>
                <w:rFonts w:cs="Times New Roman"/>
                <w:color w:val="000000"/>
                <w:sz w:val="18"/>
                <w:szCs w:val="18"/>
              </w:rPr>
              <w:t>0.499</w:t>
            </w:r>
          </w:p>
        </w:tc>
      </w:tr>
      <w:tr w:rsidR="00521FEF" w:rsidRPr="009E5520" w14:paraId="1B4A90FF" w14:textId="77777777" w:rsidTr="00114EAB">
        <w:trPr>
          <w:trHeight w:hRule="exact" w:val="3595"/>
          <w:jc w:val="center"/>
        </w:trPr>
        <w:tc>
          <w:tcPr>
            <w:tcW w:w="9214" w:type="dxa"/>
            <w:gridSpan w:val="7"/>
            <w:tcBorders>
              <w:top w:val="single" w:sz="4" w:space="0" w:color="auto"/>
              <w:left w:val="nil"/>
              <w:bottom w:val="single" w:sz="4" w:space="0" w:color="auto"/>
              <w:right w:val="nil"/>
            </w:tcBorders>
            <w:shd w:val="clear" w:color="auto" w:fill="auto"/>
            <w:noWrap/>
            <w:vAlign w:val="center"/>
          </w:tcPr>
          <w:p w14:paraId="63180136" w14:textId="77777777" w:rsidR="00521FEF" w:rsidRPr="009E5520" w:rsidRDefault="00521FEF" w:rsidP="00114EAB">
            <w:pPr>
              <w:pStyle w:val="Footnoot"/>
            </w:pPr>
            <w:r w:rsidRPr="009E5520">
              <w:t xml:space="preserve">Notes: Table 5 presents the determinants of labour share between different groups. In all Columns, the </w:t>
            </w:r>
            <w:r w:rsidRPr="009E5520">
              <w:rPr>
                <w:rFonts w:eastAsia="Times New Roman"/>
                <w:lang w:eastAsia="en-NZ"/>
              </w:rPr>
              <w:t xml:space="preserve">dependent variable is labour share, </w:t>
            </w:r>
            <w:r w:rsidRPr="009E5520">
              <w:t>measured as the natural logarithm of labour cost divided by the sum of earnings before interest, tax, depreciation, and amortisation (</w:t>
            </w:r>
            <w:r w:rsidRPr="009E5520">
              <w:rPr>
                <w:i/>
              </w:rPr>
              <w:t>EBITDA</w:t>
            </w:r>
            <w:r w:rsidRPr="009E5520">
              <w:t xml:space="preserve">) and labour cost. The regression in the first column is estimated over firms with R&amp;D investment. The second column is estimated over the total sample except for firms with R&amp;D investment. The third column is estimated over firms where the ratio of PPE to the number of employees is less than the first quartile in the corresponding sector. The fourth column is estimated over firms where the ratio of PPE to the number of employees is greater than the first quartile in the corresponding sector. The fifth column is estimated over firms where the leverage is higher than the third quartile in the corresponding sector. The sixth column is estimated over firms where leverage is less than the third quartile in the corresponding sector. Each regression includes control variables, region, industry, and year fixed effects. Continuous variables are </w:t>
            </w:r>
            <w:proofErr w:type="spellStart"/>
            <w:r w:rsidRPr="009E5520">
              <w:t>winsorised</w:t>
            </w:r>
            <w:proofErr w:type="spellEnd"/>
            <w:r w:rsidRPr="009E5520">
              <w:t xml:space="preserve"> at 1 per cent and 99 per cent. Robust standard errors clustered at the firm level are reported in parentheses. </w:t>
            </w:r>
          </w:p>
          <w:p w14:paraId="2AF35E0B" w14:textId="77777777" w:rsidR="00521FEF" w:rsidRPr="009E5520" w:rsidRDefault="00521FEF" w:rsidP="00114EAB">
            <w:pPr>
              <w:pStyle w:val="Footnoot"/>
            </w:pPr>
            <w:r w:rsidRPr="009E5520">
              <w:t>*, **, *** Indicate significance at the 10%, 5% and 1% levels, respectively.</w:t>
            </w:r>
          </w:p>
          <w:p w14:paraId="556B9546" w14:textId="77777777" w:rsidR="00521FEF" w:rsidRPr="009E5520" w:rsidRDefault="00521FEF" w:rsidP="00114EAB">
            <w:pPr>
              <w:pStyle w:val="Footnoot"/>
              <w:rPr>
                <w:rFonts w:cs="Times New Roman"/>
                <w:sz w:val="18"/>
                <w:szCs w:val="18"/>
              </w:rPr>
            </w:pPr>
            <w:r w:rsidRPr="009E5520">
              <w:rPr>
                <w:rFonts w:cs="Times New Roman"/>
              </w:rPr>
              <w:t>All variables are defined in Appendix B.</w:t>
            </w:r>
          </w:p>
        </w:tc>
      </w:tr>
    </w:tbl>
    <w:p w14:paraId="79576BF7" w14:textId="77777777" w:rsidR="00521FEF" w:rsidRDefault="00521FEF" w:rsidP="001A03C6">
      <w:pPr>
        <w:ind w:firstLine="0"/>
      </w:pPr>
    </w:p>
    <w:p w14:paraId="309446C4" w14:textId="7F5E427C" w:rsidR="009A7B5F" w:rsidRPr="007C636F" w:rsidRDefault="007C636F" w:rsidP="007C636F">
      <w:pPr>
        <w:pStyle w:val="Heading2"/>
      </w:pPr>
      <w:r>
        <w:t xml:space="preserve">5.2. </w:t>
      </w:r>
      <w:r w:rsidRPr="007C636F">
        <w:t>The Relationship between Labour Share and Pay Inequality</w:t>
      </w:r>
    </w:p>
    <w:p w14:paraId="11C658A0" w14:textId="1574059C" w:rsidR="006719AA" w:rsidRPr="006719AA" w:rsidRDefault="006719AA" w:rsidP="006719AA">
      <w:pPr>
        <w:ind w:firstLine="0"/>
      </w:pPr>
      <w:r w:rsidRPr="006719AA">
        <w:t xml:space="preserve">This section estimates the regression of pay inequality on labour share Table 6, Column 1, reports the estimation result of the two-step </w:t>
      </w:r>
      <w:r w:rsidRPr="006719AA">
        <w:rPr>
          <w:i/>
          <w:iCs/>
        </w:rPr>
        <w:t>SGMM</w:t>
      </w:r>
      <w:r w:rsidRPr="006719AA">
        <w:t xml:space="preserve"> method including region, industry, firm and year-fixed effects with robust standard error.  As shown, we find a negative and statistically significant relationship (p-value less than 1%) between logged labour share and logged pay inequality. This coefficient in the log-log model can be interpreted as elasticities, thus suggesting that a 10 per cent rise in labour share is associated with a 4.19 per cent increase in the gap between CEO compensation and average employee pay. For a robustness </w:t>
      </w:r>
      <w:proofErr w:type="gramStart"/>
      <w:r w:rsidRPr="006719AA">
        <w:t>check,  we</w:t>
      </w:r>
      <w:proofErr w:type="gramEnd"/>
      <w:r w:rsidRPr="006719AA">
        <w:t xml:space="preserve"> also estimate the static linear regression using the ordinary least squares (</w:t>
      </w:r>
      <w:r w:rsidRPr="006719AA">
        <w:rPr>
          <w:i/>
          <w:iCs/>
        </w:rPr>
        <w:t>OLS</w:t>
      </w:r>
      <w:r w:rsidRPr="006719AA">
        <w:t xml:space="preserve">) method, including region, industry, and year fixed effects with robust standard error clustered at the firm level. The estimation result is reported in column 2. Similarly, the result indicates that the </w:t>
      </w:r>
      <w:r w:rsidRPr="006719AA">
        <w:lastRenderedPageBreak/>
        <w:t xml:space="preserve">coefficient for </w:t>
      </w:r>
      <w:proofErr w:type="spellStart"/>
      <w:r w:rsidRPr="006719AA">
        <w:rPr>
          <w:i/>
          <w:iCs/>
        </w:rPr>
        <w:t>LnPayInequality</w:t>
      </w:r>
      <w:proofErr w:type="spellEnd"/>
      <w:r w:rsidRPr="006719AA">
        <w:t xml:space="preserve"> is -0.477 and significant at the 1 per cent level. Hence, labour share appears to have a negative and significant impact on pay inequality in our sample, which is in line with our second hypothesis.</w:t>
      </w:r>
    </w:p>
    <w:p w14:paraId="4C50B660" w14:textId="77777777" w:rsidR="001A03C6" w:rsidRDefault="001A03C6" w:rsidP="001A03C6">
      <w:r w:rsidRPr="006719AA">
        <w:t xml:space="preserve">Furthermore, we examine whether the significant drivers of labour share, technological progress and product market power, are likely to affect the association between pay inequality and labour share. Technology allows businesses to automate their routine tasks, and it substitutes low-skilled employees in production. However, it benefits high-skill employees who are complementary to technological progress. Therefore, firms with higher technological progress employ more high-skill employees with higher average wages </w:t>
      </w:r>
      <w:r w:rsidRPr="006719AA">
        <w:fldChar w:fldCharType="begin" w:fldLock="1"/>
      </w:r>
      <w:r>
        <w:instrText>ADDIN CSL_CITATION {"citationItems":[{"id":"ITEM-1","itemData":{"author":[{"dropping-particle":"","family":"AIIA","given":"","non-dropping-particle":"","parse-names":false,"suffix":""}],"id":"ITEM-1","issued":{"date-parts":[["2018"]]},"title":"The impact of technological and other change on the future of work and workers in Australia","type":"report"},"uris":["http://www.mendeley.com/documents/?uuid=0237c8fa-5227-3014-b418-d79f89e0247d"]},{"id":"ITEM-2","itemData":{"author":[{"dropping-particle":"","family":"Bessen","given":"James","non-dropping-particle":"","parse-names":false,"suffix":""}],"id":"ITEM-2","issued":{"date-parts":[["2015"]]},"title":"How technology has affected wages for the Last 200 years","type":"report"},"uris":["http://www.mendeley.com/documents/?uuid=24fb2bfd-efec-3381-8a6c-332965c37f72"]}],"mendeley":{"formattedCitation":"(AIIA, 2018; Bessen, 2015)","plainTextFormattedCitation":"(AIIA, 2018; Bessen, 2015)","previouslyFormattedCitation":"(Bessen 2015; AIIA 2018)"},"properties":{"noteIndex":0},"schema":"https://github.com/citation-style-language/schema/raw/master/csl-citation.json"}</w:instrText>
      </w:r>
      <w:r w:rsidRPr="006719AA">
        <w:fldChar w:fldCharType="separate"/>
      </w:r>
      <w:r w:rsidRPr="00BA76AC">
        <w:rPr>
          <w:noProof/>
        </w:rPr>
        <w:t>(AIIA, 2018; Bessen, 2015)</w:t>
      </w:r>
      <w:r w:rsidRPr="006719AA">
        <w:fldChar w:fldCharType="end"/>
      </w:r>
      <w:r w:rsidRPr="006719AA">
        <w:t xml:space="preserve">. Hence, technological progress may weaken the negative association between labour share and pay inequality. With regard to product market power, previous research </w:t>
      </w:r>
      <w:r w:rsidRPr="006719AA">
        <w:fldChar w:fldCharType="begin" w:fldLock="1"/>
      </w:r>
      <w:r>
        <w:instrText>ADDIN CSL_CITATION {"citationItems":[{"id":"ITEM-1","itemData":{"DOI":"10.2307/1884423","ISSN":"0033-5533","abstract":"A model of monopoly and wealth, 178. — Estimation of parameters, 182. — The empirical findings, 189. — Conclusions, 194.","author":[{"dropping-particle":"","family":"Comanor","given":"William S","non-dropping-particle":"","parse-names":false,"suffix":""},{"dropping-particle":"","family":"Smiley","given":"Robert H","non-dropping-particle":"","parse-names":false,"suffix":""}],"container-title":"The Quarterly Journal of Economics","id":"ITEM-1","issue":"2","issued":{"date-parts":[["1975","5","1"]]},"page":"177-194","title":"Monopoly and the distribution of wealth","type":"article-journal","volume":"89"},"uris":["http://www.mendeley.com/documents/?uuid=a40f5130-d09b-369d-800c-1cd21605f26a"]},{"id":"ITEM-2","itemData":{"DOI":"10.1111/1467-8454.00053","ISSN":"1467-8454","abstract":"This paper examines the relative burden of monopoly, measured using the equivalent variation, for different household income levels. The results indicate that, whatever the size of the absolute welfare loss due to monopoly, there may be a substantial effect on the distribution of welfare. I. I n t ro d u c t i o n When discussing low estimates of the aggregate welfare loss from monopoly, Stigler (1966, p. 34) made the often-quoted remark that, `economists might serve a more useful purpose if they fought ®res or termites instead of monopoly'. However, after examining a hypothetical model which allowed both the aggregative and distributional effects of monopoly to be computed, McKenzie (1983, p. 173) suggested that, `Stigler's conclusion may have been reached too hastily'. He argued that instead of looking at aggregate welfare losses, `econo-mists should have looked more closely at the income distributional effects of monopoly'. The aim of this paper is to follow McKenzie's advice, wherèmonopoly' is regarded more broadly as the absence of competition rather than the existence of a single seller. There seem to have been very few studies of the distributional effects of monopoly. In an earlier study, Creedy and Dixon (1998) estimated relative values of consumers' surplus measures for a range of income, or total expenditure, groups in Australia, using a model in which price elasticities differ between income groups. The present paper extends that analysis in several ways. First, `exact' welfare measures (equivalent variations) are calculated instead of using the consumers' surplus approximation. Secondly, inequality measures are based on the complete distribution ofèquivalent incomes', using all households in the household expenditure survey. This allows for a range of inequality aversion coef®cients to be investigated. Thirdly, departures from the simple pro®t maximisation model are used. Finally, the most recent Household Expenditure Survey is used. It should be stressed that the partial equilibrium approach inevitably relies on the use of some very strong assumptions, so the results need to be treated with caution.","author":[{"dropping-particle":"","family":"Creedy","given":"John","non-dropping-particle":"","parse-names":false,"suffix":""},{"dropping-particle":"","family":"Dixon","given":"Robert","non-dropping-particle":"","parse-names":false,"suffix":""}],"container-title":"Australian Economic Papers","id":"ITEM-2","issue":"3","issued":{"date-parts":[["1999","9","1"]]},"page":"223-237","publisher":"John Wiley &amp; Sons, Ltd","title":"The distributional effects of monopoly","type":"article-journal","volume":"38"},"uris":["http://www.mendeley.com/documents/?uuid=45cdd079-5044-3a77-8b53-34abdc6f48a9"]},{"id":"ITEM-3","itemData":{"author":[{"dropping-particle":"","family":"Baker","given":"Jonathan B.","non-dropping-particle":"","parse-names":false,"suffix":""},{"dropping-particle":"","family":"Salop","given":"Steven C.","non-dropping-particle":"","parse-names":false,"suffix":""}],"container-title":"Georgetown Law Journal Online","id":"ITEM-3","issue":"1","issued":{"date-parts":[["2015"]]},"page":"1-28","title":"Antitrust, competition policy, and inequality","type":"article-journal","volume":"104"},"uris":["http://www.mendeley.com/documents/?uuid=5a8377d2-9429-3be6-8273-15c9d5d92f07"]}],"mendeley":{"formattedCitation":"(Baker &amp; Salop, 2015; Comanor &amp; Smiley, 1975; Creedy &amp; Dixon, 1999)","manualFormatting":"(e.g., Baker and Salop, 2015; Comanor and Smiley, 1975; Creedy and Dixon, 1999)","plainTextFormattedCitation":"(Baker &amp; Salop, 2015; Comanor &amp; Smiley, 1975; Creedy &amp; Dixon, 1999)","previouslyFormattedCitation":"(Comanor and Smiley 1975; Creedy and Dixon 1999; Baker and Salop 2015)"},"properties":{"noteIndex":0},"schema":"https://github.com/citation-style-language/schema/raw/master/csl-citation.json"}</w:instrText>
      </w:r>
      <w:r w:rsidRPr="006719AA">
        <w:fldChar w:fldCharType="separate"/>
      </w:r>
      <w:r w:rsidRPr="006719AA">
        <w:rPr>
          <w:noProof/>
        </w:rPr>
        <w:t xml:space="preserve">(e.g., Baker </w:t>
      </w:r>
      <w:r>
        <w:rPr>
          <w:noProof/>
        </w:rPr>
        <w:t>and</w:t>
      </w:r>
      <w:r w:rsidRPr="006719AA">
        <w:rPr>
          <w:noProof/>
        </w:rPr>
        <w:t xml:space="preserve"> Salop, 2015; Comanor </w:t>
      </w:r>
      <w:r>
        <w:rPr>
          <w:noProof/>
        </w:rPr>
        <w:t>and</w:t>
      </w:r>
      <w:r w:rsidRPr="006719AA">
        <w:rPr>
          <w:noProof/>
        </w:rPr>
        <w:t xml:space="preserve"> Smiley, 1975; Creedy </w:t>
      </w:r>
      <w:r>
        <w:rPr>
          <w:noProof/>
        </w:rPr>
        <w:t>and</w:t>
      </w:r>
      <w:r w:rsidRPr="006719AA">
        <w:rPr>
          <w:noProof/>
        </w:rPr>
        <w:t xml:space="preserve"> Dixon, 1999)</w:t>
      </w:r>
      <w:r w:rsidRPr="006719AA">
        <w:fldChar w:fldCharType="end"/>
      </w:r>
      <w:r w:rsidRPr="006719AA">
        <w:t xml:space="preserve"> has argued that increasing product market power contributes to greater inequality. For example, using country-level data, </w:t>
      </w:r>
      <w:r w:rsidRPr="006719AA">
        <w:fldChar w:fldCharType="begin" w:fldLock="1"/>
      </w:r>
      <w:r>
        <w:instrText>ADDIN CSL_CITATION {"citationItems":[{"id":"ITEM-1","itemData":{"DOI":"10.1093/OXREP/GRZ017","ISSN":"0266-903X","abstract":"This paper explores the impact of competition on inequality by developing a new model to illustrate how higher profits from market power, and associated higher prices, could influence the distribution of wealth and income. We analyse data from eight OECD countries - Canada, France, Germany, Korea, Japan, Spain, the United Kingdom, and the United States. In an average country in the sample, market power increases the wealth of the richest 10 per cent by between 12 and 21 per cent for a range of reasonable assumptions about savings behaviour, while it reduces the income of the poorest 20 per cent by 11 per cent or more. The results contribute to the economic literature on the origins of inequality, suggesting that lack of competition may be one source of economic inequality.","author":[{"dropping-particle":"","family":"Ennis","given":"Sean F.","non-dropping-particle":"","parse-names":false,"suffix":""},{"dropping-particle":"","family":"Gonzaga","given":"Pedro","non-dropping-particle":"","parse-names":false,"suffix":""},{"dropping-particle":"","family":"Pike","given":"Chris","non-dropping-particle":"","parse-names":false,"suffix":""}],"container-title":"Oxford Review of Economic Policy","id":"ITEM-1","issue":"3","issued":{"date-parts":[["2019","7","11"]]},"page":"518-549","publisher":"Oxford Academic","title":"Inequality: A hidden cost of market power","type":"article-journal","volume":"35"},"uris":["http://www.mendeley.com/documents/?uuid=f11dd0e3-76dd-302f-80b6-374465769bb3"]},{"id":"ITEM-2","itemData":{"DOI":"10.1016/J.JCE.2020.12.002","ISSN":"0147-5967","abstract":"Using data for 20 countries during 1975–2011, this study provides new evidence on the association between the lack of competition, measured by an increase in markups, and income inequality. We find that an increase in markups is positively associated with rising income inequality. More interestingly, not only do extra profits from higher markups accrue to the top-income group, but also, within the top-income group (top 10%), the higher top-income earners (top 1%) tend to benefit disproportionately more than the lower top-income earners (top 5% or 10%). Finally, we highlight the role of labor market policies; the positive relationship between markups and income inequality is less pronounced in countries with better labor protection such as the statutory protection and power of labor unions, generous unemployment benefits, and mandatory minimum wages.","author":[{"dropping-particle":"","family":"Han","given":"Minsoo","non-dropping-particle":"","parse-names":false,"suffix":""},{"dropping-particle":"","family":"Pyun","given":"Ju Hyun","non-dropping-particle":"","parse-names":false,"suffix":""}],"container-title":"Journal of Comparative Economics","id":"ITEM-2","issue":"2","issued":{"date-parts":[["2021","6","1"]]},"page":"290-312","publisher":"Academic Press","title":"Markups and income inequality: Causal links, 1975-2011","type":"article-journal","volume":"49"},"uris":["http://www.mendeley.com/documents/?uuid=f5d623ff-f7f6-3501-bf66-65a5a03041e9"]}],"mendeley":{"formattedCitation":"(Ennis et al., 2019; Han &amp; Pyun, 2021)","manualFormatting":"Ennis et al. (2019) and Han and Pyun (2021)","plainTextFormattedCitation":"(Ennis et al., 2019; Han &amp; Pyun, 2021)","previouslyFormattedCitation":"(Ennis, Gonzaga, and Pike 2019; Han and Pyun 2021)"},"properties":{"noteIndex":0},"schema":"https://github.com/citation-style-language/schema/raw/master/csl-citation.json"}</w:instrText>
      </w:r>
      <w:r w:rsidRPr="006719AA">
        <w:fldChar w:fldCharType="separate"/>
      </w:r>
      <w:r w:rsidRPr="006719AA">
        <w:rPr>
          <w:noProof/>
        </w:rPr>
        <w:t>Ennis et al. (2019) and Han and Pyun (2021)</w:t>
      </w:r>
      <w:r w:rsidRPr="006719AA">
        <w:fldChar w:fldCharType="end"/>
      </w:r>
      <w:r w:rsidRPr="006719AA">
        <w:t xml:space="preserve"> show that an increase in mark-up is associated with rising income inequality. Therefore, the negative impact of labour share on pay inequality is expected to be stronger in firms with higher product market power.</w:t>
      </w:r>
    </w:p>
    <w:p w14:paraId="16490046" w14:textId="6D5EA91D" w:rsidR="001A03C6" w:rsidRDefault="001A03C6" w:rsidP="001A03C6">
      <w:r w:rsidRPr="006719AA">
        <w:t xml:space="preserve">To perform our examination, we interact </w:t>
      </w:r>
      <w:proofErr w:type="spellStart"/>
      <w:r w:rsidRPr="006719AA">
        <w:rPr>
          <w:i/>
          <w:iCs/>
        </w:rPr>
        <w:t>LnPayInequality</w:t>
      </w:r>
      <w:proofErr w:type="spellEnd"/>
      <w:r w:rsidRPr="006719AA">
        <w:rPr>
          <w:i/>
          <w:iCs/>
        </w:rPr>
        <w:t xml:space="preserve"> </w:t>
      </w:r>
      <w:r w:rsidRPr="006719AA">
        <w:t xml:space="preserve">with </w:t>
      </w:r>
      <w:r w:rsidRPr="006719AA">
        <w:rPr>
          <w:i/>
          <w:iCs/>
        </w:rPr>
        <w:t>TFP</w:t>
      </w:r>
      <w:r w:rsidRPr="006719AA">
        <w:t xml:space="preserve"> (Table 6, column 3) and </w:t>
      </w:r>
      <w:r w:rsidRPr="006719AA">
        <w:rPr>
          <w:i/>
          <w:iCs/>
        </w:rPr>
        <w:t>mark-up</w:t>
      </w:r>
      <w:r w:rsidRPr="006719AA">
        <w:t xml:space="preserve"> (Table 6, column 4). The coefficient in both columns is estimated using two-step </w:t>
      </w:r>
      <w:r w:rsidRPr="006719AA">
        <w:rPr>
          <w:i/>
          <w:iCs/>
        </w:rPr>
        <w:t>SGMM</w:t>
      </w:r>
      <w:r w:rsidRPr="006719AA">
        <w:t xml:space="preserve"> with robust standard error. The </w:t>
      </w:r>
      <w:r w:rsidRPr="006719AA">
        <w:rPr>
          <w:i/>
          <w:iCs/>
        </w:rPr>
        <w:t>SGMM</w:t>
      </w:r>
      <w:r w:rsidRPr="006719AA">
        <w:t xml:space="preserve"> equations are </w:t>
      </w:r>
      <w:proofErr w:type="gramStart"/>
      <w:r w:rsidRPr="006719AA">
        <w:t>similar to</w:t>
      </w:r>
      <w:proofErr w:type="gramEnd"/>
      <w:r w:rsidRPr="006719AA">
        <w:t xml:space="preserve"> column 1 with one more endogenous variable: in column 3 (column 4), the second lagged of differences in </w:t>
      </w:r>
      <w:r w:rsidRPr="006719AA">
        <w:rPr>
          <w:i/>
          <w:iCs/>
        </w:rPr>
        <w:t>TFP</w:t>
      </w:r>
      <w:r w:rsidRPr="006719AA">
        <w:t xml:space="preserve"> (</w:t>
      </w:r>
      <w:proofErr w:type="spellStart"/>
      <w:r w:rsidRPr="006719AA">
        <w:rPr>
          <w:i/>
          <w:iCs/>
        </w:rPr>
        <w:t>LnMarkup</w:t>
      </w:r>
      <w:proofErr w:type="spellEnd"/>
      <w:r w:rsidRPr="006719AA">
        <w:t xml:space="preserve">) and the third lagged values of </w:t>
      </w:r>
      <w:r w:rsidRPr="006719AA">
        <w:rPr>
          <w:i/>
          <w:iCs/>
        </w:rPr>
        <w:t>TFP</w:t>
      </w:r>
      <w:r w:rsidRPr="006719AA">
        <w:t xml:space="preserve"> (</w:t>
      </w:r>
      <w:proofErr w:type="spellStart"/>
      <w:r w:rsidRPr="006719AA">
        <w:rPr>
          <w:i/>
          <w:iCs/>
        </w:rPr>
        <w:t>LnMarkup</w:t>
      </w:r>
      <w:proofErr w:type="spellEnd"/>
      <w:r w:rsidRPr="006719AA">
        <w:t xml:space="preserve">) is used as an instrument in the level and differences equations, respectively. Column 3 reports a positive and significant coefficient for the interaction terms between labour share and </w:t>
      </w:r>
      <w:r w:rsidRPr="006719AA">
        <w:rPr>
          <w:i/>
          <w:iCs/>
        </w:rPr>
        <w:t>TFP</w:t>
      </w:r>
      <w:r w:rsidRPr="006719AA">
        <w:t xml:space="preserve"> (0.075, p&lt;5 per cent), suggesting that technological progress weakens the negative association between labour share and pay inequality. Conversely, column 4 shows a negative and significant coefficient for the interaction between labour share and </w:t>
      </w:r>
      <w:proofErr w:type="spellStart"/>
      <w:r w:rsidRPr="006719AA">
        <w:rPr>
          <w:i/>
          <w:iCs/>
        </w:rPr>
        <w:t>LnMarkup</w:t>
      </w:r>
      <w:proofErr w:type="spellEnd"/>
      <w:r w:rsidRPr="006719AA">
        <w:t xml:space="preserve"> (-0.179, p-value&lt; 10 per cent), indicating that a higher product market power strengthens</w:t>
      </w:r>
      <w:r w:rsidRPr="006719AA">
        <w:rPr>
          <w:b/>
          <w:bCs/>
        </w:rPr>
        <w:t xml:space="preserve"> </w:t>
      </w:r>
      <w:r w:rsidRPr="006719AA">
        <w:t xml:space="preserve">the negative relationship between labour share and pay inequity. </w:t>
      </w:r>
      <w:bookmarkStart w:id="9" w:name="_Hlk103072430"/>
      <w:r w:rsidRPr="006719AA">
        <w:t>These results suggest higher negative relationships between labour share and pay inequality in firms with lower technological productivity and higher product market power.</w:t>
      </w:r>
      <w:bookmarkEnd w:id="9"/>
      <w:r w:rsidRPr="006719AA">
        <w:t xml:space="preserve"> This may indicate that a lower labour share driven by higher product market power has a more substantial negative impact on pay inequality than a low labour share driven by technological progress.</w:t>
      </w:r>
    </w:p>
    <w:p w14:paraId="3BB2EB68" w14:textId="77777777" w:rsidR="000B2801" w:rsidRDefault="000B2801" w:rsidP="001A03C6"/>
    <w:p w14:paraId="77710C80" w14:textId="77777777" w:rsidR="000B2801" w:rsidRDefault="000B2801" w:rsidP="001A03C6"/>
    <w:p w14:paraId="6F422203" w14:textId="77777777" w:rsidR="000B2801" w:rsidRDefault="000B2801" w:rsidP="001A03C6"/>
    <w:p w14:paraId="79AEEC71" w14:textId="77777777" w:rsidR="000B2801" w:rsidRDefault="000B2801" w:rsidP="001A03C6"/>
    <w:p w14:paraId="2790DF1F" w14:textId="77777777" w:rsidR="000B2801" w:rsidRDefault="000B2801" w:rsidP="001A03C6"/>
    <w:p w14:paraId="6B1BC57E" w14:textId="77777777" w:rsidR="000B2801" w:rsidRPr="009E5520" w:rsidRDefault="000B2801" w:rsidP="001A03C6"/>
    <w:p w14:paraId="293DC352" w14:textId="24F3C477" w:rsidR="00521FEF" w:rsidRPr="00570750" w:rsidRDefault="00521FEF" w:rsidP="00245625">
      <w:pPr>
        <w:pStyle w:val="Caption"/>
        <w:spacing w:after="0"/>
        <w:jc w:val="center"/>
        <w:rPr>
          <w:b/>
          <w:bCs/>
          <w:i w:val="0"/>
          <w:color w:val="auto"/>
          <w:sz w:val="24"/>
          <w:szCs w:val="24"/>
        </w:rPr>
      </w:pPr>
      <w:r w:rsidRPr="00570750">
        <w:rPr>
          <w:b/>
          <w:bCs/>
          <w:i w:val="0"/>
          <w:color w:val="auto"/>
          <w:sz w:val="24"/>
          <w:szCs w:val="24"/>
        </w:rPr>
        <w:lastRenderedPageBreak/>
        <w:t xml:space="preserve">Table </w:t>
      </w:r>
      <w:r w:rsidR="00715602">
        <w:rPr>
          <w:b/>
          <w:bCs/>
          <w:i w:val="0"/>
          <w:color w:val="auto"/>
          <w:sz w:val="24"/>
          <w:szCs w:val="24"/>
        </w:rPr>
        <w:t>6</w:t>
      </w:r>
      <w:r w:rsidR="00570750">
        <w:rPr>
          <w:b/>
          <w:bCs/>
          <w:i w:val="0"/>
          <w:color w:val="auto"/>
          <w:sz w:val="24"/>
          <w:szCs w:val="24"/>
        </w:rPr>
        <w:t>.</w:t>
      </w:r>
      <w:r w:rsidRPr="00570750">
        <w:rPr>
          <w:b/>
          <w:bCs/>
          <w:i w:val="0"/>
          <w:color w:val="auto"/>
          <w:sz w:val="24"/>
          <w:szCs w:val="24"/>
        </w:rPr>
        <w:t xml:space="preserve"> The impact of labour share on </w:t>
      </w:r>
      <w:proofErr w:type="gramStart"/>
      <w:r w:rsidRPr="00570750">
        <w:rPr>
          <w:b/>
          <w:bCs/>
          <w:i w:val="0"/>
          <w:color w:val="auto"/>
          <w:sz w:val="24"/>
          <w:szCs w:val="24"/>
        </w:rPr>
        <w:t>pay</w:t>
      </w:r>
      <w:proofErr w:type="gramEnd"/>
      <w:r w:rsidRPr="00570750">
        <w:rPr>
          <w:b/>
          <w:bCs/>
          <w:i w:val="0"/>
          <w:color w:val="auto"/>
          <w:sz w:val="24"/>
          <w:szCs w:val="24"/>
        </w:rPr>
        <w:t xml:space="preserve"> inequality</w:t>
      </w:r>
    </w:p>
    <w:tbl>
      <w:tblPr>
        <w:tblW w:w="9067" w:type="dxa"/>
        <w:tblLayout w:type="fixed"/>
        <w:tblLook w:val="04A0" w:firstRow="1" w:lastRow="0" w:firstColumn="1" w:lastColumn="0" w:noHBand="0" w:noVBand="1"/>
      </w:tblPr>
      <w:tblGrid>
        <w:gridCol w:w="4046"/>
        <w:gridCol w:w="1253"/>
        <w:gridCol w:w="1254"/>
        <w:gridCol w:w="1254"/>
        <w:gridCol w:w="1260"/>
      </w:tblGrid>
      <w:tr w:rsidR="00521FEF" w:rsidRPr="009E5520" w14:paraId="203AF5D7" w14:textId="77777777" w:rsidTr="00114EAB">
        <w:trPr>
          <w:trHeight w:hRule="exact" w:val="326"/>
        </w:trPr>
        <w:tc>
          <w:tcPr>
            <w:tcW w:w="4046" w:type="dxa"/>
            <w:tcBorders>
              <w:bottom w:val="single" w:sz="4" w:space="0" w:color="auto"/>
            </w:tcBorders>
            <w:shd w:val="clear" w:color="auto" w:fill="auto"/>
            <w:noWrap/>
            <w:vAlign w:val="center"/>
          </w:tcPr>
          <w:p w14:paraId="417AE7BF" w14:textId="77777777" w:rsidR="00521FEF" w:rsidRPr="009E5520" w:rsidRDefault="00521FEF" w:rsidP="00114EAB">
            <w:pPr>
              <w:spacing w:after="0" w:line="240" w:lineRule="auto"/>
              <w:ind w:firstLine="0"/>
              <w:jc w:val="left"/>
              <w:rPr>
                <w:rFonts w:cs="Times New Roman"/>
                <w:sz w:val="18"/>
                <w:szCs w:val="18"/>
              </w:rPr>
            </w:pPr>
          </w:p>
        </w:tc>
        <w:tc>
          <w:tcPr>
            <w:tcW w:w="5021" w:type="dxa"/>
            <w:gridSpan w:val="4"/>
            <w:tcBorders>
              <w:bottom w:val="single" w:sz="4" w:space="0" w:color="auto"/>
            </w:tcBorders>
            <w:shd w:val="clear" w:color="auto" w:fill="auto"/>
            <w:vAlign w:val="center"/>
          </w:tcPr>
          <w:p w14:paraId="231964C1" w14:textId="77777777" w:rsidR="00521FEF" w:rsidRPr="009E5520" w:rsidRDefault="00521FEF" w:rsidP="00114EAB">
            <w:pPr>
              <w:spacing w:after="0" w:line="240" w:lineRule="auto"/>
              <w:ind w:firstLine="0"/>
              <w:jc w:val="center"/>
              <w:rPr>
                <w:rFonts w:cs="Times New Roman"/>
                <w:sz w:val="18"/>
                <w:szCs w:val="18"/>
              </w:rPr>
            </w:pPr>
            <w:proofErr w:type="spellStart"/>
            <w:r w:rsidRPr="009E5520">
              <w:rPr>
                <w:rFonts w:cs="Times New Roman"/>
                <w:sz w:val="18"/>
                <w:szCs w:val="18"/>
              </w:rPr>
              <w:t>LnPayInequal</w:t>
            </w:r>
            <w:r>
              <w:rPr>
                <w:rFonts w:cs="Times New Roman"/>
                <w:sz w:val="18"/>
                <w:szCs w:val="18"/>
              </w:rPr>
              <w:t>ity</w:t>
            </w:r>
            <w:proofErr w:type="spellEnd"/>
          </w:p>
        </w:tc>
      </w:tr>
      <w:tr w:rsidR="00521FEF" w:rsidRPr="009E5520" w14:paraId="056106A1" w14:textId="77777777" w:rsidTr="00114EAB">
        <w:trPr>
          <w:trHeight w:hRule="exact" w:val="326"/>
        </w:trPr>
        <w:tc>
          <w:tcPr>
            <w:tcW w:w="4046" w:type="dxa"/>
            <w:tcBorders>
              <w:bottom w:val="single" w:sz="4" w:space="0" w:color="auto"/>
            </w:tcBorders>
            <w:shd w:val="clear" w:color="auto" w:fill="auto"/>
            <w:noWrap/>
            <w:vAlign w:val="center"/>
            <w:hideMark/>
          </w:tcPr>
          <w:p w14:paraId="10F5F5A7" w14:textId="77777777" w:rsidR="00521FEF" w:rsidRPr="009E5520" w:rsidRDefault="00521FEF" w:rsidP="00114EAB">
            <w:pPr>
              <w:spacing w:after="0" w:line="240" w:lineRule="auto"/>
              <w:ind w:firstLine="0"/>
              <w:jc w:val="left"/>
              <w:rPr>
                <w:rFonts w:cs="Times New Roman"/>
                <w:sz w:val="18"/>
                <w:szCs w:val="18"/>
              </w:rPr>
            </w:pPr>
          </w:p>
        </w:tc>
        <w:tc>
          <w:tcPr>
            <w:tcW w:w="1253" w:type="dxa"/>
            <w:tcBorders>
              <w:top w:val="single" w:sz="4" w:space="0" w:color="auto"/>
              <w:bottom w:val="single" w:sz="4" w:space="0" w:color="auto"/>
            </w:tcBorders>
            <w:shd w:val="clear" w:color="auto" w:fill="auto"/>
            <w:hideMark/>
          </w:tcPr>
          <w:p w14:paraId="46DDB22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w:t>
            </w:r>
          </w:p>
        </w:tc>
        <w:tc>
          <w:tcPr>
            <w:tcW w:w="1254" w:type="dxa"/>
            <w:tcBorders>
              <w:top w:val="single" w:sz="4" w:space="0" w:color="auto"/>
              <w:bottom w:val="single" w:sz="4" w:space="0" w:color="auto"/>
            </w:tcBorders>
            <w:shd w:val="clear" w:color="auto" w:fill="auto"/>
          </w:tcPr>
          <w:p w14:paraId="42085BA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w:t>
            </w:r>
          </w:p>
        </w:tc>
        <w:tc>
          <w:tcPr>
            <w:tcW w:w="1254" w:type="dxa"/>
            <w:tcBorders>
              <w:top w:val="single" w:sz="4" w:space="0" w:color="auto"/>
              <w:bottom w:val="single" w:sz="4" w:space="0" w:color="auto"/>
            </w:tcBorders>
            <w:shd w:val="clear" w:color="auto" w:fill="auto"/>
            <w:vAlign w:val="center"/>
            <w:hideMark/>
          </w:tcPr>
          <w:p w14:paraId="55B02B0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(3)</w:t>
            </w:r>
            <w:r w:rsidRPr="009E5520">
              <w:rPr>
                <w:rFonts w:cs="Times New Roman"/>
                <w:sz w:val="18"/>
                <w:szCs w:val="18"/>
              </w:rPr>
              <w:br/>
            </w:r>
          </w:p>
        </w:tc>
        <w:tc>
          <w:tcPr>
            <w:tcW w:w="1260" w:type="dxa"/>
            <w:tcBorders>
              <w:top w:val="single" w:sz="4" w:space="0" w:color="auto"/>
              <w:bottom w:val="single" w:sz="4" w:space="0" w:color="auto"/>
            </w:tcBorders>
            <w:shd w:val="clear" w:color="auto" w:fill="auto"/>
            <w:vAlign w:val="center"/>
            <w:hideMark/>
          </w:tcPr>
          <w:p w14:paraId="627032F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(4)</w:t>
            </w:r>
            <w:r w:rsidRPr="009E5520">
              <w:rPr>
                <w:rFonts w:cs="Times New Roman"/>
                <w:sz w:val="18"/>
                <w:szCs w:val="18"/>
              </w:rPr>
              <w:br/>
            </w:r>
          </w:p>
        </w:tc>
      </w:tr>
      <w:tr w:rsidR="00521FEF" w:rsidRPr="009E5520" w14:paraId="1A6BC37B" w14:textId="77777777" w:rsidTr="00114EAB">
        <w:trPr>
          <w:trHeight w:hRule="exact" w:val="197"/>
        </w:trPr>
        <w:tc>
          <w:tcPr>
            <w:tcW w:w="4046" w:type="dxa"/>
            <w:tcBorders>
              <w:top w:val="single" w:sz="4" w:space="0" w:color="auto"/>
            </w:tcBorders>
            <w:shd w:val="clear" w:color="auto" w:fill="auto"/>
            <w:noWrap/>
            <w:hideMark/>
          </w:tcPr>
          <w:p w14:paraId="7648057C"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Lag.LnPayInequality</w:t>
            </w:r>
            <w:proofErr w:type="spellEnd"/>
            <w:r w:rsidRPr="009E5520">
              <w:rPr>
                <w:rFonts w:cs="Times New Roman"/>
                <w:sz w:val="18"/>
                <w:szCs w:val="18"/>
              </w:rPr>
              <w:t xml:space="preserve"> </w:t>
            </w:r>
          </w:p>
        </w:tc>
        <w:tc>
          <w:tcPr>
            <w:tcW w:w="1253" w:type="dxa"/>
            <w:tcBorders>
              <w:top w:val="single" w:sz="4" w:space="0" w:color="auto"/>
            </w:tcBorders>
            <w:shd w:val="clear" w:color="auto" w:fill="auto"/>
            <w:noWrap/>
            <w:hideMark/>
          </w:tcPr>
          <w:p w14:paraId="44074C5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0.571***</w:t>
            </w:r>
          </w:p>
        </w:tc>
        <w:tc>
          <w:tcPr>
            <w:tcW w:w="1254" w:type="dxa"/>
            <w:tcBorders>
              <w:top w:val="single" w:sz="4" w:space="0" w:color="auto"/>
            </w:tcBorders>
            <w:shd w:val="clear" w:color="auto" w:fill="auto"/>
            <w:vAlign w:val="center"/>
          </w:tcPr>
          <w:p w14:paraId="6707E3BE" w14:textId="77777777" w:rsidR="00521FEF" w:rsidRPr="00A21762" w:rsidRDefault="00521FEF" w:rsidP="00114EAB">
            <w:pPr>
              <w:spacing w:after="0" w:line="240" w:lineRule="auto"/>
              <w:ind w:firstLine="0"/>
              <w:jc w:val="left"/>
              <w:rPr>
                <w:rFonts w:cstheme="majorBidi"/>
                <w:sz w:val="18"/>
                <w:szCs w:val="18"/>
              </w:rPr>
            </w:pPr>
          </w:p>
        </w:tc>
        <w:tc>
          <w:tcPr>
            <w:tcW w:w="1254" w:type="dxa"/>
            <w:tcBorders>
              <w:top w:val="single" w:sz="4" w:space="0" w:color="auto"/>
            </w:tcBorders>
            <w:shd w:val="clear" w:color="auto" w:fill="auto"/>
            <w:noWrap/>
            <w:hideMark/>
          </w:tcPr>
          <w:p w14:paraId="34B8D6D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0.542***</w:t>
            </w:r>
          </w:p>
        </w:tc>
        <w:tc>
          <w:tcPr>
            <w:tcW w:w="1260" w:type="dxa"/>
            <w:tcBorders>
              <w:top w:val="single" w:sz="4" w:space="0" w:color="auto"/>
            </w:tcBorders>
            <w:shd w:val="clear" w:color="auto" w:fill="auto"/>
            <w:noWrap/>
            <w:hideMark/>
          </w:tcPr>
          <w:p w14:paraId="32163E9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0.629***</w:t>
            </w:r>
          </w:p>
        </w:tc>
      </w:tr>
      <w:tr w:rsidR="00521FEF" w:rsidRPr="009E5520" w14:paraId="68307B6F" w14:textId="77777777" w:rsidTr="00114EAB">
        <w:trPr>
          <w:trHeight w:hRule="exact" w:val="197"/>
        </w:trPr>
        <w:tc>
          <w:tcPr>
            <w:tcW w:w="4046" w:type="dxa"/>
            <w:shd w:val="clear" w:color="auto" w:fill="auto"/>
            <w:noWrap/>
            <w:hideMark/>
          </w:tcPr>
          <w:p w14:paraId="333707FF"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613A91F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(0.088)</w:t>
            </w:r>
          </w:p>
        </w:tc>
        <w:tc>
          <w:tcPr>
            <w:tcW w:w="1254" w:type="dxa"/>
            <w:shd w:val="clear" w:color="auto" w:fill="auto"/>
            <w:vAlign w:val="center"/>
          </w:tcPr>
          <w:p w14:paraId="1EFE596B" w14:textId="77777777" w:rsidR="00521FEF" w:rsidRPr="00A21762" w:rsidRDefault="00521FEF" w:rsidP="00114EAB">
            <w:pPr>
              <w:spacing w:after="0" w:line="240" w:lineRule="auto"/>
              <w:ind w:firstLine="0"/>
              <w:jc w:val="left"/>
              <w:rPr>
                <w:rFonts w:cstheme="majorBidi"/>
                <w:sz w:val="18"/>
                <w:szCs w:val="18"/>
              </w:rPr>
            </w:pPr>
          </w:p>
        </w:tc>
        <w:tc>
          <w:tcPr>
            <w:tcW w:w="1254" w:type="dxa"/>
            <w:shd w:val="clear" w:color="auto" w:fill="auto"/>
            <w:noWrap/>
            <w:hideMark/>
          </w:tcPr>
          <w:p w14:paraId="1EB9298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(0.086)</w:t>
            </w:r>
          </w:p>
        </w:tc>
        <w:tc>
          <w:tcPr>
            <w:tcW w:w="1260" w:type="dxa"/>
            <w:shd w:val="clear" w:color="auto" w:fill="auto"/>
            <w:noWrap/>
            <w:hideMark/>
          </w:tcPr>
          <w:p w14:paraId="407BCB3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(0.089)</w:t>
            </w:r>
          </w:p>
        </w:tc>
      </w:tr>
      <w:tr w:rsidR="00521FEF" w:rsidRPr="009E5520" w14:paraId="7338B618" w14:textId="77777777" w:rsidTr="00114EAB">
        <w:trPr>
          <w:trHeight w:hRule="exact" w:val="197"/>
        </w:trPr>
        <w:tc>
          <w:tcPr>
            <w:tcW w:w="4046" w:type="dxa"/>
            <w:shd w:val="clear" w:color="auto" w:fill="auto"/>
            <w:noWrap/>
            <w:hideMark/>
          </w:tcPr>
          <w:p w14:paraId="26FC4BD5"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w:t>
            </w:r>
            <w:r>
              <w:rPr>
                <w:rFonts w:cs="Times New Roman"/>
                <w:sz w:val="18"/>
                <w:szCs w:val="18"/>
              </w:rPr>
              <w:t>n</w:t>
            </w:r>
            <w:r w:rsidRPr="009E5520">
              <w:rPr>
                <w:rFonts w:cs="Times New Roman"/>
                <w:sz w:val="18"/>
                <w:szCs w:val="18"/>
              </w:rPr>
              <w:t>Labo</w:t>
            </w:r>
            <w:r>
              <w:rPr>
                <w:rFonts w:cs="Times New Roman"/>
                <w:sz w:val="18"/>
                <w:szCs w:val="18"/>
              </w:rPr>
              <w:t>u</w:t>
            </w:r>
            <w:r w:rsidRPr="009E5520">
              <w:rPr>
                <w:rFonts w:cs="Times New Roman"/>
                <w:sz w:val="18"/>
                <w:szCs w:val="18"/>
              </w:rPr>
              <w:t>rShare</w:t>
            </w:r>
            <w:proofErr w:type="spellEnd"/>
          </w:p>
        </w:tc>
        <w:tc>
          <w:tcPr>
            <w:tcW w:w="1253" w:type="dxa"/>
            <w:shd w:val="clear" w:color="auto" w:fill="auto"/>
            <w:noWrap/>
            <w:hideMark/>
          </w:tcPr>
          <w:p w14:paraId="37F6038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-0.419***</w:t>
            </w:r>
          </w:p>
        </w:tc>
        <w:tc>
          <w:tcPr>
            <w:tcW w:w="1254" w:type="dxa"/>
            <w:shd w:val="clear" w:color="auto" w:fill="auto"/>
            <w:vAlign w:val="center"/>
          </w:tcPr>
          <w:p w14:paraId="73F2CB2D"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-0.477***</w:t>
            </w:r>
          </w:p>
        </w:tc>
        <w:tc>
          <w:tcPr>
            <w:tcW w:w="1254" w:type="dxa"/>
            <w:shd w:val="clear" w:color="auto" w:fill="auto"/>
            <w:noWrap/>
            <w:hideMark/>
          </w:tcPr>
          <w:p w14:paraId="44697BD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-0.549***</w:t>
            </w:r>
          </w:p>
        </w:tc>
        <w:tc>
          <w:tcPr>
            <w:tcW w:w="1260" w:type="dxa"/>
            <w:shd w:val="clear" w:color="auto" w:fill="auto"/>
            <w:noWrap/>
            <w:hideMark/>
          </w:tcPr>
          <w:p w14:paraId="1DC03ED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-0.239** </w:t>
            </w:r>
          </w:p>
        </w:tc>
      </w:tr>
      <w:tr w:rsidR="00521FEF" w:rsidRPr="009E5520" w14:paraId="059EE41F" w14:textId="77777777" w:rsidTr="00114EAB">
        <w:trPr>
          <w:trHeight w:hRule="exact" w:val="197"/>
        </w:trPr>
        <w:tc>
          <w:tcPr>
            <w:tcW w:w="4046" w:type="dxa"/>
            <w:shd w:val="clear" w:color="auto" w:fill="auto"/>
            <w:noWrap/>
            <w:hideMark/>
          </w:tcPr>
          <w:p w14:paraId="61AEA2B0"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03A4306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(0.139)</w:t>
            </w:r>
          </w:p>
        </w:tc>
        <w:tc>
          <w:tcPr>
            <w:tcW w:w="1254" w:type="dxa"/>
            <w:shd w:val="clear" w:color="auto" w:fill="auto"/>
            <w:vAlign w:val="center"/>
          </w:tcPr>
          <w:p w14:paraId="4CE19990"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(0.078)</w:t>
            </w:r>
          </w:p>
        </w:tc>
        <w:tc>
          <w:tcPr>
            <w:tcW w:w="1254" w:type="dxa"/>
            <w:shd w:val="clear" w:color="auto" w:fill="auto"/>
            <w:noWrap/>
            <w:hideMark/>
          </w:tcPr>
          <w:p w14:paraId="05CD015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(0.103)</w:t>
            </w:r>
          </w:p>
        </w:tc>
        <w:tc>
          <w:tcPr>
            <w:tcW w:w="1260" w:type="dxa"/>
            <w:shd w:val="clear" w:color="auto" w:fill="auto"/>
            <w:noWrap/>
            <w:hideMark/>
          </w:tcPr>
          <w:p w14:paraId="24B9C3F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(0.114)</w:t>
            </w:r>
          </w:p>
        </w:tc>
      </w:tr>
      <w:tr w:rsidR="00521FEF" w:rsidRPr="009E5520" w14:paraId="177C1CCE" w14:textId="77777777" w:rsidTr="00114EAB">
        <w:trPr>
          <w:trHeight w:hRule="exact" w:val="197"/>
        </w:trPr>
        <w:tc>
          <w:tcPr>
            <w:tcW w:w="4046" w:type="dxa"/>
            <w:shd w:val="clear" w:color="auto" w:fill="auto"/>
            <w:noWrap/>
            <w:hideMark/>
          </w:tcPr>
          <w:p w14:paraId="3BA23E7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TFPOP</w:t>
            </w:r>
          </w:p>
        </w:tc>
        <w:tc>
          <w:tcPr>
            <w:tcW w:w="1253" w:type="dxa"/>
            <w:shd w:val="clear" w:color="auto" w:fill="auto"/>
            <w:noWrap/>
            <w:hideMark/>
          </w:tcPr>
          <w:p w14:paraId="5A4461AE"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0C643E5C"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7CB9035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-0.237*</w:t>
            </w:r>
          </w:p>
        </w:tc>
        <w:tc>
          <w:tcPr>
            <w:tcW w:w="1260" w:type="dxa"/>
            <w:shd w:val="clear" w:color="auto" w:fill="auto"/>
            <w:noWrap/>
            <w:hideMark/>
          </w:tcPr>
          <w:p w14:paraId="60C24273"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66FB09DC" w14:textId="77777777" w:rsidTr="00114EAB">
        <w:trPr>
          <w:trHeight w:hRule="exact" w:val="197"/>
        </w:trPr>
        <w:tc>
          <w:tcPr>
            <w:tcW w:w="4046" w:type="dxa"/>
            <w:shd w:val="clear" w:color="auto" w:fill="auto"/>
            <w:noWrap/>
            <w:hideMark/>
          </w:tcPr>
          <w:p w14:paraId="0F69DB50"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6B0F42AF"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437E1D60"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5839B1A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(0.123)</w:t>
            </w:r>
          </w:p>
        </w:tc>
        <w:tc>
          <w:tcPr>
            <w:tcW w:w="1260" w:type="dxa"/>
            <w:shd w:val="clear" w:color="auto" w:fill="auto"/>
            <w:noWrap/>
            <w:hideMark/>
          </w:tcPr>
          <w:p w14:paraId="386071D0"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0D90F2B3" w14:textId="77777777" w:rsidTr="00114EAB">
        <w:trPr>
          <w:trHeight w:hRule="exact" w:val="197"/>
        </w:trPr>
        <w:tc>
          <w:tcPr>
            <w:tcW w:w="4046" w:type="dxa"/>
            <w:shd w:val="clear" w:color="auto" w:fill="auto"/>
            <w:noWrap/>
            <w:hideMark/>
          </w:tcPr>
          <w:p w14:paraId="47B619D5"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LogLabourShare</w:t>
            </w:r>
            <w:proofErr w:type="spellEnd"/>
            <w:r w:rsidRPr="009E5520">
              <w:rPr>
                <w:rFonts w:cs="Times New Roman"/>
                <w:sz w:val="18"/>
                <w:szCs w:val="18"/>
              </w:rPr>
              <w:t xml:space="preserve"> * TFPOP</w:t>
            </w:r>
          </w:p>
        </w:tc>
        <w:tc>
          <w:tcPr>
            <w:tcW w:w="1253" w:type="dxa"/>
            <w:shd w:val="clear" w:color="auto" w:fill="auto"/>
            <w:noWrap/>
            <w:hideMark/>
          </w:tcPr>
          <w:p w14:paraId="3009E336"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065E5880"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6C75DDB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0.075**</w:t>
            </w:r>
          </w:p>
        </w:tc>
        <w:tc>
          <w:tcPr>
            <w:tcW w:w="1260" w:type="dxa"/>
            <w:shd w:val="clear" w:color="auto" w:fill="auto"/>
            <w:noWrap/>
            <w:hideMark/>
          </w:tcPr>
          <w:p w14:paraId="00C7D708"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5D93CFAE" w14:textId="77777777" w:rsidTr="00114EAB">
        <w:trPr>
          <w:trHeight w:hRule="exact" w:val="197"/>
        </w:trPr>
        <w:tc>
          <w:tcPr>
            <w:tcW w:w="4046" w:type="dxa"/>
            <w:shd w:val="clear" w:color="auto" w:fill="auto"/>
            <w:noWrap/>
            <w:hideMark/>
          </w:tcPr>
          <w:p w14:paraId="0CBB77A0"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0EE8F5C1"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1A28A6EC"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2498779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(0.036)</w:t>
            </w:r>
          </w:p>
        </w:tc>
        <w:tc>
          <w:tcPr>
            <w:tcW w:w="1260" w:type="dxa"/>
            <w:shd w:val="clear" w:color="auto" w:fill="auto"/>
            <w:noWrap/>
            <w:hideMark/>
          </w:tcPr>
          <w:p w14:paraId="08311232" w14:textId="77777777" w:rsidR="00521FEF" w:rsidRPr="009E5520" w:rsidRDefault="00521FEF" w:rsidP="00114EAB">
            <w:pPr>
              <w:spacing w:after="0" w:line="240" w:lineRule="auto"/>
              <w:ind w:firstLine="0"/>
              <w:jc w:val="left"/>
              <w:rPr>
                <w:rFonts w:cs="Times New Roman"/>
                <w:sz w:val="18"/>
                <w:szCs w:val="18"/>
              </w:rPr>
            </w:pPr>
          </w:p>
        </w:tc>
      </w:tr>
      <w:tr w:rsidR="00521FEF" w:rsidRPr="009E5520" w14:paraId="1CC7F8E5" w14:textId="77777777" w:rsidTr="00114EAB">
        <w:trPr>
          <w:trHeight w:hRule="exact" w:val="197"/>
        </w:trPr>
        <w:tc>
          <w:tcPr>
            <w:tcW w:w="4046" w:type="dxa"/>
            <w:shd w:val="clear" w:color="auto" w:fill="auto"/>
            <w:noWrap/>
            <w:hideMark/>
          </w:tcPr>
          <w:p w14:paraId="0A9341A9"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LnMarkupOP</w:t>
            </w:r>
            <w:proofErr w:type="spellEnd"/>
          </w:p>
        </w:tc>
        <w:tc>
          <w:tcPr>
            <w:tcW w:w="1253" w:type="dxa"/>
            <w:shd w:val="clear" w:color="auto" w:fill="auto"/>
            <w:noWrap/>
            <w:hideMark/>
          </w:tcPr>
          <w:p w14:paraId="4E4A9A5B"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1F10641C"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52DD51D9" w14:textId="77777777" w:rsidR="00521FEF" w:rsidRPr="009E5520" w:rsidRDefault="00521FEF" w:rsidP="00114EAB">
            <w:pPr>
              <w:spacing w:after="0" w:line="240" w:lineRule="auto"/>
              <w:ind w:firstLine="0"/>
              <w:jc w:val="left"/>
              <w:rPr>
                <w:rFonts w:cs="Times New Roman"/>
                <w:sz w:val="18"/>
                <w:szCs w:val="18"/>
              </w:rPr>
            </w:pPr>
          </w:p>
        </w:tc>
        <w:tc>
          <w:tcPr>
            <w:tcW w:w="1260" w:type="dxa"/>
            <w:shd w:val="clear" w:color="auto" w:fill="auto"/>
            <w:noWrap/>
            <w:hideMark/>
          </w:tcPr>
          <w:p w14:paraId="0F99DD3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-0.294** </w:t>
            </w:r>
          </w:p>
        </w:tc>
      </w:tr>
      <w:tr w:rsidR="00521FEF" w:rsidRPr="009E5520" w14:paraId="15BC0686" w14:textId="77777777" w:rsidTr="00114EAB">
        <w:trPr>
          <w:trHeight w:hRule="exact" w:val="197"/>
        </w:trPr>
        <w:tc>
          <w:tcPr>
            <w:tcW w:w="4046" w:type="dxa"/>
            <w:shd w:val="clear" w:color="auto" w:fill="auto"/>
            <w:noWrap/>
            <w:hideMark/>
          </w:tcPr>
          <w:p w14:paraId="3EA43D56"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3DD1E568"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385AA677"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08B0FB5A" w14:textId="77777777" w:rsidR="00521FEF" w:rsidRPr="009E5520" w:rsidRDefault="00521FEF" w:rsidP="00114EAB">
            <w:pPr>
              <w:spacing w:after="0" w:line="240" w:lineRule="auto"/>
              <w:ind w:firstLine="0"/>
              <w:jc w:val="left"/>
              <w:rPr>
                <w:rFonts w:cs="Times New Roman"/>
                <w:sz w:val="18"/>
                <w:szCs w:val="18"/>
              </w:rPr>
            </w:pPr>
          </w:p>
        </w:tc>
        <w:tc>
          <w:tcPr>
            <w:tcW w:w="1260" w:type="dxa"/>
            <w:shd w:val="clear" w:color="auto" w:fill="auto"/>
            <w:noWrap/>
            <w:hideMark/>
          </w:tcPr>
          <w:p w14:paraId="08A7503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(0.142)</w:t>
            </w:r>
          </w:p>
        </w:tc>
      </w:tr>
      <w:tr w:rsidR="00521FEF" w:rsidRPr="009E5520" w14:paraId="33D03723" w14:textId="77777777" w:rsidTr="00114EAB">
        <w:trPr>
          <w:trHeight w:hRule="exact" w:val="197"/>
        </w:trPr>
        <w:tc>
          <w:tcPr>
            <w:tcW w:w="4046" w:type="dxa"/>
            <w:shd w:val="clear" w:color="auto" w:fill="auto"/>
            <w:noWrap/>
            <w:hideMark/>
          </w:tcPr>
          <w:p w14:paraId="69530849"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LogLabourShare</w:t>
            </w:r>
            <w:proofErr w:type="spellEnd"/>
            <w:r w:rsidRPr="009E5520">
              <w:rPr>
                <w:rFonts w:cs="Times New Roman"/>
                <w:sz w:val="18"/>
                <w:szCs w:val="18"/>
              </w:rPr>
              <w:t xml:space="preserve"> * </w:t>
            </w:r>
            <w:proofErr w:type="spellStart"/>
            <w:r w:rsidRPr="009E5520">
              <w:rPr>
                <w:rFonts w:cs="Times New Roman"/>
                <w:sz w:val="18"/>
                <w:szCs w:val="18"/>
              </w:rPr>
              <w:t>LnMarkupOP</w:t>
            </w:r>
            <w:proofErr w:type="spellEnd"/>
          </w:p>
        </w:tc>
        <w:tc>
          <w:tcPr>
            <w:tcW w:w="1253" w:type="dxa"/>
            <w:shd w:val="clear" w:color="auto" w:fill="auto"/>
            <w:noWrap/>
            <w:hideMark/>
          </w:tcPr>
          <w:p w14:paraId="3171CEE8"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761B73D1"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16371B74" w14:textId="77777777" w:rsidR="00521FEF" w:rsidRPr="009E5520" w:rsidRDefault="00521FEF" w:rsidP="00114EAB">
            <w:pPr>
              <w:spacing w:after="0" w:line="240" w:lineRule="auto"/>
              <w:ind w:firstLine="0"/>
              <w:jc w:val="left"/>
              <w:rPr>
                <w:rFonts w:cs="Times New Roman"/>
                <w:sz w:val="18"/>
                <w:szCs w:val="18"/>
              </w:rPr>
            </w:pPr>
          </w:p>
        </w:tc>
        <w:tc>
          <w:tcPr>
            <w:tcW w:w="1260" w:type="dxa"/>
            <w:shd w:val="clear" w:color="auto" w:fill="auto"/>
            <w:noWrap/>
            <w:hideMark/>
          </w:tcPr>
          <w:p w14:paraId="5B24F4C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-0.179*  </w:t>
            </w:r>
          </w:p>
        </w:tc>
      </w:tr>
      <w:tr w:rsidR="00521FEF" w:rsidRPr="009E5520" w14:paraId="28BD97D5" w14:textId="77777777" w:rsidTr="00114EAB">
        <w:trPr>
          <w:trHeight w:hRule="exact" w:val="197"/>
        </w:trPr>
        <w:tc>
          <w:tcPr>
            <w:tcW w:w="4046" w:type="dxa"/>
            <w:shd w:val="clear" w:color="auto" w:fill="auto"/>
            <w:noWrap/>
            <w:hideMark/>
          </w:tcPr>
          <w:p w14:paraId="55E00B50"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0F1ECE7D"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2BE43D65"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 </w:t>
            </w:r>
          </w:p>
        </w:tc>
        <w:tc>
          <w:tcPr>
            <w:tcW w:w="1254" w:type="dxa"/>
            <w:shd w:val="clear" w:color="auto" w:fill="auto"/>
            <w:noWrap/>
            <w:hideMark/>
          </w:tcPr>
          <w:p w14:paraId="6E141711" w14:textId="77777777" w:rsidR="00521FEF" w:rsidRPr="009E5520" w:rsidRDefault="00521FEF" w:rsidP="00114EAB">
            <w:pPr>
              <w:spacing w:after="0" w:line="240" w:lineRule="auto"/>
              <w:ind w:firstLine="0"/>
              <w:jc w:val="left"/>
              <w:rPr>
                <w:rFonts w:cs="Times New Roman"/>
                <w:sz w:val="18"/>
                <w:szCs w:val="18"/>
              </w:rPr>
            </w:pPr>
          </w:p>
        </w:tc>
        <w:tc>
          <w:tcPr>
            <w:tcW w:w="1260" w:type="dxa"/>
            <w:shd w:val="clear" w:color="auto" w:fill="auto"/>
            <w:noWrap/>
            <w:hideMark/>
          </w:tcPr>
          <w:p w14:paraId="13C5DD0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(0.107)</w:t>
            </w:r>
          </w:p>
        </w:tc>
      </w:tr>
      <w:tr w:rsidR="00521FEF" w:rsidRPr="009E5520" w14:paraId="49B4A021" w14:textId="77777777" w:rsidTr="00114EAB">
        <w:trPr>
          <w:trHeight w:hRule="exact" w:val="197"/>
        </w:trPr>
        <w:tc>
          <w:tcPr>
            <w:tcW w:w="4046" w:type="dxa"/>
            <w:shd w:val="clear" w:color="auto" w:fill="auto"/>
            <w:noWrap/>
            <w:hideMark/>
          </w:tcPr>
          <w:p w14:paraId="0C769FFF"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LnRevenue</w:t>
            </w:r>
            <w:proofErr w:type="spellEnd"/>
          </w:p>
        </w:tc>
        <w:tc>
          <w:tcPr>
            <w:tcW w:w="1253" w:type="dxa"/>
            <w:shd w:val="clear" w:color="auto" w:fill="auto"/>
            <w:noWrap/>
            <w:hideMark/>
          </w:tcPr>
          <w:p w14:paraId="3DE4B66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0.148***</w:t>
            </w:r>
          </w:p>
        </w:tc>
        <w:tc>
          <w:tcPr>
            <w:tcW w:w="1254" w:type="dxa"/>
            <w:shd w:val="clear" w:color="auto" w:fill="auto"/>
            <w:vAlign w:val="center"/>
          </w:tcPr>
          <w:p w14:paraId="0A36732D"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0.297***</w:t>
            </w:r>
          </w:p>
        </w:tc>
        <w:tc>
          <w:tcPr>
            <w:tcW w:w="1254" w:type="dxa"/>
            <w:shd w:val="clear" w:color="auto" w:fill="auto"/>
            <w:noWrap/>
            <w:hideMark/>
          </w:tcPr>
          <w:p w14:paraId="65ED2C1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0.258***</w:t>
            </w:r>
          </w:p>
        </w:tc>
        <w:tc>
          <w:tcPr>
            <w:tcW w:w="1260" w:type="dxa"/>
            <w:shd w:val="clear" w:color="auto" w:fill="auto"/>
            <w:noWrap/>
            <w:hideMark/>
          </w:tcPr>
          <w:p w14:paraId="56C11E4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0.122** </w:t>
            </w:r>
          </w:p>
        </w:tc>
      </w:tr>
      <w:tr w:rsidR="00521FEF" w:rsidRPr="009E5520" w14:paraId="50D7EF7E" w14:textId="77777777" w:rsidTr="00114EAB">
        <w:trPr>
          <w:trHeight w:hRule="exact" w:val="197"/>
        </w:trPr>
        <w:tc>
          <w:tcPr>
            <w:tcW w:w="4046" w:type="dxa"/>
            <w:shd w:val="clear" w:color="auto" w:fill="auto"/>
            <w:noWrap/>
            <w:hideMark/>
          </w:tcPr>
          <w:p w14:paraId="316FED41"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DED933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w:t>
            </w:r>
          </w:p>
        </w:tc>
        <w:tc>
          <w:tcPr>
            <w:tcW w:w="1254" w:type="dxa"/>
            <w:shd w:val="clear" w:color="auto" w:fill="auto"/>
            <w:vAlign w:val="center"/>
          </w:tcPr>
          <w:p w14:paraId="0E361641"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(0.035)</w:t>
            </w:r>
          </w:p>
        </w:tc>
        <w:tc>
          <w:tcPr>
            <w:tcW w:w="1254" w:type="dxa"/>
            <w:shd w:val="clear" w:color="auto" w:fill="auto"/>
            <w:noWrap/>
            <w:hideMark/>
          </w:tcPr>
          <w:p w14:paraId="4C006A9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(0.06)</w:t>
            </w:r>
          </w:p>
        </w:tc>
        <w:tc>
          <w:tcPr>
            <w:tcW w:w="1260" w:type="dxa"/>
            <w:shd w:val="clear" w:color="auto" w:fill="auto"/>
            <w:noWrap/>
            <w:hideMark/>
          </w:tcPr>
          <w:p w14:paraId="47061EC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(0.049)</w:t>
            </w:r>
          </w:p>
        </w:tc>
      </w:tr>
      <w:tr w:rsidR="00521FEF" w:rsidRPr="009E5520" w14:paraId="4A480DE4" w14:textId="77777777" w:rsidTr="00114EAB">
        <w:trPr>
          <w:trHeight w:hRule="exact" w:val="197"/>
        </w:trPr>
        <w:tc>
          <w:tcPr>
            <w:tcW w:w="4046" w:type="dxa"/>
            <w:shd w:val="clear" w:color="auto" w:fill="auto"/>
            <w:noWrap/>
            <w:hideMark/>
          </w:tcPr>
          <w:p w14:paraId="070B92E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BTM</w:t>
            </w:r>
          </w:p>
        </w:tc>
        <w:tc>
          <w:tcPr>
            <w:tcW w:w="1253" w:type="dxa"/>
            <w:shd w:val="clear" w:color="auto" w:fill="auto"/>
            <w:noWrap/>
            <w:hideMark/>
          </w:tcPr>
          <w:p w14:paraId="620EC75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0.031</w:t>
            </w:r>
          </w:p>
        </w:tc>
        <w:tc>
          <w:tcPr>
            <w:tcW w:w="1254" w:type="dxa"/>
            <w:shd w:val="clear" w:color="auto" w:fill="auto"/>
            <w:vAlign w:val="center"/>
          </w:tcPr>
          <w:p w14:paraId="6C0202E9"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-0.175***</w:t>
            </w:r>
          </w:p>
        </w:tc>
        <w:tc>
          <w:tcPr>
            <w:tcW w:w="1254" w:type="dxa"/>
            <w:shd w:val="clear" w:color="auto" w:fill="auto"/>
            <w:noWrap/>
            <w:hideMark/>
          </w:tcPr>
          <w:p w14:paraId="2436883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-0.082</w:t>
            </w:r>
          </w:p>
        </w:tc>
        <w:tc>
          <w:tcPr>
            <w:tcW w:w="1260" w:type="dxa"/>
            <w:shd w:val="clear" w:color="auto" w:fill="auto"/>
            <w:noWrap/>
            <w:hideMark/>
          </w:tcPr>
          <w:p w14:paraId="5B14DBF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-0.003</w:t>
            </w:r>
          </w:p>
        </w:tc>
      </w:tr>
      <w:tr w:rsidR="00521FEF" w:rsidRPr="009E5520" w14:paraId="56614F0C" w14:textId="77777777" w:rsidTr="00114EAB">
        <w:trPr>
          <w:trHeight w:hRule="exact" w:val="197"/>
        </w:trPr>
        <w:tc>
          <w:tcPr>
            <w:tcW w:w="4046" w:type="dxa"/>
            <w:shd w:val="clear" w:color="auto" w:fill="auto"/>
            <w:noWrap/>
            <w:hideMark/>
          </w:tcPr>
          <w:p w14:paraId="4949B846"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C2F241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(0.101)</w:t>
            </w:r>
          </w:p>
        </w:tc>
        <w:tc>
          <w:tcPr>
            <w:tcW w:w="1254" w:type="dxa"/>
            <w:shd w:val="clear" w:color="auto" w:fill="auto"/>
            <w:vAlign w:val="center"/>
          </w:tcPr>
          <w:p w14:paraId="2788EF02"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(0.065)</w:t>
            </w:r>
          </w:p>
        </w:tc>
        <w:tc>
          <w:tcPr>
            <w:tcW w:w="1254" w:type="dxa"/>
            <w:shd w:val="clear" w:color="auto" w:fill="auto"/>
            <w:noWrap/>
            <w:hideMark/>
          </w:tcPr>
          <w:p w14:paraId="4B45F95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(0.092)</w:t>
            </w:r>
          </w:p>
        </w:tc>
        <w:tc>
          <w:tcPr>
            <w:tcW w:w="1260" w:type="dxa"/>
            <w:shd w:val="clear" w:color="auto" w:fill="auto"/>
            <w:noWrap/>
            <w:hideMark/>
          </w:tcPr>
          <w:p w14:paraId="567B61B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(0.09)</w:t>
            </w:r>
          </w:p>
        </w:tc>
      </w:tr>
      <w:tr w:rsidR="00521FEF" w:rsidRPr="009E5520" w14:paraId="58F15F39" w14:textId="77777777" w:rsidTr="00114EAB">
        <w:trPr>
          <w:trHeight w:hRule="exact" w:val="197"/>
        </w:trPr>
        <w:tc>
          <w:tcPr>
            <w:tcW w:w="4046" w:type="dxa"/>
            <w:shd w:val="clear" w:color="auto" w:fill="auto"/>
            <w:noWrap/>
            <w:hideMark/>
          </w:tcPr>
          <w:p w14:paraId="6E2272D2"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LnAge</w:t>
            </w:r>
            <w:proofErr w:type="spellEnd"/>
          </w:p>
        </w:tc>
        <w:tc>
          <w:tcPr>
            <w:tcW w:w="1253" w:type="dxa"/>
            <w:shd w:val="clear" w:color="auto" w:fill="auto"/>
            <w:noWrap/>
            <w:hideMark/>
          </w:tcPr>
          <w:p w14:paraId="3A9BDEF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0.068</w:t>
            </w:r>
          </w:p>
        </w:tc>
        <w:tc>
          <w:tcPr>
            <w:tcW w:w="1254" w:type="dxa"/>
            <w:shd w:val="clear" w:color="auto" w:fill="auto"/>
            <w:vAlign w:val="center"/>
          </w:tcPr>
          <w:p w14:paraId="08C5B387"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0.210***</w:t>
            </w:r>
          </w:p>
        </w:tc>
        <w:tc>
          <w:tcPr>
            <w:tcW w:w="1254" w:type="dxa"/>
            <w:shd w:val="clear" w:color="auto" w:fill="auto"/>
            <w:noWrap/>
            <w:hideMark/>
          </w:tcPr>
          <w:p w14:paraId="2384F6F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0.061</w:t>
            </w:r>
          </w:p>
        </w:tc>
        <w:tc>
          <w:tcPr>
            <w:tcW w:w="1260" w:type="dxa"/>
            <w:shd w:val="clear" w:color="auto" w:fill="auto"/>
            <w:noWrap/>
            <w:hideMark/>
          </w:tcPr>
          <w:p w14:paraId="3F025E8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0.075</w:t>
            </w:r>
          </w:p>
        </w:tc>
      </w:tr>
      <w:tr w:rsidR="00521FEF" w:rsidRPr="009E5520" w14:paraId="38F3733A" w14:textId="77777777" w:rsidTr="00114EAB">
        <w:trPr>
          <w:trHeight w:hRule="exact" w:val="197"/>
        </w:trPr>
        <w:tc>
          <w:tcPr>
            <w:tcW w:w="4046" w:type="dxa"/>
            <w:shd w:val="clear" w:color="auto" w:fill="auto"/>
            <w:noWrap/>
            <w:hideMark/>
          </w:tcPr>
          <w:p w14:paraId="3EDEE30D"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07B93F4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(0.056)</w:t>
            </w:r>
          </w:p>
        </w:tc>
        <w:tc>
          <w:tcPr>
            <w:tcW w:w="1254" w:type="dxa"/>
            <w:shd w:val="clear" w:color="auto" w:fill="auto"/>
            <w:vAlign w:val="center"/>
          </w:tcPr>
          <w:p w14:paraId="68BDE45B"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(0.064)</w:t>
            </w:r>
          </w:p>
        </w:tc>
        <w:tc>
          <w:tcPr>
            <w:tcW w:w="1254" w:type="dxa"/>
            <w:shd w:val="clear" w:color="auto" w:fill="auto"/>
            <w:noWrap/>
            <w:hideMark/>
          </w:tcPr>
          <w:p w14:paraId="57EE552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(0.059)</w:t>
            </w:r>
          </w:p>
        </w:tc>
        <w:tc>
          <w:tcPr>
            <w:tcW w:w="1260" w:type="dxa"/>
            <w:shd w:val="clear" w:color="auto" w:fill="auto"/>
            <w:noWrap/>
            <w:hideMark/>
          </w:tcPr>
          <w:p w14:paraId="6D4631D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(0.052)</w:t>
            </w:r>
          </w:p>
        </w:tc>
      </w:tr>
      <w:tr w:rsidR="00521FEF" w:rsidRPr="009E5520" w14:paraId="4D3805C4" w14:textId="77777777" w:rsidTr="00114EAB">
        <w:trPr>
          <w:trHeight w:hRule="exact" w:val="197"/>
        </w:trPr>
        <w:tc>
          <w:tcPr>
            <w:tcW w:w="4046" w:type="dxa"/>
            <w:shd w:val="clear" w:color="auto" w:fill="auto"/>
            <w:noWrap/>
            <w:hideMark/>
          </w:tcPr>
          <w:p w14:paraId="6E985BC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ROA</w:t>
            </w:r>
          </w:p>
        </w:tc>
        <w:tc>
          <w:tcPr>
            <w:tcW w:w="1253" w:type="dxa"/>
            <w:shd w:val="clear" w:color="auto" w:fill="auto"/>
            <w:noWrap/>
            <w:hideMark/>
          </w:tcPr>
          <w:p w14:paraId="6606983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0.008</w:t>
            </w:r>
          </w:p>
        </w:tc>
        <w:tc>
          <w:tcPr>
            <w:tcW w:w="1254" w:type="dxa"/>
            <w:shd w:val="clear" w:color="auto" w:fill="auto"/>
            <w:vAlign w:val="center"/>
          </w:tcPr>
          <w:p w14:paraId="260B7B89"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-0.011**</w:t>
            </w:r>
          </w:p>
        </w:tc>
        <w:tc>
          <w:tcPr>
            <w:tcW w:w="1254" w:type="dxa"/>
            <w:shd w:val="clear" w:color="auto" w:fill="auto"/>
            <w:noWrap/>
            <w:hideMark/>
          </w:tcPr>
          <w:p w14:paraId="218EF7A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0.004</w:t>
            </w:r>
          </w:p>
        </w:tc>
        <w:tc>
          <w:tcPr>
            <w:tcW w:w="1260" w:type="dxa"/>
            <w:shd w:val="clear" w:color="auto" w:fill="auto"/>
            <w:noWrap/>
            <w:hideMark/>
          </w:tcPr>
          <w:p w14:paraId="04BFCD6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0.007</w:t>
            </w:r>
          </w:p>
        </w:tc>
      </w:tr>
      <w:tr w:rsidR="00521FEF" w:rsidRPr="009E5520" w14:paraId="2D4BF628" w14:textId="77777777" w:rsidTr="00114EAB">
        <w:trPr>
          <w:trHeight w:hRule="exact" w:val="197"/>
        </w:trPr>
        <w:tc>
          <w:tcPr>
            <w:tcW w:w="4046" w:type="dxa"/>
            <w:shd w:val="clear" w:color="auto" w:fill="auto"/>
            <w:noWrap/>
            <w:hideMark/>
          </w:tcPr>
          <w:p w14:paraId="79421B1F"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78177C2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(0.009)</w:t>
            </w:r>
          </w:p>
        </w:tc>
        <w:tc>
          <w:tcPr>
            <w:tcW w:w="1254" w:type="dxa"/>
            <w:shd w:val="clear" w:color="auto" w:fill="auto"/>
            <w:vAlign w:val="center"/>
          </w:tcPr>
          <w:p w14:paraId="3803DDBB"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(0.005)</w:t>
            </w:r>
          </w:p>
        </w:tc>
        <w:tc>
          <w:tcPr>
            <w:tcW w:w="1254" w:type="dxa"/>
            <w:shd w:val="clear" w:color="auto" w:fill="auto"/>
            <w:noWrap/>
            <w:hideMark/>
          </w:tcPr>
          <w:p w14:paraId="075E33D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(0.009)</w:t>
            </w:r>
          </w:p>
        </w:tc>
        <w:tc>
          <w:tcPr>
            <w:tcW w:w="1260" w:type="dxa"/>
            <w:shd w:val="clear" w:color="auto" w:fill="auto"/>
            <w:noWrap/>
            <w:hideMark/>
          </w:tcPr>
          <w:p w14:paraId="43F8727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w:t>
            </w:r>
          </w:p>
        </w:tc>
      </w:tr>
      <w:tr w:rsidR="00521FEF" w:rsidRPr="009E5520" w14:paraId="3F345307" w14:textId="77777777" w:rsidTr="00114EAB">
        <w:trPr>
          <w:trHeight w:hRule="exact" w:val="197"/>
        </w:trPr>
        <w:tc>
          <w:tcPr>
            <w:tcW w:w="4046" w:type="dxa"/>
            <w:shd w:val="clear" w:color="auto" w:fill="auto"/>
            <w:noWrap/>
            <w:hideMark/>
          </w:tcPr>
          <w:p w14:paraId="562F157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Ret</w:t>
            </w:r>
          </w:p>
        </w:tc>
        <w:tc>
          <w:tcPr>
            <w:tcW w:w="1253" w:type="dxa"/>
            <w:shd w:val="clear" w:color="auto" w:fill="auto"/>
            <w:noWrap/>
            <w:hideMark/>
          </w:tcPr>
          <w:p w14:paraId="6757C4F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0.209</w:t>
            </w:r>
          </w:p>
        </w:tc>
        <w:tc>
          <w:tcPr>
            <w:tcW w:w="1254" w:type="dxa"/>
            <w:shd w:val="clear" w:color="auto" w:fill="auto"/>
            <w:vAlign w:val="center"/>
          </w:tcPr>
          <w:p w14:paraId="2D2BCA77"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-0.012</w:t>
            </w:r>
          </w:p>
        </w:tc>
        <w:tc>
          <w:tcPr>
            <w:tcW w:w="1254" w:type="dxa"/>
            <w:shd w:val="clear" w:color="auto" w:fill="auto"/>
            <w:noWrap/>
            <w:hideMark/>
          </w:tcPr>
          <w:p w14:paraId="0402FA7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0.147</w:t>
            </w:r>
          </w:p>
        </w:tc>
        <w:tc>
          <w:tcPr>
            <w:tcW w:w="1260" w:type="dxa"/>
            <w:shd w:val="clear" w:color="auto" w:fill="auto"/>
            <w:noWrap/>
            <w:hideMark/>
          </w:tcPr>
          <w:p w14:paraId="014E984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0.136</w:t>
            </w:r>
          </w:p>
        </w:tc>
      </w:tr>
      <w:tr w:rsidR="00521FEF" w:rsidRPr="009E5520" w14:paraId="602B5154" w14:textId="77777777" w:rsidTr="00114EAB">
        <w:trPr>
          <w:trHeight w:hRule="exact" w:val="197"/>
        </w:trPr>
        <w:tc>
          <w:tcPr>
            <w:tcW w:w="4046" w:type="dxa"/>
            <w:shd w:val="clear" w:color="auto" w:fill="auto"/>
            <w:noWrap/>
            <w:hideMark/>
          </w:tcPr>
          <w:p w14:paraId="556203B7"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C35766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(0.131)</w:t>
            </w:r>
          </w:p>
        </w:tc>
        <w:tc>
          <w:tcPr>
            <w:tcW w:w="1254" w:type="dxa"/>
            <w:shd w:val="clear" w:color="auto" w:fill="auto"/>
            <w:vAlign w:val="center"/>
          </w:tcPr>
          <w:p w14:paraId="1A0CD924"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(0.067)</w:t>
            </w:r>
          </w:p>
        </w:tc>
        <w:tc>
          <w:tcPr>
            <w:tcW w:w="1254" w:type="dxa"/>
            <w:shd w:val="clear" w:color="auto" w:fill="auto"/>
            <w:noWrap/>
            <w:hideMark/>
          </w:tcPr>
          <w:p w14:paraId="79F2EDA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(0.099)</w:t>
            </w:r>
          </w:p>
        </w:tc>
        <w:tc>
          <w:tcPr>
            <w:tcW w:w="1260" w:type="dxa"/>
            <w:shd w:val="clear" w:color="auto" w:fill="auto"/>
            <w:noWrap/>
            <w:hideMark/>
          </w:tcPr>
          <w:p w14:paraId="7793122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(0.103)</w:t>
            </w:r>
          </w:p>
        </w:tc>
      </w:tr>
      <w:tr w:rsidR="00521FEF" w:rsidRPr="009E5520" w14:paraId="431083FE" w14:textId="77777777" w:rsidTr="00114EAB">
        <w:trPr>
          <w:trHeight w:hRule="exact" w:val="197"/>
        </w:trPr>
        <w:tc>
          <w:tcPr>
            <w:tcW w:w="4046" w:type="dxa"/>
            <w:shd w:val="clear" w:color="auto" w:fill="auto"/>
            <w:noWrap/>
            <w:hideMark/>
          </w:tcPr>
          <w:p w14:paraId="78DBFF85"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STDRet</w:t>
            </w:r>
            <w:proofErr w:type="spellEnd"/>
          </w:p>
        </w:tc>
        <w:tc>
          <w:tcPr>
            <w:tcW w:w="1253" w:type="dxa"/>
            <w:shd w:val="clear" w:color="auto" w:fill="auto"/>
            <w:noWrap/>
            <w:hideMark/>
          </w:tcPr>
          <w:p w14:paraId="2AE682C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0.199</w:t>
            </w:r>
          </w:p>
        </w:tc>
        <w:tc>
          <w:tcPr>
            <w:tcW w:w="1254" w:type="dxa"/>
            <w:shd w:val="clear" w:color="auto" w:fill="auto"/>
            <w:vAlign w:val="center"/>
          </w:tcPr>
          <w:p w14:paraId="6833269D"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1.466*</w:t>
            </w:r>
          </w:p>
        </w:tc>
        <w:tc>
          <w:tcPr>
            <w:tcW w:w="1254" w:type="dxa"/>
            <w:shd w:val="clear" w:color="auto" w:fill="auto"/>
            <w:noWrap/>
            <w:hideMark/>
          </w:tcPr>
          <w:p w14:paraId="0D5D429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-0.033</w:t>
            </w:r>
          </w:p>
        </w:tc>
        <w:tc>
          <w:tcPr>
            <w:tcW w:w="1260" w:type="dxa"/>
            <w:shd w:val="clear" w:color="auto" w:fill="auto"/>
            <w:noWrap/>
            <w:hideMark/>
          </w:tcPr>
          <w:p w14:paraId="4DD0170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0.26</w:t>
            </w:r>
          </w:p>
        </w:tc>
      </w:tr>
      <w:tr w:rsidR="00521FEF" w:rsidRPr="009E5520" w14:paraId="6F1AF49B" w14:textId="77777777" w:rsidTr="00114EAB">
        <w:trPr>
          <w:trHeight w:hRule="exact" w:val="197"/>
        </w:trPr>
        <w:tc>
          <w:tcPr>
            <w:tcW w:w="4046" w:type="dxa"/>
            <w:shd w:val="clear" w:color="auto" w:fill="auto"/>
            <w:noWrap/>
            <w:hideMark/>
          </w:tcPr>
          <w:p w14:paraId="6BA48B4D"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280F59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(0.656)</w:t>
            </w:r>
          </w:p>
        </w:tc>
        <w:tc>
          <w:tcPr>
            <w:tcW w:w="1254" w:type="dxa"/>
            <w:shd w:val="clear" w:color="auto" w:fill="auto"/>
            <w:vAlign w:val="center"/>
          </w:tcPr>
          <w:p w14:paraId="485B96EC"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(0.747)</w:t>
            </w:r>
          </w:p>
        </w:tc>
        <w:tc>
          <w:tcPr>
            <w:tcW w:w="1254" w:type="dxa"/>
            <w:shd w:val="clear" w:color="auto" w:fill="auto"/>
            <w:noWrap/>
            <w:hideMark/>
          </w:tcPr>
          <w:p w14:paraId="7CB9C47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(0.64)</w:t>
            </w:r>
          </w:p>
        </w:tc>
        <w:tc>
          <w:tcPr>
            <w:tcW w:w="1260" w:type="dxa"/>
            <w:shd w:val="clear" w:color="auto" w:fill="auto"/>
            <w:noWrap/>
            <w:hideMark/>
          </w:tcPr>
          <w:p w14:paraId="7DB3A05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(0.749)</w:t>
            </w:r>
          </w:p>
        </w:tc>
      </w:tr>
      <w:tr w:rsidR="00521FEF" w:rsidRPr="009E5520" w14:paraId="3AC3CA46" w14:textId="77777777" w:rsidTr="00114EAB">
        <w:trPr>
          <w:trHeight w:hRule="exact" w:val="197"/>
        </w:trPr>
        <w:tc>
          <w:tcPr>
            <w:tcW w:w="4046" w:type="dxa"/>
            <w:shd w:val="clear" w:color="auto" w:fill="auto"/>
            <w:noWrap/>
            <w:hideMark/>
          </w:tcPr>
          <w:p w14:paraId="7826D7C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Leverage</w:t>
            </w:r>
          </w:p>
        </w:tc>
        <w:tc>
          <w:tcPr>
            <w:tcW w:w="1253" w:type="dxa"/>
            <w:shd w:val="clear" w:color="auto" w:fill="auto"/>
            <w:noWrap/>
            <w:hideMark/>
          </w:tcPr>
          <w:p w14:paraId="053064F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0.008</w:t>
            </w:r>
          </w:p>
        </w:tc>
        <w:tc>
          <w:tcPr>
            <w:tcW w:w="1254" w:type="dxa"/>
            <w:shd w:val="clear" w:color="auto" w:fill="auto"/>
            <w:vAlign w:val="center"/>
          </w:tcPr>
          <w:p w14:paraId="2C9E9E84"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0.003</w:t>
            </w:r>
          </w:p>
        </w:tc>
        <w:tc>
          <w:tcPr>
            <w:tcW w:w="1254" w:type="dxa"/>
            <w:shd w:val="clear" w:color="auto" w:fill="auto"/>
            <w:noWrap/>
            <w:hideMark/>
          </w:tcPr>
          <w:p w14:paraId="5C3403A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0.024</w:t>
            </w:r>
          </w:p>
        </w:tc>
        <w:tc>
          <w:tcPr>
            <w:tcW w:w="1260" w:type="dxa"/>
            <w:shd w:val="clear" w:color="auto" w:fill="auto"/>
            <w:noWrap/>
            <w:hideMark/>
          </w:tcPr>
          <w:p w14:paraId="527DAF8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0.008</w:t>
            </w:r>
          </w:p>
        </w:tc>
      </w:tr>
      <w:tr w:rsidR="00521FEF" w:rsidRPr="009E5520" w14:paraId="5FF49436" w14:textId="77777777" w:rsidTr="00114EAB">
        <w:trPr>
          <w:trHeight w:hRule="exact" w:val="197"/>
        </w:trPr>
        <w:tc>
          <w:tcPr>
            <w:tcW w:w="4046" w:type="dxa"/>
            <w:shd w:val="clear" w:color="auto" w:fill="auto"/>
            <w:noWrap/>
            <w:hideMark/>
          </w:tcPr>
          <w:p w14:paraId="0433BF6B"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5043132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(0.023)</w:t>
            </w:r>
          </w:p>
        </w:tc>
        <w:tc>
          <w:tcPr>
            <w:tcW w:w="1254" w:type="dxa"/>
            <w:shd w:val="clear" w:color="auto" w:fill="auto"/>
            <w:vAlign w:val="center"/>
          </w:tcPr>
          <w:p w14:paraId="3841E016"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(0.025)</w:t>
            </w:r>
          </w:p>
        </w:tc>
        <w:tc>
          <w:tcPr>
            <w:tcW w:w="1254" w:type="dxa"/>
            <w:shd w:val="clear" w:color="auto" w:fill="auto"/>
            <w:noWrap/>
            <w:hideMark/>
          </w:tcPr>
          <w:p w14:paraId="523E729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(0.019)</w:t>
            </w:r>
          </w:p>
        </w:tc>
        <w:tc>
          <w:tcPr>
            <w:tcW w:w="1260" w:type="dxa"/>
            <w:shd w:val="clear" w:color="auto" w:fill="auto"/>
            <w:noWrap/>
            <w:hideMark/>
          </w:tcPr>
          <w:p w14:paraId="40BE4F4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(0.022)</w:t>
            </w:r>
          </w:p>
        </w:tc>
      </w:tr>
      <w:tr w:rsidR="00521FEF" w:rsidRPr="009E5520" w14:paraId="4512F557" w14:textId="77777777" w:rsidTr="00114EAB">
        <w:trPr>
          <w:trHeight w:hRule="exact" w:val="197"/>
        </w:trPr>
        <w:tc>
          <w:tcPr>
            <w:tcW w:w="4046" w:type="dxa"/>
            <w:shd w:val="clear" w:color="auto" w:fill="auto"/>
            <w:noWrap/>
            <w:hideMark/>
          </w:tcPr>
          <w:p w14:paraId="44E6BCA6"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IsCEOChair</w:t>
            </w:r>
            <w:proofErr w:type="spellEnd"/>
          </w:p>
        </w:tc>
        <w:tc>
          <w:tcPr>
            <w:tcW w:w="1253" w:type="dxa"/>
            <w:shd w:val="clear" w:color="auto" w:fill="auto"/>
            <w:noWrap/>
            <w:hideMark/>
          </w:tcPr>
          <w:p w14:paraId="62E00EC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-0.181*</w:t>
            </w:r>
          </w:p>
        </w:tc>
        <w:tc>
          <w:tcPr>
            <w:tcW w:w="1254" w:type="dxa"/>
            <w:shd w:val="clear" w:color="auto" w:fill="auto"/>
            <w:vAlign w:val="center"/>
          </w:tcPr>
          <w:p w14:paraId="48A31C3E"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-0.064</w:t>
            </w:r>
          </w:p>
        </w:tc>
        <w:tc>
          <w:tcPr>
            <w:tcW w:w="1254" w:type="dxa"/>
            <w:shd w:val="clear" w:color="auto" w:fill="auto"/>
            <w:noWrap/>
            <w:hideMark/>
          </w:tcPr>
          <w:p w14:paraId="347F425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-0.167*</w:t>
            </w:r>
          </w:p>
        </w:tc>
        <w:tc>
          <w:tcPr>
            <w:tcW w:w="1260" w:type="dxa"/>
            <w:shd w:val="clear" w:color="auto" w:fill="auto"/>
            <w:noWrap/>
            <w:hideMark/>
          </w:tcPr>
          <w:p w14:paraId="112149A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-0.131</w:t>
            </w:r>
          </w:p>
        </w:tc>
      </w:tr>
      <w:tr w:rsidR="00521FEF" w:rsidRPr="009E5520" w14:paraId="4563EAB8" w14:textId="77777777" w:rsidTr="00114EAB">
        <w:trPr>
          <w:trHeight w:hRule="exact" w:val="197"/>
        </w:trPr>
        <w:tc>
          <w:tcPr>
            <w:tcW w:w="4046" w:type="dxa"/>
            <w:shd w:val="clear" w:color="auto" w:fill="auto"/>
            <w:noWrap/>
            <w:hideMark/>
          </w:tcPr>
          <w:p w14:paraId="035ADF81"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503D039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(0.11)</w:t>
            </w:r>
          </w:p>
        </w:tc>
        <w:tc>
          <w:tcPr>
            <w:tcW w:w="1254" w:type="dxa"/>
            <w:shd w:val="clear" w:color="auto" w:fill="auto"/>
            <w:vAlign w:val="center"/>
          </w:tcPr>
          <w:p w14:paraId="4FC0C799"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(0.146)</w:t>
            </w:r>
          </w:p>
        </w:tc>
        <w:tc>
          <w:tcPr>
            <w:tcW w:w="1254" w:type="dxa"/>
            <w:shd w:val="clear" w:color="auto" w:fill="auto"/>
            <w:noWrap/>
            <w:hideMark/>
          </w:tcPr>
          <w:p w14:paraId="31B6147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(0.09)</w:t>
            </w:r>
          </w:p>
        </w:tc>
        <w:tc>
          <w:tcPr>
            <w:tcW w:w="1260" w:type="dxa"/>
            <w:shd w:val="clear" w:color="auto" w:fill="auto"/>
            <w:noWrap/>
            <w:hideMark/>
          </w:tcPr>
          <w:p w14:paraId="313B276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(0.082)</w:t>
            </w:r>
          </w:p>
        </w:tc>
      </w:tr>
      <w:tr w:rsidR="00521FEF" w:rsidRPr="009E5520" w14:paraId="5E6FB6E3" w14:textId="77777777" w:rsidTr="00114EAB">
        <w:trPr>
          <w:trHeight w:hRule="exact" w:val="197"/>
        </w:trPr>
        <w:tc>
          <w:tcPr>
            <w:tcW w:w="4046" w:type="dxa"/>
            <w:shd w:val="clear" w:color="auto" w:fill="auto"/>
            <w:noWrap/>
            <w:hideMark/>
          </w:tcPr>
          <w:p w14:paraId="25306D30"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BoardTenure</w:t>
            </w:r>
            <w:proofErr w:type="spellEnd"/>
          </w:p>
        </w:tc>
        <w:tc>
          <w:tcPr>
            <w:tcW w:w="1253" w:type="dxa"/>
            <w:shd w:val="clear" w:color="auto" w:fill="auto"/>
            <w:noWrap/>
            <w:hideMark/>
          </w:tcPr>
          <w:p w14:paraId="4DD983D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-0.008</w:t>
            </w:r>
          </w:p>
        </w:tc>
        <w:tc>
          <w:tcPr>
            <w:tcW w:w="1254" w:type="dxa"/>
            <w:shd w:val="clear" w:color="auto" w:fill="auto"/>
            <w:vAlign w:val="center"/>
          </w:tcPr>
          <w:p w14:paraId="2CA36177"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-0.02</w:t>
            </w:r>
          </w:p>
        </w:tc>
        <w:tc>
          <w:tcPr>
            <w:tcW w:w="1254" w:type="dxa"/>
            <w:shd w:val="clear" w:color="auto" w:fill="auto"/>
            <w:noWrap/>
            <w:hideMark/>
          </w:tcPr>
          <w:p w14:paraId="12DED8F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-0.008</w:t>
            </w:r>
          </w:p>
        </w:tc>
        <w:tc>
          <w:tcPr>
            <w:tcW w:w="1260" w:type="dxa"/>
            <w:shd w:val="clear" w:color="auto" w:fill="auto"/>
            <w:noWrap/>
            <w:hideMark/>
          </w:tcPr>
          <w:p w14:paraId="0A36413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-0.009</w:t>
            </w:r>
          </w:p>
        </w:tc>
      </w:tr>
      <w:tr w:rsidR="00521FEF" w:rsidRPr="009E5520" w14:paraId="5F2B450A" w14:textId="77777777" w:rsidTr="00114EAB">
        <w:trPr>
          <w:trHeight w:hRule="exact" w:val="197"/>
        </w:trPr>
        <w:tc>
          <w:tcPr>
            <w:tcW w:w="4046" w:type="dxa"/>
            <w:shd w:val="clear" w:color="auto" w:fill="auto"/>
            <w:noWrap/>
            <w:hideMark/>
          </w:tcPr>
          <w:p w14:paraId="7EC8043E"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5A57C04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(0.012)</w:t>
            </w:r>
          </w:p>
        </w:tc>
        <w:tc>
          <w:tcPr>
            <w:tcW w:w="1254" w:type="dxa"/>
            <w:shd w:val="clear" w:color="auto" w:fill="auto"/>
            <w:vAlign w:val="center"/>
          </w:tcPr>
          <w:p w14:paraId="73791486"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(0.013)</w:t>
            </w:r>
          </w:p>
        </w:tc>
        <w:tc>
          <w:tcPr>
            <w:tcW w:w="1254" w:type="dxa"/>
            <w:shd w:val="clear" w:color="auto" w:fill="auto"/>
            <w:noWrap/>
            <w:hideMark/>
          </w:tcPr>
          <w:p w14:paraId="07154E9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w:t>
            </w:r>
          </w:p>
        </w:tc>
        <w:tc>
          <w:tcPr>
            <w:tcW w:w="1260" w:type="dxa"/>
            <w:shd w:val="clear" w:color="auto" w:fill="auto"/>
            <w:noWrap/>
            <w:hideMark/>
          </w:tcPr>
          <w:p w14:paraId="5775D9A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w:t>
            </w:r>
          </w:p>
        </w:tc>
      </w:tr>
      <w:tr w:rsidR="00521FEF" w:rsidRPr="009E5520" w14:paraId="3670BA1A" w14:textId="77777777" w:rsidTr="00114EAB">
        <w:trPr>
          <w:trHeight w:hRule="exact" w:val="197"/>
        </w:trPr>
        <w:tc>
          <w:tcPr>
            <w:tcW w:w="4046" w:type="dxa"/>
            <w:shd w:val="clear" w:color="auto" w:fill="auto"/>
            <w:noWrap/>
            <w:hideMark/>
          </w:tcPr>
          <w:p w14:paraId="1A047005"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IndCommittee</w:t>
            </w:r>
            <w:proofErr w:type="spellEnd"/>
          </w:p>
        </w:tc>
        <w:tc>
          <w:tcPr>
            <w:tcW w:w="1253" w:type="dxa"/>
            <w:shd w:val="clear" w:color="auto" w:fill="auto"/>
            <w:noWrap/>
            <w:hideMark/>
          </w:tcPr>
          <w:p w14:paraId="374A2C0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-0.001</w:t>
            </w:r>
          </w:p>
        </w:tc>
        <w:tc>
          <w:tcPr>
            <w:tcW w:w="1254" w:type="dxa"/>
            <w:shd w:val="clear" w:color="auto" w:fill="auto"/>
            <w:vAlign w:val="center"/>
          </w:tcPr>
          <w:p w14:paraId="338916CA"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-0.001</w:t>
            </w:r>
          </w:p>
        </w:tc>
        <w:tc>
          <w:tcPr>
            <w:tcW w:w="1254" w:type="dxa"/>
            <w:shd w:val="clear" w:color="auto" w:fill="auto"/>
            <w:noWrap/>
            <w:hideMark/>
          </w:tcPr>
          <w:p w14:paraId="2D3C06F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-0.002</w:t>
            </w:r>
          </w:p>
        </w:tc>
        <w:tc>
          <w:tcPr>
            <w:tcW w:w="1260" w:type="dxa"/>
            <w:shd w:val="clear" w:color="auto" w:fill="auto"/>
            <w:noWrap/>
            <w:hideMark/>
          </w:tcPr>
          <w:p w14:paraId="72E42BC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-0.001</w:t>
            </w:r>
          </w:p>
        </w:tc>
      </w:tr>
      <w:tr w:rsidR="00521FEF" w:rsidRPr="009E5520" w14:paraId="658BA351" w14:textId="77777777" w:rsidTr="00114EAB">
        <w:trPr>
          <w:trHeight w:hRule="exact" w:val="197"/>
        </w:trPr>
        <w:tc>
          <w:tcPr>
            <w:tcW w:w="4046" w:type="dxa"/>
            <w:shd w:val="clear" w:color="auto" w:fill="auto"/>
            <w:noWrap/>
            <w:hideMark/>
          </w:tcPr>
          <w:p w14:paraId="1DA0497F"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9303CA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(0.002)</w:t>
            </w:r>
          </w:p>
        </w:tc>
        <w:tc>
          <w:tcPr>
            <w:tcW w:w="1254" w:type="dxa"/>
            <w:shd w:val="clear" w:color="auto" w:fill="auto"/>
            <w:vAlign w:val="center"/>
          </w:tcPr>
          <w:p w14:paraId="3A933F90"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(0.002)</w:t>
            </w:r>
          </w:p>
        </w:tc>
        <w:tc>
          <w:tcPr>
            <w:tcW w:w="1254" w:type="dxa"/>
            <w:shd w:val="clear" w:color="auto" w:fill="auto"/>
            <w:noWrap/>
            <w:hideMark/>
          </w:tcPr>
          <w:p w14:paraId="3DFA44F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(0.001)</w:t>
            </w:r>
          </w:p>
        </w:tc>
        <w:tc>
          <w:tcPr>
            <w:tcW w:w="1260" w:type="dxa"/>
            <w:shd w:val="clear" w:color="auto" w:fill="auto"/>
            <w:noWrap/>
            <w:hideMark/>
          </w:tcPr>
          <w:p w14:paraId="45338BE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(0.001)</w:t>
            </w:r>
          </w:p>
        </w:tc>
      </w:tr>
      <w:tr w:rsidR="00521FEF" w:rsidRPr="009E5520" w14:paraId="095964FC" w14:textId="77777777" w:rsidTr="00114EAB">
        <w:trPr>
          <w:trHeight w:hRule="exact" w:val="197"/>
        </w:trPr>
        <w:tc>
          <w:tcPr>
            <w:tcW w:w="4046" w:type="dxa"/>
            <w:shd w:val="clear" w:color="auto" w:fill="auto"/>
            <w:noWrap/>
            <w:hideMark/>
          </w:tcPr>
          <w:p w14:paraId="39053850"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PPEIntensity</w:t>
            </w:r>
            <w:proofErr w:type="spellEnd"/>
          </w:p>
        </w:tc>
        <w:tc>
          <w:tcPr>
            <w:tcW w:w="1253" w:type="dxa"/>
            <w:shd w:val="clear" w:color="auto" w:fill="auto"/>
            <w:noWrap/>
            <w:hideMark/>
          </w:tcPr>
          <w:p w14:paraId="184E1F6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-0.012***</w:t>
            </w:r>
          </w:p>
        </w:tc>
        <w:tc>
          <w:tcPr>
            <w:tcW w:w="1254" w:type="dxa"/>
            <w:shd w:val="clear" w:color="auto" w:fill="auto"/>
            <w:vAlign w:val="center"/>
          </w:tcPr>
          <w:p w14:paraId="0817205D"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-0.025***</w:t>
            </w:r>
          </w:p>
        </w:tc>
        <w:tc>
          <w:tcPr>
            <w:tcW w:w="1254" w:type="dxa"/>
            <w:shd w:val="clear" w:color="auto" w:fill="auto"/>
            <w:noWrap/>
            <w:hideMark/>
          </w:tcPr>
          <w:p w14:paraId="7A414BE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-0.010***</w:t>
            </w:r>
          </w:p>
        </w:tc>
        <w:tc>
          <w:tcPr>
            <w:tcW w:w="1260" w:type="dxa"/>
            <w:shd w:val="clear" w:color="auto" w:fill="auto"/>
            <w:noWrap/>
            <w:hideMark/>
          </w:tcPr>
          <w:p w14:paraId="3608C42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r>
      <w:tr w:rsidR="00521FEF" w:rsidRPr="009E5520" w14:paraId="2A7E6840" w14:textId="77777777" w:rsidTr="00114EAB">
        <w:trPr>
          <w:trHeight w:hRule="exact" w:val="197"/>
        </w:trPr>
        <w:tc>
          <w:tcPr>
            <w:tcW w:w="4046" w:type="dxa"/>
            <w:shd w:val="clear" w:color="auto" w:fill="auto"/>
            <w:noWrap/>
            <w:hideMark/>
          </w:tcPr>
          <w:p w14:paraId="4583CB19"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6C1356B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(0.004)</w:t>
            </w:r>
          </w:p>
        </w:tc>
        <w:tc>
          <w:tcPr>
            <w:tcW w:w="1254" w:type="dxa"/>
            <w:shd w:val="clear" w:color="auto" w:fill="auto"/>
            <w:vAlign w:val="center"/>
          </w:tcPr>
          <w:p w14:paraId="3CF2CC7A"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(0.006)</w:t>
            </w:r>
          </w:p>
        </w:tc>
        <w:tc>
          <w:tcPr>
            <w:tcW w:w="1254" w:type="dxa"/>
            <w:shd w:val="clear" w:color="auto" w:fill="auto"/>
            <w:noWrap/>
            <w:hideMark/>
          </w:tcPr>
          <w:p w14:paraId="499B331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(0.002)</w:t>
            </w:r>
          </w:p>
        </w:tc>
        <w:tc>
          <w:tcPr>
            <w:tcW w:w="1260" w:type="dxa"/>
            <w:shd w:val="clear" w:color="auto" w:fill="auto"/>
            <w:noWrap/>
            <w:hideMark/>
          </w:tcPr>
          <w:p w14:paraId="62030FB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(0.003)</w:t>
            </w:r>
          </w:p>
        </w:tc>
      </w:tr>
      <w:tr w:rsidR="00521FEF" w:rsidRPr="009E5520" w14:paraId="32AB9A22" w14:textId="77777777" w:rsidTr="00114EAB">
        <w:trPr>
          <w:trHeight w:hRule="exact" w:val="197"/>
        </w:trPr>
        <w:tc>
          <w:tcPr>
            <w:tcW w:w="4046" w:type="dxa"/>
            <w:shd w:val="clear" w:color="auto" w:fill="auto"/>
            <w:noWrap/>
            <w:hideMark/>
          </w:tcPr>
          <w:p w14:paraId="4E721C64"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RDIntensity</w:t>
            </w:r>
            <w:proofErr w:type="spellEnd"/>
          </w:p>
        </w:tc>
        <w:tc>
          <w:tcPr>
            <w:tcW w:w="1253" w:type="dxa"/>
            <w:shd w:val="clear" w:color="auto" w:fill="auto"/>
            <w:noWrap/>
            <w:hideMark/>
          </w:tcPr>
          <w:p w14:paraId="0AB80A9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-0.022*</w:t>
            </w:r>
          </w:p>
        </w:tc>
        <w:tc>
          <w:tcPr>
            <w:tcW w:w="1254" w:type="dxa"/>
            <w:shd w:val="clear" w:color="auto" w:fill="auto"/>
            <w:vAlign w:val="center"/>
          </w:tcPr>
          <w:p w14:paraId="5179EECF"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-0.007</w:t>
            </w:r>
          </w:p>
        </w:tc>
        <w:tc>
          <w:tcPr>
            <w:tcW w:w="1254" w:type="dxa"/>
            <w:shd w:val="clear" w:color="auto" w:fill="auto"/>
            <w:noWrap/>
            <w:hideMark/>
          </w:tcPr>
          <w:p w14:paraId="4DCB536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-0.003</w:t>
            </w:r>
          </w:p>
        </w:tc>
        <w:tc>
          <w:tcPr>
            <w:tcW w:w="1260" w:type="dxa"/>
            <w:shd w:val="clear" w:color="auto" w:fill="auto"/>
            <w:noWrap/>
            <w:hideMark/>
          </w:tcPr>
          <w:p w14:paraId="0C4AF52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r>
      <w:tr w:rsidR="00521FEF" w:rsidRPr="009E5520" w14:paraId="0ABCAA42" w14:textId="77777777" w:rsidTr="00114EAB">
        <w:trPr>
          <w:trHeight w:hRule="exact" w:val="197"/>
        </w:trPr>
        <w:tc>
          <w:tcPr>
            <w:tcW w:w="4046" w:type="dxa"/>
            <w:shd w:val="clear" w:color="auto" w:fill="auto"/>
            <w:noWrap/>
            <w:hideMark/>
          </w:tcPr>
          <w:p w14:paraId="7C44D055"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76F93FB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c>
          <w:tcPr>
            <w:tcW w:w="1254" w:type="dxa"/>
            <w:shd w:val="clear" w:color="auto" w:fill="auto"/>
            <w:vAlign w:val="center"/>
          </w:tcPr>
          <w:p w14:paraId="530F4765"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(0.012)</w:t>
            </w:r>
          </w:p>
        </w:tc>
        <w:tc>
          <w:tcPr>
            <w:tcW w:w="1254" w:type="dxa"/>
            <w:shd w:val="clear" w:color="auto" w:fill="auto"/>
            <w:noWrap/>
            <w:hideMark/>
          </w:tcPr>
          <w:p w14:paraId="0C32D2C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(0.013)</w:t>
            </w:r>
          </w:p>
        </w:tc>
        <w:tc>
          <w:tcPr>
            <w:tcW w:w="1260" w:type="dxa"/>
            <w:shd w:val="clear" w:color="auto" w:fill="auto"/>
            <w:noWrap/>
            <w:hideMark/>
          </w:tcPr>
          <w:p w14:paraId="14CCAAA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r>
      <w:tr w:rsidR="00521FEF" w:rsidRPr="009E5520" w14:paraId="4D7CA310" w14:textId="77777777" w:rsidTr="00114EAB">
        <w:trPr>
          <w:trHeight w:hRule="exact" w:val="197"/>
        </w:trPr>
        <w:tc>
          <w:tcPr>
            <w:tcW w:w="4046" w:type="dxa"/>
            <w:shd w:val="clear" w:color="auto" w:fill="auto"/>
            <w:noWrap/>
            <w:hideMark/>
          </w:tcPr>
          <w:p w14:paraId="02DC5FAD"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IndConcentration</w:t>
            </w:r>
            <w:proofErr w:type="spellEnd"/>
          </w:p>
        </w:tc>
        <w:tc>
          <w:tcPr>
            <w:tcW w:w="1253" w:type="dxa"/>
            <w:shd w:val="clear" w:color="auto" w:fill="auto"/>
            <w:noWrap/>
            <w:hideMark/>
          </w:tcPr>
          <w:p w14:paraId="5B4F1E1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0.834</w:t>
            </w:r>
          </w:p>
        </w:tc>
        <w:tc>
          <w:tcPr>
            <w:tcW w:w="1254" w:type="dxa"/>
            <w:shd w:val="clear" w:color="auto" w:fill="auto"/>
            <w:vAlign w:val="center"/>
          </w:tcPr>
          <w:p w14:paraId="0541C1E2"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0.108</w:t>
            </w:r>
          </w:p>
        </w:tc>
        <w:tc>
          <w:tcPr>
            <w:tcW w:w="1254" w:type="dxa"/>
            <w:shd w:val="clear" w:color="auto" w:fill="auto"/>
            <w:noWrap/>
            <w:hideMark/>
          </w:tcPr>
          <w:p w14:paraId="46B7B2B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0.072</w:t>
            </w:r>
          </w:p>
        </w:tc>
        <w:tc>
          <w:tcPr>
            <w:tcW w:w="1260" w:type="dxa"/>
            <w:shd w:val="clear" w:color="auto" w:fill="auto"/>
            <w:noWrap/>
            <w:hideMark/>
          </w:tcPr>
          <w:p w14:paraId="104F4E5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0.38</w:t>
            </w:r>
          </w:p>
        </w:tc>
      </w:tr>
      <w:tr w:rsidR="00521FEF" w:rsidRPr="009E5520" w14:paraId="3C45CE62" w14:textId="77777777" w:rsidTr="00114EAB">
        <w:trPr>
          <w:trHeight w:hRule="exact" w:val="197"/>
        </w:trPr>
        <w:tc>
          <w:tcPr>
            <w:tcW w:w="4046" w:type="dxa"/>
            <w:shd w:val="clear" w:color="auto" w:fill="auto"/>
            <w:noWrap/>
            <w:hideMark/>
          </w:tcPr>
          <w:p w14:paraId="41887FA5"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C95A6D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(0.553)</w:t>
            </w:r>
          </w:p>
        </w:tc>
        <w:tc>
          <w:tcPr>
            <w:tcW w:w="1254" w:type="dxa"/>
            <w:shd w:val="clear" w:color="auto" w:fill="auto"/>
            <w:vAlign w:val="center"/>
          </w:tcPr>
          <w:p w14:paraId="042DA3E1"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(0.769)</w:t>
            </w:r>
          </w:p>
        </w:tc>
        <w:tc>
          <w:tcPr>
            <w:tcW w:w="1254" w:type="dxa"/>
            <w:shd w:val="clear" w:color="auto" w:fill="auto"/>
            <w:noWrap/>
            <w:hideMark/>
          </w:tcPr>
          <w:p w14:paraId="65F49D3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(0.8)</w:t>
            </w:r>
          </w:p>
        </w:tc>
        <w:tc>
          <w:tcPr>
            <w:tcW w:w="1260" w:type="dxa"/>
            <w:shd w:val="clear" w:color="auto" w:fill="auto"/>
            <w:noWrap/>
            <w:hideMark/>
          </w:tcPr>
          <w:p w14:paraId="743F525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(0.916)</w:t>
            </w:r>
          </w:p>
        </w:tc>
      </w:tr>
      <w:tr w:rsidR="00521FEF" w:rsidRPr="009E5520" w14:paraId="345E9260" w14:textId="77777777" w:rsidTr="00114EAB">
        <w:trPr>
          <w:trHeight w:hRule="exact" w:val="197"/>
        </w:trPr>
        <w:tc>
          <w:tcPr>
            <w:tcW w:w="4046" w:type="dxa"/>
            <w:shd w:val="clear" w:color="auto" w:fill="auto"/>
            <w:noWrap/>
            <w:hideMark/>
          </w:tcPr>
          <w:p w14:paraId="5D0B613D"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Education</w:t>
            </w:r>
          </w:p>
        </w:tc>
        <w:tc>
          <w:tcPr>
            <w:tcW w:w="1253" w:type="dxa"/>
            <w:shd w:val="clear" w:color="auto" w:fill="auto"/>
            <w:noWrap/>
            <w:hideMark/>
          </w:tcPr>
          <w:p w14:paraId="189E409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-0.114</w:t>
            </w:r>
          </w:p>
        </w:tc>
        <w:tc>
          <w:tcPr>
            <w:tcW w:w="1254" w:type="dxa"/>
            <w:shd w:val="clear" w:color="auto" w:fill="auto"/>
            <w:vAlign w:val="center"/>
          </w:tcPr>
          <w:p w14:paraId="0A21D6FA"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-0.017</w:t>
            </w:r>
          </w:p>
        </w:tc>
        <w:tc>
          <w:tcPr>
            <w:tcW w:w="1254" w:type="dxa"/>
            <w:shd w:val="clear" w:color="auto" w:fill="auto"/>
            <w:noWrap/>
            <w:hideMark/>
          </w:tcPr>
          <w:p w14:paraId="4F40E5A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-0.057</w:t>
            </w:r>
          </w:p>
        </w:tc>
        <w:tc>
          <w:tcPr>
            <w:tcW w:w="1260" w:type="dxa"/>
            <w:shd w:val="clear" w:color="auto" w:fill="auto"/>
            <w:noWrap/>
            <w:hideMark/>
          </w:tcPr>
          <w:p w14:paraId="07B7E1D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-0.06</w:t>
            </w:r>
          </w:p>
        </w:tc>
      </w:tr>
      <w:tr w:rsidR="00521FEF" w:rsidRPr="009E5520" w14:paraId="2B95914C" w14:textId="77777777" w:rsidTr="00114EAB">
        <w:trPr>
          <w:trHeight w:hRule="exact" w:val="197"/>
        </w:trPr>
        <w:tc>
          <w:tcPr>
            <w:tcW w:w="4046" w:type="dxa"/>
            <w:shd w:val="clear" w:color="auto" w:fill="auto"/>
            <w:noWrap/>
            <w:hideMark/>
          </w:tcPr>
          <w:p w14:paraId="2B222DFD"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594B16D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(0.086)</w:t>
            </w:r>
          </w:p>
        </w:tc>
        <w:tc>
          <w:tcPr>
            <w:tcW w:w="1254" w:type="dxa"/>
            <w:shd w:val="clear" w:color="auto" w:fill="auto"/>
            <w:vAlign w:val="center"/>
          </w:tcPr>
          <w:p w14:paraId="30B7ADA4"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(0.101)</w:t>
            </w:r>
          </w:p>
        </w:tc>
        <w:tc>
          <w:tcPr>
            <w:tcW w:w="1254" w:type="dxa"/>
            <w:shd w:val="clear" w:color="auto" w:fill="auto"/>
            <w:noWrap/>
            <w:hideMark/>
          </w:tcPr>
          <w:p w14:paraId="118D324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(0.081)</w:t>
            </w:r>
          </w:p>
        </w:tc>
        <w:tc>
          <w:tcPr>
            <w:tcW w:w="1260" w:type="dxa"/>
            <w:shd w:val="clear" w:color="auto" w:fill="auto"/>
            <w:noWrap/>
            <w:hideMark/>
          </w:tcPr>
          <w:p w14:paraId="70CE0B54"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(0.091)</w:t>
            </w:r>
          </w:p>
        </w:tc>
      </w:tr>
      <w:tr w:rsidR="00521FEF" w:rsidRPr="009E5520" w14:paraId="01E3DE1B" w14:textId="77777777" w:rsidTr="00114EAB">
        <w:trPr>
          <w:trHeight w:hRule="exact" w:val="197"/>
        </w:trPr>
        <w:tc>
          <w:tcPr>
            <w:tcW w:w="4046" w:type="dxa"/>
            <w:shd w:val="clear" w:color="auto" w:fill="auto"/>
            <w:noWrap/>
            <w:hideMark/>
          </w:tcPr>
          <w:p w14:paraId="23F3ED2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Union</w:t>
            </w:r>
          </w:p>
        </w:tc>
        <w:tc>
          <w:tcPr>
            <w:tcW w:w="1253" w:type="dxa"/>
            <w:shd w:val="clear" w:color="auto" w:fill="auto"/>
            <w:noWrap/>
            <w:hideMark/>
          </w:tcPr>
          <w:p w14:paraId="5FDD8AC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1254" w:type="dxa"/>
            <w:shd w:val="clear" w:color="auto" w:fill="auto"/>
            <w:vAlign w:val="center"/>
          </w:tcPr>
          <w:p w14:paraId="51226C3B"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-0.023</w:t>
            </w:r>
          </w:p>
        </w:tc>
        <w:tc>
          <w:tcPr>
            <w:tcW w:w="1254" w:type="dxa"/>
            <w:shd w:val="clear" w:color="auto" w:fill="auto"/>
            <w:noWrap/>
            <w:hideMark/>
          </w:tcPr>
          <w:p w14:paraId="309EEF2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-0.021</w:t>
            </w:r>
          </w:p>
        </w:tc>
        <w:tc>
          <w:tcPr>
            <w:tcW w:w="1260" w:type="dxa"/>
            <w:shd w:val="clear" w:color="auto" w:fill="auto"/>
            <w:noWrap/>
            <w:hideMark/>
          </w:tcPr>
          <w:p w14:paraId="5C4944D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-0.009</w:t>
            </w:r>
          </w:p>
        </w:tc>
      </w:tr>
      <w:tr w:rsidR="00521FEF" w:rsidRPr="009E5520" w14:paraId="671DACA4" w14:textId="77777777" w:rsidTr="00114EAB">
        <w:trPr>
          <w:trHeight w:hRule="exact" w:val="197"/>
        </w:trPr>
        <w:tc>
          <w:tcPr>
            <w:tcW w:w="4046" w:type="dxa"/>
            <w:shd w:val="clear" w:color="auto" w:fill="auto"/>
            <w:noWrap/>
          </w:tcPr>
          <w:p w14:paraId="1DCC630A"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tcPr>
          <w:p w14:paraId="4500371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(0.038)</w:t>
            </w:r>
          </w:p>
        </w:tc>
        <w:tc>
          <w:tcPr>
            <w:tcW w:w="1254" w:type="dxa"/>
            <w:shd w:val="clear" w:color="auto" w:fill="auto"/>
            <w:vAlign w:val="center"/>
          </w:tcPr>
          <w:p w14:paraId="344DA679"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(0.043)</w:t>
            </w:r>
          </w:p>
        </w:tc>
        <w:tc>
          <w:tcPr>
            <w:tcW w:w="1254" w:type="dxa"/>
            <w:shd w:val="clear" w:color="auto" w:fill="auto"/>
            <w:noWrap/>
          </w:tcPr>
          <w:p w14:paraId="21F8503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(0.042)</w:t>
            </w:r>
          </w:p>
        </w:tc>
        <w:tc>
          <w:tcPr>
            <w:tcW w:w="1260" w:type="dxa"/>
            <w:shd w:val="clear" w:color="auto" w:fill="auto"/>
            <w:noWrap/>
          </w:tcPr>
          <w:p w14:paraId="4E2B1DA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(0.044)</w:t>
            </w:r>
          </w:p>
        </w:tc>
      </w:tr>
      <w:tr w:rsidR="00521FEF" w:rsidRPr="009E5520" w14:paraId="57E2D09C" w14:textId="77777777" w:rsidTr="00114EAB">
        <w:trPr>
          <w:trHeight w:hRule="exact" w:val="197"/>
        </w:trPr>
        <w:tc>
          <w:tcPr>
            <w:tcW w:w="4046" w:type="dxa"/>
            <w:shd w:val="clear" w:color="auto" w:fill="auto"/>
            <w:noWrap/>
          </w:tcPr>
          <w:p w14:paraId="7874FE05"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Unemploymee</w:t>
            </w:r>
            <w:proofErr w:type="spellEnd"/>
          </w:p>
        </w:tc>
        <w:tc>
          <w:tcPr>
            <w:tcW w:w="1253" w:type="dxa"/>
            <w:shd w:val="clear" w:color="auto" w:fill="auto"/>
            <w:noWrap/>
          </w:tcPr>
          <w:p w14:paraId="3B41FBF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0.094**</w:t>
            </w:r>
          </w:p>
        </w:tc>
        <w:tc>
          <w:tcPr>
            <w:tcW w:w="1254" w:type="dxa"/>
            <w:shd w:val="clear" w:color="auto" w:fill="auto"/>
            <w:vAlign w:val="center"/>
          </w:tcPr>
          <w:p w14:paraId="6D6C90E4"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0.150***</w:t>
            </w:r>
          </w:p>
        </w:tc>
        <w:tc>
          <w:tcPr>
            <w:tcW w:w="1254" w:type="dxa"/>
            <w:shd w:val="clear" w:color="auto" w:fill="auto"/>
            <w:noWrap/>
          </w:tcPr>
          <w:p w14:paraId="78FF6A5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0.043</w:t>
            </w:r>
          </w:p>
        </w:tc>
        <w:tc>
          <w:tcPr>
            <w:tcW w:w="1260" w:type="dxa"/>
            <w:shd w:val="clear" w:color="auto" w:fill="auto"/>
            <w:noWrap/>
          </w:tcPr>
          <w:p w14:paraId="799EB06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0.07</w:t>
            </w:r>
          </w:p>
        </w:tc>
      </w:tr>
      <w:tr w:rsidR="00521FEF" w:rsidRPr="009E5520" w14:paraId="6095F6BF" w14:textId="77777777" w:rsidTr="00114EAB">
        <w:trPr>
          <w:trHeight w:hRule="exact" w:val="197"/>
        </w:trPr>
        <w:tc>
          <w:tcPr>
            <w:tcW w:w="4046" w:type="dxa"/>
            <w:shd w:val="clear" w:color="auto" w:fill="auto"/>
            <w:noWrap/>
          </w:tcPr>
          <w:p w14:paraId="3369E57C"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tcPr>
          <w:p w14:paraId="0095A6B5"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(0.047)</w:t>
            </w:r>
          </w:p>
        </w:tc>
        <w:tc>
          <w:tcPr>
            <w:tcW w:w="1254" w:type="dxa"/>
            <w:shd w:val="clear" w:color="auto" w:fill="auto"/>
            <w:vAlign w:val="center"/>
          </w:tcPr>
          <w:p w14:paraId="08292D5F"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(0.056)</w:t>
            </w:r>
          </w:p>
        </w:tc>
        <w:tc>
          <w:tcPr>
            <w:tcW w:w="1254" w:type="dxa"/>
            <w:shd w:val="clear" w:color="auto" w:fill="auto"/>
            <w:noWrap/>
          </w:tcPr>
          <w:p w14:paraId="2EBE512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(0.048)</w:t>
            </w:r>
          </w:p>
        </w:tc>
        <w:tc>
          <w:tcPr>
            <w:tcW w:w="1260" w:type="dxa"/>
            <w:shd w:val="clear" w:color="auto" w:fill="auto"/>
            <w:noWrap/>
          </w:tcPr>
          <w:p w14:paraId="563C40F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(0.049)</w:t>
            </w:r>
          </w:p>
        </w:tc>
      </w:tr>
      <w:tr w:rsidR="00521FEF" w:rsidRPr="009E5520" w14:paraId="64CE5A05" w14:textId="77777777" w:rsidTr="00114EAB">
        <w:trPr>
          <w:trHeight w:hRule="exact" w:val="197"/>
        </w:trPr>
        <w:tc>
          <w:tcPr>
            <w:tcW w:w="4046" w:type="dxa"/>
            <w:shd w:val="clear" w:color="auto" w:fill="auto"/>
            <w:noWrap/>
          </w:tcPr>
          <w:p w14:paraId="7427F4D2" w14:textId="77777777" w:rsidR="00521FEF" w:rsidRPr="009E5520" w:rsidRDefault="00521FEF" w:rsidP="00114EAB">
            <w:pPr>
              <w:spacing w:after="0" w:line="240" w:lineRule="auto"/>
              <w:ind w:firstLine="0"/>
              <w:jc w:val="left"/>
              <w:rPr>
                <w:rFonts w:cs="Times New Roman"/>
                <w:sz w:val="18"/>
                <w:szCs w:val="18"/>
              </w:rPr>
            </w:pPr>
            <w:proofErr w:type="spellStart"/>
            <w:r w:rsidRPr="009E5520">
              <w:rPr>
                <w:rFonts w:cs="Times New Roman"/>
                <w:sz w:val="18"/>
                <w:szCs w:val="18"/>
              </w:rPr>
              <w:t>VacantJobRatio</w:t>
            </w:r>
            <w:proofErr w:type="spellEnd"/>
          </w:p>
        </w:tc>
        <w:tc>
          <w:tcPr>
            <w:tcW w:w="1253" w:type="dxa"/>
            <w:shd w:val="clear" w:color="auto" w:fill="auto"/>
            <w:noWrap/>
          </w:tcPr>
          <w:p w14:paraId="3BE80AA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0.024</w:t>
            </w:r>
          </w:p>
        </w:tc>
        <w:tc>
          <w:tcPr>
            <w:tcW w:w="1254" w:type="dxa"/>
            <w:shd w:val="clear" w:color="auto" w:fill="auto"/>
            <w:vAlign w:val="center"/>
          </w:tcPr>
          <w:p w14:paraId="4FEDBE4D"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0.087*</w:t>
            </w:r>
          </w:p>
        </w:tc>
        <w:tc>
          <w:tcPr>
            <w:tcW w:w="1254" w:type="dxa"/>
            <w:shd w:val="clear" w:color="auto" w:fill="auto"/>
            <w:noWrap/>
          </w:tcPr>
          <w:p w14:paraId="6EAA5FB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0.022</w:t>
            </w:r>
          </w:p>
        </w:tc>
        <w:tc>
          <w:tcPr>
            <w:tcW w:w="1260" w:type="dxa"/>
            <w:shd w:val="clear" w:color="auto" w:fill="auto"/>
            <w:noWrap/>
          </w:tcPr>
          <w:p w14:paraId="192613B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-0.011</w:t>
            </w:r>
          </w:p>
        </w:tc>
      </w:tr>
      <w:tr w:rsidR="00521FEF" w:rsidRPr="009E5520" w14:paraId="6BE661AF" w14:textId="77777777" w:rsidTr="00114EAB">
        <w:trPr>
          <w:trHeight w:hRule="exact" w:val="197"/>
        </w:trPr>
        <w:tc>
          <w:tcPr>
            <w:tcW w:w="4046" w:type="dxa"/>
            <w:shd w:val="clear" w:color="auto" w:fill="auto"/>
            <w:noWrap/>
            <w:hideMark/>
          </w:tcPr>
          <w:p w14:paraId="5B606129"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1B7C389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(0.046)</w:t>
            </w:r>
          </w:p>
        </w:tc>
        <w:tc>
          <w:tcPr>
            <w:tcW w:w="1254" w:type="dxa"/>
            <w:shd w:val="clear" w:color="auto" w:fill="auto"/>
            <w:vAlign w:val="center"/>
          </w:tcPr>
          <w:p w14:paraId="0793B267"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(0.047)</w:t>
            </w:r>
          </w:p>
        </w:tc>
        <w:tc>
          <w:tcPr>
            <w:tcW w:w="1254" w:type="dxa"/>
            <w:shd w:val="clear" w:color="auto" w:fill="auto"/>
            <w:noWrap/>
            <w:hideMark/>
          </w:tcPr>
          <w:p w14:paraId="482FE01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(0.034)</w:t>
            </w:r>
          </w:p>
        </w:tc>
        <w:tc>
          <w:tcPr>
            <w:tcW w:w="1260" w:type="dxa"/>
            <w:shd w:val="clear" w:color="auto" w:fill="auto"/>
            <w:noWrap/>
            <w:hideMark/>
          </w:tcPr>
          <w:p w14:paraId="6FB41DC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(0.04)</w:t>
            </w:r>
          </w:p>
        </w:tc>
      </w:tr>
      <w:tr w:rsidR="00521FEF" w:rsidRPr="009E5520" w14:paraId="005529FA" w14:textId="77777777" w:rsidTr="00114EAB">
        <w:trPr>
          <w:trHeight w:hRule="exact" w:val="197"/>
        </w:trPr>
        <w:tc>
          <w:tcPr>
            <w:tcW w:w="4046" w:type="dxa"/>
            <w:shd w:val="clear" w:color="auto" w:fill="auto"/>
            <w:noWrap/>
            <w:hideMark/>
          </w:tcPr>
          <w:p w14:paraId="003E580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Constant</w:t>
            </w:r>
          </w:p>
        </w:tc>
        <w:tc>
          <w:tcPr>
            <w:tcW w:w="1253" w:type="dxa"/>
            <w:shd w:val="clear" w:color="auto" w:fill="auto"/>
            <w:noWrap/>
            <w:hideMark/>
          </w:tcPr>
          <w:p w14:paraId="72C4F71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2.442</w:t>
            </w:r>
          </w:p>
        </w:tc>
        <w:tc>
          <w:tcPr>
            <w:tcW w:w="1254" w:type="dxa"/>
            <w:shd w:val="clear" w:color="auto" w:fill="auto"/>
            <w:vAlign w:val="center"/>
          </w:tcPr>
          <w:p w14:paraId="094702D3"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0.368</w:t>
            </w:r>
          </w:p>
        </w:tc>
        <w:tc>
          <w:tcPr>
            <w:tcW w:w="1254" w:type="dxa"/>
            <w:shd w:val="clear" w:color="auto" w:fill="auto"/>
            <w:noWrap/>
            <w:hideMark/>
          </w:tcPr>
          <w:p w14:paraId="04440AA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1.415</w:t>
            </w:r>
          </w:p>
        </w:tc>
        <w:tc>
          <w:tcPr>
            <w:tcW w:w="1260" w:type="dxa"/>
            <w:shd w:val="clear" w:color="auto" w:fill="auto"/>
            <w:noWrap/>
            <w:hideMark/>
          </w:tcPr>
          <w:p w14:paraId="4158A23F"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1.109</w:t>
            </w:r>
          </w:p>
        </w:tc>
      </w:tr>
      <w:tr w:rsidR="00521FEF" w:rsidRPr="009E5520" w14:paraId="4F857027" w14:textId="77777777" w:rsidTr="00114EAB">
        <w:trPr>
          <w:trHeight w:hRule="exact" w:val="197"/>
        </w:trPr>
        <w:tc>
          <w:tcPr>
            <w:tcW w:w="4046" w:type="dxa"/>
            <w:shd w:val="clear" w:color="auto" w:fill="auto"/>
            <w:noWrap/>
            <w:hideMark/>
          </w:tcPr>
          <w:p w14:paraId="5E37FC30" w14:textId="77777777" w:rsidR="00521FEF" w:rsidRPr="009E5520" w:rsidRDefault="00521FEF" w:rsidP="00114EAB">
            <w:pPr>
              <w:spacing w:after="0" w:line="240" w:lineRule="auto"/>
              <w:ind w:firstLine="0"/>
              <w:jc w:val="left"/>
              <w:rPr>
                <w:rFonts w:cs="Times New Roman"/>
                <w:sz w:val="18"/>
                <w:szCs w:val="18"/>
              </w:rPr>
            </w:pPr>
          </w:p>
        </w:tc>
        <w:tc>
          <w:tcPr>
            <w:tcW w:w="1253" w:type="dxa"/>
            <w:shd w:val="clear" w:color="auto" w:fill="auto"/>
            <w:noWrap/>
            <w:hideMark/>
          </w:tcPr>
          <w:p w14:paraId="24D2A94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(2.156)</w:t>
            </w:r>
          </w:p>
        </w:tc>
        <w:tc>
          <w:tcPr>
            <w:tcW w:w="1254" w:type="dxa"/>
            <w:shd w:val="clear" w:color="auto" w:fill="auto"/>
            <w:vAlign w:val="center"/>
          </w:tcPr>
          <w:p w14:paraId="40B43FD0"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(1.912)</w:t>
            </w:r>
          </w:p>
        </w:tc>
        <w:tc>
          <w:tcPr>
            <w:tcW w:w="1254" w:type="dxa"/>
            <w:shd w:val="clear" w:color="auto" w:fill="auto"/>
            <w:noWrap/>
            <w:hideMark/>
          </w:tcPr>
          <w:p w14:paraId="5E00EB8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(2.004)</w:t>
            </w:r>
          </w:p>
        </w:tc>
        <w:tc>
          <w:tcPr>
            <w:tcW w:w="1260" w:type="dxa"/>
            <w:shd w:val="clear" w:color="auto" w:fill="auto"/>
            <w:noWrap/>
            <w:hideMark/>
          </w:tcPr>
          <w:p w14:paraId="645943A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(2.337)</w:t>
            </w:r>
          </w:p>
        </w:tc>
      </w:tr>
      <w:tr w:rsidR="00521FEF" w:rsidRPr="009E5520" w14:paraId="14C088B7" w14:textId="77777777" w:rsidTr="00114EAB">
        <w:trPr>
          <w:trHeight w:hRule="exact" w:val="197"/>
        </w:trPr>
        <w:tc>
          <w:tcPr>
            <w:tcW w:w="4046" w:type="dxa"/>
            <w:shd w:val="clear" w:color="auto" w:fill="auto"/>
            <w:noWrap/>
          </w:tcPr>
          <w:p w14:paraId="4D2C662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Observation</w:t>
            </w:r>
          </w:p>
        </w:tc>
        <w:tc>
          <w:tcPr>
            <w:tcW w:w="1253" w:type="dxa"/>
            <w:shd w:val="clear" w:color="auto" w:fill="auto"/>
            <w:noWrap/>
          </w:tcPr>
          <w:p w14:paraId="3B56D14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1247</w:t>
            </w:r>
          </w:p>
        </w:tc>
        <w:tc>
          <w:tcPr>
            <w:tcW w:w="1254" w:type="dxa"/>
            <w:shd w:val="clear" w:color="auto" w:fill="auto"/>
            <w:vAlign w:val="center"/>
          </w:tcPr>
          <w:p w14:paraId="0CA7BA6F"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1725</w:t>
            </w:r>
          </w:p>
        </w:tc>
        <w:tc>
          <w:tcPr>
            <w:tcW w:w="1254" w:type="dxa"/>
            <w:shd w:val="clear" w:color="auto" w:fill="auto"/>
            <w:noWrap/>
          </w:tcPr>
          <w:p w14:paraId="19A7F0C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1031</w:t>
            </w:r>
          </w:p>
        </w:tc>
        <w:tc>
          <w:tcPr>
            <w:tcW w:w="1260" w:type="dxa"/>
            <w:shd w:val="clear" w:color="auto" w:fill="auto"/>
            <w:noWrap/>
          </w:tcPr>
          <w:p w14:paraId="5ACD65A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1098</w:t>
            </w:r>
          </w:p>
        </w:tc>
      </w:tr>
      <w:tr w:rsidR="00521FEF" w:rsidRPr="009E5520" w14:paraId="110C1BF7" w14:textId="77777777" w:rsidTr="00114EAB">
        <w:trPr>
          <w:trHeight w:hRule="exact" w:val="197"/>
        </w:trPr>
        <w:tc>
          <w:tcPr>
            <w:tcW w:w="4046" w:type="dxa"/>
            <w:shd w:val="clear" w:color="auto" w:fill="auto"/>
            <w:noWrap/>
          </w:tcPr>
          <w:p w14:paraId="394982F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Firm</w:t>
            </w:r>
          </w:p>
        </w:tc>
        <w:tc>
          <w:tcPr>
            <w:tcW w:w="1253" w:type="dxa"/>
            <w:shd w:val="clear" w:color="auto" w:fill="auto"/>
            <w:noWrap/>
          </w:tcPr>
          <w:p w14:paraId="5430FC5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255</w:t>
            </w:r>
          </w:p>
        </w:tc>
        <w:tc>
          <w:tcPr>
            <w:tcW w:w="1254" w:type="dxa"/>
            <w:shd w:val="clear" w:color="auto" w:fill="auto"/>
            <w:vAlign w:val="center"/>
          </w:tcPr>
          <w:p w14:paraId="764D768F"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339</w:t>
            </w:r>
          </w:p>
        </w:tc>
        <w:tc>
          <w:tcPr>
            <w:tcW w:w="1254" w:type="dxa"/>
            <w:shd w:val="clear" w:color="auto" w:fill="auto"/>
            <w:noWrap/>
          </w:tcPr>
          <w:p w14:paraId="14CA4DC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221</w:t>
            </w:r>
          </w:p>
        </w:tc>
        <w:tc>
          <w:tcPr>
            <w:tcW w:w="1260" w:type="dxa"/>
            <w:shd w:val="clear" w:color="auto" w:fill="auto"/>
            <w:noWrap/>
          </w:tcPr>
          <w:p w14:paraId="3017831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231</w:t>
            </w:r>
          </w:p>
        </w:tc>
      </w:tr>
      <w:tr w:rsidR="00521FEF" w:rsidRPr="009E5520" w14:paraId="471FFD6D" w14:textId="77777777" w:rsidTr="00114EAB">
        <w:trPr>
          <w:trHeight w:hRule="exact" w:val="197"/>
        </w:trPr>
        <w:tc>
          <w:tcPr>
            <w:tcW w:w="4046" w:type="dxa"/>
            <w:shd w:val="clear" w:color="auto" w:fill="auto"/>
            <w:noWrap/>
          </w:tcPr>
          <w:p w14:paraId="18997EB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Adjusted R2</w:t>
            </w:r>
          </w:p>
        </w:tc>
        <w:tc>
          <w:tcPr>
            <w:tcW w:w="1253" w:type="dxa"/>
            <w:shd w:val="clear" w:color="auto" w:fill="auto"/>
            <w:noWrap/>
          </w:tcPr>
          <w:p w14:paraId="539EFDDC"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157DB06C"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0.447</w:t>
            </w:r>
          </w:p>
        </w:tc>
        <w:tc>
          <w:tcPr>
            <w:tcW w:w="1254" w:type="dxa"/>
            <w:shd w:val="clear" w:color="auto" w:fill="auto"/>
            <w:noWrap/>
          </w:tcPr>
          <w:p w14:paraId="11E5EE5D" w14:textId="77777777" w:rsidR="00521FEF" w:rsidRPr="009E5520" w:rsidRDefault="00521FEF" w:rsidP="00114EAB">
            <w:pPr>
              <w:spacing w:after="0" w:line="240" w:lineRule="auto"/>
              <w:ind w:firstLine="0"/>
              <w:jc w:val="left"/>
              <w:rPr>
                <w:rFonts w:cs="Times New Roman"/>
                <w:sz w:val="18"/>
                <w:szCs w:val="18"/>
              </w:rPr>
            </w:pPr>
          </w:p>
        </w:tc>
        <w:tc>
          <w:tcPr>
            <w:tcW w:w="1260" w:type="dxa"/>
            <w:shd w:val="clear" w:color="auto" w:fill="auto"/>
            <w:noWrap/>
          </w:tcPr>
          <w:p w14:paraId="3CF61211"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0290D408" w14:textId="77777777" w:rsidTr="00114EAB">
        <w:trPr>
          <w:trHeight w:hRule="exact" w:val="197"/>
        </w:trPr>
        <w:tc>
          <w:tcPr>
            <w:tcW w:w="4046" w:type="dxa"/>
            <w:shd w:val="clear" w:color="auto" w:fill="auto"/>
            <w:noWrap/>
          </w:tcPr>
          <w:p w14:paraId="314A23FA"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Root MSE</w:t>
            </w:r>
          </w:p>
        </w:tc>
        <w:tc>
          <w:tcPr>
            <w:tcW w:w="1253" w:type="dxa"/>
            <w:shd w:val="clear" w:color="auto" w:fill="auto"/>
            <w:noWrap/>
          </w:tcPr>
          <w:p w14:paraId="0452FE72" w14:textId="77777777" w:rsidR="00521FEF" w:rsidRPr="009E5520" w:rsidRDefault="00521FEF" w:rsidP="00114EAB">
            <w:pPr>
              <w:spacing w:after="0" w:line="240" w:lineRule="auto"/>
              <w:ind w:firstLine="0"/>
              <w:jc w:val="left"/>
              <w:rPr>
                <w:rFonts w:cs="Times New Roman"/>
                <w:sz w:val="18"/>
                <w:szCs w:val="18"/>
              </w:rPr>
            </w:pPr>
          </w:p>
        </w:tc>
        <w:tc>
          <w:tcPr>
            <w:tcW w:w="1254" w:type="dxa"/>
            <w:shd w:val="clear" w:color="auto" w:fill="auto"/>
            <w:vAlign w:val="center"/>
          </w:tcPr>
          <w:p w14:paraId="7EF81FF8" w14:textId="77777777" w:rsidR="00521FEF" w:rsidRPr="00A21762" w:rsidRDefault="00521FEF" w:rsidP="00114EAB">
            <w:pPr>
              <w:spacing w:after="0" w:line="240" w:lineRule="auto"/>
              <w:ind w:firstLine="0"/>
              <w:jc w:val="left"/>
              <w:rPr>
                <w:rFonts w:cstheme="majorBidi"/>
                <w:sz w:val="18"/>
                <w:szCs w:val="18"/>
              </w:rPr>
            </w:pPr>
            <w:r w:rsidRPr="00A21762">
              <w:rPr>
                <w:rFonts w:cstheme="majorBidi"/>
                <w:color w:val="000000"/>
                <w:sz w:val="18"/>
                <w:szCs w:val="18"/>
              </w:rPr>
              <w:t>0.826</w:t>
            </w:r>
          </w:p>
        </w:tc>
        <w:tc>
          <w:tcPr>
            <w:tcW w:w="1254" w:type="dxa"/>
            <w:shd w:val="clear" w:color="auto" w:fill="auto"/>
            <w:noWrap/>
          </w:tcPr>
          <w:p w14:paraId="0FEF7504" w14:textId="77777777" w:rsidR="00521FEF" w:rsidRPr="009E5520" w:rsidRDefault="00521FEF" w:rsidP="00114EAB">
            <w:pPr>
              <w:spacing w:after="0" w:line="240" w:lineRule="auto"/>
              <w:ind w:firstLine="0"/>
              <w:jc w:val="left"/>
              <w:rPr>
                <w:rFonts w:cs="Times New Roman"/>
                <w:sz w:val="18"/>
                <w:szCs w:val="18"/>
              </w:rPr>
            </w:pPr>
          </w:p>
        </w:tc>
        <w:tc>
          <w:tcPr>
            <w:tcW w:w="1260" w:type="dxa"/>
            <w:shd w:val="clear" w:color="auto" w:fill="auto"/>
            <w:noWrap/>
          </w:tcPr>
          <w:p w14:paraId="7068E11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 xml:space="preserve">               </w:t>
            </w:r>
          </w:p>
        </w:tc>
      </w:tr>
      <w:tr w:rsidR="00521FEF" w:rsidRPr="009E5520" w14:paraId="5172678E" w14:textId="77777777" w:rsidTr="00114EAB">
        <w:trPr>
          <w:trHeight w:hRule="exact" w:val="197"/>
        </w:trPr>
        <w:tc>
          <w:tcPr>
            <w:tcW w:w="4046" w:type="dxa"/>
            <w:shd w:val="clear" w:color="auto" w:fill="auto"/>
            <w:noWrap/>
          </w:tcPr>
          <w:p w14:paraId="0922D6E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Number of Instrument</w:t>
            </w:r>
          </w:p>
        </w:tc>
        <w:tc>
          <w:tcPr>
            <w:tcW w:w="1253" w:type="dxa"/>
            <w:shd w:val="clear" w:color="auto" w:fill="auto"/>
            <w:noWrap/>
          </w:tcPr>
          <w:p w14:paraId="189B24E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168</w:t>
            </w:r>
          </w:p>
        </w:tc>
        <w:tc>
          <w:tcPr>
            <w:tcW w:w="1254" w:type="dxa"/>
            <w:shd w:val="clear" w:color="auto" w:fill="auto"/>
            <w:vAlign w:val="center"/>
          </w:tcPr>
          <w:p w14:paraId="12E3793E" w14:textId="77777777" w:rsidR="00521FEF" w:rsidRPr="00A21762" w:rsidRDefault="00521FEF" w:rsidP="00114EAB">
            <w:pPr>
              <w:spacing w:after="0" w:line="240" w:lineRule="auto"/>
              <w:ind w:firstLine="0"/>
              <w:jc w:val="left"/>
              <w:rPr>
                <w:rFonts w:cstheme="majorBidi"/>
                <w:sz w:val="18"/>
                <w:szCs w:val="18"/>
              </w:rPr>
            </w:pPr>
          </w:p>
        </w:tc>
        <w:tc>
          <w:tcPr>
            <w:tcW w:w="1254" w:type="dxa"/>
            <w:shd w:val="clear" w:color="auto" w:fill="auto"/>
            <w:noWrap/>
          </w:tcPr>
          <w:p w14:paraId="3BAF071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207</w:t>
            </w:r>
          </w:p>
        </w:tc>
        <w:tc>
          <w:tcPr>
            <w:tcW w:w="1260" w:type="dxa"/>
            <w:shd w:val="clear" w:color="auto" w:fill="auto"/>
            <w:noWrap/>
          </w:tcPr>
          <w:p w14:paraId="44B0E5F3"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208</w:t>
            </w:r>
          </w:p>
        </w:tc>
      </w:tr>
      <w:tr w:rsidR="00521FEF" w:rsidRPr="009E5520" w14:paraId="5A18BC09" w14:textId="77777777" w:rsidTr="00114EAB">
        <w:trPr>
          <w:trHeight w:hRule="exact" w:val="197"/>
        </w:trPr>
        <w:tc>
          <w:tcPr>
            <w:tcW w:w="4046" w:type="dxa"/>
            <w:shd w:val="clear" w:color="auto" w:fill="auto"/>
            <w:noWrap/>
          </w:tcPr>
          <w:p w14:paraId="2CFB88FB"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Hansen test of over-identification</w:t>
            </w:r>
          </w:p>
        </w:tc>
        <w:tc>
          <w:tcPr>
            <w:tcW w:w="1253" w:type="dxa"/>
            <w:shd w:val="clear" w:color="auto" w:fill="auto"/>
            <w:noWrap/>
          </w:tcPr>
          <w:p w14:paraId="48C2C938"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0.634</w:t>
            </w:r>
          </w:p>
        </w:tc>
        <w:tc>
          <w:tcPr>
            <w:tcW w:w="1254" w:type="dxa"/>
            <w:shd w:val="clear" w:color="auto" w:fill="auto"/>
            <w:vAlign w:val="center"/>
          </w:tcPr>
          <w:p w14:paraId="73AE407C" w14:textId="77777777" w:rsidR="00521FEF" w:rsidRPr="00A21762" w:rsidRDefault="00521FEF" w:rsidP="00114EAB">
            <w:pPr>
              <w:spacing w:after="0" w:line="240" w:lineRule="auto"/>
              <w:ind w:firstLine="0"/>
              <w:jc w:val="left"/>
              <w:rPr>
                <w:rFonts w:cstheme="majorBidi"/>
                <w:sz w:val="18"/>
                <w:szCs w:val="18"/>
              </w:rPr>
            </w:pPr>
          </w:p>
        </w:tc>
        <w:tc>
          <w:tcPr>
            <w:tcW w:w="1254" w:type="dxa"/>
            <w:shd w:val="clear" w:color="auto" w:fill="auto"/>
            <w:noWrap/>
          </w:tcPr>
          <w:p w14:paraId="7EECB866"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0.823</w:t>
            </w:r>
          </w:p>
        </w:tc>
        <w:tc>
          <w:tcPr>
            <w:tcW w:w="1260" w:type="dxa"/>
            <w:shd w:val="clear" w:color="auto" w:fill="auto"/>
            <w:noWrap/>
          </w:tcPr>
          <w:p w14:paraId="5A6B1BD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0.727</w:t>
            </w:r>
          </w:p>
        </w:tc>
      </w:tr>
      <w:tr w:rsidR="00521FEF" w:rsidRPr="009E5520" w14:paraId="241A5FF2" w14:textId="77777777" w:rsidTr="00114EAB">
        <w:trPr>
          <w:trHeight w:hRule="exact" w:val="197"/>
        </w:trPr>
        <w:tc>
          <w:tcPr>
            <w:tcW w:w="4046" w:type="dxa"/>
            <w:shd w:val="clear" w:color="auto" w:fill="auto"/>
            <w:noWrap/>
          </w:tcPr>
          <w:p w14:paraId="01F27B71"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 xml:space="preserve">Arellano-Bond test for </w:t>
            </w:r>
            <w:proofErr w:type="gramStart"/>
            <w:r w:rsidRPr="009E5520">
              <w:rPr>
                <w:rFonts w:cs="Times New Roman"/>
                <w:sz w:val="18"/>
                <w:szCs w:val="18"/>
              </w:rPr>
              <w:t>AR(</w:t>
            </w:r>
            <w:proofErr w:type="gramEnd"/>
            <w:r w:rsidRPr="009E5520">
              <w:rPr>
                <w:rFonts w:cs="Times New Roman"/>
                <w:sz w:val="18"/>
                <w:szCs w:val="18"/>
              </w:rPr>
              <w:t>1)</w:t>
            </w:r>
          </w:p>
        </w:tc>
        <w:tc>
          <w:tcPr>
            <w:tcW w:w="1253" w:type="dxa"/>
            <w:shd w:val="clear" w:color="auto" w:fill="auto"/>
            <w:noWrap/>
          </w:tcPr>
          <w:p w14:paraId="4E764D2E"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w:t>
            </w:r>
          </w:p>
        </w:tc>
        <w:tc>
          <w:tcPr>
            <w:tcW w:w="1254" w:type="dxa"/>
            <w:shd w:val="clear" w:color="auto" w:fill="auto"/>
            <w:vAlign w:val="center"/>
          </w:tcPr>
          <w:p w14:paraId="2B7BC138" w14:textId="77777777" w:rsidR="00521FEF" w:rsidRPr="00A21762" w:rsidRDefault="00521FEF" w:rsidP="00114EAB">
            <w:pPr>
              <w:spacing w:after="0" w:line="240" w:lineRule="auto"/>
              <w:ind w:firstLine="0"/>
              <w:jc w:val="left"/>
              <w:rPr>
                <w:rFonts w:cstheme="majorBidi"/>
                <w:sz w:val="18"/>
                <w:szCs w:val="18"/>
              </w:rPr>
            </w:pPr>
          </w:p>
        </w:tc>
        <w:tc>
          <w:tcPr>
            <w:tcW w:w="1254" w:type="dxa"/>
            <w:shd w:val="clear" w:color="auto" w:fill="auto"/>
            <w:noWrap/>
          </w:tcPr>
          <w:p w14:paraId="45B0543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w:t>
            </w:r>
          </w:p>
        </w:tc>
        <w:tc>
          <w:tcPr>
            <w:tcW w:w="1260" w:type="dxa"/>
            <w:shd w:val="clear" w:color="auto" w:fill="auto"/>
            <w:noWrap/>
          </w:tcPr>
          <w:p w14:paraId="189B97C7"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w:t>
            </w:r>
          </w:p>
        </w:tc>
      </w:tr>
      <w:tr w:rsidR="00521FEF" w:rsidRPr="009E5520" w14:paraId="07C1C211" w14:textId="77777777" w:rsidTr="00114EAB">
        <w:trPr>
          <w:trHeight w:hRule="exact" w:val="197"/>
        </w:trPr>
        <w:tc>
          <w:tcPr>
            <w:tcW w:w="4046" w:type="dxa"/>
            <w:shd w:val="clear" w:color="auto" w:fill="auto"/>
            <w:noWrap/>
          </w:tcPr>
          <w:p w14:paraId="22DF98AA" w14:textId="77777777" w:rsidR="00521FEF" w:rsidRPr="009E5520" w:rsidRDefault="00521FEF" w:rsidP="00114EAB">
            <w:pPr>
              <w:spacing w:after="0" w:line="240" w:lineRule="auto"/>
              <w:ind w:firstLine="0"/>
              <w:jc w:val="left"/>
              <w:rPr>
                <w:rFonts w:cs="Times New Roman"/>
                <w:color w:val="000000"/>
                <w:sz w:val="18"/>
                <w:szCs w:val="18"/>
              </w:rPr>
            </w:pPr>
            <w:r w:rsidRPr="009E5520">
              <w:rPr>
                <w:rFonts w:cs="Times New Roman"/>
                <w:sz w:val="18"/>
                <w:szCs w:val="18"/>
              </w:rPr>
              <w:t xml:space="preserve">Arellano-Bond test for </w:t>
            </w:r>
            <w:proofErr w:type="gramStart"/>
            <w:r w:rsidRPr="009E5520">
              <w:rPr>
                <w:rFonts w:cs="Times New Roman"/>
                <w:sz w:val="18"/>
                <w:szCs w:val="18"/>
              </w:rPr>
              <w:t>AR(</w:t>
            </w:r>
            <w:proofErr w:type="gramEnd"/>
            <w:r w:rsidRPr="009E5520">
              <w:rPr>
                <w:rFonts w:cs="Times New Roman"/>
                <w:sz w:val="18"/>
                <w:szCs w:val="18"/>
              </w:rPr>
              <w:t>2)</w:t>
            </w:r>
          </w:p>
        </w:tc>
        <w:tc>
          <w:tcPr>
            <w:tcW w:w="1253" w:type="dxa"/>
            <w:shd w:val="clear" w:color="auto" w:fill="auto"/>
            <w:noWrap/>
          </w:tcPr>
          <w:p w14:paraId="76F06BC0"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0.051</w:t>
            </w:r>
          </w:p>
        </w:tc>
        <w:tc>
          <w:tcPr>
            <w:tcW w:w="1254" w:type="dxa"/>
            <w:shd w:val="clear" w:color="auto" w:fill="auto"/>
            <w:vAlign w:val="center"/>
          </w:tcPr>
          <w:p w14:paraId="00629539" w14:textId="77777777" w:rsidR="00521FEF" w:rsidRPr="00A21762" w:rsidRDefault="00521FEF" w:rsidP="00114EAB">
            <w:pPr>
              <w:spacing w:after="0" w:line="240" w:lineRule="auto"/>
              <w:ind w:firstLine="0"/>
              <w:jc w:val="left"/>
              <w:rPr>
                <w:rFonts w:cstheme="majorBidi"/>
                <w:sz w:val="18"/>
                <w:szCs w:val="18"/>
              </w:rPr>
            </w:pPr>
          </w:p>
        </w:tc>
        <w:tc>
          <w:tcPr>
            <w:tcW w:w="1254" w:type="dxa"/>
            <w:shd w:val="clear" w:color="auto" w:fill="auto"/>
            <w:noWrap/>
          </w:tcPr>
          <w:p w14:paraId="6103518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0.168</w:t>
            </w:r>
          </w:p>
        </w:tc>
        <w:tc>
          <w:tcPr>
            <w:tcW w:w="1260" w:type="dxa"/>
            <w:shd w:val="clear" w:color="auto" w:fill="auto"/>
            <w:noWrap/>
          </w:tcPr>
          <w:p w14:paraId="575C374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sz w:val="18"/>
                <w:szCs w:val="18"/>
              </w:rPr>
              <w:t>0.054</w:t>
            </w:r>
          </w:p>
        </w:tc>
      </w:tr>
      <w:tr w:rsidR="00521FEF" w:rsidRPr="009E5520" w14:paraId="0F550770" w14:textId="77777777" w:rsidTr="00114EAB">
        <w:trPr>
          <w:trHeight w:hRule="exact" w:val="224"/>
        </w:trPr>
        <w:tc>
          <w:tcPr>
            <w:tcW w:w="4046" w:type="dxa"/>
            <w:tcBorders>
              <w:bottom w:val="single" w:sz="4" w:space="0" w:color="auto"/>
            </w:tcBorders>
            <w:shd w:val="clear" w:color="auto" w:fill="auto"/>
            <w:noWrap/>
            <w:vAlign w:val="bottom"/>
          </w:tcPr>
          <w:p w14:paraId="2F3EB1C9"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 xml:space="preserve">Arellano-Bond test for </w:t>
            </w:r>
            <w:proofErr w:type="gramStart"/>
            <w:r w:rsidRPr="009E5520">
              <w:rPr>
                <w:rFonts w:cs="Times New Roman"/>
                <w:color w:val="000000"/>
                <w:sz w:val="18"/>
                <w:szCs w:val="18"/>
              </w:rPr>
              <w:t>AR(</w:t>
            </w:r>
            <w:proofErr w:type="gramEnd"/>
            <w:r w:rsidRPr="009E5520">
              <w:rPr>
                <w:rFonts w:cs="Times New Roman"/>
                <w:color w:val="000000"/>
                <w:sz w:val="18"/>
                <w:szCs w:val="18"/>
              </w:rPr>
              <w:t>3)</w:t>
            </w:r>
          </w:p>
        </w:tc>
        <w:tc>
          <w:tcPr>
            <w:tcW w:w="1253" w:type="dxa"/>
            <w:shd w:val="clear" w:color="auto" w:fill="auto"/>
            <w:noWrap/>
            <w:vAlign w:val="center"/>
          </w:tcPr>
          <w:p w14:paraId="13373AEC"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0.739</w:t>
            </w:r>
          </w:p>
        </w:tc>
        <w:tc>
          <w:tcPr>
            <w:tcW w:w="1254" w:type="dxa"/>
            <w:shd w:val="clear" w:color="auto" w:fill="auto"/>
            <w:vAlign w:val="center"/>
          </w:tcPr>
          <w:p w14:paraId="48DC2D7A" w14:textId="77777777" w:rsidR="00521FEF" w:rsidRPr="00A21762" w:rsidRDefault="00521FEF" w:rsidP="00114EAB">
            <w:pPr>
              <w:spacing w:after="0" w:line="240" w:lineRule="auto"/>
              <w:ind w:firstLine="0"/>
              <w:jc w:val="left"/>
              <w:rPr>
                <w:rFonts w:cstheme="majorBidi"/>
                <w:sz w:val="18"/>
                <w:szCs w:val="18"/>
              </w:rPr>
            </w:pPr>
          </w:p>
        </w:tc>
        <w:tc>
          <w:tcPr>
            <w:tcW w:w="1254" w:type="dxa"/>
            <w:shd w:val="clear" w:color="auto" w:fill="auto"/>
            <w:noWrap/>
            <w:vAlign w:val="center"/>
          </w:tcPr>
          <w:p w14:paraId="41C96E92"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0.577</w:t>
            </w:r>
          </w:p>
        </w:tc>
        <w:tc>
          <w:tcPr>
            <w:tcW w:w="1260" w:type="dxa"/>
            <w:shd w:val="clear" w:color="auto" w:fill="auto"/>
            <w:noWrap/>
            <w:vAlign w:val="center"/>
          </w:tcPr>
          <w:p w14:paraId="67A3BB4B" w14:textId="77777777" w:rsidR="00521FEF" w:rsidRPr="009E5520" w:rsidRDefault="00521FEF" w:rsidP="00114EAB">
            <w:pPr>
              <w:spacing w:after="0" w:line="240" w:lineRule="auto"/>
              <w:ind w:firstLine="0"/>
              <w:jc w:val="left"/>
              <w:rPr>
                <w:rFonts w:cs="Times New Roman"/>
                <w:sz w:val="18"/>
                <w:szCs w:val="18"/>
              </w:rPr>
            </w:pPr>
            <w:r w:rsidRPr="009E5520">
              <w:rPr>
                <w:rFonts w:cs="Times New Roman"/>
                <w:color w:val="000000"/>
                <w:sz w:val="18"/>
                <w:szCs w:val="18"/>
              </w:rPr>
              <w:t>0.969</w:t>
            </w:r>
          </w:p>
        </w:tc>
      </w:tr>
      <w:tr w:rsidR="00521FEF" w:rsidRPr="009E5520" w14:paraId="2F40454D" w14:textId="77777777" w:rsidTr="00114EAB">
        <w:trPr>
          <w:trHeight w:hRule="exact" w:val="2854"/>
        </w:trPr>
        <w:tc>
          <w:tcPr>
            <w:tcW w:w="9067" w:type="dxa"/>
            <w:gridSpan w:val="5"/>
            <w:tcBorders>
              <w:top w:val="single" w:sz="4" w:space="0" w:color="auto"/>
              <w:bottom w:val="single" w:sz="4" w:space="0" w:color="auto"/>
            </w:tcBorders>
            <w:shd w:val="clear" w:color="auto" w:fill="auto"/>
            <w:noWrap/>
            <w:vAlign w:val="bottom"/>
          </w:tcPr>
          <w:p w14:paraId="4C0B0956" w14:textId="280AD681" w:rsidR="00521FEF" w:rsidRPr="009E5520" w:rsidRDefault="00521FEF" w:rsidP="00114EAB">
            <w:pPr>
              <w:pStyle w:val="Footnoot"/>
            </w:pPr>
            <w:r w:rsidRPr="009E5520">
              <w:lastRenderedPageBreak/>
              <w:t xml:space="preserve">Notes: Table 6 presents the relationship between labour share and income inequality. In all columns, the dependent variable is pay inequality measured as the natural log of the ratio of total CEO compensation to average employee pay. The first column estimates the coefficient of our model based on the OLS method. It includes region, industry, and year fixed effects. The second column estimates the coefficients of our model based on a two-step </w:t>
            </w:r>
            <w:r w:rsidRPr="009E5520">
              <w:rPr>
                <w:i/>
              </w:rPr>
              <w:t xml:space="preserve">SGMM </w:t>
            </w:r>
            <w:r w:rsidRPr="009E5520">
              <w:t xml:space="preserve">with robust standard error. The third column shows the moderation impact of </w:t>
            </w:r>
            <w:r w:rsidR="00570750" w:rsidRPr="009E5520">
              <w:t>TFP and</w:t>
            </w:r>
            <w:r w:rsidRPr="009E5520">
              <w:t xml:space="preserve"> is estimated based on a two-step </w:t>
            </w:r>
            <w:r w:rsidRPr="009E5520">
              <w:rPr>
                <w:i/>
              </w:rPr>
              <w:t xml:space="preserve">SGMM </w:t>
            </w:r>
            <w:r w:rsidRPr="009E5520">
              <w:t xml:space="preserve">with robust standard error. The fourth column shows the moderation impact of markup and is estimated based on a two-step </w:t>
            </w:r>
            <w:r w:rsidRPr="009E5520">
              <w:rPr>
                <w:i/>
              </w:rPr>
              <w:t xml:space="preserve">SGMM </w:t>
            </w:r>
            <w:r w:rsidRPr="009E5520">
              <w:t xml:space="preserve">with robust standard error. Continuous variables are </w:t>
            </w:r>
            <w:proofErr w:type="spellStart"/>
            <w:r w:rsidRPr="009E5520">
              <w:t>winsorised</w:t>
            </w:r>
            <w:proofErr w:type="spellEnd"/>
            <w:r w:rsidRPr="009E5520">
              <w:t xml:space="preserve"> at 1 per cent and 99 per cent. Robust standard errors clustered at the firm level are reported in parentheses. </w:t>
            </w:r>
          </w:p>
          <w:p w14:paraId="5E72042D" w14:textId="77777777" w:rsidR="00521FEF" w:rsidRPr="009E5520" w:rsidRDefault="00521FEF" w:rsidP="00114EAB">
            <w:pPr>
              <w:pStyle w:val="Footnoot"/>
            </w:pPr>
            <w:r w:rsidRPr="009E5520">
              <w:t>*, **, *** Indicate significance at the 10%, 5% and 1% levels, respectively.</w:t>
            </w:r>
          </w:p>
          <w:p w14:paraId="1DB554A8" w14:textId="77777777" w:rsidR="00521FEF" w:rsidRDefault="00521FEF" w:rsidP="00114EAB">
            <w:pPr>
              <w:pStyle w:val="Footnoot"/>
            </w:pPr>
            <w:r w:rsidRPr="009E5520">
              <w:t>All variables are defined in Appendix B.</w:t>
            </w:r>
          </w:p>
          <w:p w14:paraId="57172DAE" w14:textId="7B5C444E" w:rsidR="000B2801" w:rsidRPr="009E5520" w:rsidRDefault="000B2801" w:rsidP="00114EAB">
            <w:pPr>
              <w:pStyle w:val="Footnoot"/>
              <w:rPr>
                <w:sz w:val="18"/>
              </w:rPr>
            </w:pPr>
          </w:p>
        </w:tc>
      </w:tr>
    </w:tbl>
    <w:p w14:paraId="6CD98A90" w14:textId="494AA051" w:rsidR="006719AA" w:rsidRPr="006719AA" w:rsidRDefault="006719AA" w:rsidP="00FA27DC">
      <w:pPr>
        <w:spacing w:after="0"/>
        <w:ind w:firstLine="0"/>
      </w:pPr>
    </w:p>
    <w:p w14:paraId="42C5214A" w14:textId="04A15E39" w:rsidR="009A7B5F" w:rsidRPr="009C7078" w:rsidRDefault="002C1480" w:rsidP="00853595">
      <w:pPr>
        <w:pStyle w:val="Heading1"/>
        <w:numPr>
          <w:ilvl w:val="0"/>
          <w:numId w:val="3"/>
        </w:numPr>
      </w:pPr>
      <w:r>
        <w:rPr>
          <w:bCs/>
        </w:rPr>
        <w:t>Conclusion</w:t>
      </w:r>
    </w:p>
    <w:p w14:paraId="63C260FE" w14:textId="77777777" w:rsidR="002C1480" w:rsidRPr="002C1480" w:rsidRDefault="002C1480" w:rsidP="002C1480">
      <w:pPr>
        <w:ind w:firstLine="0"/>
      </w:pPr>
      <w:r w:rsidRPr="002C1480">
        <w:t xml:space="preserve">Following the fall in labour share and the rise in income inequality in recent decades in Australia, this article empirically examines the determinants of labour share and its impact on pay inequality using panel data from Australian listed firms between 2004 and 2019. First, we examine the impact of technological progress, product market power and labour market power on firms' labour share. We find that capital deepening and technological progress have a significant and negative impact on labour share. However, technological progress is not a significant driver of labour share in firms with highly skilled employees, such as firms with R&amp;D investment, or those that are less capital intensive. In addition, firms with higher mark-up have significantly lower labour shares. Our findings do not support the hypothesis that labour market concentration and unionisation are associated with labour share. Our further analysis shows that technological progress and product market power have a more considerable negative impact on labour share in firms with a higher level of external funds, while they do not significantly affect labour share in high-tech sectors. </w:t>
      </w:r>
    </w:p>
    <w:p w14:paraId="330FCBFD" w14:textId="77777777" w:rsidR="002C1480" w:rsidRPr="002C1480" w:rsidRDefault="002C1480" w:rsidP="002C1480">
      <w:r w:rsidRPr="002C1480">
        <w:t xml:space="preserve">Second, we examine the impact of within-firm labour share on pay inequality between CEOs and employees. Our analysis shows that a decrease in a firm's labour share is significantly associated with increased pay inequality. In addition, our result asserts that the significant determinants of labour share, technological progress and product market power, can moderate the negative impact of labour share on pay inequality. We find that labour share has a larger negative impact on pay inequality in firms with lower technological productivity and higher product market power. In general, this study extends the current literature by documenting firm-level drivers of labour share in Australia, covering all sectors, and providing novel firm-level evidence on the relationship between labour share and pay inequality. </w:t>
      </w:r>
    </w:p>
    <w:p w14:paraId="001168FA" w14:textId="52F00C95" w:rsidR="002C1480" w:rsidRPr="002C1480" w:rsidRDefault="002C1480" w:rsidP="002C1480">
      <w:r w:rsidRPr="002C1480">
        <w:t xml:space="preserve">The findings from this study </w:t>
      </w:r>
      <w:r w:rsidR="00570750" w:rsidRPr="002C1480">
        <w:t>have</w:t>
      </w:r>
      <w:r w:rsidRPr="002C1480">
        <w:t xml:space="preserve"> several implications for policymakers who seek to mitigate the fall in labour shares and the rise in pay inequality in Australia. First, our study suggests that in the presence of highly skilled employees, technological progress does not have a significant negative impact on labour share. Therefore, investing in training and increasing the skill of workers may be the most important key for policy maker to prevent the further negative impact of technology on labour share. Second, the significant negative impact of product market power on Australian labour share recommends that government imposes further policies to prevent the concentration of market power and increase competition in the market. </w:t>
      </w:r>
      <w:r w:rsidRPr="002C1480">
        <w:lastRenderedPageBreak/>
        <w:t xml:space="preserve">Third, we find higher technological progress and lower product market power mitigate the negative impact of labour share on pay inequality. This finding recommends that policymakers should consider policies aimed at promoting innovation and deregulating the product market to prevent the further rise in pay inequality resulting from the decline in labour share. </w:t>
      </w:r>
    </w:p>
    <w:p w14:paraId="36F4FDE9" w14:textId="01077692" w:rsidR="002C1480" w:rsidRDefault="002C1480" w:rsidP="002C1480">
      <w:r w:rsidRPr="002C1480">
        <w:t xml:space="preserve">Our research should be considered in the context of its limitations. First, our sample is limited to Australian listed firms, unlike the datasets commonly used in the micro-level analysis of labour share </w:t>
      </w:r>
      <w:r w:rsidRPr="002C1480">
        <w:fldChar w:fldCharType="begin" w:fldLock="1"/>
      </w:r>
      <w:r w:rsidR="00BA76AC">
        <w:instrText>ADDIN CSL_CITATION {"citationItems":[{"id":"ITEM-1","itemData":{"DOI":"10.1093/qje/qjaa004","ISSN":"0033-5533","abstract":"The fall of labor’s share of GDP in the United States and many other countries in recent decades is well documented but its causes remain uncertain. Existing empirical assessments typically rely on industry or macro data, obscuring heterogeneity among firms. In this article, we analyze micro panel data from the U.S. Economic Census since 1982 and document empirical patterns to assess a new interpretation of the fall in the labor share based on the rise of “superstar firms.” If globalization or technological changes push sales toward the most productive firms in each industry, product market concentration will rise as industries become increasingly dominated by superstar firms, which have high markups and a low labor share of value added. We empirically assess seven predictions of this hypothesis: (i) industry sales will increasingly concentrate in a small number of firms; (ii) industries where concentration rises most will have the largest declines in the labor share; (iii) the fall in the labor share will be driven largely by reallocation rather than a fall in the unweighted mean labor share across all firms; (iv) the between-firm reallocation component of the fall in the labor share will be greatest in the sectors with the largest increases in market concentration; (v) the industries that are becoming more concentrated will exhibit faster growth of productivity; (vi) the aggregate markup will rise more than the typical firm’s markup; and (vii) these patterns should be observed not only in U.S. firms but also internationally. We find support for all of these predictions.","author":[{"dropping-particle":"","family":"Autor","given":"David","non-dropping-particle":"","parse-names":false,"suffix":""},{"dropping-particle":"","family":"Dorn","given":"David","non-dropping-particle":"","parse-names":false,"suffix":""},{"dropping-particle":"","family":"Katz","given":"Lawrence F","non-dropping-particle":"","parse-names":false,"suffix":""},{"dropping-particle":"","family":"Patterson","given":"Christina","non-dropping-particle":"","parse-names":false,"suffix":""},{"dropping-particle":"","family":"Reenen","given":"John","non-dropping-particle":"Van","parse-names":false,"suffix":""}],"container-title":"The Quarterly Journal of Economics","id":"ITEM-1","issue":"2","issued":{"date-parts":[["2020","5","1"]]},"page":"645-709","title":"The fall of the labor share and the rise of superstar firms","type":"article-journal","volume":"135"},"uris":["http://www.mendeley.com/documents/?uuid=f6363795-3c75-399a-98f2-de75ec243b69"]},{"id":"ITEM-2","itemData":{"DOI":"10.1093/QJE/QJAB002","ISSN":"0033-5533","abstract":"The labor share in U.S. manufacturing declined from 61% in 1967 to 41% in 2012. The labor share of the typical U.S. manufacturing establishment, in contrast, rose by over 3 percentage points during the same period. Using micro-level data, we document five salient facts: (i) since the 1980s, there has been a dramatic reallocation of value added toward the lower end of the labor share distribution; (ii) this aggregate reallocation is not due to entry/exit, to \"superstars\"growing faster, or to large establishments lowering their labor shares, but is instead due to units whose labor share fell as they grew in size; (iii) low labor share (LL) establishments benefit from high revenue labor productivity, not low wages; (iv) they also enjoy a product price premium relative to their peers; and (v) they have only temporarily lower labor shares that rebound after five to eight years. This transient pattern has become more pronounced over time, and the dynamics of value added and employment are increasingly disconnected. Taken together, we interpret these facts as pointing to a significant role for demand-side forces.","author":[{"dropping-particle":"","family":"Kehrig","given":"Matthias","non-dropping-particle":"","parse-names":false,"suffix":""},{"dropping-particle":"","family":"Vincent","given":"Nicolas","non-dropping-particle":"","parse-names":false,"suffix":""}],"container-title":"The Quarterly Journal of Economics","id":"ITEM-2","issue":"2","issued":{"date-parts":[["2021","3","24"]]},"page":"1031-1087","publisher":"Oxford Academic","title":"The micro-level anatomy of the labor share decline","type":"article-journal","volume":"136"},"uris":["http://www.mendeley.com/documents/?uuid=16dc3709-4769-3bdc-86d4-262f9f4ce8ee"]}],"mendeley":{"formattedCitation":"(Autor et al., 2020; Kehrig &amp; Vincent, 2021)","manualFormatting":"(e.g., Autor et al. 2020; Kehrig and Vincent 2021)","plainTextFormattedCitation":"(Autor et al., 2020; Kehrig &amp; Vincent, 2021)","previouslyFormattedCitation":"(Autor et al. 2020; Kehrig and Vincent 2021)"},"properties":{"noteIndex":0},"schema":"https://github.com/citation-style-language/schema/raw/master/csl-citation.json"}</w:instrText>
      </w:r>
      <w:r w:rsidRPr="002C1480">
        <w:fldChar w:fldCharType="separate"/>
      </w:r>
      <w:r w:rsidRPr="002C1480">
        <w:rPr>
          <w:noProof/>
        </w:rPr>
        <w:t>(e.g., Autor et al. 2020; Kehrig and Vincent 2021)</w:t>
      </w:r>
      <w:r w:rsidRPr="002C1480">
        <w:fldChar w:fldCharType="end"/>
      </w:r>
      <w:r w:rsidRPr="002C1480">
        <w:t>, while a proportion of economic activities take place in non-listed firms in Australia. Therefore, since listed and non-listed firms have different characteristics, one future avenue for research would be to investigate the determinant of labour share in non-listed firms. Second, a short-term data period (from 2004 to 2019) was employed for assessing the determinants and impact of labour share, which limits the possibility of grasping the underlying causes of the structural movements in Australian labour shares. Hence, another avenue for future research would be to investigate long-run underlying causes of declining labour share. A final limitation is the lack of publicly available data. Our study focuses on the impact of labour share on CEO-employee pay inequality. However, there are different types of pay inequality in organisations: pay differences between employees at the same level or pay differences across hierarchy levels. Therefore, future research might explore how labour share impacts different pay inequality types (i.e., vertical or horizontal pay disparity) rather than focusing on CEO-employee pay inequality. Considering these limitations, we believe that our study highlights the importance of firm-level analysis in understanding macroeconomic movements.</w:t>
      </w:r>
    </w:p>
    <w:p w14:paraId="3F6F936E" w14:textId="77777777" w:rsidR="00BA76AC" w:rsidRDefault="00BA76AC" w:rsidP="008D0005">
      <w:pPr>
        <w:spacing w:after="0"/>
        <w:ind w:firstLine="0"/>
      </w:pPr>
    </w:p>
    <w:p w14:paraId="6021A8D8" w14:textId="5D0449B1" w:rsidR="00BA76AC" w:rsidRDefault="00BA76AC" w:rsidP="003E3139">
      <w:pPr>
        <w:pStyle w:val="Heading1"/>
        <w:spacing w:before="240" w:after="240"/>
      </w:pPr>
      <w:r>
        <w:t>References</w:t>
      </w:r>
    </w:p>
    <w:p w14:paraId="7D67DEDE" w14:textId="623E08D5"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Pr="00BA76AC">
        <w:rPr>
          <w:rFonts w:ascii="Times New Roman" w:hAnsi="Times New Roman" w:cs="Times New Roman"/>
          <w:noProof/>
          <w:szCs w:val="24"/>
        </w:rPr>
        <w:t xml:space="preserve">Abayadeera, N. (2010). Value relevance of information in hi-tech industries in Australia : accounting information and intangible asset disclosures - DRO. </w:t>
      </w:r>
      <w:r w:rsidRPr="00BA76AC">
        <w:rPr>
          <w:rFonts w:ascii="Times New Roman" w:hAnsi="Times New Roman" w:cs="Times New Roman"/>
          <w:i/>
          <w:iCs/>
          <w:noProof/>
          <w:szCs w:val="24"/>
        </w:rPr>
        <w:t>Global Review of Accounting and Finance</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w:t>
      </w:r>
      <w:r w:rsidRPr="00BA76AC">
        <w:rPr>
          <w:rFonts w:ascii="Times New Roman" w:hAnsi="Times New Roman" w:cs="Times New Roman"/>
          <w:noProof/>
          <w:szCs w:val="24"/>
        </w:rPr>
        <w:t>(1), 77–99.</w:t>
      </w:r>
    </w:p>
    <w:p w14:paraId="14DDE529" w14:textId="644C5F4D"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Acemoglu, D., </w:t>
      </w:r>
      <w:r w:rsidR="00F25C01">
        <w:rPr>
          <w:rFonts w:ascii="Times New Roman" w:hAnsi="Times New Roman" w:cs="Times New Roman"/>
          <w:noProof/>
          <w:szCs w:val="24"/>
        </w:rPr>
        <w:t>and</w:t>
      </w:r>
      <w:r w:rsidRPr="00BA76AC">
        <w:rPr>
          <w:rFonts w:ascii="Times New Roman" w:hAnsi="Times New Roman" w:cs="Times New Roman"/>
          <w:noProof/>
          <w:szCs w:val="24"/>
        </w:rPr>
        <w:t xml:space="preserve"> Autor, D. (2011). Skills, tasks and technologies: implications for employment and earnings. In O. Ashenfelter </w:t>
      </w:r>
      <w:r w:rsidR="00F25C01">
        <w:rPr>
          <w:rFonts w:ascii="Times New Roman" w:hAnsi="Times New Roman" w:cs="Times New Roman"/>
          <w:noProof/>
          <w:szCs w:val="24"/>
        </w:rPr>
        <w:t>and</w:t>
      </w:r>
      <w:r w:rsidRPr="00BA76AC">
        <w:rPr>
          <w:rFonts w:ascii="Times New Roman" w:hAnsi="Times New Roman" w:cs="Times New Roman"/>
          <w:noProof/>
          <w:szCs w:val="24"/>
        </w:rPr>
        <w:t xml:space="preserve"> D. Card (Eds.), </w:t>
      </w:r>
      <w:r w:rsidRPr="00BA76AC">
        <w:rPr>
          <w:rFonts w:ascii="Times New Roman" w:hAnsi="Times New Roman" w:cs="Times New Roman"/>
          <w:i/>
          <w:iCs/>
          <w:noProof/>
          <w:szCs w:val="24"/>
        </w:rPr>
        <w:t>Handbook of Labor Economics</w:t>
      </w:r>
      <w:r w:rsidRPr="00BA76AC">
        <w:rPr>
          <w:rFonts w:ascii="Times New Roman" w:hAnsi="Times New Roman" w:cs="Times New Roman"/>
          <w:noProof/>
          <w:szCs w:val="24"/>
        </w:rPr>
        <w:t xml:space="preserve"> (Vol. 4, Issue PART B, pp. 1043–1171). Elsevier.</w:t>
      </w:r>
    </w:p>
    <w:p w14:paraId="1FAD08C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AIIA. (2018). </w:t>
      </w:r>
      <w:r w:rsidRPr="00BA76AC">
        <w:rPr>
          <w:rFonts w:ascii="Times New Roman" w:hAnsi="Times New Roman" w:cs="Times New Roman"/>
          <w:i/>
          <w:iCs/>
          <w:noProof/>
          <w:szCs w:val="24"/>
        </w:rPr>
        <w:t>The impact of technological and other change on the future of work and workers in Australia</w:t>
      </w:r>
      <w:r w:rsidRPr="00BA76AC">
        <w:rPr>
          <w:rFonts w:ascii="Times New Roman" w:hAnsi="Times New Roman" w:cs="Times New Roman"/>
          <w:noProof/>
          <w:szCs w:val="24"/>
        </w:rPr>
        <w:t>.</w:t>
      </w:r>
    </w:p>
    <w:p w14:paraId="4C36543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Alvarez-Cuadrado, F., Long, N. Van, &amp; Poschke, M. (2018). Capital-labor substitution, structural change and the labor income share. </w:t>
      </w:r>
      <w:r w:rsidRPr="00BA76AC">
        <w:rPr>
          <w:rFonts w:ascii="Times New Roman" w:hAnsi="Times New Roman" w:cs="Times New Roman"/>
          <w:i/>
          <w:iCs/>
          <w:noProof/>
          <w:szCs w:val="24"/>
        </w:rPr>
        <w:t>Journal of Economic Dynamics and Control</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87</w:t>
      </w:r>
      <w:r w:rsidRPr="00BA76AC">
        <w:rPr>
          <w:rFonts w:ascii="Times New Roman" w:hAnsi="Times New Roman" w:cs="Times New Roman"/>
          <w:noProof/>
          <w:szCs w:val="24"/>
        </w:rPr>
        <w:t>, 206–231.</w:t>
      </w:r>
    </w:p>
    <w:p w14:paraId="5B49BC5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Arellano, M., &amp; Bond, S. (1991). Some tests of specification for panel data: Monte Carlo evidence and an application to employment equations. </w:t>
      </w:r>
      <w:r w:rsidRPr="00BA76AC">
        <w:rPr>
          <w:rFonts w:ascii="Times New Roman" w:hAnsi="Times New Roman" w:cs="Times New Roman"/>
          <w:i/>
          <w:iCs/>
          <w:noProof/>
          <w:szCs w:val="24"/>
        </w:rPr>
        <w:t>The Review of Economic Studies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58</w:t>
      </w:r>
      <w:r w:rsidRPr="00BA76AC">
        <w:rPr>
          <w:rFonts w:ascii="Times New Roman" w:hAnsi="Times New Roman" w:cs="Times New Roman"/>
          <w:noProof/>
          <w:szCs w:val="24"/>
        </w:rPr>
        <w:t>(2), 277–297.</w:t>
      </w:r>
    </w:p>
    <w:p w14:paraId="36CB20D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Arellano, M., &amp; Bover, O. (1995). Another look at the instrumental variable estimation of error-components models. </w:t>
      </w:r>
      <w:r w:rsidRPr="00BA76AC">
        <w:rPr>
          <w:rFonts w:ascii="Times New Roman" w:hAnsi="Times New Roman" w:cs="Times New Roman"/>
          <w:i/>
          <w:iCs/>
          <w:noProof/>
          <w:szCs w:val="24"/>
        </w:rPr>
        <w:t>Journal of Econometrics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68</w:t>
      </w:r>
      <w:r w:rsidRPr="00BA76AC">
        <w:rPr>
          <w:rFonts w:ascii="Times New Roman" w:hAnsi="Times New Roman" w:cs="Times New Roman"/>
          <w:noProof/>
          <w:szCs w:val="24"/>
        </w:rPr>
        <w:t>(1), 29–51.</w:t>
      </w:r>
    </w:p>
    <w:p w14:paraId="29B7734E"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Atkinson, A. B. (2009). Factor shares: the principal problem of political economy? </w:t>
      </w:r>
      <w:r w:rsidRPr="00BA76AC">
        <w:rPr>
          <w:rFonts w:ascii="Times New Roman" w:hAnsi="Times New Roman" w:cs="Times New Roman"/>
          <w:i/>
          <w:iCs/>
          <w:noProof/>
          <w:szCs w:val="24"/>
        </w:rPr>
        <w:t xml:space="preserve">Oxford </w:t>
      </w:r>
      <w:r w:rsidRPr="00BA76AC">
        <w:rPr>
          <w:rFonts w:ascii="Times New Roman" w:hAnsi="Times New Roman" w:cs="Times New Roman"/>
          <w:i/>
          <w:iCs/>
          <w:noProof/>
          <w:szCs w:val="24"/>
        </w:rPr>
        <w:lastRenderedPageBreak/>
        <w:t>Review of Economic Policy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25</w:t>
      </w:r>
      <w:r w:rsidRPr="00BA76AC">
        <w:rPr>
          <w:rFonts w:ascii="Times New Roman" w:hAnsi="Times New Roman" w:cs="Times New Roman"/>
          <w:noProof/>
          <w:szCs w:val="24"/>
        </w:rPr>
        <w:t>(1), 3–16.</w:t>
      </w:r>
    </w:p>
    <w:p w14:paraId="7DCF4EB3"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Autor, D., Dorn, D., Katz, L. F., Patterson, C., &amp; Van Reenen, J. (2020). The fall of the labor share and the rise of superstar firms.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135</w:t>
      </w:r>
      <w:r w:rsidRPr="00BA76AC">
        <w:rPr>
          <w:rFonts w:ascii="Times New Roman" w:hAnsi="Times New Roman" w:cs="Times New Roman"/>
          <w:noProof/>
          <w:szCs w:val="24"/>
        </w:rPr>
        <w:t>(2), 645–709.</w:t>
      </w:r>
    </w:p>
    <w:p w14:paraId="150B214A"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Azar, J., Marinescu, I., &amp; Steinbaum, M. (2020). Labor Market Concentration. </w:t>
      </w:r>
      <w:r w:rsidRPr="00BA76AC">
        <w:rPr>
          <w:rFonts w:ascii="Times New Roman" w:hAnsi="Times New Roman" w:cs="Times New Roman"/>
          <w:i/>
          <w:iCs/>
          <w:noProof/>
          <w:szCs w:val="24"/>
        </w:rPr>
        <w:t>Journal of Human Resources</w:t>
      </w:r>
      <w:r w:rsidRPr="00BA76AC">
        <w:rPr>
          <w:rFonts w:ascii="Times New Roman" w:hAnsi="Times New Roman" w:cs="Times New Roman"/>
          <w:noProof/>
          <w:szCs w:val="24"/>
        </w:rPr>
        <w:t>.</w:t>
      </w:r>
    </w:p>
    <w:p w14:paraId="6708DBE3"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Baker, J. B., &amp; Salop, S. C. (2015). Antitrust, competition policy, and inequality. </w:t>
      </w:r>
      <w:r w:rsidRPr="00BA76AC">
        <w:rPr>
          <w:rFonts w:ascii="Times New Roman" w:hAnsi="Times New Roman" w:cs="Times New Roman"/>
          <w:i/>
          <w:iCs/>
          <w:noProof/>
          <w:szCs w:val="24"/>
        </w:rPr>
        <w:t>Georgetown Law Journal Online</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104</w:t>
      </w:r>
      <w:r w:rsidRPr="00BA76AC">
        <w:rPr>
          <w:rFonts w:ascii="Times New Roman" w:hAnsi="Times New Roman" w:cs="Times New Roman"/>
          <w:noProof/>
          <w:szCs w:val="24"/>
        </w:rPr>
        <w:t>(1), 1–28.</w:t>
      </w:r>
    </w:p>
    <w:p w14:paraId="59E882A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Bakija, J., Cole, A., &amp; Heim, B. (2012). </w:t>
      </w:r>
      <w:r w:rsidRPr="00BA76AC">
        <w:rPr>
          <w:rFonts w:ascii="Times New Roman" w:hAnsi="Times New Roman" w:cs="Times New Roman"/>
          <w:i/>
          <w:iCs/>
          <w:noProof/>
          <w:szCs w:val="24"/>
        </w:rPr>
        <w:t>Jobs and Income Growth of Top Earners and the Causes of Changing Income Inequality: Evidence from U.S. Tax Return Data</w:t>
      </w:r>
      <w:r w:rsidRPr="00BA76AC">
        <w:rPr>
          <w:rFonts w:ascii="Times New Roman" w:hAnsi="Times New Roman" w:cs="Times New Roman"/>
          <w:noProof/>
          <w:szCs w:val="24"/>
        </w:rPr>
        <w:t xml:space="preserve"> (No. 2010–22; Department of Economics Working Paper). Department of Economics, Williams College.</w:t>
      </w:r>
    </w:p>
    <w:p w14:paraId="47E9562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Baqaee, D. R., &amp; Farhi, E. (2020). Productivity and misallocation in general equilibrium.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135</w:t>
      </w:r>
      <w:r w:rsidRPr="00BA76AC">
        <w:rPr>
          <w:rFonts w:ascii="Times New Roman" w:hAnsi="Times New Roman" w:cs="Times New Roman"/>
          <w:noProof/>
          <w:szCs w:val="24"/>
        </w:rPr>
        <w:t>(1), 105–163.</w:t>
      </w:r>
    </w:p>
    <w:p w14:paraId="5D9AD7F4"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Benmelech, E., Bergman, N. K., &amp; Kim, H. (2020). Strong employers and weak employees: How does employer concentration affect wages? </w:t>
      </w:r>
      <w:r w:rsidRPr="00BA76AC">
        <w:rPr>
          <w:rFonts w:ascii="Times New Roman" w:hAnsi="Times New Roman" w:cs="Times New Roman"/>
          <w:i/>
          <w:iCs/>
          <w:noProof/>
          <w:szCs w:val="24"/>
        </w:rPr>
        <w:t>Journal of Human Resources</w:t>
      </w:r>
      <w:r w:rsidRPr="00BA76AC">
        <w:rPr>
          <w:rFonts w:ascii="Times New Roman" w:hAnsi="Times New Roman" w:cs="Times New Roman"/>
          <w:noProof/>
          <w:szCs w:val="24"/>
        </w:rPr>
        <w:t>.</w:t>
      </w:r>
    </w:p>
    <w:p w14:paraId="185B97EA"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Bentolila, S., &amp; Saint-Paul, G. (2003). Explaining movements in the labor share. </w:t>
      </w:r>
      <w:r w:rsidRPr="00BA76AC">
        <w:rPr>
          <w:rFonts w:ascii="Times New Roman" w:hAnsi="Times New Roman" w:cs="Times New Roman"/>
          <w:i/>
          <w:iCs/>
          <w:noProof/>
          <w:szCs w:val="24"/>
        </w:rPr>
        <w:t>Contributions in Macroeconomics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w:t>
      </w:r>
      <w:r w:rsidRPr="00BA76AC">
        <w:rPr>
          <w:rFonts w:ascii="Times New Roman" w:hAnsi="Times New Roman" w:cs="Times New Roman"/>
          <w:noProof/>
          <w:szCs w:val="24"/>
        </w:rPr>
        <w:t>(1).</w:t>
      </w:r>
    </w:p>
    <w:p w14:paraId="0CDFB18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Bessen, J. (2015). </w:t>
      </w:r>
      <w:r w:rsidRPr="00BA76AC">
        <w:rPr>
          <w:rFonts w:ascii="Times New Roman" w:hAnsi="Times New Roman" w:cs="Times New Roman"/>
          <w:i/>
          <w:iCs/>
          <w:noProof/>
          <w:szCs w:val="24"/>
        </w:rPr>
        <w:t>How technology has affected wages for the Last 200 years</w:t>
      </w:r>
      <w:r w:rsidRPr="00BA76AC">
        <w:rPr>
          <w:rFonts w:ascii="Times New Roman" w:hAnsi="Times New Roman" w:cs="Times New Roman"/>
          <w:noProof/>
          <w:szCs w:val="24"/>
        </w:rPr>
        <w:t>.</w:t>
      </w:r>
    </w:p>
    <w:p w14:paraId="7CAAEA8C"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Bridgman, B. (2018). IS LABOR’S LOSS CAPITAL’S GAIN? GROSS VERSUS NET LABOR SHARES. </w:t>
      </w:r>
      <w:r w:rsidRPr="00BA76AC">
        <w:rPr>
          <w:rFonts w:ascii="Times New Roman" w:hAnsi="Times New Roman" w:cs="Times New Roman"/>
          <w:i/>
          <w:iCs/>
          <w:noProof/>
          <w:szCs w:val="24"/>
        </w:rPr>
        <w:t>Macroeconomic Dynamics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22</w:t>
      </w:r>
      <w:r w:rsidRPr="00BA76AC">
        <w:rPr>
          <w:rFonts w:ascii="Times New Roman" w:hAnsi="Times New Roman" w:cs="Times New Roman"/>
          <w:noProof/>
          <w:szCs w:val="24"/>
        </w:rPr>
        <w:t>(8), 2070–2087.</w:t>
      </w:r>
    </w:p>
    <w:p w14:paraId="43F500E2"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Checchi, D., &amp; García-Ieñalosa, C. (2010). Labour market institutions and the personal distribution of income in the OECD. </w:t>
      </w:r>
      <w:r w:rsidRPr="00BA76AC">
        <w:rPr>
          <w:rFonts w:ascii="Times New Roman" w:hAnsi="Times New Roman" w:cs="Times New Roman"/>
          <w:i/>
          <w:iCs/>
          <w:noProof/>
          <w:szCs w:val="24"/>
        </w:rPr>
        <w:t>Economica</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77</w:t>
      </w:r>
      <w:r w:rsidRPr="00BA76AC">
        <w:rPr>
          <w:rFonts w:ascii="Times New Roman" w:hAnsi="Times New Roman" w:cs="Times New Roman"/>
          <w:noProof/>
          <w:szCs w:val="24"/>
        </w:rPr>
        <w:t>(307), 413–450.</w:t>
      </w:r>
    </w:p>
    <w:p w14:paraId="292FBA0A"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Cheffins, B. R., &amp; Thomas, R. S. (2004). The globalization (americanization) of executive pay. </w:t>
      </w:r>
      <w:r w:rsidRPr="00BA76AC">
        <w:rPr>
          <w:rFonts w:ascii="Times New Roman" w:hAnsi="Times New Roman" w:cs="Times New Roman"/>
          <w:i/>
          <w:iCs/>
          <w:noProof/>
          <w:szCs w:val="24"/>
        </w:rPr>
        <w:t>Berkeley Business Law Journal</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w:t>
      </w:r>
      <w:r w:rsidRPr="00BA76AC">
        <w:rPr>
          <w:rFonts w:ascii="Times New Roman" w:hAnsi="Times New Roman" w:cs="Times New Roman"/>
          <w:noProof/>
          <w:szCs w:val="24"/>
        </w:rPr>
        <w:t>(2), 233–290.</w:t>
      </w:r>
    </w:p>
    <w:p w14:paraId="2700E69A"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Chirinko, R. S. (2008). σ: The long and short of it. </w:t>
      </w:r>
      <w:r w:rsidRPr="00BA76AC">
        <w:rPr>
          <w:rFonts w:ascii="Times New Roman" w:hAnsi="Times New Roman" w:cs="Times New Roman"/>
          <w:i/>
          <w:iCs/>
          <w:noProof/>
          <w:szCs w:val="24"/>
        </w:rPr>
        <w:t>Journal of Macroeconomics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30</w:t>
      </w:r>
      <w:r w:rsidRPr="00BA76AC">
        <w:rPr>
          <w:rFonts w:ascii="Times New Roman" w:hAnsi="Times New Roman" w:cs="Times New Roman"/>
          <w:noProof/>
          <w:szCs w:val="24"/>
        </w:rPr>
        <w:t>(2), 671–686.</w:t>
      </w:r>
    </w:p>
    <w:p w14:paraId="689B7B0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Chirinko, R. S., &amp; Mallick, D. (2017). The substitution elasticity, factor shares, and the low-frequency panel model. </w:t>
      </w:r>
      <w:r w:rsidRPr="00BA76AC">
        <w:rPr>
          <w:rFonts w:ascii="Times New Roman" w:hAnsi="Times New Roman" w:cs="Times New Roman"/>
          <w:i/>
          <w:iCs/>
          <w:noProof/>
          <w:szCs w:val="24"/>
        </w:rPr>
        <w:t>American Economic Journal: Macroeconomics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9</w:t>
      </w:r>
      <w:r w:rsidRPr="00BA76AC">
        <w:rPr>
          <w:rFonts w:ascii="Times New Roman" w:hAnsi="Times New Roman" w:cs="Times New Roman"/>
          <w:noProof/>
          <w:szCs w:val="24"/>
        </w:rPr>
        <w:t>(4), 225–253.</w:t>
      </w:r>
    </w:p>
    <w:p w14:paraId="2FCBE0FC"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Comanor, W. S., &amp; Smiley, R. H. (1975). Monopoly and the distribution of wealth.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89</w:t>
      </w:r>
      <w:r w:rsidRPr="00BA76AC">
        <w:rPr>
          <w:rFonts w:ascii="Times New Roman" w:hAnsi="Times New Roman" w:cs="Times New Roman"/>
          <w:noProof/>
          <w:szCs w:val="24"/>
        </w:rPr>
        <w:t>(2), 177–194.</w:t>
      </w:r>
    </w:p>
    <w:p w14:paraId="3B82FFC9"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Core, J. E., Holthausen, R. W., &amp; Larcker, D. F. (1999). Corporate governance, chief executive officer compensation, and firm performance. </w:t>
      </w:r>
      <w:r w:rsidRPr="00BA76AC">
        <w:rPr>
          <w:rFonts w:ascii="Times New Roman" w:hAnsi="Times New Roman" w:cs="Times New Roman"/>
          <w:i/>
          <w:iCs/>
          <w:noProof/>
          <w:szCs w:val="24"/>
        </w:rPr>
        <w:t>Journal of Financial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51</w:t>
      </w:r>
      <w:r w:rsidRPr="00BA76AC">
        <w:rPr>
          <w:rFonts w:ascii="Times New Roman" w:hAnsi="Times New Roman" w:cs="Times New Roman"/>
          <w:noProof/>
          <w:szCs w:val="24"/>
        </w:rPr>
        <w:t>(3), 371–406.</w:t>
      </w:r>
    </w:p>
    <w:p w14:paraId="2B9B8C80"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Creedy, J., &amp; Dixon, R. (1999). The distributional effects of monopoly. </w:t>
      </w:r>
      <w:r w:rsidRPr="00BA76AC">
        <w:rPr>
          <w:rFonts w:ascii="Times New Roman" w:hAnsi="Times New Roman" w:cs="Times New Roman"/>
          <w:i/>
          <w:iCs/>
          <w:noProof/>
          <w:szCs w:val="24"/>
        </w:rPr>
        <w:t>Australian Economic Papers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38</w:t>
      </w:r>
      <w:r w:rsidRPr="00BA76AC">
        <w:rPr>
          <w:rFonts w:ascii="Times New Roman" w:hAnsi="Times New Roman" w:cs="Times New Roman"/>
          <w:noProof/>
          <w:szCs w:val="24"/>
        </w:rPr>
        <w:t>(3), 223–237.</w:t>
      </w:r>
    </w:p>
    <w:p w14:paraId="0969D31C"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Dao, M. C., Das, M., &amp; Koczan, Z. (2019). Why is labor receiving a smaller share of global income? Theory and empirical evidence. </w:t>
      </w:r>
      <w:r w:rsidRPr="00BA76AC">
        <w:rPr>
          <w:rFonts w:ascii="Times New Roman" w:hAnsi="Times New Roman" w:cs="Times New Roman"/>
          <w:i/>
          <w:iCs/>
          <w:noProof/>
          <w:szCs w:val="24"/>
        </w:rPr>
        <w:t>Economic Policy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34</w:t>
      </w:r>
      <w:r w:rsidRPr="00BA76AC">
        <w:rPr>
          <w:rFonts w:ascii="Times New Roman" w:hAnsi="Times New Roman" w:cs="Times New Roman"/>
          <w:noProof/>
          <w:szCs w:val="24"/>
        </w:rPr>
        <w:t>(100), 723–759.</w:t>
      </w:r>
    </w:p>
    <w:p w14:paraId="3BD48D0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Daudey, E., &amp; García-Peñalosa, C. (2007). The personal and the factor distributions of income in a cross-section of countries. </w:t>
      </w:r>
      <w:r w:rsidRPr="00BA76AC">
        <w:rPr>
          <w:rFonts w:ascii="Times New Roman" w:hAnsi="Times New Roman" w:cs="Times New Roman"/>
          <w:i/>
          <w:iCs/>
          <w:noProof/>
          <w:szCs w:val="24"/>
        </w:rPr>
        <w:t>The Journal of Development Studies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43</w:t>
      </w:r>
      <w:r w:rsidRPr="00BA76AC">
        <w:rPr>
          <w:rFonts w:ascii="Times New Roman" w:hAnsi="Times New Roman" w:cs="Times New Roman"/>
          <w:noProof/>
          <w:szCs w:val="24"/>
        </w:rPr>
        <w:t>(5), 812–829.</w:t>
      </w:r>
    </w:p>
    <w:p w14:paraId="6432ED54"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De Loecker, J., Eeckhout, J., &amp; Unger, G. (2020). The rise of market power and the macroeconomic implications.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135</w:t>
      </w:r>
      <w:r w:rsidRPr="00BA76AC">
        <w:rPr>
          <w:rFonts w:ascii="Times New Roman" w:hAnsi="Times New Roman" w:cs="Times New Roman"/>
          <w:noProof/>
          <w:szCs w:val="24"/>
        </w:rPr>
        <w:t>(2), 561–644.</w:t>
      </w:r>
    </w:p>
    <w:p w14:paraId="10C79AA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lastRenderedPageBreak/>
        <w:t xml:space="preserve">Donangelo, A. (2021). Untangling the value premium with labor shares. </w:t>
      </w:r>
      <w:r w:rsidRPr="00BA76AC">
        <w:rPr>
          <w:rFonts w:ascii="Times New Roman" w:hAnsi="Times New Roman" w:cs="Times New Roman"/>
          <w:i/>
          <w:iCs/>
          <w:noProof/>
          <w:szCs w:val="24"/>
        </w:rPr>
        <w:t>The Review of Financial Studies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34</w:t>
      </w:r>
      <w:r w:rsidRPr="00BA76AC">
        <w:rPr>
          <w:rFonts w:ascii="Times New Roman" w:hAnsi="Times New Roman" w:cs="Times New Roman"/>
          <w:noProof/>
          <w:szCs w:val="24"/>
        </w:rPr>
        <w:t>(1), 451–508.</w:t>
      </w:r>
    </w:p>
    <w:p w14:paraId="54853BD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Donangelo, A., Gourio, F., Kehrig, M., &amp; Palacios, M. (2019). The cross-section of labor leverage and equity returns. </w:t>
      </w:r>
      <w:r w:rsidRPr="00BA76AC">
        <w:rPr>
          <w:rFonts w:ascii="Times New Roman" w:hAnsi="Times New Roman" w:cs="Times New Roman"/>
          <w:i/>
          <w:iCs/>
          <w:noProof/>
          <w:szCs w:val="24"/>
        </w:rPr>
        <w:t>Journal of Financial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132</w:t>
      </w:r>
      <w:r w:rsidRPr="00BA76AC">
        <w:rPr>
          <w:rFonts w:ascii="Times New Roman" w:hAnsi="Times New Roman" w:cs="Times New Roman"/>
          <w:noProof/>
          <w:szCs w:val="24"/>
        </w:rPr>
        <w:t>(2), 497–518.</w:t>
      </w:r>
    </w:p>
    <w:p w14:paraId="16562112"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Eden, M., &amp; Gaggl, P. (2019). Capital Composition and the Declining Labor Share. </w:t>
      </w:r>
      <w:r w:rsidRPr="00BA76AC">
        <w:rPr>
          <w:rFonts w:ascii="Times New Roman" w:hAnsi="Times New Roman" w:cs="Times New Roman"/>
          <w:i/>
          <w:iCs/>
          <w:noProof/>
          <w:szCs w:val="24"/>
        </w:rPr>
        <w:t>SSRN Electronic Journal</w:t>
      </w:r>
      <w:r w:rsidRPr="00BA76AC">
        <w:rPr>
          <w:rFonts w:ascii="Times New Roman" w:hAnsi="Times New Roman" w:cs="Times New Roman"/>
          <w:noProof/>
          <w:szCs w:val="24"/>
        </w:rPr>
        <w:t>.</w:t>
      </w:r>
    </w:p>
    <w:p w14:paraId="013F613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Elsby, M. W. L., Hobijn, B., &amp; Şahin, A. (2013). The decline of the U.S. labor share. </w:t>
      </w:r>
      <w:r w:rsidRPr="00BA76AC">
        <w:rPr>
          <w:rFonts w:ascii="Times New Roman" w:hAnsi="Times New Roman" w:cs="Times New Roman"/>
          <w:i/>
          <w:iCs/>
          <w:noProof/>
          <w:szCs w:val="24"/>
        </w:rPr>
        <w:t>Brookings Papers on Economic Activity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2013</w:t>
      </w:r>
      <w:r w:rsidRPr="00BA76AC">
        <w:rPr>
          <w:rFonts w:ascii="Times New Roman" w:hAnsi="Times New Roman" w:cs="Times New Roman"/>
          <w:noProof/>
          <w:szCs w:val="24"/>
        </w:rPr>
        <w:t>(2), 1–63.</w:t>
      </w:r>
    </w:p>
    <w:p w14:paraId="7781653A"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Ennis, S. F., Gonzaga, P., &amp; Pike, C. (2019). Inequality: A hidden cost of market power. </w:t>
      </w:r>
      <w:r w:rsidRPr="00BA76AC">
        <w:rPr>
          <w:rFonts w:ascii="Times New Roman" w:hAnsi="Times New Roman" w:cs="Times New Roman"/>
          <w:i/>
          <w:iCs/>
          <w:noProof/>
          <w:szCs w:val="24"/>
        </w:rPr>
        <w:t>Oxford Review of Economic Policy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35</w:t>
      </w:r>
      <w:r w:rsidRPr="00BA76AC">
        <w:rPr>
          <w:rFonts w:ascii="Times New Roman" w:hAnsi="Times New Roman" w:cs="Times New Roman"/>
          <w:noProof/>
          <w:szCs w:val="24"/>
        </w:rPr>
        <w:t>(3), 518–549.</w:t>
      </w:r>
    </w:p>
    <w:p w14:paraId="3A1551A4"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Erauskin, I. (2020). The labor share and income inequality: some empirical evidence for the period 1990-2015. </w:t>
      </w:r>
      <w:r w:rsidRPr="00BA76AC">
        <w:rPr>
          <w:rFonts w:ascii="Times New Roman" w:hAnsi="Times New Roman" w:cs="Times New Roman"/>
          <w:i/>
          <w:iCs/>
          <w:noProof/>
          <w:szCs w:val="24"/>
        </w:rPr>
        <w:t>Applied Economic Analysis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28</w:t>
      </w:r>
      <w:r w:rsidRPr="00BA76AC">
        <w:rPr>
          <w:rFonts w:ascii="Times New Roman" w:hAnsi="Times New Roman" w:cs="Times New Roman"/>
          <w:noProof/>
          <w:szCs w:val="24"/>
        </w:rPr>
        <w:t>(84), 173–195.</w:t>
      </w:r>
    </w:p>
    <w:p w14:paraId="5EE9D16D"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Faleye, O., Reis, E., &amp; Venkateswaran, A. (2013). The determinants and effects of CEO-employee pay ratios. </w:t>
      </w:r>
      <w:r w:rsidRPr="00BA76AC">
        <w:rPr>
          <w:rFonts w:ascii="Times New Roman" w:hAnsi="Times New Roman" w:cs="Times New Roman"/>
          <w:i/>
          <w:iCs/>
          <w:noProof/>
          <w:szCs w:val="24"/>
        </w:rPr>
        <w:t>Journal of Banking and Finance</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37</w:t>
      </w:r>
      <w:r w:rsidRPr="00BA76AC">
        <w:rPr>
          <w:rFonts w:ascii="Times New Roman" w:hAnsi="Times New Roman" w:cs="Times New Roman"/>
          <w:noProof/>
          <w:szCs w:val="24"/>
        </w:rPr>
        <w:t>(8), 3258–3272.</w:t>
      </w:r>
    </w:p>
    <w:p w14:paraId="4B141C10"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Farber, H. S., Herbst, D., Kuziemko, I., &amp; Naidu, S. (2021). Unions and inequality over the twentieth century: New evidence from survey data.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136</w:t>
      </w:r>
      <w:r w:rsidRPr="00BA76AC">
        <w:rPr>
          <w:rFonts w:ascii="Times New Roman" w:hAnsi="Times New Roman" w:cs="Times New Roman"/>
          <w:noProof/>
          <w:szCs w:val="24"/>
        </w:rPr>
        <w:t>(3), 1325–1385.</w:t>
      </w:r>
    </w:p>
    <w:p w14:paraId="5D856701"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Gianni, L. C. (2019). The labour and capital shares of income in Australia | Bulletin – March Quarter 2019. In </w:t>
      </w:r>
      <w:r w:rsidRPr="00BA76AC">
        <w:rPr>
          <w:rFonts w:ascii="Times New Roman" w:hAnsi="Times New Roman" w:cs="Times New Roman"/>
          <w:i/>
          <w:iCs/>
          <w:noProof/>
          <w:szCs w:val="24"/>
        </w:rPr>
        <w:t>Bulletin</w:t>
      </w:r>
      <w:r w:rsidRPr="00BA76AC">
        <w:rPr>
          <w:rFonts w:ascii="Times New Roman" w:hAnsi="Times New Roman" w:cs="Times New Roman"/>
          <w:noProof/>
          <w:szCs w:val="24"/>
        </w:rPr>
        <w:t xml:space="preserve"> (Issue March). Reserve Bank of Australia.</w:t>
      </w:r>
    </w:p>
    <w:p w14:paraId="61CD7F5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Glyn, A. (2011). Functional distribution and inequality. In B. Nolan, W. Salverda, &amp; T. M. Smeeding (Eds.), </w:t>
      </w:r>
      <w:r w:rsidRPr="00BA76AC">
        <w:rPr>
          <w:rFonts w:ascii="Times New Roman" w:hAnsi="Times New Roman" w:cs="Times New Roman"/>
          <w:i/>
          <w:iCs/>
          <w:noProof/>
          <w:szCs w:val="24"/>
        </w:rPr>
        <w:t>The Oxford Handbook of Economic Inequality</w:t>
      </w:r>
      <w:r w:rsidRPr="00BA76AC">
        <w:rPr>
          <w:rFonts w:ascii="Times New Roman" w:hAnsi="Times New Roman" w:cs="Times New Roman"/>
          <w:noProof/>
          <w:szCs w:val="24"/>
        </w:rPr>
        <w:t>. Oxford University Press.</w:t>
      </w:r>
    </w:p>
    <w:p w14:paraId="239BB8C7"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Gollin, D. (2002). Getting income shares right. </w:t>
      </w:r>
      <w:r w:rsidRPr="00BA76AC">
        <w:rPr>
          <w:rFonts w:ascii="Times New Roman" w:hAnsi="Times New Roman" w:cs="Times New Roman"/>
          <w:i/>
          <w:iCs/>
          <w:noProof/>
          <w:szCs w:val="24"/>
        </w:rPr>
        <w:t>Journal of Political Economy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110</w:t>
      </w:r>
      <w:r w:rsidRPr="00BA76AC">
        <w:rPr>
          <w:rFonts w:ascii="Times New Roman" w:hAnsi="Times New Roman" w:cs="Times New Roman"/>
          <w:noProof/>
          <w:szCs w:val="24"/>
        </w:rPr>
        <w:t>(2), 458–474.</w:t>
      </w:r>
    </w:p>
    <w:p w14:paraId="280C614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Gouin-Bonenfant, E. (2018). Productivity dispersion, between-firm competition, and the labor share. </w:t>
      </w:r>
      <w:r w:rsidRPr="00BA76AC">
        <w:rPr>
          <w:rFonts w:ascii="Times New Roman" w:hAnsi="Times New Roman" w:cs="Times New Roman"/>
          <w:i/>
          <w:iCs/>
          <w:noProof/>
          <w:szCs w:val="24"/>
        </w:rPr>
        <w:t>In Society for Economic Dynamics. Meeting Papers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1171</w:t>
      </w:r>
      <w:r w:rsidRPr="00BA76AC">
        <w:rPr>
          <w:rFonts w:ascii="Times New Roman" w:hAnsi="Times New Roman" w:cs="Times New Roman"/>
          <w:noProof/>
          <w:szCs w:val="24"/>
        </w:rPr>
        <w:t>.</w:t>
      </w:r>
    </w:p>
    <w:p w14:paraId="7DFD3A2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Grossman, G. M., Helpman, E., Oberfield, E., &amp; Sampson, T. (2021). Endogenous education and long-run factor shares. </w:t>
      </w:r>
      <w:r w:rsidRPr="00BA76AC">
        <w:rPr>
          <w:rFonts w:ascii="Times New Roman" w:hAnsi="Times New Roman" w:cs="Times New Roman"/>
          <w:i/>
          <w:iCs/>
          <w:noProof/>
          <w:szCs w:val="24"/>
        </w:rPr>
        <w:t>American Economic Review: Insights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w:t>
      </w:r>
      <w:r w:rsidRPr="00BA76AC">
        <w:rPr>
          <w:rFonts w:ascii="Times New Roman" w:hAnsi="Times New Roman" w:cs="Times New Roman"/>
          <w:noProof/>
          <w:szCs w:val="24"/>
        </w:rPr>
        <w:t>(2), 215–232.</w:t>
      </w:r>
    </w:p>
    <w:p w14:paraId="76AD0E6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Grossman, G. M., &amp; Oberfield, E. (2021). </w:t>
      </w:r>
      <w:r w:rsidRPr="00BA76AC">
        <w:rPr>
          <w:rFonts w:ascii="Times New Roman" w:hAnsi="Times New Roman" w:cs="Times New Roman"/>
          <w:i/>
          <w:iCs/>
          <w:noProof/>
          <w:szCs w:val="24"/>
        </w:rPr>
        <w:t>The elusive explanation for the declining labor share</w:t>
      </w:r>
      <w:r w:rsidRPr="00BA76AC">
        <w:rPr>
          <w:rFonts w:ascii="Times New Roman" w:hAnsi="Times New Roman" w:cs="Times New Roman"/>
          <w:noProof/>
          <w:szCs w:val="24"/>
        </w:rPr>
        <w:t xml:space="preserve"> (29165).</w:t>
      </w:r>
    </w:p>
    <w:p w14:paraId="680EB1FA" w14:textId="22A0CBCF"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Growiec, J. (2012). Determinants of the labor share. </w:t>
      </w:r>
      <w:r w:rsidRPr="00BA76AC">
        <w:rPr>
          <w:rFonts w:ascii="Times New Roman" w:hAnsi="Times New Roman" w:cs="Times New Roman"/>
          <w:i/>
          <w:iCs/>
          <w:noProof/>
          <w:szCs w:val="24"/>
        </w:rPr>
        <w:t>Eastern European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50</w:t>
      </w:r>
      <w:r w:rsidRPr="00BA76AC">
        <w:rPr>
          <w:rFonts w:ascii="Times New Roman" w:hAnsi="Times New Roman" w:cs="Times New Roman"/>
          <w:noProof/>
          <w:szCs w:val="24"/>
        </w:rPr>
        <w:t>(5), 23–65.</w:t>
      </w:r>
    </w:p>
    <w:p w14:paraId="16CEA9F3"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Guschanski, A., &amp; Onaran, Ö. (2018). The labour share and financialisation: Evidence from publicly listed firms. In </w:t>
      </w:r>
      <w:r w:rsidRPr="00BA76AC">
        <w:rPr>
          <w:rFonts w:ascii="Times New Roman" w:hAnsi="Times New Roman" w:cs="Times New Roman"/>
          <w:i/>
          <w:iCs/>
          <w:noProof/>
          <w:szCs w:val="24"/>
        </w:rPr>
        <w:t>Greenwich Paper in Political Economy</w:t>
      </w:r>
      <w:r w:rsidRPr="00BA76AC">
        <w:rPr>
          <w:rFonts w:ascii="Times New Roman" w:hAnsi="Times New Roman" w:cs="Times New Roman"/>
          <w:noProof/>
          <w:szCs w:val="24"/>
        </w:rPr>
        <w:t xml:space="preserve"> (No. 19371).</w:t>
      </w:r>
    </w:p>
    <w:p w14:paraId="115A98DC"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Han, M., &amp; Pyun, J. H. (2021). Markups and income inequality: Causal links, 1975-2011. </w:t>
      </w:r>
      <w:r w:rsidRPr="00BA76AC">
        <w:rPr>
          <w:rFonts w:ascii="Times New Roman" w:hAnsi="Times New Roman" w:cs="Times New Roman"/>
          <w:i/>
          <w:iCs/>
          <w:noProof/>
          <w:szCs w:val="24"/>
        </w:rPr>
        <w:t>Journal of Comparative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49</w:t>
      </w:r>
      <w:r w:rsidRPr="00BA76AC">
        <w:rPr>
          <w:rFonts w:ascii="Times New Roman" w:hAnsi="Times New Roman" w:cs="Times New Roman"/>
          <w:noProof/>
          <w:szCs w:val="24"/>
        </w:rPr>
        <w:t>(2), 290–312.</w:t>
      </w:r>
    </w:p>
    <w:p w14:paraId="5BA6F1A2"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Hartman-Glaser, B., Lustig, H., &amp; Xiaolan, M. Z. (2019). Capital share dynamics when firms insure workers. </w:t>
      </w:r>
      <w:r w:rsidRPr="00BA76AC">
        <w:rPr>
          <w:rFonts w:ascii="Times New Roman" w:hAnsi="Times New Roman" w:cs="Times New Roman"/>
          <w:i/>
          <w:iCs/>
          <w:noProof/>
          <w:szCs w:val="24"/>
        </w:rPr>
        <w:t>The Journal of Finance</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74</w:t>
      </w:r>
      <w:r w:rsidRPr="00BA76AC">
        <w:rPr>
          <w:rFonts w:ascii="Times New Roman" w:hAnsi="Times New Roman" w:cs="Times New Roman"/>
          <w:noProof/>
          <w:szCs w:val="24"/>
        </w:rPr>
        <w:t>(4), 1707–1751.</w:t>
      </w:r>
    </w:p>
    <w:p w14:paraId="2E90B92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Hogrefe, J., &amp; Kappler, M. (2013). The labour share of income: heterogeneous causes for parallel movements? </w:t>
      </w:r>
      <w:r w:rsidRPr="00BA76AC">
        <w:rPr>
          <w:rFonts w:ascii="Times New Roman" w:hAnsi="Times New Roman" w:cs="Times New Roman"/>
          <w:i/>
          <w:iCs/>
          <w:noProof/>
          <w:szCs w:val="24"/>
        </w:rPr>
        <w:t>The Journal of Economic Inequality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11</w:t>
      </w:r>
      <w:r w:rsidRPr="00BA76AC">
        <w:rPr>
          <w:rFonts w:ascii="Times New Roman" w:hAnsi="Times New Roman" w:cs="Times New Roman"/>
          <w:noProof/>
          <w:szCs w:val="24"/>
        </w:rPr>
        <w:t>(3), 303–319.</w:t>
      </w:r>
    </w:p>
    <w:p w14:paraId="011BFD31"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Hubmer, J., &amp; Restrepo, P. (2021). </w:t>
      </w:r>
      <w:r w:rsidRPr="00BA76AC">
        <w:rPr>
          <w:rFonts w:ascii="Times New Roman" w:hAnsi="Times New Roman" w:cs="Times New Roman"/>
          <w:i/>
          <w:iCs/>
          <w:noProof/>
          <w:szCs w:val="24"/>
        </w:rPr>
        <w:t>Not a typical firm: The joint dynamics of firms, labor shares, and capital–labor substitution</w:t>
      </w:r>
      <w:r w:rsidRPr="00BA76AC">
        <w:rPr>
          <w:rFonts w:ascii="Times New Roman" w:hAnsi="Times New Roman" w:cs="Times New Roman"/>
          <w:noProof/>
          <w:szCs w:val="24"/>
        </w:rPr>
        <w:t xml:space="preserve"> (No. w28579).</w:t>
      </w:r>
    </w:p>
    <w:p w14:paraId="29CCE31F"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Hutchinson, J., &amp; Persyn, D. (2012). Globalisation, concentration and footloose firms: in search </w:t>
      </w:r>
      <w:r w:rsidRPr="00BA76AC">
        <w:rPr>
          <w:rFonts w:ascii="Times New Roman" w:hAnsi="Times New Roman" w:cs="Times New Roman"/>
          <w:noProof/>
          <w:szCs w:val="24"/>
        </w:rPr>
        <w:lastRenderedPageBreak/>
        <w:t xml:space="preserve">of the main cause of the declining labour share. </w:t>
      </w:r>
      <w:r w:rsidRPr="00BA76AC">
        <w:rPr>
          <w:rFonts w:ascii="Times New Roman" w:hAnsi="Times New Roman" w:cs="Times New Roman"/>
          <w:i/>
          <w:iCs/>
          <w:noProof/>
          <w:szCs w:val="24"/>
        </w:rPr>
        <w:t>Review of World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148</w:t>
      </w:r>
      <w:r w:rsidRPr="00BA76AC">
        <w:rPr>
          <w:rFonts w:ascii="Times New Roman" w:hAnsi="Times New Roman" w:cs="Times New Roman"/>
          <w:noProof/>
          <w:szCs w:val="24"/>
        </w:rPr>
        <w:t>(1), 17–43.</w:t>
      </w:r>
    </w:p>
    <w:p w14:paraId="3431D715"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IMF. (2017). </w:t>
      </w:r>
      <w:r w:rsidRPr="00BA76AC">
        <w:rPr>
          <w:rFonts w:ascii="Times New Roman" w:hAnsi="Times New Roman" w:cs="Times New Roman"/>
          <w:i/>
          <w:iCs/>
          <w:noProof/>
          <w:szCs w:val="24"/>
        </w:rPr>
        <w:t>Why Is Labor Receiving a Smaller Share of Global Income? Theory and Empirical Evidence</w:t>
      </w:r>
      <w:r w:rsidRPr="00BA76AC">
        <w:rPr>
          <w:rFonts w:ascii="Times New Roman" w:hAnsi="Times New Roman" w:cs="Times New Roman"/>
          <w:noProof/>
          <w:szCs w:val="24"/>
        </w:rPr>
        <w:t>.</w:t>
      </w:r>
    </w:p>
    <w:p w14:paraId="7715162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Jacobson, M., &amp; Occhino, F. (2012). Labor’s Declining Share of Income and Rising Inequality. </w:t>
      </w:r>
      <w:r w:rsidRPr="00BA76AC">
        <w:rPr>
          <w:rFonts w:ascii="Times New Roman" w:hAnsi="Times New Roman" w:cs="Times New Roman"/>
          <w:i/>
          <w:iCs/>
          <w:noProof/>
          <w:szCs w:val="24"/>
        </w:rPr>
        <w:t>Economic Commentary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2012</w:t>
      </w:r>
      <w:r w:rsidRPr="00BA76AC">
        <w:rPr>
          <w:rFonts w:ascii="Times New Roman" w:hAnsi="Times New Roman" w:cs="Times New Roman"/>
          <w:noProof/>
          <w:szCs w:val="24"/>
        </w:rPr>
        <w:t>–</w:t>
      </w:r>
      <w:r w:rsidRPr="00BA76AC">
        <w:rPr>
          <w:rFonts w:ascii="Times New Roman" w:hAnsi="Times New Roman" w:cs="Times New Roman"/>
          <w:i/>
          <w:iCs/>
          <w:noProof/>
          <w:szCs w:val="24"/>
        </w:rPr>
        <w:t>13</w:t>
      </w:r>
      <w:r w:rsidRPr="00BA76AC">
        <w:rPr>
          <w:rFonts w:ascii="Times New Roman" w:hAnsi="Times New Roman" w:cs="Times New Roman"/>
          <w:noProof/>
          <w:szCs w:val="24"/>
        </w:rPr>
        <w:t>, 1–6.</w:t>
      </w:r>
    </w:p>
    <w:p w14:paraId="7EFFF6B3"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Karabarbounis, L., &amp; Neiman, B. (2014). The global decline of the labor share.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129</w:t>
      </w:r>
      <w:r w:rsidRPr="00BA76AC">
        <w:rPr>
          <w:rFonts w:ascii="Times New Roman" w:hAnsi="Times New Roman" w:cs="Times New Roman"/>
          <w:noProof/>
          <w:szCs w:val="24"/>
        </w:rPr>
        <w:t>(1), 61–103.</w:t>
      </w:r>
    </w:p>
    <w:p w14:paraId="3CA8247E"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Kehrig, M., &amp; Vincent, N. (2021). The micro-level anatomy of the labor share decline.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136</w:t>
      </w:r>
      <w:r w:rsidRPr="00BA76AC">
        <w:rPr>
          <w:rFonts w:ascii="Times New Roman" w:hAnsi="Times New Roman" w:cs="Times New Roman"/>
          <w:noProof/>
          <w:szCs w:val="24"/>
        </w:rPr>
        <w:t>(2), 1031–1087.</w:t>
      </w:r>
    </w:p>
    <w:p w14:paraId="198CCC2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Koh, D., Santaeulalia-Lopis, R., &amp; Zheng, Y. (2018). </w:t>
      </w:r>
      <w:r w:rsidRPr="00BA76AC">
        <w:rPr>
          <w:rFonts w:ascii="Times New Roman" w:hAnsi="Times New Roman" w:cs="Times New Roman"/>
          <w:i/>
          <w:iCs/>
          <w:noProof/>
          <w:szCs w:val="24"/>
        </w:rPr>
        <w:t>Labor Share Decline and Intellectual Property Products Capital</w:t>
      </w:r>
      <w:r w:rsidRPr="00BA76AC">
        <w:rPr>
          <w:rFonts w:ascii="Times New Roman" w:hAnsi="Times New Roman" w:cs="Times New Roman"/>
          <w:noProof/>
          <w:szCs w:val="24"/>
        </w:rPr>
        <w:t>.</w:t>
      </w:r>
    </w:p>
    <w:p w14:paraId="498151A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Krusell, P., Ohanian, L. E., Ríos-Rull, J. V., &amp; Violante, G. L. (2000). Capital-skill complementarity and inequality: A macroeconomic analysis. </w:t>
      </w:r>
      <w:r w:rsidRPr="00BA76AC">
        <w:rPr>
          <w:rFonts w:ascii="Times New Roman" w:hAnsi="Times New Roman" w:cs="Times New Roman"/>
          <w:i/>
          <w:iCs/>
          <w:noProof/>
          <w:szCs w:val="24"/>
        </w:rPr>
        <w:t>Econometrica</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68</w:t>
      </w:r>
      <w:r w:rsidRPr="00BA76AC">
        <w:rPr>
          <w:rFonts w:ascii="Times New Roman" w:hAnsi="Times New Roman" w:cs="Times New Roman"/>
          <w:noProof/>
          <w:szCs w:val="24"/>
        </w:rPr>
        <w:t>(5), 1029–1053.</w:t>
      </w:r>
    </w:p>
    <w:p w14:paraId="0126712D"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Lipsius, B. (2018). Labor Market Concentration Does Not Explain the Falling Labor Share. </w:t>
      </w:r>
      <w:r w:rsidRPr="00BA76AC">
        <w:rPr>
          <w:rFonts w:ascii="Times New Roman" w:hAnsi="Times New Roman" w:cs="Times New Roman"/>
          <w:i/>
          <w:iCs/>
          <w:noProof/>
          <w:szCs w:val="24"/>
        </w:rPr>
        <w:t>SSRN Electronic Journal</w:t>
      </w:r>
      <w:r w:rsidRPr="00BA76AC">
        <w:rPr>
          <w:rFonts w:ascii="Times New Roman" w:hAnsi="Times New Roman" w:cs="Times New Roman"/>
          <w:noProof/>
          <w:szCs w:val="24"/>
        </w:rPr>
        <w:t>.</w:t>
      </w:r>
    </w:p>
    <w:p w14:paraId="3AD08857"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Little, P. (2021). Assessing executive remuneration in Australia: Perhaps performance does pay? </w:t>
      </w:r>
      <w:r w:rsidRPr="00BA76AC">
        <w:rPr>
          <w:rFonts w:ascii="Times New Roman" w:hAnsi="Times New Roman" w:cs="Times New Roman"/>
          <w:i/>
          <w:iCs/>
          <w:noProof/>
          <w:szCs w:val="24"/>
        </w:rPr>
        <w:t xml:space="preserve">Plato Investment Management </w:t>
      </w:r>
      <w:r w:rsidRPr="00BA76AC">
        <w:rPr>
          <w:rFonts w:ascii="Times New Roman" w:hAnsi="Times New Roman" w:cs="Times New Roman"/>
          <w:noProof/>
          <w:szCs w:val="24"/>
        </w:rPr>
        <w:t>.</w:t>
      </w:r>
    </w:p>
    <w:p w14:paraId="6D0B45E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Merhebi, R., Pattenden, K., Swan, P. L., &amp; Zhou, X. (2006). Australian chief executive officer remuneration: pay and performance. </w:t>
      </w:r>
      <w:r w:rsidRPr="00BA76AC">
        <w:rPr>
          <w:rFonts w:ascii="Times New Roman" w:hAnsi="Times New Roman" w:cs="Times New Roman"/>
          <w:i/>
          <w:iCs/>
          <w:noProof/>
          <w:szCs w:val="24"/>
        </w:rPr>
        <w:t>Accounting &amp; Finance</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46</w:t>
      </w:r>
      <w:r w:rsidRPr="00BA76AC">
        <w:rPr>
          <w:rFonts w:ascii="Times New Roman" w:hAnsi="Times New Roman" w:cs="Times New Roman"/>
          <w:noProof/>
          <w:szCs w:val="24"/>
        </w:rPr>
        <w:t>(3), 481–497.</w:t>
      </w:r>
    </w:p>
    <w:p w14:paraId="64857B1E"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Morrisson, C. (2000). Chapter 4 Historical perspectives on income distribution: The case of Europe. In </w:t>
      </w:r>
      <w:r w:rsidRPr="00BA76AC">
        <w:rPr>
          <w:rFonts w:ascii="Times New Roman" w:hAnsi="Times New Roman" w:cs="Times New Roman"/>
          <w:i/>
          <w:iCs/>
          <w:noProof/>
          <w:szCs w:val="24"/>
        </w:rPr>
        <w:t>Handbook of Income Distribution</w:t>
      </w:r>
      <w:r w:rsidRPr="00BA76AC">
        <w:rPr>
          <w:rFonts w:ascii="Times New Roman" w:hAnsi="Times New Roman" w:cs="Times New Roman"/>
          <w:noProof/>
          <w:szCs w:val="24"/>
        </w:rPr>
        <w:t xml:space="preserve"> (Vol. 1, pp. 217–260). Elsevier.</w:t>
      </w:r>
    </w:p>
    <w:p w14:paraId="6FD123C2"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Oberfield, E., &amp; Raval, D. (2021). Micro data and macro technology. </w:t>
      </w:r>
      <w:r w:rsidRPr="00BA76AC">
        <w:rPr>
          <w:rFonts w:ascii="Times New Roman" w:hAnsi="Times New Roman" w:cs="Times New Roman"/>
          <w:i/>
          <w:iCs/>
          <w:noProof/>
          <w:szCs w:val="24"/>
        </w:rPr>
        <w:t>Econometrica</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89</w:t>
      </w:r>
      <w:r w:rsidRPr="00BA76AC">
        <w:rPr>
          <w:rFonts w:ascii="Times New Roman" w:hAnsi="Times New Roman" w:cs="Times New Roman"/>
          <w:noProof/>
          <w:szCs w:val="24"/>
        </w:rPr>
        <w:t>(2), 703–732.</w:t>
      </w:r>
    </w:p>
    <w:p w14:paraId="4555BEF7"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OECD. (2015). In it together: Why less inequality benefits all. In </w:t>
      </w:r>
      <w:r w:rsidRPr="00BA76AC">
        <w:rPr>
          <w:rFonts w:ascii="Times New Roman" w:hAnsi="Times New Roman" w:cs="Times New Roman"/>
          <w:i/>
          <w:iCs/>
          <w:noProof/>
          <w:szCs w:val="24"/>
        </w:rPr>
        <w:t>In It Together: Why Less Inequality Benefits All</w:t>
      </w:r>
      <w:r w:rsidRPr="00BA76AC">
        <w:rPr>
          <w:rFonts w:ascii="Times New Roman" w:hAnsi="Times New Roman" w:cs="Times New Roman"/>
          <w:noProof/>
          <w:szCs w:val="24"/>
        </w:rPr>
        <w:t>. OECD.</w:t>
      </w:r>
    </w:p>
    <w:p w14:paraId="058BDC61"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Olley, G. S., &amp; Pakes, A. (1996). The dynamics of productivity in the telecommunications equipment industry. </w:t>
      </w:r>
      <w:r w:rsidRPr="00BA76AC">
        <w:rPr>
          <w:rFonts w:ascii="Times New Roman" w:hAnsi="Times New Roman" w:cs="Times New Roman"/>
          <w:i/>
          <w:iCs/>
          <w:noProof/>
          <w:szCs w:val="24"/>
        </w:rPr>
        <w:t>Econometrica</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64</w:t>
      </w:r>
      <w:r w:rsidRPr="00BA76AC">
        <w:rPr>
          <w:rFonts w:ascii="Times New Roman" w:hAnsi="Times New Roman" w:cs="Times New Roman"/>
          <w:noProof/>
          <w:szCs w:val="24"/>
        </w:rPr>
        <w:t>(6), 1263–1297.</w:t>
      </w:r>
    </w:p>
    <w:p w14:paraId="61923620"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Pianta, M., &amp; Tancioni, M. (2008). Innovations, wages, and profits. </w:t>
      </w:r>
      <w:r w:rsidRPr="00BA76AC">
        <w:rPr>
          <w:rFonts w:ascii="Times New Roman" w:hAnsi="Times New Roman" w:cs="Times New Roman"/>
          <w:i/>
          <w:iCs/>
          <w:noProof/>
          <w:szCs w:val="24"/>
        </w:rPr>
        <w:t>Journal of Post Keynesian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31</w:t>
      </w:r>
      <w:r w:rsidRPr="00BA76AC">
        <w:rPr>
          <w:rFonts w:ascii="Times New Roman" w:hAnsi="Times New Roman" w:cs="Times New Roman"/>
          <w:noProof/>
          <w:szCs w:val="24"/>
        </w:rPr>
        <w:t>(1), 101–123.</w:t>
      </w:r>
    </w:p>
    <w:p w14:paraId="41334F01"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Piketty, T. (2014). Capital in the twenty-first century. In </w:t>
      </w:r>
      <w:r w:rsidRPr="00BA76AC">
        <w:rPr>
          <w:rFonts w:ascii="Times New Roman" w:hAnsi="Times New Roman" w:cs="Times New Roman"/>
          <w:i/>
          <w:iCs/>
          <w:noProof/>
          <w:szCs w:val="24"/>
        </w:rPr>
        <w:t>Capital in the Twenty-First Century</w:t>
      </w:r>
      <w:r w:rsidRPr="00BA76AC">
        <w:rPr>
          <w:rFonts w:ascii="Times New Roman" w:hAnsi="Times New Roman" w:cs="Times New Roman"/>
          <w:noProof/>
          <w:szCs w:val="24"/>
        </w:rPr>
        <w:t>. Harvard University Press.</w:t>
      </w:r>
    </w:p>
    <w:p w14:paraId="686AA9FC"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Sauer, P. ;, Rao, N. D. ;, Pachauri, &amp; Shonali. (2020). </w:t>
      </w:r>
      <w:r w:rsidRPr="00BA76AC">
        <w:rPr>
          <w:rFonts w:ascii="Times New Roman" w:hAnsi="Times New Roman" w:cs="Times New Roman"/>
          <w:i/>
          <w:iCs/>
          <w:noProof/>
          <w:szCs w:val="24"/>
        </w:rPr>
        <w:t>Explaining income inequality trends: An integrated approach</w:t>
      </w:r>
      <w:r w:rsidRPr="00BA76AC">
        <w:rPr>
          <w:rFonts w:ascii="Times New Roman" w:hAnsi="Times New Roman" w:cs="Times New Roman"/>
          <w:noProof/>
          <w:szCs w:val="24"/>
        </w:rPr>
        <w:t xml:space="preserve"> (WIDER Working Paper, Vol. 2020). Helsinki: The United Nations University World Institute for Development Economics Research (UNU-WIDER).</w:t>
      </w:r>
    </w:p>
    <w:p w14:paraId="5F08137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Sauer, P., Rao, N. D., &amp; Pachauri, S. (2020). </w:t>
      </w:r>
      <w:r w:rsidRPr="00BA76AC">
        <w:rPr>
          <w:rFonts w:ascii="Times New Roman" w:hAnsi="Times New Roman" w:cs="Times New Roman"/>
          <w:i/>
          <w:iCs/>
          <w:noProof/>
          <w:szCs w:val="24"/>
        </w:rPr>
        <w:t>Explaining income inequality trends: An integrated approach</w:t>
      </w:r>
      <w:r w:rsidRPr="00BA76AC">
        <w:rPr>
          <w:rFonts w:ascii="Times New Roman" w:hAnsi="Times New Roman" w:cs="Times New Roman"/>
          <w:noProof/>
          <w:szCs w:val="24"/>
        </w:rPr>
        <w:t xml:space="preserve"> (65/2020; WIDER Working Paper, Vol. 2020). UNU-WIDER.</w:t>
      </w:r>
    </w:p>
    <w:p w14:paraId="53DFC42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Siegenthaler, M., &amp; Stucki, T. (2015). Dividing the pie: firm-level determinants of the labor share. </w:t>
      </w:r>
      <w:r w:rsidRPr="00BA76AC">
        <w:rPr>
          <w:rFonts w:ascii="Times New Roman" w:hAnsi="Times New Roman" w:cs="Times New Roman"/>
          <w:i/>
          <w:iCs/>
          <w:noProof/>
          <w:szCs w:val="24"/>
        </w:rPr>
        <w:t>ILR Review</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68</w:t>
      </w:r>
      <w:r w:rsidRPr="00BA76AC">
        <w:rPr>
          <w:rFonts w:ascii="Times New Roman" w:hAnsi="Times New Roman" w:cs="Times New Roman"/>
          <w:noProof/>
          <w:szCs w:val="24"/>
        </w:rPr>
        <w:t>(5), 1157–1194.</w:t>
      </w:r>
    </w:p>
    <w:p w14:paraId="4A74D2AD"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Sila, U., &amp; Dugain, V. (2019). </w:t>
      </w:r>
      <w:r w:rsidRPr="00BA76AC">
        <w:rPr>
          <w:rFonts w:ascii="Times New Roman" w:hAnsi="Times New Roman" w:cs="Times New Roman"/>
          <w:i/>
          <w:iCs/>
          <w:noProof/>
          <w:szCs w:val="24"/>
        </w:rPr>
        <w:t>Income, wealth and earnings inequality in Australia: Evidence from the HILDA survey</w:t>
      </w:r>
      <w:r w:rsidRPr="00BA76AC">
        <w:rPr>
          <w:rFonts w:ascii="Times New Roman" w:hAnsi="Times New Roman" w:cs="Times New Roman"/>
          <w:noProof/>
          <w:szCs w:val="24"/>
        </w:rPr>
        <w:t xml:space="preserve"> (No. 1538).</w:t>
      </w:r>
    </w:p>
    <w:p w14:paraId="7EC30DC3"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lastRenderedPageBreak/>
        <w:t xml:space="preserve">Smith, M., Yagan, D., Zidar, O., &amp; Zwick, E. (2019). Capitalists in the Twenty-First Century. </w:t>
      </w:r>
      <w:r w:rsidRPr="00BA76AC">
        <w:rPr>
          <w:rFonts w:ascii="Times New Roman" w:hAnsi="Times New Roman" w:cs="Times New Roman"/>
          <w:i/>
          <w:iCs/>
          <w:noProof/>
          <w:szCs w:val="24"/>
        </w:rPr>
        <w:t>The Quarterly Journal of Economics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134</w:t>
      </w:r>
      <w:r w:rsidRPr="00BA76AC">
        <w:rPr>
          <w:rFonts w:ascii="Times New Roman" w:hAnsi="Times New Roman" w:cs="Times New Roman"/>
          <w:noProof/>
          <w:szCs w:val="24"/>
        </w:rPr>
        <w:t>(4), 1675–1745.</w:t>
      </w:r>
    </w:p>
    <w:p w14:paraId="1BF3E6A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Stansbury, A., &amp; Summers, L. H. (2020). The Declining Worker Power Hypothesis: An explanation for the recent evolution of the American economy. In </w:t>
      </w:r>
      <w:r w:rsidRPr="00BA76AC">
        <w:rPr>
          <w:rFonts w:ascii="Times New Roman" w:hAnsi="Times New Roman" w:cs="Times New Roman"/>
          <w:i/>
          <w:iCs/>
          <w:noProof/>
          <w:szCs w:val="24"/>
        </w:rPr>
        <w:t>SSRN</w:t>
      </w:r>
      <w:r w:rsidRPr="00BA76AC">
        <w:rPr>
          <w:rFonts w:ascii="Times New Roman" w:hAnsi="Times New Roman" w:cs="Times New Roman"/>
          <w:noProof/>
          <w:szCs w:val="24"/>
        </w:rPr>
        <w:t xml:space="preserve"> (27193).</w:t>
      </w:r>
    </w:p>
    <w:p w14:paraId="76E4756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Taherifar, R., Holmes, M. J., &amp; Hassan, G. M. (2021). Is performance affected by the CEO-Employee pay gap? Evidence from Australia. In </w:t>
      </w:r>
      <w:r w:rsidRPr="00BA76AC">
        <w:rPr>
          <w:rFonts w:ascii="Times New Roman" w:hAnsi="Times New Roman" w:cs="Times New Roman"/>
          <w:i/>
          <w:iCs/>
          <w:noProof/>
          <w:szCs w:val="24"/>
        </w:rPr>
        <w:t>Working Papers in Economics</w:t>
      </w:r>
      <w:r w:rsidRPr="00BA76AC">
        <w:rPr>
          <w:rFonts w:ascii="Times New Roman" w:hAnsi="Times New Roman" w:cs="Times New Roman"/>
          <w:noProof/>
          <w:szCs w:val="24"/>
        </w:rPr>
        <w:t xml:space="preserve"> (21/14;  Working Papers in Economics). University of Waikato.</w:t>
      </w:r>
    </w:p>
    <w:p w14:paraId="3578B700"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Windmeijer, F. (2005). A finite sample correction for the variance of linear efficient two-step GMM estimators. </w:t>
      </w:r>
      <w:r w:rsidRPr="00BA76AC">
        <w:rPr>
          <w:rFonts w:ascii="Times New Roman" w:hAnsi="Times New Roman" w:cs="Times New Roman"/>
          <w:i/>
          <w:iCs/>
          <w:noProof/>
          <w:szCs w:val="24"/>
        </w:rPr>
        <w:t>Journal of Econometrics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126</w:t>
      </w:r>
      <w:r w:rsidRPr="00BA76AC">
        <w:rPr>
          <w:rFonts w:ascii="Times New Roman" w:hAnsi="Times New Roman" w:cs="Times New Roman"/>
          <w:noProof/>
          <w:szCs w:val="24"/>
        </w:rPr>
        <w:t>(1), 25–51.</w:t>
      </w:r>
    </w:p>
    <w:p w14:paraId="7311590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Wolff, E. N. (2010). Recent Trends in Household Wealth in the United States:Rising Debt and the Middle-Class Squeeze - An Update to 2007. </w:t>
      </w:r>
      <w:r w:rsidRPr="00BA76AC">
        <w:rPr>
          <w:rFonts w:ascii="Times New Roman" w:hAnsi="Times New Roman" w:cs="Times New Roman"/>
          <w:i/>
          <w:iCs/>
          <w:noProof/>
          <w:szCs w:val="24"/>
        </w:rPr>
        <w:t>SSRN Electronic Journal</w:t>
      </w:r>
      <w:r w:rsidRPr="00BA76AC">
        <w:rPr>
          <w:rFonts w:ascii="Times New Roman" w:hAnsi="Times New Roman" w:cs="Times New Roman"/>
          <w:noProof/>
          <w:szCs w:val="24"/>
        </w:rPr>
        <w:t>.</w:t>
      </w:r>
    </w:p>
    <w:p w14:paraId="7B91868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Wooldridge, J. M. (2009). On estimating firm-level production functions using proxy variables to control for unobservables. </w:t>
      </w:r>
      <w:r w:rsidRPr="00BA76AC">
        <w:rPr>
          <w:rFonts w:ascii="Times New Roman" w:hAnsi="Times New Roman" w:cs="Times New Roman"/>
          <w:i/>
          <w:iCs/>
          <w:noProof/>
          <w:szCs w:val="24"/>
        </w:rPr>
        <w:t>Economics Letters</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104</w:t>
      </w:r>
      <w:r w:rsidRPr="00BA76AC">
        <w:rPr>
          <w:rFonts w:ascii="Times New Roman" w:hAnsi="Times New Roman" w:cs="Times New Roman"/>
          <w:noProof/>
          <w:szCs w:val="24"/>
        </w:rPr>
        <w:t>(3), 112–114.</w:t>
      </w:r>
    </w:p>
    <w:p w14:paraId="18E30EB6"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Young, A. T., &amp; Lawson, R. A. (2014). Capitalism and labor shares: A cross-country panel study. </w:t>
      </w:r>
      <w:r w:rsidRPr="00BA76AC">
        <w:rPr>
          <w:rFonts w:ascii="Times New Roman" w:hAnsi="Times New Roman" w:cs="Times New Roman"/>
          <w:i/>
          <w:iCs/>
          <w:noProof/>
          <w:szCs w:val="24"/>
        </w:rPr>
        <w:t>European Journal of Political Economy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33</w:t>
      </w:r>
      <w:r w:rsidRPr="00BA76AC">
        <w:rPr>
          <w:rFonts w:ascii="Times New Roman" w:hAnsi="Times New Roman" w:cs="Times New Roman"/>
          <w:noProof/>
          <w:szCs w:val="24"/>
        </w:rPr>
        <w:t>, 20–36.</w:t>
      </w:r>
    </w:p>
    <w:p w14:paraId="59B826F8"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szCs w:val="24"/>
        </w:rPr>
      </w:pPr>
      <w:r w:rsidRPr="00BA76AC">
        <w:rPr>
          <w:rFonts w:ascii="Times New Roman" w:hAnsi="Times New Roman" w:cs="Times New Roman"/>
          <w:noProof/>
          <w:szCs w:val="24"/>
        </w:rPr>
        <w:t xml:space="preserve">Young, A. T., &amp; Tackett, M. Y. (2018). Globalization and the decline in labor shares: Exploring the relationship beyond trade and financial flows. </w:t>
      </w:r>
      <w:r w:rsidRPr="00BA76AC">
        <w:rPr>
          <w:rFonts w:ascii="Times New Roman" w:hAnsi="Times New Roman" w:cs="Times New Roman"/>
          <w:i/>
          <w:iCs/>
          <w:noProof/>
          <w:szCs w:val="24"/>
        </w:rPr>
        <w:t>European Journal of Political Economy</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52</w:t>
      </w:r>
      <w:r w:rsidRPr="00BA76AC">
        <w:rPr>
          <w:rFonts w:ascii="Times New Roman" w:hAnsi="Times New Roman" w:cs="Times New Roman"/>
          <w:noProof/>
          <w:szCs w:val="24"/>
        </w:rPr>
        <w:t>, 18–35.</w:t>
      </w:r>
    </w:p>
    <w:p w14:paraId="08BBE38B" w14:textId="77777777" w:rsidR="00BA76AC" w:rsidRPr="00BA76AC" w:rsidRDefault="00BA76AC" w:rsidP="00537044">
      <w:pPr>
        <w:widowControl w:val="0"/>
        <w:autoSpaceDE w:val="0"/>
        <w:autoSpaceDN w:val="0"/>
        <w:adjustRightInd w:val="0"/>
        <w:spacing w:after="120" w:line="240" w:lineRule="auto"/>
        <w:ind w:left="482" w:hanging="482"/>
        <w:rPr>
          <w:rFonts w:ascii="Times New Roman" w:hAnsi="Times New Roman" w:cs="Times New Roman"/>
          <w:noProof/>
        </w:rPr>
      </w:pPr>
      <w:r w:rsidRPr="00BA76AC">
        <w:rPr>
          <w:rFonts w:ascii="Times New Roman" w:hAnsi="Times New Roman" w:cs="Times New Roman"/>
          <w:noProof/>
          <w:szCs w:val="24"/>
        </w:rPr>
        <w:t xml:space="preserve">Young, A. T., &amp; Zuleta, H. (2017). Do unions increase labor shares? Evidence from US industry-level data. </w:t>
      </w:r>
      <w:r w:rsidRPr="00BA76AC">
        <w:rPr>
          <w:rFonts w:ascii="Times New Roman" w:hAnsi="Times New Roman" w:cs="Times New Roman"/>
          <w:i/>
          <w:iCs/>
          <w:noProof/>
          <w:szCs w:val="24"/>
        </w:rPr>
        <w:t>Eastern Economic Journal</w:t>
      </w:r>
      <w:r w:rsidRPr="00BA76AC">
        <w:rPr>
          <w:rFonts w:ascii="Times New Roman" w:hAnsi="Times New Roman" w:cs="Times New Roman"/>
          <w:noProof/>
          <w:szCs w:val="24"/>
        </w:rPr>
        <w:t xml:space="preserve">, </w:t>
      </w:r>
      <w:r w:rsidRPr="00BA76AC">
        <w:rPr>
          <w:rFonts w:ascii="Times New Roman" w:hAnsi="Times New Roman" w:cs="Times New Roman"/>
          <w:i/>
          <w:iCs/>
          <w:noProof/>
          <w:szCs w:val="24"/>
        </w:rPr>
        <w:t>44</w:t>
      </w:r>
      <w:r w:rsidRPr="00BA76AC">
        <w:rPr>
          <w:rFonts w:ascii="Times New Roman" w:hAnsi="Times New Roman" w:cs="Times New Roman"/>
          <w:noProof/>
          <w:szCs w:val="24"/>
        </w:rPr>
        <w:t>(4), 558–575.</w:t>
      </w:r>
    </w:p>
    <w:p w14:paraId="0E02AA85" w14:textId="2B7C4BD5" w:rsidR="00521FEF" w:rsidRDefault="00BA76AC" w:rsidP="00537044">
      <w:pPr>
        <w:spacing w:after="120" w:line="240" w:lineRule="auto"/>
        <w:ind w:left="482" w:hanging="482"/>
      </w:pPr>
      <w:r>
        <w:fldChar w:fldCharType="end"/>
      </w:r>
    </w:p>
    <w:p w14:paraId="35509368" w14:textId="77777777" w:rsidR="00715602" w:rsidRDefault="00715602" w:rsidP="003E3139">
      <w:pPr>
        <w:spacing w:before="240" w:after="240" w:line="240" w:lineRule="auto"/>
        <w:ind w:left="482" w:hanging="482"/>
        <w:rPr>
          <w:b/>
          <w:bCs/>
        </w:rPr>
      </w:pPr>
    </w:p>
    <w:p w14:paraId="7B9E14BF" w14:textId="3C521DDE" w:rsidR="003E3139" w:rsidRPr="003E3139" w:rsidRDefault="003E3139" w:rsidP="003E3139">
      <w:pPr>
        <w:spacing w:before="240" w:after="240" w:line="240" w:lineRule="auto"/>
        <w:ind w:left="482" w:hanging="482"/>
        <w:rPr>
          <w:b/>
          <w:bCs/>
        </w:rPr>
      </w:pPr>
      <w:r w:rsidRPr="003E3139">
        <w:rPr>
          <w:b/>
          <w:bCs/>
        </w:rPr>
        <w:t>Appendix</w:t>
      </w:r>
    </w:p>
    <w:p w14:paraId="6EC24B16" w14:textId="760B6312" w:rsidR="00521FEF" w:rsidRPr="009E5520" w:rsidRDefault="00521FEF" w:rsidP="003E3139">
      <w:pPr>
        <w:pStyle w:val="Heading1"/>
        <w:spacing w:before="240"/>
        <w:ind w:left="431" w:hanging="431"/>
      </w:pPr>
      <w:r w:rsidRPr="009E5520">
        <w:t>Appendix A: Measurement</w:t>
      </w:r>
    </w:p>
    <w:p w14:paraId="2EC76E93" w14:textId="77777777" w:rsidR="00521FEF" w:rsidRPr="009E5520" w:rsidRDefault="00521FEF" w:rsidP="003E3139">
      <w:pPr>
        <w:pStyle w:val="ListParagraph"/>
        <w:numPr>
          <w:ilvl w:val="0"/>
          <w:numId w:val="19"/>
        </w:numPr>
        <w:spacing w:before="240" w:line="240" w:lineRule="auto"/>
        <w:ind w:left="567" w:hanging="357"/>
        <w:jc w:val="left"/>
        <w:rPr>
          <w:b/>
          <w:bCs/>
        </w:rPr>
      </w:pPr>
      <w:r w:rsidRPr="009E5520">
        <w:rPr>
          <w:b/>
          <w:bCs/>
        </w:rPr>
        <w:t>Technological progress</w:t>
      </w:r>
    </w:p>
    <w:p w14:paraId="33E9C050" w14:textId="77777777" w:rsidR="00521FEF" w:rsidRPr="009E5520" w:rsidRDefault="00521FEF" w:rsidP="00F5472D">
      <w:pPr>
        <w:spacing w:after="100"/>
        <w:ind w:firstLine="0"/>
        <w:rPr>
          <w:lang w:bidi="fa-IR"/>
        </w:rPr>
      </w:pPr>
      <w:r w:rsidRPr="009E5520">
        <w:rPr>
          <w:lang w:bidi="fa-IR"/>
        </w:rPr>
        <w:t>As noted in the paper, we measure technological progress using two proxies: capital-output ratio (</w:t>
      </w:r>
      <w:proofErr w:type="spellStart"/>
      <w:r w:rsidRPr="009E5520">
        <w:rPr>
          <w:i/>
          <w:iCs/>
          <w:lang w:bidi="fa-IR"/>
        </w:rPr>
        <w:t>LnCapital</w:t>
      </w:r>
      <w:proofErr w:type="spellEnd"/>
      <w:r w:rsidRPr="009E5520">
        <w:rPr>
          <w:i/>
          <w:iCs/>
          <w:lang w:bidi="fa-IR"/>
        </w:rPr>
        <w:t>/VA</w:t>
      </w:r>
      <w:r w:rsidRPr="009E5520">
        <w:rPr>
          <w:lang w:bidi="fa-IR"/>
        </w:rPr>
        <w:t>), and Total Factor Productivity (</w:t>
      </w:r>
      <w:r w:rsidRPr="009E5520">
        <w:rPr>
          <w:i/>
          <w:iCs/>
          <w:lang w:bidi="fa-IR"/>
        </w:rPr>
        <w:t>TFP</w:t>
      </w:r>
      <w:r w:rsidRPr="009E5520">
        <w:rPr>
          <w:lang w:bidi="fa-IR"/>
        </w:rPr>
        <w:t xml:space="preserve">). Following </w:t>
      </w:r>
      <w:r w:rsidRPr="009E5520">
        <w:rPr>
          <w:noProof/>
          <w:lang w:bidi="fa-IR"/>
        </w:rPr>
        <w:t>Bentolila and Saint-Paul (2003</w:t>
      </w:r>
      <w:r w:rsidRPr="009E5520">
        <w:rPr>
          <w:lang w:bidi="fa-IR"/>
        </w:rPr>
        <w:t xml:space="preserve">), </w:t>
      </w:r>
      <w:proofErr w:type="spellStart"/>
      <w:r w:rsidRPr="009E5520">
        <w:rPr>
          <w:i/>
          <w:iCs/>
          <w:lang w:bidi="fa-IR"/>
        </w:rPr>
        <w:t>LnCapital</w:t>
      </w:r>
      <w:proofErr w:type="spellEnd"/>
      <w:r w:rsidRPr="009E5520">
        <w:rPr>
          <w:i/>
          <w:iCs/>
          <w:lang w:bidi="fa-IR"/>
        </w:rPr>
        <w:t>/VA</w:t>
      </w:r>
      <w:r w:rsidRPr="009E5520">
        <w:rPr>
          <w:lang w:bidi="fa-IR"/>
        </w:rPr>
        <w:t xml:space="preserve"> is calculated as the ratio of gross</w:t>
      </w:r>
      <w:r w:rsidRPr="009E5520">
        <w:rPr>
          <w:rFonts w:eastAsia="DengXian"/>
        </w:rPr>
        <w:t xml:space="preserve"> capital stock to value-added. </w:t>
      </w:r>
      <w:r w:rsidRPr="009E5520">
        <w:rPr>
          <w:lang w:bidi="fa-IR"/>
        </w:rPr>
        <w:t>Gross</w:t>
      </w:r>
      <w:r w:rsidRPr="009E5520">
        <w:rPr>
          <w:rFonts w:eastAsia="DengXian"/>
        </w:rPr>
        <w:t xml:space="preserve"> capital stock is measured by the sum of net property, plant and equipment and accumulated depreciation.</w:t>
      </w:r>
    </w:p>
    <w:p w14:paraId="29839EC5" w14:textId="77777777" w:rsidR="00521FEF" w:rsidRPr="009E5520" w:rsidRDefault="00521FEF" w:rsidP="00F5472D">
      <w:pPr>
        <w:spacing w:after="100"/>
        <w:rPr>
          <w:lang w:bidi="fa-IR"/>
        </w:rPr>
      </w:pPr>
      <w:r w:rsidRPr="009E5520">
        <w:rPr>
          <w:i/>
          <w:iCs/>
          <w:lang w:bidi="fa-IR"/>
        </w:rPr>
        <w:t>TFP</w:t>
      </w:r>
      <w:r w:rsidRPr="009E5520">
        <w:rPr>
          <w:lang w:bidi="fa-IR"/>
        </w:rPr>
        <w:t xml:space="preserve"> is calculated for each firm at time t in our sample based on the estimation of the Cobb-Douglas production function. Consider a log-linearised Cobb-Douglas production function for firm </w:t>
      </w:r>
      <w:proofErr w:type="spellStart"/>
      <w:r w:rsidRPr="009E5520">
        <w:rPr>
          <w:lang w:bidi="fa-IR"/>
        </w:rPr>
        <w:t>i</w:t>
      </w:r>
      <w:proofErr w:type="spellEnd"/>
      <w:r w:rsidRPr="009E5520">
        <w:rPr>
          <w:lang w:bidi="fa-IR"/>
        </w:rPr>
        <w:t xml:space="preserve"> in industry j:</w:t>
      </w:r>
    </w:p>
    <w:p w14:paraId="396EC003" w14:textId="77777777" w:rsidR="00521FEF" w:rsidRPr="009E5520" w:rsidRDefault="00000000" w:rsidP="00F5472D">
      <w:pPr>
        <w:spacing w:after="100"/>
        <w:rPr>
          <w:lang w:bidi="fa-IR"/>
        </w:rPr>
      </w:pPr>
      <m:oMathPara>
        <m:oMathParaPr>
          <m:jc m:val="left"/>
        </m:oMathParaPr>
        <m:oMath>
          <m:sSub>
            <m:sSubPr>
              <m:ctrlPr>
                <w:rPr>
                  <w:rFonts w:ascii="Cambria Math" w:hAnsi="Cambria Math"/>
                </w:rPr>
              </m:ctrlPr>
            </m:sSubPr>
            <m:e>
              <m:r>
                <w:rPr>
                  <w:rFonts w:ascii="Cambria Math" w:hAnsi="Cambria Math"/>
                </w:rPr>
                <m:t>y</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j</m:t>
              </m:r>
            </m:sub>
          </m:sSub>
          <m:sSubSup>
            <m:sSubSupPr>
              <m:ctrlPr>
                <w:rPr>
                  <w:rFonts w:ascii="Cambria Math" w:hAnsi="Cambria Math"/>
                </w:rPr>
              </m:ctrlPr>
            </m:sSubSupPr>
            <m:e>
              <m:r>
                <w:rPr>
                  <w:rFonts w:ascii="Cambria Math" w:hAnsi="Cambria Math"/>
                </w:rPr>
                <m:t>+ θ</m:t>
              </m:r>
            </m:e>
            <m:sub>
              <m:r>
                <w:rPr>
                  <w:rFonts w:ascii="Cambria Math" w:hAnsi="Cambria Math"/>
                </w:rPr>
                <m:t>j</m:t>
              </m:r>
            </m:sub>
            <m:sup>
              <m:r>
                <w:rPr>
                  <w:rFonts w:ascii="Cambria Math" w:hAnsi="Cambria Math"/>
                </w:rPr>
                <m:t>l</m:t>
              </m:r>
            </m:sup>
          </m:sSubSup>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θ</m:t>
              </m:r>
            </m:e>
            <m:sub>
              <m:r>
                <w:rPr>
                  <w:rFonts w:ascii="Cambria Math" w:hAnsi="Cambria Math"/>
                </w:rPr>
                <m:t>j</m:t>
              </m:r>
            </m:sub>
            <m:sup>
              <m:r>
                <w:rPr>
                  <w:rFonts w:ascii="Cambria Math" w:hAnsi="Cambria Math"/>
                </w:rPr>
                <m:t>k</m:t>
              </m:r>
            </m:sup>
          </m:sSubSup>
          <m:sSub>
            <m:sSubPr>
              <m:ctrlPr>
                <w:rPr>
                  <w:rFonts w:ascii="Cambria Math" w:hAnsi="Cambria Math"/>
                </w:rPr>
              </m:ctrlPr>
            </m:sSubPr>
            <m:e>
              <m:r>
                <w:rPr>
                  <w:rFonts w:ascii="Cambria Math" w:hAnsi="Cambria Math"/>
                </w:rPr>
                <m:t>k</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 xml:space="preserve">    i belongs to industry j    (3)   </m:t>
          </m:r>
        </m:oMath>
      </m:oMathPara>
    </w:p>
    <w:p w14:paraId="68C901C3" w14:textId="77777777" w:rsidR="00521FEF" w:rsidRPr="009E5520" w:rsidRDefault="00521FEF" w:rsidP="00D07F2C">
      <w:pPr>
        <w:spacing w:after="100"/>
        <w:rPr>
          <w:rFonts w:eastAsia="DengXian"/>
        </w:rPr>
      </w:pPr>
      <w:r w:rsidRPr="009E5520">
        <w:rPr>
          <w:lang w:bidi="fa-IR"/>
        </w:rPr>
        <w:t xml:space="preserve">Where </w:t>
      </w:r>
      <m:oMath>
        <m:sSub>
          <m:sSubPr>
            <m:ctrlPr>
              <w:rPr>
                <w:rFonts w:ascii="Cambria Math" w:hAnsi="Cambria Math"/>
              </w:rPr>
            </m:ctrlPr>
          </m:sSubPr>
          <m:e>
            <m:r>
              <w:rPr>
                <w:rFonts w:ascii="Cambria Math" w:hAnsi="Cambria Math"/>
              </w:rPr>
              <m:t>y</m:t>
            </m:r>
          </m:e>
          <m:sub>
            <m:r>
              <w:rPr>
                <w:rFonts w:ascii="Cambria Math" w:hAnsi="Cambria Math"/>
              </w:rPr>
              <m:t>it</m:t>
            </m:r>
          </m:sub>
        </m:sSub>
      </m:oMath>
      <w:r w:rsidRPr="009E5520">
        <w:rPr>
          <w:rFonts w:eastAsia="DengXian"/>
        </w:rPr>
        <w:t xml:space="preserve"> is value-added, </w:t>
      </w:r>
      <m:oMath>
        <m:sSub>
          <m:sSubPr>
            <m:ctrlPr>
              <w:rPr>
                <w:rFonts w:ascii="Cambria Math" w:hAnsi="Cambria Math"/>
              </w:rPr>
            </m:ctrlPr>
          </m:sSubPr>
          <m:e>
            <m:r>
              <w:rPr>
                <w:rFonts w:ascii="Cambria Math" w:hAnsi="Cambria Math"/>
              </w:rPr>
              <m:t>l</m:t>
            </m:r>
          </m:e>
          <m:sub>
            <m:r>
              <w:rPr>
                <w:rFonts w:ascii="Cambria Math" w:hAnsi="Cambria Math"/>
              </w:rPr>
              <m:t>it</m:t>
            </m:r>
          </m:sub>
        </m:sSub>
      </m:oMath>
      <w:r w:rsidRPr="009E5520">
        <w:rPr>
          <w:rFonts w:eastAsia="DengXian"/>
        </w:rPr>
        <w:t xml:space="preserve"> is the number of employees, </w:t>
      </w:r>
      <m:oMath>
        <m:sSub>
          <m:sSubPr>
            <m:ctrlPr>
              <w:rPr>
                <w:rFonts w:ascii="Cambria Math" w:hAnsi="Cambria Math"/>
              </w:rPr>
            </m:ctrlPr>
          </m:sSubPr>
          <m:e>
            <m:r>
              <w:rPr>
                <w:rFonts w:ascii="Cambria Math" w:hAnsi="Cambria Math"/>
              </w:rPr>
              <m:t>k</m:t>
            </m:r>
          </m:e>
          <m:sub>
            <m:r>
              <w:rPr>
                <w:rFonts w:ascii="Cambria Math" w:hAnsi="Cambria Math"/>
              </w:rPr>
              <m:t>it</m:t>
            </m:r>
          </m:sub>
        </m:sSub>
      </m:oMath>
      <w:r w:rsidRPr="009E5520">
        <w:rPr>
          <w:rFonts w:eastAsia="DengXian"/>
        </w:rPr>
        <w:t xml:space="preserve"> is the gross capital stock of firm i in industry j at time t, in log form. To ensure that our conclusions are robust, we apply a variety of approaches for estimating above equation.</w:t>
      </w:r>
    </w:p>
    <w:p w14:paraId="02558B68" w14:textId="77777777" w:rsidR="00521FEF" w:rsidRPr="009E5520" w:rsidRDefault="00521FEF" w:rsidP="00D07F2C">
      <w:pPr>
        <w:spacing w:after="100"/>
      </w:pPr>
      <w:r w:rsidRPr="009E5520">
        <w:rPr>
          <w:rFonts w:eastAsia="DengXian"/>
        </w:rPr>
        <w:lastRenderedPageBreak/>
        <w:t xml:space="preserve">One common approach to estimate the </w:t>
      </w:r>
      <w:r w:rsidRPr="009E5520">
        <w:rPr>
          <w:lang w:bidi="fa-IR"/>
        </w:rPr>
        <w:t>Cobb-Douglas production function is the Ordinary Least Squares (</w:t>
      </w:r>
      <w:r w:rsidRPr="009E5520">
        <w:rPr>
          <w:i/>
          <w:iCs/>
          <w:lang w:bidi="fa-IR"/>
        </w:rPr>
        <w:t>OLS</w:t>
      </w:r>
      <w:r w:rsidRPr="009E5520">
        <w:rPr>
          <w:lang w:bidi="fa-IR"/>
        </w:rPr>
        <w:t xml:space="preserve">) method. We estimate a separate regression for each two-digit </w:t>
      </w:r>
      <w:r w:rsidRPr="009E5520">
        <w:rPr>
          <w:i/>
          <w:iCs/>
          <w:lang w:bidi="fa-IR"/>
        </w:rPr>
        <w:t>GICS</w:t>
      </w:r>
      <w:r w:rsidRPr="009E5520">
        <w:rPr>
          <w:lang w:bidi="fa-IR"/>
        </w:rPr>
        <w:t xml:space="preserve"> industry group to control industry heterogeneity. Following this approach, </w:t>
      </w:r>
      <w:r w:rsidRPr="009E5520">
        <w:rPr>
          <w:i/>
          <w:iCs/>
          <w:lang w:bidi="fa-IR"/>
        </w:rPr>
        <w:t>TFP</w:t>
      </w:r>
      <w:r w:rsidRPr="009E5520">
        <w:rPr>
          <w:lang w:bidi="fa-IR"/>
        </w:rPr>
        <w:t xml:space="preserve"> based on </w:t>
      </w:r>
      <w:r w:rsidRPr="009E5520">
        <w:rPr>
          <w:i/>
          <w:iCs/>
          <w:lang w:bidi="fa-IR"/>
        </w:rPr>
        <w:t>OLS</w:t>
      </w:r>
      <w:r w:rsidRPr="009E5520">
        <w:rPr>
          <w:lang w:bidi="fa-IR"/>
        </w:rPr>
        <w:t xml:space="preserve"> estimation (</w:t>
      </w:r>
      <w:r w:rsidRPr="009E5520">
        <w:rPr>
          <w:i/>
          <w:iCs/>
          <w:lang w:bidi="fa-IR"/>
        </w:rPr>
        <w:t>TFPOLS</w:t>
      </w:r>
      <w:r w:rsidRPr="009E5520">
        <w:rPr>
          <w:lang w:bidi="fa-IR"/>
        </w:rPr>
        <w:t xml:space="preserve">) is measured as the residual of equation 3. The challenge is that the </w:t>
      </w:r>
      <w:r w:rsidRPr="009E5520">
        <w:rPr>
          <w:i/>
          <w:iCs/>
          <w:lang w:bidi="fa-IR"/>
        </w:rPr>
        <w:t>OLS</w:t>
      </w:r>
      <w:r w:rsidRPr="009E5520">
        <w:rPr>
          <w:lang w:bidi="fa-IR"/>
        </w:rPr>
        <w:t xml:space="preserve"> estimation suffers from simultaneity and selection biases. Simultaneity arises </w:t>
      </w:r>
      <w:r w:rsidRPr="009E5520">
        <w:t>if firms decide the level of inputs consumed in the production process. In this case, inputs possibly are endogenous variables because the model's error term includes output determinants observed by the firm (</w:t>
      </w:r>
      <w:proofErr w:type="spellStart"/>
      <w:r w:rsidRPr="009E5520">
        <w:t>Manjón</w:t>
      </w:r>
      <w:proofErr w:type="spellEnd"/>
      <w:r w:rsidRPr="009E5520">
        <w:t xml:space="preserve"> and </w:t>
      </w:r>
      <w:proofErr w:type="spellStart"/>
      <w:r w:rsidRPr="009E5520">
        <w:t>Mañez</w:t>
      </w:r>
      <w:proofErr w:type="spellEnd"/>
      <w:r w:rsidRPr="009E5520">
        <w:t xml:space="preserve"> 2016). Selection bias results from the relationship between productivity shocks and the probability of exit from the market. If a firm’s profitability is positively related to its capital stock, then a firm with a larger capital stock is more likely to stay in the market despite a low productivity shock than a firm with smaller capital stock because the firm with more capital can be expected to produce greater future profits. </w:t>
      </w:r>
      <w:r w:rsidRPr="009E5520">
        <w:rPr>
          <w:lang w:bidi="fa-IR"/>
        </w:rPr>
        <w:t xml:space="preserve">Therefore, we </w:t>
      </w:r>
      <w:r w:rsidRPr="009E5520">
        <w:rPr>
          <w:rFonts w:eastAsia="DengXian"/>
        </w:rPr>
        <w:t xml:space="preserve">follow the literature by using a control function approach, which was </w:t>
      </w:r>
      <w:r w:rsidRPr="009E5520">
        <w:rPr>
          <w:lang w:bidi="fa-IR"/>
        </w:rPr>
        <w:t xml:space="preserve">first introduced by </w:t>
      </w:r>
      <w:r w:rsidRPr="009E5520">
        <w:rPr>
          <w:noProof/>
          <w:lang w:bidi="fa-IR"/>
        </w:rPr>
        <w:t>Olley and Pakes (1996)</w:t>
      </w:r>
      <w:r w:rsidRPr="009E5520">
        <w:rPr>
          <w:lang w:bidi="fa-IR"/>
        </w:rPr>
        <w:t xml:space="preserve"> (</w:t>
      </w:r>
      <w:r w:rsidRPr="009E5520">
        <w:rPr>
          <w:i/>
          <w:iCs/>
          <w:lang w:bidi="fa-IR"/>
        </w:rPr>
        <w:t>OP</w:t>
      </w:r>
      <w:r w:rsidRPr="009E5520">
        <w:rPr>
          <w:lang w:bidi="fa-IR"/>
        </w:rPr>
        <w:t xml:space="preserve">), </w:t>
      </w:r>
      <w:r w:rsidRPr="009E5520">
        <w:rPr>
          <w:rFonts w:eastAsia="DengXian"/>
        </w:rPr>
        <w:t>to overcome these challenges</w:t>
      </w:r>
      <w:r w:rsidRPr="009E5520">
        <w:t xml:space="preserve">. </w:t>
      </w:r>
      <w:r w:rsidRPr="009E5520">
        <w:rPr>
          <w:lang w:bidi="fa-IR"/>
        </w:rPr>
        <w:t xml:space="preserve">Consider a log-linearised Cobb-Douglas production function for firm </w:t>
      </w:r>
      <w:proofErr w:type="spellStart"/>
      <w:r w:rsidRPr="009E5520">
        <w:rPr>
          <w:i/>
          <w:lang w:bidi="fa-IR"/>
        </w:rPr>
        <w:t>i</w:t>
      </w:r>
      <w:proofErr w:type="spellEnd"/>
      <w:r w:rsidRPr="009E5520">
        <w:rPr>
          <w:lang w:bidi="fa-IR"/>
        </w:rPr>
        <w:t xml:space="preserve"> in industry </w:t>
      </w:r>
      <w:proofErr w:type="gramStart"/>
      <w:r w:rsidRPr="009E5520">
        <w:rPr>
          <w:i/>
          <w:lang w:bidi="fa-IR"/>
        </w:rPr>
        <w:t>j</w:t>
      </w:r>
      <w:proofErr w:type="gramEnd"/>
      <w:r w:rsidRPr="009E5520">
        <w:rPr>
          <w:lang w:bidi="fa-IR"/>
        </w:rPr>
        <w:t xml:space="preserve"> </w:t>
      </w:r>
    </w:p>
    <w:p w14:paraId="26D1C809" w14:textId="77777777" w:rsidR="00521FEF" w:rsidRPr="009E5520" w:rsidRDefault="00521FEF" w:rsidP="00537044">
      <w:pPr>
        <w:spacing w:after="120"/>
        <w:rPr>
          <w:lang w:bidi="fa-IR"/>
        </w:rPr>
      </w:pPr>
      <w:r w:rsidRPr="009E5520">
        <w:rPr>
          <w:rFonts w:eastAsia="DengXian"/>
        </w:rPr>
        <w:t xml:space="preserve"> </w:t>
      </w:r>
      <m:oMath>
        <m:sSub>
          <m:sSubPr>
            <m:ctrlPr>
              <w:rPr>
                <w:rFonts w:ascii="Cambria Math" w:hAnsi="Cambria Math"/>
              </w:rPr>
            </m:ctrlPr>
          </m:sSubPr>
          <m:e>
            <m:r>
              <w:rPr>
                <w:rFonts w:ascii="Cambria Math" w:hAnsi="Cambria Math"/>
              </w:rPr>
              <m:t>y</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j</m:t>
            </m:r>
          </m:sub>
        </m:sSub>
        <m:sSubSup>
          <m:sSubSupPr>
            <m:ctrlPr>
              <w:rPr>
                <w:rFonts w:ascii="Cambria Math" w:hAnsi="Cambria Math"/>
              </w:rPr>
            </m:ctrlPr>
          </m:sSubSupPr>
          <m:e>
            <m:r>
              <w:rPr>
                <w:rFonts w:ascii="Cambria Math" w:hAnsi="Cambria Math"/>
              </w:rPr>
              <m:t>+ θ</m:t>
            </m:r>
          </m:e>
          <m:sub>
            <m:r>
              <w:rPr>
                <w:rFonts w:ascii="Cambria Math" w:hAnsi="Cambria Math"/>
              </w:rPr>
              <m:t>j</m:t>
            </m:r>
          </m:sub>
          <m:sup>
            <m:r>
              <w:rPr>
                <w:rFonts w:ascii="Cambria Math" w:hAnsi="Cambria Math"/>
              </w:rPr>
              <m:t>l</m:t>
            </m:r>
          </m:sup>
        </m:sSubSup>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θ</m:t>
            </m:r>
          </m:e>
          <m:sub>
            <m:r>
              <w:rPr>
                <w:rFonts w:ascii="Cambria Math" w:hAnsi="Cambria Math"/>
              </w:rPr>
              <m:t>j</m:t>
            </m:r>
          </m:sub>
          <m:sup>
            <m:r>
              <w:rPr>
                <w:rFonts w:ascii="Cambria Math" w:hAnsi="Cambria Math"/>
              </w:rPr>
              <m:t>k</m:t>
            </m:r>
          </m:sup>
        </m:sSubSup>
        <m:sSub>
          <m:sSubPr>
            <m:ctrlPr>
              <w:rPr>
                <w:rFonts w:ascii="Cambria Math" w:hAnsi="Cambria Math"/>
              </w:rPr>
            </m:ctrlPr>
          </m:sSubPr>
          <m:e>
            <m:r>
              <w:rPr>
                <w:rFonts w:ascii="Cambria Math" w:hAnsi="Cambria Math"/>
              </w:rPr>
              <m:t>k</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 xml:space="preserve">    i belongs to industry j    (4)   </m:t>
        </m:r>
      </m:oMath>
    </w:p>
    <w:p w14:paraId="58F3BE0A" w14:textId="77777777" w:rsidR="00521FEF" w:rsidRPr="009E5520" w:rsidRDefault="00000000" w:rsidP="00D07F2C">
      <w:pPr>
        <w:spacing w:after="100"/>
        <w:rPr>
          <w:rFonts w:eastAsia="DengXian"/>
        </w:rPr>
      </w:pPr>
      <m:oMath>
        <m:sSub>
          <m:sSubPr>
            <m:ctrlPr>
              <w:rPr>
                <w:rFonts w:ascii="Cambria Math" w:hAnsi="Cambria Math"/>
              </w:rPr>
            </m:ctrlPr>
          </m:sSubPr>
          <m:e>
            <m:r>
              <m:rPr>
                <m:sty m:val="p"/>
              </m:rPr>
              <w:rPr>
                <w:rFonts w:ascii="Cambria Math" w:hAnsi="Cambria Math"/>
              </w:rPr>
              <m:t>ω</m:t>
            </m:r>
          </m:e>
          <m:sub>
            <m:r>
              <w:rPr>
                <w:rFonts w:ascii="Cambria Math" w:hAnsi="Cambria Math"/>
              </w:rPr>
              <m:t>it</m:t>
            </m:r>
          </m:sub>
        </m:sSub>
      </m:oMath>
      <w:r w:rsidR="00521FEF" w:rsidRPr="009E5520">
        <w:rPr>
          <w:rFonts w:eastAsia="DengXian"/>
        </w:rPr>
        <w:t xml:space="preserve"> is unobserved productivity shock which refers for </w:t>
      </w:r>
      <w:r w:rsidR="00521FEF" w:rsidRPr="009E5520">
        <w:rPr>
          <w:rFonts w:eastAsia="DengXian"/>
          <w:i/>
          <w:iCs/>
        </w:rPr>
        <w:t>TFP</w:t>
      </w:r>
      <w:r w:rsidR="00521FEF" w:rsidRPr="009E5520">
        <w:rPr>
          <w:rFonts w:eastAsia="DengXian"/>
        </w:rPr>
        <w:t xml:space="preserve"> and </w:t>
      </w:r>
      <m:oMath>
        <m:sSub>
          <m:sSubPr>
            <m:ctrlPr>
              <w:rPr>
                <w:rFonts w:ascii="Cambria Math" w:hAnsi="Cambria Math"/>
              </w:rPr>
            </m:ctrlPr>
          </m:sSubPr>
          <m:e>
            <m:r>
              <w:rPr>
                <w:rFonts w:ascii="Cambria Math" w:hAnsi="Cambria Math"/>
              </w:rPr>
              <m:t>ϵ</m:t>
            </m:r>
          </m:e>
          <m:sub>
            <m:r>
              <w:rPr>
                <w:rFonts w:ascii="Cambria Math" w:hAnsi="Cambria Math"/>
              </w:rPr>
              <m:t>it</m:t>
            </m:r>
            <m:r>
              <m:rPr>
                <m:sty m:val="p"/>
              </m:rPr>
              <w:rPr>
                <w:rFonts w:ascii="Cambria Math" w:hAnsi="Cambria Math"/>
              </w:rPr>
              <m:t xml:space="preserve"> </m:t>
            </m:r>
          </m:sub>
        </m:sSub>
      </m:oMath>
      <w:r w:rsidR="00521FEF" w:rsidRPr="009E5520">
        <w:rPr>
          <w:rFonts w:eastAsia="DengXian"/>
        </w:rPr>
        <w:t xml:space="preserve">is measurement error. It is assumed that  </w:t>
      </w:r>
      <m:oMath>
        <m:sSub>
          <m:sSubPr>
            <m:ctrlPr>
              <w:rPr>
                <w:rFonts w:ascii="Cambria Math" w:hAnsi="Cambria Math"/>
              </w:rPr>
            </m:ctrlPr>
          </m:sSubPr>
          <m:e>
            <m:r>
              <m:rPr>
                <m:sty m:val="p"/>
              </m:rPr>
              <w:rPr>
                <w:rFonts w:ascii="Cambria Math" w:hAnsi="Cambria Math"/>
              </w:rPr>
              <m:t>ω</m:t>
            </m:r>
          </m:e>
          <m:sub>
            <m:r>
              <w:rPr>
                <w:rFonts w:ascii="Cambria Math" w:hAnsi="Cambria Math"/>
              </w:rPr>
              <m:t>it</m:t>
            </m:r>
          </m:sub>
        </m:sSub>
      </m:oMath>
      <w:r w:rsidR="00521FEF" w:rsidRPr="009E5520">
        <w:rPr>
          <w:rFonts w:eastAsia="DengXian"/>
        </w:rPr>
        <w:t xml:space="preserve"> follows a first-order Markov process as below:</w:t>
      </w:r>
    </w:p>
    <w:p w14:paraId="19CE5C07" w14:textId="77777777" w:rsidR="00521FEF" w:rsidRPr="009E5520" w:rsidRDefault="00000000" w:rsidP="00537044">
      <w:pPr>
        <w:spacing w:after="120"/>
        <w:rPr>
          <w:rFonts w:eastAsia="DengXian"/>
        </w:rPr>
      </w:pPr>
      <m:oMath>
        <m:sSub>
          <m:sSubPr>
            <m:ctrlPr>
              <w:rPr>
                <w:rFonts w:ascii="Cambria Math" w:hAnsi="Cambria Math"/>
              </w:rPr>
            </m:ctrlPr>
          </m:sSubPr>
          <m:e>
            <m:r>
              <m:rPr>
                <m:sty m:val="p"/>
              </m:rPr>
              <w:rPr>
                <w:rFonts w:ascii="Cambria Math" w:hAnsi="Cambria Math"/>
              </w:rPr>
              <m:t>ω</m:t>
            </m:r>
          </m:e>
          <m:sub>
            <m:r>
              <w:rPr>
                <w:rFonts w:ascii="Cambria Math" w:hAnsi="Cambria Math"/>
              </w:rPr>
              <m:t>it</m:t>
            </m:r>
          </m:sub>
        </m:sSub>
        <m:r>
          <m:rPr>
            <m:sty m:val="p"/>
          </m:rPr>
          <w:rPr>
            <w:rFonts w:ascii="Cambria Math" w:hAnsi="Cambria Math"/>
          </w:rPr>
          <m:t>=E</m:t>
        </m:r>
        <m:d>
          <m:dPr>
            <m:endChr m:val="|"/>
            <m:ctrlPr>
              <w:rPr>
                <w:rFonts w:ascii="Cambria Math" w:hAnsi="Cambria Math"/>
              </w:rPr>
            </m:ctrlPr>
          </m:dPr>
          <m:e>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ω</m:t>
                </m:r>
              </m:e>
              <m:sub>
                <m:r>
                  <w:rPr>
                    <w:rFonts w:ascii="Cambria Math" w:hAnsi="Cambria Math"/>
                  </w:rPr>
                  <m:t>it</m:t>
                </m:r>
              </m:sub>
            </m:sSub>
            <m:r>
              <m:rPr>
                <m:sty m:val="p"/>
              </m:rPr>
              <w:rPr>
                <w:rFonts w:ascii="Cambria Math" w:hAnsi="Cambria Math"/>
              </w:rPr>
              <m:t xml:space="preserve"> </m:t>
            </m:r>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ω</m:t>
            </m:r>
          </m:e>
          <m:sub>
            <m:r>
              <w:rPr>
                <w:rFonts w:ascii="Cambria Math" w:hAnsi="Cambria Math"/>
              </w:rPr>
              <m:t>it</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it</m:t>
            </m:r>
          </m:sub>
        </m:sSub>
        <m:r>
          <w:rPr>
            <w:rFonts w:ascii="Cambria Math" w:hAnsi="Cambria Math"/>
          </w:rPr>
          <m:t>=g</m:t>
        </m:r>
        <m:d>
          <m:dPr>
            <m:ctrlPr>
              <w:rPr>
                <w:rFonts w:ascii="Cambria Math" w:hAnsi="Cambria Math"/>
                <w:i/>
              </w:rPr>
            </m:ctrlPr>
          </m:dPr>
          <m:e>
            <m:sSub>
              <m:sSubPr>
                <m:ctrlPr>
                  <w:rPr>
                    <w:rFonts w:ascii="Cambria Math" w:hAnsi="Cambria Math"/>
                  </w:rPr>
                </m:ctrlPr>
              </m:sSubPr>
              <m:e>
                <m:r>
                  <m:rPr>
                    <m:sty m:val="p"/>
                  </m:rPr>
                  <w:rPr>
                    <w:rFonts w:ascii="Cambria Math" w:hAnsi="Cambria Math"/>
                  </w:rPr>
                  <m:t>ω</m:t>
                </m:r>
              </m:e>
              <m:sub>
                <m:r>
                  <w:rPr>
                    <w:rFonts w:ascii="Cambria Math" w:hAnsi="Cambria Math"/>
                  </w:rPr>
                  <m:t>it</m:t>
                </m:r>
                <m:r>
                  <m:rPr>
                    <m:sty m:val="p"/>
                  </m:rPr>
                  <w:rPr>
                    <w:rFonts w:ascii="Cambria Math" w:hAnsi="Cambria Math"/>
                  </w:rPr>
                  <m:t>-1</m:t>
                </m:r>
              </m:sub>
            </m:sSub>
          </m:e>
        </m:d>
        <m:r>
          <w:rPr>
            <w:rFonts w:ascii="Cambria Math" w:hAnsi="Cambria Math"/>
          </w:rPr>
          <m:t xml:space="preserve">+ </m:t>
        </m:r>
        <m:sSub>
          <m:sSubPr>
            <m:ctrlPr>
              <w:rPr>
                <w:rFonts w:ascii="Cambria Math" w:hAnsi="Cambria Math"/>
              </w:rPr>
            </m:ctrlPr>
          </m:sSubPr>
          <m:e>
            <m:r>
              <w:rPr>
                <w:rFonts w:ascii="Cambria Math" w:hAnsi="Cambria Math"/>
              </w:rPr>
              <m:t>u</m:t>
            </m:r>
          </m:e>
          <m:sub>
            <m:r>
              <w:rPr>
                <w:rFonts w:ascii="Cambria Math" w:hAnsi="Cambria Math"/>
              </w:rPr>
              <m:t>it</m:t>
            </m:r>
          </m:sub>
        </m:sSub>
        <m:r>
          <w:rPr>
            <w:rFonts w:ascii="Cambria Math" w:hAnsi="Cambria Math"/>
          </w:rPr>
          <m:t xml:space="preserve">      (5) </m:t>
        </m:r>
      </m:oMath>
      <w:r w:rsidR="00521FEF" w:rsidRPr="009E5520">
        <w:rPr>
          <w:rFonts w:eastAsia="DengXian"/>
        </w:rPr>
        <w:t xml:space="preserve"> </w:t>
      </w:r>
    </w:p>
    <w:p w14:paraId="1CAD3C95" w14:textId="77777777" w:rsidR="00521FEF" w:rsidRPr="009E5520" w:rsidRDefault="00000000" w:rsidP="00D07F2C">
      <w:pPr>
        <w:spacing w:after="100"/>
        <w:rPr>
          <w:rFonts w:eastAsia="DengXian"/>
        </w:rPr>
      </w:pPr>
      <m:oMath>
        <m:sSub>
          <m:sSubPr>
            <m:ctrlPr>
              <w:rPr>
                <w:rFonts w:ascii="Cambria Math" w:hAnsi="Cambria Math"/>
              </w:rPr>
            </m:ctrlPr>
          </m:sSubPr>
          <m:e>
            <m:r>
              <w:rPr>
                <w:rFonts w:ascii="Cambria Math" w:hAnsi="Cambria Math"/>
              </w:rPr>
              <m:t>u</m:t>
            </m:r>
          </m:e>
          <m:sub>
            <m:r>
              <w:rPr>
                <w:rFonts w:ascii="Cambria Math" w:hAnsi="Cambria Math"/>
              </w:rPr>
              <m:t>it</m:t>
            </m:r>
            <m:r>
              <m:rPr>
                <m:sty m:val="p"/>
              </m:rPr>
              <w:rPr>
                <w:rFonts w:ascii="Cambria Math" w:hAnsi="Cambria Math"/>
              </w:rPr>
              <m:t xml:space="preserve"> </m:t>
            </m:r>
          </m:sub>
        </m:sSub>
      </m:oMath>
      <w:r w:rsidR="00521FEF" w:rsidRPr="009E5520">
        <w:rPr>
          <w:rFonts w:eastAsia="DengXian"/>
        </w:rPr>
        <w:t xml:space="preserve"> is a random shock component assumed to be uncorrelated with unobserved productivity shock, and our state variable </w:t>
      </w:r>
      <m:oMath>
        <m:sSub>
          <m:sSubPr>
            <m:ctrlPr>
              <w:rPr>
                <w:rFonts w:ascii="Cambria Math" w:hAnsi="Cambria Math"/>
              </w:rPr>
            </m:ctrlPr>
          </m:sSubPr>
          <m:e>
            <m:r>
              <w:rPr>
                <w:rFonts w:ascii="Cambria Math" w:hAnsi="Cambria Math"/>
              </w:rPr>
              <m:t>k</m:t>
            </m:r>
          </m:e>
          <m:sub>
            <m:r>
              <w:rPr>
                <w:rFonts w:ascii="Cambria Math" w:hAnsi="Cambria Math"/>
              </w:rPr>
              <m:t>it</m:t>
            </m:r>
          </m:sub>
        </m:sSub>
        <m:r>
          <w:rPr>
            <w:rFonts w:ascii="Cambria Math" w:hAnsi="Cambria Math"/>
          </w:rPr>
          <m:t>.</m:t>
        </m:r>
      </m:oMath>
      <w:r w:rsidR="00521FEF" w:rsidRPr="009E5520">
        <w:rPr>
          <w:rFonts w:eastAsia="DengXian"/>
        </w:rPr>
        <w:t xml:space="preserve"> In addition, the solution to the dynamic profit maximisation problem generates a demand function for the proxy variable (investment (</w:t>
      </w:r>
      <m:oMath>
        <m:sSub>
          <m:sSubPr>
            <m:ctrlPr>
              <w:rPr>
                <w:rFonts w:ascii="Cambria Math" w:hAnsi="Cambria Math"/>
              </w:rPr>
            </m:ctrlPr>
          </m:sSubPr>
          <m:e>
            <m:r>
              <m:rPr>
                <m:sty m:val="p"/>
              </m:rPr>
              <w:rPr>
                <w:rFonts w:ascii="Cambria Math" w:hAnsi="Cambria Math"/>
              </w:rPr>
              <m:t>i</m:t>
            </m:r>
          </m:e>
          <m:sub>
            <m:r>
              <w:rPr>
                <w:rFonts w:ascii="Cambria Math" w:hAnsi="Cambria Math"/>
              </w:rPr>
              <m:t>it</m:t>
            </m:r>
          </m:sub>
        </m:sSub>
        <m:r>
          <m:rPr>
            <m:sty m:val="p"/>
          </m:rPr>
          <w:rPr>
            <w:rFonts w:ascii="Cambria Math" w:hAnsi="Cambria Math"/>
          </w:rPr>
          <m:t>)</m:t>
        </m:r>
      </m:oMath>
      <w:r w:rsidR="00521FEF" w:rsidRPr="009E5520">
        <w:rPr>
          <w:rFonts w:eastAsia="DengXian"/>
        </w:rPr>
        <w:t xml:space="preserve"> in </w:t>
      </w:r>
      <w:r w:rsidR="00521FEF" w:rsidRPr="009E5520">
        <w:rPr>
          <w:rFonts w:eastAsia="DengXian"/>
          <w:i/>
          <w:iCs/>
        </w:rPr>
        <w:t>OP</w:t>
      </w:r>
      <w:r w:rsidR="00521FEF" w:rsidRPr="009E5520">
        <w:rPr>
          <w:rFonts w:eastAsia="DengXian"/>
        </w:rPr>
        <w:t xml:space="preserve">) that under certain assumptions can be inverted to define a firm’s productivity as a function of observables as </w:t>
      </w:r>
      <m:oMath>
        <m:sSub>
          <m:sSubPr>
            <m:ctrlPr>
              <w:rPr>
                <w:rFonts w:ascii="Cambria Math" w:hAnsi="Cambria Math"/>
              </w:rPr>
            </m:ctrlPr>
          </m:sSubPr>
          <m:e>
            <m:r>
              <m:rPr>
                <m:sty m:val="p"/>
              </m:rPr>
              <w:rPr>
                <w:rFonts w:ascii="Cambria Math" w:hAnsi="Cambria Math"/>
              </w:rPr>
              <m:t>ω</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=h</m:t>
        </m:r>
        <m:d>
          <m:dPr>
            <m:ctrlPr>
              <w:rPr>
                <w:rFonts w:ascii="Cambria Math" w:hAnsi="Cambria Math"/>
              </w:rPr>
            </m:ctrlPr>
          </m:dPr>
          <m:e>
            <m:sSub>
              <m:sSubPr>
                <m:ctrlPr>
                  <w:rPr>
                    <w:rFonts w:ascii="Cambria Math" w:hAnsi="Cambria Math"/>
                  </w:rPr>
                </m:ctrlPr>
              </m:sSubPr>
              <m:e>
                <m:r>
                  <m:rPr>
                    <m:sty m:val="p"/>
                  </m:rPr>
                  <w:rPr>
                    <w:rFonts w:ascii="Cambria Math" w:hAnsi="Cambria Math"/>
                  </w:rPr>
                  <m:t>i</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it</m:t>
                </m:r>
              </m:sub>
            </m:sSub>
          </m:e>
        </m:d>
      </m:oMath>
      <w:r w:rsidR="00521FEF" w:rsidRPr="009E5520">
        <w:rPr>
          <w:rFonts w:eastAsia="DengXian"/>
        </w:rPr>
        <w:t xml:space="preserve">.  We measure investment as the per cent change in the capital; that is </w:t>
      </w:r>
      <m:oMath>
        <m:sSub>
          <m:sSubPr>
            <m:ctrlPr>
              <w:rPr>
                <w:rFonts w:ascii="Cambria Math" w:hAnsi="Cambria Math"/>
              </w:rPr>
            </m:ctrlPr>
          </m:sSubPr>
          <m:e>
            <m:r>
              <w:rPr>
                <w:rFonts w:ascii="Cambria Math" w:hAnsi="Cambria Math"/>
              </w:rPr>
              <m:t>i</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it-1</m:t>
            </m:r>
          </m:sub>
        </m:sSub>
      </m:oMath>
      <w:r w:rsidR="00521FEF" w:rsidRPr="009E5520">
        <w:rPr>
          <w:rFonts w:eastAsia="DengXian"/>
        </w:rPr>
        <w:t xml:space="preserve">. The estimation approach has two stages. </w:t>
      </w:r>
    </w:p>
    <w:p w14:paraId="3CF9D0E8" w14:textId="4BFA2849" w:rsidR="00521FEF" w:rsidRPr="009E5520" w:rsidRDefault="00521FEF" w:rsidP="00D07F2C">
      <w:pPr>
        <w:spacing w:after="100"/>
        <w:rPr>
          <w:rFonts w:eastAsia="DengXian"/>
        </w:rPr>
      </w:pPr>
      <w:r w:rsidRPr="009E5520">
        <w:rPr>
          <w:rFonts w:eastAsia="DengXian"/>
        </w:rPr>
        <w:t xml:space="preserve">In </w:t>
      </w:r>
      <w:r w:rsidR="00537044">
        <w:rPr>
          <w:rFonts w:eastAsia="DengXian"/>
        </w:rPr>
        <w:t xml:space="preserve">the </w:t>
      </w:r>
      <w:r w:rsidRPr="009E5520">
        <w:rPr>
          <w:rFonts w:eastAsia="DengXian"/>
        </w:rPr>
        <w:t xml:space="preserve">first stage, we plug the inverse of the demand function into the production function 4. </w:t>
      </w:r>
    </w:p>
    <w:p w14:paraId="56D037A3" w14:textId="77777777" w:rsidR="00521FEF" w:rsidRPr="009E5520" w:rsidRDefault="00000000" w:rsidP="00537044">
      <w:pPr>
        <w:spacing w:after="120"/>
        <w:rPr>
          <w:rFonts w:eastAsia="DengXian"/>
        </w:rPr>
      </w:pPr>
      <m:oMathPara>
        <m:oMathParaPr>
          <m:jc m:val="left"/>
        </m:oMathParaPr>
        <m:oMath>
          <m:sSub>
            <m:sSubPr>
              <m:ctrlPr>
                <w:rPr>
                  <w:rFonts w:ascii="Cambria Math" w:hAnsi="Cambria Math"/>
                </w:rPr>
              </m:ctrlPr>
            </m:sSubPr>
            <m:e>
              <m:r>
                <w:rPr>
                  <w:rFonts w:ascii="Cambria Math" w:hAnsi="Cambria Math"/>
                </w:rPr>
                <m:t>y</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j</m:t>
              </m:r>
            </m:sub>
          </m:sSub>
          <m:sSubSup>
            <m:sSubSupPr>
              <m:ctrlPr>
                <w:rPr>
                  <w:rFonts w:ascii="Cambria Math" w:hAnsi="Cambria Math"/>
                </w:rPr>
              </m:ctrlPr>
            </m:sSubSupPr>
            <m:e>
              <m:r>
                <w:rPr>
                  <w:rFonts w:ascii="Cambria Math" w:hAnsi="Cambria Math"/>
                </w:rPr>
                <m:t>+ θ</m:t>
              </m:r>
            </m:e>
            <m:sub>
              <m:r>
                <w:rPr>
                  <w:rFonts w:ascii="Cambria Math" w:hAnsi="Cambria Math"/>
                </w:rPr>
                <m:t>j</m:t>
              </m:r>
            </m:sub>
            <m:sup>
              <m:r>
                <w:rPr>
                  <w:rFonts w:ascii="Cambria Math" w:hAnsi="Cambria Math"/>
                </w:rPr>
                <m:t>l</m:t>
              </m:r>
            </m:sup>
          </m:sSubSup>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θ</m:t>
              </m:r>
            </m:e>
            <m:sub>
              <m:r>
                <w:rPr>
                  <w:rFonts w:ascii="Cambria Math" w:hAnsi="Cambria Math"/>
                </w:rPr>
                <m:t>j</m:t>
              </m:r>
            </m:sub>
            <m:sup>
              <m:r>
                <w:rPr>
                  <w:rFonts w:ascii="Cambria Math" w:hAnsi="Cambria Math"/>
                </w:rPr>
                <m:t>k</m:t>
              </m:r>
            </m:sup>
          </m:sSubSup>
          <m:sSub>
            <m:sSubPr>
              <m:ctrlPr>
                <w:rPr>
                  <w:rFonts w:ascii="Cambria Math" w:hAnsi="Cambria Math"/>
                </w:rPr>
              </m:ctrlPr>
            </m:sSubPr>
            <m:e>
              <m:r>
                <w:rPr>
                  <w:rFonts w:ascii="Cambria Math" w:hAnsi="Cambria Math"/>
                </w:rPr>
                <m:t>k</m:t>
              </m:r>
            </m:e>
            <m:sub>
              <m:r>
                <w:rPr>
                  <w:rFonts w:ascii="Cambria Math" w:hAnsi="Cambria Math"/>
                </w:rPr>
                <m:t>it</m:t>
              </m:r>
            </m:sub>
          </m:sSub>
          <m:r>
            <m:rPr>
              <m:sty m:val="p"/>
            </m:rPr>
            <w:rPr>
              <w:rFonts w:ascii="Cambria Math" w:hAnsi="Cambria Math"/>
            </w:rPr>
            <m:t>+h</m:t>
          </m:r>
          <m:d>
            <m:dPr>
              <m:ctrlPr>
                <w:rPr>
                  <w:rFonts w:ascii="Cambria Math" w:hAnsi="Cambria Math"/>
                </w:rPr>
              </m:ctrlPr>
            </m:dPr>
            <m:e>
              <m:sSub>
                <m:sSubPr>
                  <m:ctrlPr>
                    <w:rPr>
                      <w:rFonts w:ascii="Cambria Math" w:hAnsi="Cambria Math"/>
                    </w:rPr>
                  </m:ctrlPr>
                </m:sSubPr>
                <m:e>
                  <m:r>
                    <m:rPr>
                      <m:sty m:val="p"/>
                    </m:rPr>
                    <w:rPr>
                      <w:rFonts w:ascii="Cambria Math" w:hAnsi="Cambria Math"/>
                    </w:rPr>
                    <m:t>i</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m:t>
              </m:r>
            </m:sub>
          </m:sSub>
          <m:r>
            <w:rPr>
              <w:rFonts w:ascii="Cambria Math" w:hAnsi="Cambria Math"/>
            </w:rPr>
            <m:t xml:space="preserve">= </m:t>
          </m:r>
          <m:sSubSup>
            <m:sSubSupPr>
              <m:ctrlPr>
                <w:rPr>
                  <w:rFonts w:ascii="Cambria Math" w:hAnsi="Cambria Math"/>
                </w:rPr>
              </m:ctrlPr>
            </m:sSubSupPr>
            <m:e>
              <m:r>
                <w:rPr>
                  <w:rFonts w:ascii="Cambria Math" w:hAnsi="Cambria Math"/>
                </w:rPr>
                <m:t xml:space="preserve"> θ</m:t>
              </m:r>
            </m:e>
            <m:sub>
              <m:r>
                <w:rPr>
                  <w:rFonts w:ascii="Cambria Math" w:hAnsi="Cambria Math"/>
                </w:rPr>
                <m:t>j</m:t>
              </m:r>
            </m:sub>
            <m:sup>
              <m:r>
                <w:rPr>
                  <w:rFonts w:ascii="Cambria Math" w:hAnsi="Cambria Math"/>
                </w:rPr>
                <m:t>l</m:t>
              </m:r>
            </m:sup>
          </m:sSubSup>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+φ</m:t>
          </m:r>
          <m:d>
            <m:dPr>
              <m:ctrlPr>
                <w:rPr>
                  <w:rFonts w:ascii="Cambria Math" w:hAnsi="Cambria Math"/>
                </w:rPr>
              </m:ctrlPr>
            </m:dPr>
            <m:e>
              <m:sSub>
                <m:sSubPr>
                  <m:ctrlPr>
                    <w:rPr>
                      <w:rFonts w:ascii="Cambria Math" w:hAnsi="Cambria Math"/>
                    </w:rPr>
                  </m:ctrlPr>
                </m:sSubPr>
                <m:e>
                  <m:r>
                    <m:rPr>
                      <m:sty m:val="p"/>
                    </m:rPr>
                    <w:rPr>
                      <w:rFonts w:ascii="Cambria Math" w:hAnsi="Cambria Math"/>
                    </w:rPr>
                    <m:t>i</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rPr>
                    <m:t>it</m:t>
                  </m:r>
                </m:sub>
              </m:sSub>
            </m:e>
          </m:d>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m:t>
              </m:r>
            </m:sub>
          </m:sSub>
          <m:r>
            <w:rPr>
              <w:rFonts w:ascii="Cambria Math" w:hAnsi="Cambria Math"/>
            </w:rPr>
            <m:t xml:space="preserve">   (6) </m:t>
          </m:r>
        </m:oMath>
      </m:oMathPara>
    </w:p>
    <w:p w14:paraId="0CF33C83" w14:textId="77777777" w:rsidR="00521FEF" w:rsidRPr="009E5520" w:rsidRDefault="00521FEF" w:rsidP="00D07F2C">
      <w:pPr>
        <w:spacing w:after="100"/>
        <w:ind w:firstLine="0"/>
        <w:rPr>
          <w:rFonts w:eastAsia="DengXian"/>
        </w:rPr>
      </w:pPr>
      <w:r w:rsidRPr="009E5520">
        <w:t xml:space="preserve">We non-parametrically estimate equation 6. This stage provides the estimate </w:t>
      </w:r>
      <m:oMath>
        <m:sSubSup>
          <m:sSubSupPr>
            <m:ctrlPr>
              <w:rPr>
                <w:rFonts w:ascii="Cambria Math" w:hAnsi="Cambria Math"/>
              </w:rPr>
            </m:ctrlPr>
          </m:sSubSupPr>
          <m:e>
            <m:r>
              <w:rPr>
                <w:rFonts w:ascii="Cambria Math" w:hAnsi="Cambria Math"/>
              </w:rPr>
              <m:t xml:space="preserve"> </m:t>
            </m:r>
            <m:acc>
              <m:accPr>
                <m:ctrlPr>
                  <w:rPr>
                    <w:rFonts w:ascii="Cambria Math" w:hAnsi="Cambria Math"/>
                    <w:i/>
                    <w:iCs/>
                  </w:rPr>
                </m:ctrlPr>
              </m:accPr>
              <m:e>
                <m:r>
                  <w:rPr>
                    <w:rFonts w:ascii="Cambria Math" w:hAnsi="Cambria Math"/>
                  </w:rPr>
                  <m:t>θ</m:t>
                </m:r>
              </m:e>
            </m:acc>
          </m:e>
          <m:sub>
            <m:r>
              <w:rPr>
                <w:rFonts w:ascii="Cambria Math" w:hAnsi="Cambria Math"/>
              </w:rPr>
              <m:t>j</m:t>
            </m:r>
          </m:sub>
          <m:sup>
            <m:r>
              <w:rPr>
                <w:rFonts w:ascii="Cambria Math" w:hAnsi="Cambria Math"/>
              </w:rPr>
              <m:t>l</m:t>
            </m:r>
          </m:sup>
        </m:sSubSup>
      </m:oMath>
      <w:r w:rsidRPr="009E5520">
        <w:rPr>
          <w:rFonts w:eastAsia="DengXian"/>
        </w:rPr>
        <w:t xml:space="preserve">. In the second stage, </w:t>
      </w:r>
      <w:r w:rsidRPr="009E5520">
        <w:t xml:space="preserve">assuming the Markovian nature of productivity process </w:t>
      </w:r>
      <w:r w:rsidRPr="009E5520">
        <w:rPr>
          <w:rFonts w:eastAsia="DengXian"/>
        </w:rPr>
        <w:t xml:space="preserve">gives rise </w:t>
      </w:r>
      <w:r w:rsidRPr="009E5520">
        <w:t xml:space="preserve">to the relevant moment condition </w:t>
      </w:r>
      <w:r w:rsidRPr="009E5520">
        <w:rPr>
          <w:rFonts w:eastAsia="DengXian"/>
        </w:rPr>
        <w:t>which can be used to estimate the production function parameters, w</w:t>
      </w:r>
      <w:r w:rsidRPr="009E5520">
        <w:t xml:space="preserve">e parametrise the function </w:t>
      </w:r>
      <m:oMath>
        <m:r>
          <m:rPr>
            <m:sty m:val="p"/>
          </m:rPr>
          <w:rPr>
            <w:rFonts w:ascii="Cambria Math" w:hAnsi="Cambria Math"/>
          </w:rPr>
          <m:t>φ</m:t>
        </m:r>
      </m:oMath>
      <w:r w:rsidRPr="009E5520">
        <w:t xml:space="preserve"> and g using second-order polynomials.</w:t>
      </w:r>
      <w:r w:rsidRPr="009E5520">
        <w:rPr>
          <w:rFonts w:eastAsia="DengXian"/>
        </w:rPr>
        <w:t xml:space="preserve"> </w:t>
      </w:r>
      <w:r w:rsidRPr="009E5520">
        <w:t xml:space="preserve">These two stages then allow us to estimate </w:t>
      </w:r>
      <w:r w:rsidRPr="009E5520">
        <w:rPr>
          <w:i/>
          <w:iCs/>
        </w:rPr>
        <w:t>TFP</w:t>
      </w:r>
      <w:r w:rsidRPr="009E5520">
        <w:t xml:space="preserve"> based on </w:t>
      </w:r>
      <w:r w:rsidRPr="009E5520">
        <w:rPr>
          <w:i/>
          <w:iCs/>
          <w:lang w:bidi="fa-IR"/>
        </w:rPr>
        <w:t>OP</w:t>
      </w:r>
      <w:r w:rsidRPr="009E5520">
        <w:rPr>
          <w:lang w:bidi="fa-IR"/>
        </w:rPr>
        <w:t xml:space="preserve"> </w:t>
      </w:r>
      <w:r w:rsidRPr="009E5520">
        <w:t>(</w:t>
      </w:r>
      <w:r w:rsidRPr="009E5520">
        <w:rPr>
          <w:i/>
          <w:iCs/>
        </w:rPr>
        <w:t>TFPOP</w:t>
      </w:r>
      <w:r w:rsidRPr="009E5520">
        <w:t>) as:</w:t>
      </w:r>
    </w:p>
    <w:p w14:paraId="6A652E53" w14:textId="77777777" w:rsidR="00521FEF" w:rsidRPr="009E5520" w:rsidRDefault="00000000" w:rsidP="00537044">
      <w:pPr>
        <w:spacing w:after="120"/>
        <w:ind w:firstLine="0"/>
      </w:pPr>
      <m:oMath>
        <m:sSub>
          <m:sSubPr>
            <m:ctrlPr>
              <w:rPr>
                <w:rFonts w:ascii="Cambria Math" w:hAnsi="Cambria Math"/>
              </w:rPr>
            </m:ctrlPr>
          </m:sSubPr>
          <m:e>
            <m:sSub>
              <m:sSubPr>
                <m:ctrlPr>
                  <w:rPr>
                    <w:rFonts w:ascii="Cambria Math" w:hAnsi="Cambria Math"/>
                  </w:rPr>
                </m:ctrlPr>
              </m:sSubPr>
              <m:e>
                <m:acc>
                  <m:accPr>
                    <m:ctrlPr>
                      <w:rPr>
                        <w:rFonts w:ascii="Cambria Math" w:hAnsi="Cambria Math"/>
                      </w:rPr>
                    </m:ctrlPr>
                  </m:accPr>
                  <m:e>
                    <m:r>
                      <m:rPr>
                        <m:sty m:val="p"/>
                      </m:rPr>
                      <w:rPr>
                        <w:rFonts w:ascii="Cambria Math" w:hAnsi="Cambria Math"/>
                      </w:rPr>
                      <m:t>ω</m:t>
                    </m:r>
                  </m:e>
                </m:acc>
              </m:e>
              <m:sub>
                <m:r>
                  <w:rPr>
                    <w:rFonts w:ascii="Cambria Math" w:hAnsi="Cambria Math"/>
                  </w:rPr>
                  <m:t>it</m:t>
                </m:r>
              </m:sub>
            </m:sSub>
            <m:r>
              <w:rPr>
                <w:rFonts w:ascii="Cambria Math" w:hAnsi="Cambria Math"/>
              </w:rPr>
              <m:t>=y</m:t>
            </m:r>
          </m:e>
          <m:sub>
            <m:r>
              <w:rPr>
                <w:rFonts w:ascii="Cambria Math" w:hAnsi="Cambria Math"/>
              </w:rPr>
              <m:t>it</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m:rPr>
                    <m:sty m:val="p"/>
                  </m:rPr>
                  <w:rPr>
                    <w:rFonts w:ascii="Cambria Math" w:hAnsi="Cambria Math"/>
                  </w:rPr>
                  <m:t>α</m:t>
                </m:r>
              </m:e>
            </m:acc>
          </m:e>
          <m:sub>
            <m:r>
              <w:rPr>
                <w:rFonts w:ascii="Cambria Math" w:hAnsi="Cambria Math"/>
              </w:rPr>
              <m:t>j</m:t>
            </m:r>
          </m:sub>
        </m:sSub>
        <m:sSubSup>
          <m:sSubSupPr>
            <m:ctrlPr>
              <w:rPr>
                <w:rFonts w:ascii="Cambria Math" w:hAnsi="Cambria Math"/>
              </w:rPr>
            </m:ctrlPr>
          </m:sSubSupPr>
          <m:e>
            <m:r>
              <w:rPr>
                <w:rFonts w:ascii="Cambria Math" w:hAnsi="Cambria Math"/>
              </w:rPr>
              <m:t xml:space="preserve">- </m:t>
            </m:r>
            <m:acc>
              <m:accPr>
                <m:ctrlPr>
                  <w:rPr>
                    <w:rFonts w:ascii="Cambria Math" w:hAnsi="Cambria Math"/>
                    <w:i/>
                    <w:iCs/>
                  </w:rPr>
                </m:ctrlPr>
              </m:accPr>
              <m:e>
                <m:r>
                  <w:rPr>
                    <w:rFonts w:ascii="Cambria Math" w:hAnsi="Cambria Math"/>
                  </w:rPr>
                  <m:t>θ</m:t>
                </m:r>
              </m:e>
            </m:acc>
          </m:e>
          <m:sub>
            <m:r>
              <w:rPr>
                <w:rFonts w:ascii="Cambria Math" w:hAnsi="Cambria Math"/>
              </w:rPr>
              <m:t>j</m:t>
            </m:r>
          </m:sub>
          <m:sup>
            <m:r>
              <w:rPr>
                <w:rFonts w:ascii="Cambria Math" w:hAnsi="Cambria Math"/>
              </w:rPr>
              <m:t>l</m:t>
            </m:r>
          </m:sup>
        </m:sSubSup>
        <m:sSub>
          <m:sSubPr>
            <m:ctrlPr>
              <w:rPr>
                <w:rFonts w:ascii="Cambria Math" w:hAnsi="Cambria Math"/>
              </w:rPr>
            </m:ctrlPr>
          </m:sSubPr>
          <m:e>
            <m:r>
              <w:rPr>
                <w:rFonts w:ascii="Cambria Math" w:hAnsi="Cambria Math"/>
              </w:rPr>
              <m:t>l</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acc>
              <m:accPr>
                <m:ctrlPr>
                  <w:rPr>
                    <w:rFonts w:ascii="Cambria Math" w:hAnsi="Cambria Math"/>
                    <w:i/>
                    <w:iCs/>
                  </w:rPr>
                </m:ctrlPr>
              </m:accPr>
              <m:e>
                <m:r>
                  <w:rPr>
                    <w:rFonts w:ascii="Cambria Math" w:hAnsi="Cambria Math"/>
                  </w:rPr>
                  <m:t>θ</m:t>
                </m:r>
              </m:e>
            </m:acc>
          </m:e>
          <m:sub>
            <m:r>
              <w:rPr>
                <w:rFonts w:ascii="Cambria Math" w:hAnsi="Cambria Math"/>
              </w:rPr>
              <m:t>j</m:t>
            </m:r>
          </m:sub>
          <m:sup>
            <m:r>
              <w:rPr>
                <w:rFonts w:ascii="Cambria Math" w:hAnsi="Cambria Math"/>
              </w:rPr>
              <m:t>k</m:t>
            </m:r>
          </m:sup>
        </m:sSubSup>
        <m:sSub>
          <m:sSubPr>
            <m:ctrlPr>
              <w:rPr>
                <w:rFonts w:ascii="Cambria Math" w:hAnsi="Cambria Math"/>
              </w:rPr>
            </m:ctrlPr>
          </m:sSubPr>
          <m:e>
            <m:r>
              <w:rPr>
                <w:rFonts w:ascii="Cambria Math" w:hAnsi="Cambria Math"/>
              </w:rPr>
              <m:t>k</m:t>
            </m:r>
          </m:e>
          <m:sub>
            <m:r>
              <w:rPr>
                <w:rFonts w:ascii="Cambria Math" w:hAnsi="Cambria Math"/>
              </w:rPr>
              <m:t>it</m:t>
            </m:r>
          </m:sub>
        </m:sSub>
        <m:r>
          <w:rPr>
            <w:rFonts w:ascii="Cambria Math" w:hAnsi="Cambria Math"/>
          </w:rPr>
          <m:t xml:space="preserve">   (7)</m:t>
        </m:r>
      </m:oMath>
      <w:r w:rsidR="00521FEF" w:rsidRPr="009E5520">
        <w:rPr>
          <w:rFonts w:eastAsia="DengXian"/>
        </w:rPr>
        <w:t xml:space="preserve"> </w:t>
      </w:r>
    </w:p>
    <w:p w14:paraId="46AF23F5" w14:textId="77777777" w:rsidR="00521FEF" w:rsidRPr="009E5520" w:rsidRDefault="00521FEF" w:rsidP="00521FEF">
      <w:pPr>
        <w:rPr>
          <w:noProof/>
        </w:rPr>
      </w:pPr>
      <w:r w:rsidRPr="009E5520">
        <w:t xml:space="preserve">In addition to </w:t>
      </w:r>
      <w:r w:rsidRPr="009E5520">
        <w:rPr>
          <w:i/>
          <w:iCs/>
        </w:rPr>
        <w:t>OP</w:t>
      </w:r>
      <w:r w:rsidRPr="009E5520">
        <w:t xml:space="preserve">, we employ one-step </w:t>
      </w:r>
      <w:r w:rsidRPr="009E5520">
        <w:rPr>
          <w:i/>
          <w:iCs/>
        </w:rPr>
        <w:t>GMM</w:t>
      </w:r>
      <w:r w:rsidRPr="009E5520">
        <w:t xml:space="preserve"> Wooldridge </w:t>
      </w:r>
      <w:r w:rsidRPr="009E5520">
        <w:rPr>
          <w:noProof/>
        </w:rPr>
        <w:t>(Wooldridge 2009)</w:t>
      </w:r>
      <w:r w:rsidRPr="009E5520">
        <w:t xml:space="preserve">. The Wooldridge method allows us to estimate the two stages of </w:t>
      </w:r>
      <w:r w:rsidRPr="009E5520">
        <w:rPr>
          <w:i/>
          <w:iCs/>
        </w:rPr>
        <w:t>OP</w:t>
      </w:r>
      <w:r w:rsidRPr="009E5520">
        <w:t xml:space="preserve"> jointly in a system of two equations, which relies on the set of assumptions. After estimation of the production function, </w:t>
      </w:r>
      <w:r w:rsidRPr="009E5520">
        <w:rPr>
          <w:i/>
          <w:iCs/>
        </w:rPr>
        <w:t>TFP</w:t>
      </w:r>
      <w:r w:rsidRPr="009E5520">
        <w:t xml:space="preserve"> based on the </w:t>
      </w:r>
      <w:r w:rsidRPr="009E5520">
        <w:rPr>
          <w:noProof/>
        </w:rPr>
        <w:t>Wooldridge method (</w:t>
      </w:r>
      <w:r w:rsidRPr="009E5520">
        <w:rPr>
          <w:i/>
          <w:iCs/>
          <w:noProof/>
        </w:rPr>
        <w:t>TFPWRDG</w:t>
      </w:r>
      <w:r w:rsidRPr="009E5520">
        <w:rPr>
          <w:noProof/>
        </w:rPr>
        <w:t>) is estimated using equation 7.</w:t>
      </w:r>
    </w:p>
    <w:p w14:paraId="480346DE" w14:textId="77777777" w:rsidR="00521FEF" w:rsidRPr="009E5520" w:rsidRDefault="00521FEF" w:rsidP="003E3139">
      <w:pPr>
        <w:pStyle w:val="ListParagraph"/>
        <w:numPr>
          <w:ilvl w:val="0"/>
          <w:numId w:val="19"/>
        </w:numPr>
        <w:spacing w:before="240" w:line="240" w:lineRule="auto"/>
        <w:ind w:left="567" w:hanging="357"/>
        <w:jc w:val="left"/>
        <w:rPr>
          <w:b/>
          <w:bCs/>
        </w:rPr>
      </w:pPr>
      <w:r w:rsidRPr="009E5520">
        <w:rPr>
          <w:b/>
          <w:bCs/>
        </w:rPr>
        <w:lastRenderedPageBreak/>
        <w:t>Firm-level mark</w:t>
      </w:r>
      <w:r>
        <w:rPr>
          <w:b/>
          <w:bCs/>
        </w:rPr>
        <w:t>-</w:t>
      </w:r>
      <w:r w:rsidRPr="009E5520">
        <w:rPr>
          <w:b/>
          <w:bCs/>
        </w:rPr>
        <w:t>up</w:t>
      </w:r>
    </w:p>
    <w:p w14:paraId="40C29CD2" w14:textId="77777777" w:rsidR="00521FEF" w:rsidRPr="009E5520" w:rsidRDefault="00521FEF" w:rsidP="00F5472D">
      <w:pPr>
        <w:spacing w:after="100"/>
        <w:ind w:firstLine="0"/>
      </w:pPr>
      <w:r w:rsidRPr="009E5520">
        <w:t>In an imperfect competitive product market, mark</w:t>
      </w:r>
      <w:r>
        <w:t>-</w:t>
      </w:r>
      <w:r w:rsidRPr="009E5520">
        <w:t xml:space="preserve">up is commonly defined as the output price divided by the marginal cost </w:t>
      </w:r>
      <w:r w:rsidRPr="009E5520">
        <w:rPr>
          <w:noProof/>
        </w:rPr>
        <w:t>(De Loecker and Warzynski 2012)</w:t>
      </w:r>
      <w:r w:rsidRPr="009E5520">
        <w:t>. Measuring mark</w:t>
      </w:r>
      <w:r>
        <w:t>-</w:t>
      </w:r>
      <w:r w:rsidRPr="009E5520">
        <w:t xml:space="preserve">up is challenging since marginal cost data is not available. As recommended by </w:t>
      </w:r>
      <w:r w:rsidRPr="009E5520">
        <w:rPr>
          <w:noProof/>
        </w:rPr>
        <w:t>De Loecker and Warzynski 2012</w:t>
      </w:r>
      <w:r w:rsidRPr="009E5520">
        <w:t>, a measure of mark</w:t>
      </w:r>
      <w:r>
        <w:t>-</w:t>
      </w:r>
      <w:r w:rsidRPr="009E5520">
        <w:t>up can be obtained for each firm at a given point in time as the wedge between inputs expenditure share in revenue (observed in data) and inputs output elasticity (obtained by estimating the associated production function). Their approach is based on the work of Hall (1988) to estimate mark</w:t>
      </w:r>
      <w:r>
        <w:t>-</w:t>
      </w:r>
      <w:r w:rsidRPr="009E5520">
        <w:t xml:space="preserve">up from the ﬁrm’s cost minimisation decision and does not require any assumptions on demand and how ﬁrms compete. Therefore,  </w:t>
      </w:r>
    </w:p>
    <w:p w14:paraId="05070CE5" w14:textId="77777777" w:rsidR="00521FEF" w:rsidRPr="009E5520" w:rsidRDefault="00000000" w:rsidP="00F5472D">
      <w:pPr>
        <w:spacing w:after="100"/>
      </w:pPr>
      <m:oMath>
        <m:sSub>
          <m:sSubPr>
            <m:ctrlPr>
              <w:rPr>
                <w:rFonts w:ascii="Cambria Math" w:hAnsi="Cambria Math"/>
                <w:i/>
              </w:rPr>
            </m:ctrlPr>
          </m:sSubPr>
          <m:e>
            <m:r>
              <w:rPr>
                <w:rFonts w:ascii="Cambria Math" w:hAnsi="Cambria Math"/>
              </w:rPr>
              <m:t>μ</m:t>
            </m:r>
          </m:e>
          <m:sub>
            <m:r>
              <w:rPr>
                <w:rFonts w:ascii="Cambria Math" w:hAnsi="Cambria Math"/>
              </w:rPr>
              <m:t>it</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v</m:t>
                </m:r>
              </m:sup>
            </m:sSubSup>
          </m:num>
          <m:den>
            <m:sSubSup>
              <m:sSubSupPr>
                <m:ctrlPr>
                  <w:rPr>
                    <w:rFonts w:ascii="Cambria Math" w:hAnsi="Cambria Math"/>
                    <w:i/>
                  </w:rPr>
                </m:ctrlPr>
              </m:sSubSupPr>
              <m:e>
                <m:r>
                  <w:rPr>
                    <w:rFonts w:ascii="Cambria Math" w:hAnsi="Cambria Math"/>
                  </w:rPr>
                  <m:t>s</m:t>
                </m:r>
              </m:e>
              <m:sub>
                <m:r>
                  <w:rPr>
                    <w:rFonts w:ascii="Cambria Math" w:hAnsi="Cambria Math"/>
                  </w:rPr>
                  <m:t>it</m:t>
                </m:r>
              </m:sub>
              <m:sup>
                <m:r>
                  <w:rPr>
                    <w:rFonts w:ascii="Cambria Math" w:hAnsi="Cambria Math"/>
                  </w:rPr>
                  <m:t>v</m:t>
                </m:r>
              </m:sup>
            </m:sSubSup>
          </m:den>
        </m:f>
      </m:oMath>
      <w:r w:rsidR="00521FEF" w:rsidRPr="009E5520">
        <w:rPr>
          <w:rFonts w:eastAsia="DengXian"/>
        </w:rPr>
        <w:t xml:space="preserve">        (8)</w:t>
      </w:r>
    </w:p>
    <w:p w14:paraId="7A86502E" w14:textId="77777777" w:rsidR="00521FEF" w:rsidRPr="009E5520" w:rsidRDefault="00521FEF" w:rsidP="00F5472D">
      <w:pPr>
        <w:spacing w:after="100"/>
      </w:pPr>
      <w:r w:rsidRPr="009E5520">
        <w:t xml:space="preserve">Where,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v</m:t>
            </m:r>
          </m:sup>
        </m:sSubSup>
      </m:oMath>
      <w:r w:rsidRPr="009E5520">
        <w:rPr>
          <w:rFonts w:eastAsia="DengXian"/>
        </w:rPr>
        <w:t xml:space="preserve"> is the output elasticity with respect to variables inputs </w:t>
      </w:r>
      <m:oMath>
        <m:sSub>
          <m:sSubPr>
            <m:ctrlPr>
              <w:rPr>
                <w:rFonts w:ascii="Cambria Math" w:hAnsi="Cambria Math"/>
              </w:rPr>
            </m:ctrlPr>
          </m:sSubPr>
          <m:e>
            <m:r>
              <w:rPr>
                <w:rFonts w:ascii="Cambria Math" w:hAnsi="Cambria Math"/>
              </w:rPr>
              <m:t>v</m:t>
            </m:r>
          </m:e>
          <m:sub>
            <m:r>
              <w:rPr>
                <w:rFonts w:ascii="Cambria Math" w:hAnsi="Cambria Math"/>
              </w:rPr>
              <m:t>it</m:t>
            </m:r>
          </m:sub>
        </m:sSub>
      </m:oMath>
      <w:r w:rsidRPr="009E5520">
        <w:rPr>
          <w:rFonts w:eastAsia="DengXian"/>
        </w:rPr>
        <w:t xml:space="preserve"> (labour, intermediate inputs, materials, …) and </w:t>
      </w:r>
      <m:oMath>
        <m:sSubSup>
          <m:sSubSupPr>
            <m:ctrlPr>
              <w:rPr>
                <w:rFonts w:ascii="Cambria Math" w:hAnsi="Cambria Math"/>
                <w:i/>
              </w:rPr>
            </m:ctrlPr>
          </m:sSubSupPr>
          <m:e>
            <m:r>
              <w:rPr>
                <w:rFonts w:ascii="Cambria Math" w:hAnsi="Cambria Math"/>
              </w:rPr>
              <m:t>s</m:t>
            </m:r>
          </m:e>
          <m:sub>
            <m:r>
              <w:rPr>
                <w:rFonts w:ascii="Cambria Math" w:hAnsi="Cambria Math"/>
              </w:rPr>
              <m:t>it</m:t>
            </m:r>
          </m:sub>
          <m:sup>
            <m:r>
              <w:rPr>
                <w:rFonts w:ascii="Cambria Math" w:hAnsi="Cambria Math"/>
              </w:rPr>
              <m:t>v</m:t>
            </m:r>
          </m:sup>
        </m:sSubSup>
      </m:oMath>
      <w:r w:rsidRPr="009E5520">
        <w:rPr>
          <w:rFonts w:eastAsia="DengXian"/>
        </w:rPr>
        <w:t xml:space="preserve"> is the share of variable inputs in the firm's revenue. </w:t>
      </w:r>
      <w:r w:rsidRPr="009E5520">
        <w:t>A crucial component to measure mark</w:t>
      </w:r>
      <w:r>
        <w:t>-</w:t>
      </w:r>
      <w:r w:rsidRPr="009E5520">
        <w:t xml:space="preserve">up is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v</m:t>
            </m:r>
          </m:sup>
        </m:sSubSup>
      </m:oMath>
      <w:r w:rsidRPr="009E5520">
        <w:t xml:space="preserve"> which is not observable and must be estimated from firm-level data. We consider an industry-specific Cobb-Douglas production function, with variables i</w:t>
      </w:r>
      <w:proofErr w:type="spellStart"/>
      <w:r w:rsidRPr="009E5520">
        <w:t>nput</w:t>
      </w:r>
      <w:proofErr w:type="spellEnd"/>
      <w:r w:rsidRPr="009E5520">
        <w:t xml:space="preserve"> (</w:t>
      </w:r>
      <m:oMath>
        <m:sSub>
          <m:sSubPr>
            <m:ctrlPr>
              <w:rPr>
                <w:rFonts w:ascii="Cambria Math" w:hAnsi="Cambria Math"/>
              </w:rPr>
            </m:ctrlPr>
          </m:sSubPr>
          <m:e>
            <m:r>
              <w:rPr>
                <w:rFonts w:ascii="Cambria Math" w:hAnsi="Cambria Math"/>
              </w:rPr>
              <m:t>v</m:t>
            </m:r>
          </m:e>
          <m:sub>
            <m:r>
              <w:rPr>
                <w:rFonts w:ascii="Cambria Math" w:hAnsi="Cambria Math"/>
              </w:rPr>
              <m:t>it</m:t>
            </m:r>
          </m:sub>
        </m:sSub>
      </m:oMath>
      <w:r w:rsidRPr="009E5520">
        <w:t xml:space="preserve"> ) and capital </w:t>
      </w:r>
      <m:oMath>
        <m:sSub>
          <m:sSubPr>
            <m:ctrlPr>
              <w:rPr>
                <w:rFonts w:ascii="Cambria Math" w:hAnsi="Cambria Math"/>
              </w:rPr>
            </m:ctrlPr>
          </m:sSubPr>
          <m:e>
            <m:r>
              <w:rPr>
                <w:rFonts w:ascii="Cambria Math" w:hAnsi="Cambria Math"/>
              </w:rPr>
              <m:t>(k</m:t>
            </m:r>
          </m:e>
          <m:sub>
            <m:r>
              <w:rPr>
                <w:rFonts w:ascii="Cambria Math" w:hAnsi="Cambria Math"/>
              </w:rPr>
              <m:t>it</m:t>
            </m:r>
          </m:sub>
        </m:sSub>
        <m:r>
          <w:rPr>
            <w:rFonts w:ascii="Cambria Math" w:hAnsi="Cambria Math"/>
          </w:rPr>
          <m:t xml:space="preserve">) </m:t>
        </m:r>
      </m:oMath>
      <w:r w:rsidRPr="009E5520">
        <w:t xml:space="preserve">as inputs. </w:t>
      </w:r>
    </w:p>
    <w:p w14:paraId="0DBEEE3F" w14:textId="77777777" w:rsidR="00521FEF" w:rsidRPr="009E5520" w:rsidRDefault="00000000" w:rsidP="00537044">
      <w:pPr>
        <w:spacing w:after="120"/>
        <w:rPr>
          <w:rFonts w:eastAsia="DengXian"/>
        </w:rPr>
      </w:pPr>
      <m:oMath>
        <m:sSub>
          <m:sSubPr>
            <m:ctrlPr>
              <w:rPr>
                <w:rFonts w:ascii="Cambria Math" w:hAnsi="Cambria Math"/>
              </w:rPr>
            </m:ctrlPr>
          </m:sSubPr>
          <m:e>
            <m:r>
              <w:rPr>
                <w:rFonts w:ascii="Cambria Math" w:hAnsi="Cambria Math"/>
              </w:rPr>
              <m:t>y</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j</m:t>
            </m:r>
          </m:sub>
        </m:sSub>
        <m:sSubSup>
          <m:sSubSupPr>
            <m:ctrlPr>
              <w:rPr>
                <w:rFonts w:ascii="Cambria Math" w:hAnsi="Cambria Math"/>
              </w:rPr>
            </m:ctrlPr>
          </m:sSubSupPr>
          <m:e>
            <m:r>
              <w:rPr>
                <w:rFonts w:ascii="Cambria Math" w:hAnsi="Cambria Math"/>
              </w:rPr>
              <m:t>+ θ</m:t>
            </m:r>
          </m:e>
          <m:sub>
            <m:r>
              <w:rPr>
                <w:rFonts w:ascii="Cambria Math" w:hAnsi="Cambria Math"/>
              </w:rPr>
              <m:t>j</m:t>
            </m:r>
          </m:sub>
          <m:sup>
            <m:r>
              <w:rPr>
                <w:rFonts w:ascii="Cambria Math" w:hAnsi="Cambria Math"/>
              </w:rPr>
              <m:t>l</m:t>
            </m:r>
          </m:sup>
        </m:sSubSup>
        <m:sSub>
          <m:sSubPr>
            <m:ctrlPr>
              <w:rPr>
                <w:rFonts w:ascii="Cambria Math" w:hAnsi="Cambria Math"/>
              </w:rPr>
            </m:ctrlPr>
          </m:sSubPr>
          <m:e>
            <m:r>
              <w:rPr>
                <w:rFonts w:ascii="Cambria Math" w:hAnsi="Cambria Math"/>
              </w:rPr>
              <m:t>v</m:t>
            </m:r>
          </m:e>
          <m:sub>
            <m:r>
              <w:rPr>
                <w:rFonts w:ascii="Cambria Math" w:hAnsi="Cambria Math"/>
              </w:rPr>
              <m:t>it</m:t>
            </m:r>
          </m:sub>
        </m:sSub>
        <m:r>
          <m:rPr>
            <m:sty m:val="p"/>
          </m:rPr>
          <w:rPr>
            <w:rFonts w:ascii="Cambria Math" w:hAnsi="Cambria Math"/>
          </w:rPr>
          <m:t>+</m:t>
        </m:r>
        <m:sSubSup>
          <m:sSubSupPr>
            <m:ctrlPr>
              <w:rPr>
                <w:rFonts w:ascii="Cambria Math" w:hAnsi="Cambria Math"/>
              </w:rPr>
            </m:ctrlPr>
          </m:sSubSupPr>
          <m:e>
            <m:r>
              <w:rPr>
                <w:rFonts w:ascii="Cambria Math" w:hAnsi="Cambria Math"/>
              </w:rPr>
              <m:t>θ</m:t>
            </m:r>
          </m:e>
          <m:sub>
            <m:r>
              <w:rPr>
                <w:rFonts w:ascii="Cambria Math" w:hAnsi="Cambria Math"/>
              </w:rPr>
              <m:t>j</m:t>
            </m:r>
          </m:sub>
          <m:sup>
            <m:r>
              <w:rPr>
                <w:rFonts w:ascii="Cambria Math" w:hAnsi="Cambria Math"/>
              </w:rPr>
              <m:t>k</m:t>
            </m:r>
          </m:sup>
        </m:sSubSup>
        <m:sSub>
          <m:sSubPr>
            <m:ctrlPr>
              <w:rPr>
                <w:rFonts w:ascii="Cambria Math" w:hAnsi="Cambria Math"/>
              </w:rPr>
            </m:ctrlPr>
          </m:sSubPr>
          <m:e>
            <m:r>
              <w:rPr>
                <w:rFonts w:ascii="Cambria Math" w:hAnsi="Cambria Math"/>
              </w:rPr>
              <m:t>k</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it</m:t>
            </m:r>
            <m:r>
              <m:rPr>
                <m:sty m:val="p"/>
              </m:rPr>
              <w:rPr>
                <w:rFonts w:ascii="Cambria Math" w:hAnsi="Cambria Math"/>
              </w:rPr>
              <m:t xml:space="preserve"> </m:t>
            </m:r>
          </m:sub>
        </m:sSub>
        <m:r>
          <m:rPr>
            <m:sty m:val="p"/>
          </m:rPr>
          <w:rPr>
            <w:rFonts w:ascii="Cambria Math" w:hAnsi="Cambria Math"/>
          </w:rPr>
          <m:t xml:space="preserve">    i belongs to industry j    (9)   </m:t>
        </m:r>
      </m:oMath>
      <w:r w:rsidR="00521FEF" w:rsidRPr="009E5520">
        <w:rPr>
          <w:rFonts w:eastAsia="DengXian"/>
        </w:rPr>
        <w:t xml:space="preserve">         </w:t>
      </w:r>
    </w:p>
    <w:p w14:paraId="70C6B256" w14:textId="77777777" w:rsidR="00521FEF" w:rsidRPr="009E5520" w:rsidRDefault="00521FEF" w:rsidP="003E3139">
      <w:pPr>
        <w:rPr>
          <w:rFonts w:eastAsia="DengXian"/>
        </w:rPr>
      </w:pPr>
      <w:r w:rsidRPr="009E5520">
        <w:t xml:space="preserve">Following </w:t>
      </w:r>
      <w:r w:rsidRPr="009E5520">
        <w:rPr>
          <w:noProof/>
        </w:rPr>
        <w:t>De Loecker et al. (2020)</w:t>
      </w:r>
      <w:r w:rsidRPr="009E5520">
        <w:t>,</w:t>
      </w:r>
      <w:r w:rsidRPr="009E5520">
        <w:rPr>
          <w:rFonts w:ascii="Cambria Math" w:hAnsi="Cambria Math"/>
        </w:rPr>
        <w:t xml:space="preserve"> </w:t>
      </w:r>
      <m:oMath>
        <m:sSub>
          <m:sSubPr>
            <m:ctrlPr>
              <w:rPr>
                <w:rFonts w:ascii="Cambria Math" w:hAnsi="Cambria Math"/>
              </w:rPr>
            </m:ctrlPr>
          </m:sSubPr>
          <m:e>
            <m:r>
              <w:rPr>
                <w:rFonts w:ascii="Cambria Math" w:hAnsi="Cambria Math"/>
              </w:rPr>
              <m:t>y</m:t>
            </m:r>
          </m:e>
          <m:sub>
            <m:r>
              <w:rPr>
                <w:rFonts w:ascii="Cambria Math" w:hAnsi="Cambria Math"/>
              </w:rPr>
              <m:t>it</m:t>
            </m:r>
          </m:sub>
        </m:sSub>
      </m:oMath>
      <w:r w:rsidRPr="009E5520">
        <w:rPr>
          <w:rFonts w:ascii="Cambria Math" w:eastAsia="DengXian" w:hAnsi="Cambria Math"/>
        </w:rPr>
        <w:t xml:space="preserve"> </w:t>
      </w:r>
      <w:r w:rsidRPr="009E5520">
        <w:t>is revenue,</w:t>
      </w:r>
      <w:r w:rsidRPr="009E5520">
        <w:rPr>
          <w:rFonts w:ascii="Cambria Math" w:hAnsi="Cambria Math"/>
        </w:rPr>
        <w:t xml:space="preserve"> </w:t>
      </w:r>
      <m:oMath>
        <m:sSub>
          <m:sSubPr>
            <m:ctrlPr>
              <w:rPr>
                <w:rFonts w:ascii="Cambria Math" w:hAnsi="Cambria Math"/>
              </w:rPr>
            </m:ctrlPr>
          </m:sSubPr>
          <m:e>
            <m:r>
              <w:rPr>
                <w:rFonts w:ascii="Cambria Math" w:hAnsi="Cambria Math"/>
              </w:rPr>
              <m:t>v</m:t>
            </m:r>
          </m:e>
          <m:sub>
            <m:r>
              <w:rPr>
                <w:rFonts w:ascii="Cambria Math" w:hAnsi="Cambria Math"/>
              </w:rPr>
              <m:t>it</m:t>
            </m:r>
          </m:sub>
        </m:sSub>
      </m:oMath>
      <w:r w:rsidRPr="009E5520">
        <w:t xml:space="preserve"> is measured by the cost of goods sold (</w:t>
      </w:r>
      <w:r w:rsidRPr="009E5520">
        <w:rPr>
          <w:i/>
          <w:iCs/>
        </w:rPr>
        <w:t>COGS</w:t>
      </w:r>
      <w:r w:rsidRPr="009E5520">
        <w:t>), which includes all expenses directly attributable to the production of goods sold by the firm and includes material, intermediate inputs, labour cost, energy and so on,</w:t>
      </w:r>
      <w:r w:rsidRPr="009E5520">
        <w:rPr>
          <w:rStyle w:val="FootnoteReference"/>
        </w:rPr>
        <w:footnoteReference w:id="9"/>
      </w:r>
      <w:r w:rsidRPr="009E5520">
        <w:t xml:space="preserve"> and capital is measured by gross capital stock,</w:t>
      </w:r>
      <w:r w:rsidRPr="009E5520">
        <w:rPr>
          <w:rFonts w:eastAsia="DengXian"/>
        </w:rPr>
        <w:t xml:space="preserve"> in log form</w:t>
      </w:r>
      <w:r w:rsidRPr="009E5520">
        <w:t xml:space="preserve">. </w:t>
      </w:r>
      <m:oMath>
        <m:sSub>
          <m:sSubPr>
            <m:ctrlPr>
              <w:rPr>
                <w:rFonts w:ascii="Cambria Math" w:hAnsi="Cambria Math"/>
              </w:rPr>
            </m:ctrlPr>
          </m:sSubPr>
          <m:e>
            <m:r>
              <m:rPr>
                <m:sty m:val="p"/>
              </m:rPr>
              <w:rPr>
                <w:rFonts w:ascii="Cambria Math" w:hAnsi="Cambria Math"/>
              </w:rPr>
              <m:t>ω</m:t>
            </m:r>
          </m:e>
          <m:sub>
            <m:r>
              <w:rPr>
                <w:rFonts w:ascii="Cambria Math" w:hAnsi="Cambria Math"/>
              </w:rPr>
              <m:t>it</m:t>
            </m:r>
          </m:sub>
        </m:sSub>
      </m:oMath>
      <w:r w:rsidRPr="009E5520">
        <w:t xml:space="preserve"> is productivity sh</w:t>
      </w:r>
      <w:proofErr w:type="spellStart"/>
      <w:r w:rsidRPr="009E5520">
        <w:t>ock</w:t>
      </w:r>
      <w:proofErr w:type="spellEnd"/>
      <w:r w:rsidRPr="009E5520">
        <w:t>, and</w:t>
      </w:r>
      <w:r w:rsidRPr="009E5520">
        <w:rPr>
          <w:rFonts w:eastAsia="DengXian"/>
        </w:rPr>
        <w:t xml:space="preserve"> </w:t>
      </w:r>
      <m:oMath>
        <m:sSub>
          <m:sSubPr>
            <m:ctrlPr>
              <w:rPr>
                <w:rFonts w:ascii="Cambria Math" w:hAnsi="Cambria Math"/>
                <w:i/>
              </w:rPr>
            </m:ctrlPr>
          </m:sSubPr>
          <m:e>
            <m:r>
              <w:rPr>
                <w:rFonts w:ascii="Cambria Math" w:hAnsi="Cambria Math"/>
              </w:rPr>
              <m:t>ϵ</m:t>
            </m:r>
          </m:e>
          <m:sub>
            <m:r>
              <w:rPr>
                <w:rFonts w:ascii="Cambria Math" w:hAnsi="Cambria Math"/>
              </w:rPr>
              <m:t>it</m:t>
            </m:r>
          </m:sub>
        </m:sSub>
        <m:r>
          <w:rPr>
            <w:rFonts w:ascii="Cambria Math" w:hAnsi="Cambria Math"/>
          </w:rPr>
          <m:t xml:space="preserve"> </m:t>
        </m:r>
      </m:oMath>
      <w:r w:rsidRPr="009E5520">
        <w:rPr>
          <w:rFonts w:eastAsia="DengXian"/>
        </w:rPr>
        <w:t xml:space="preserve">captures measurement error in output. Following the similar approach for the estimation of </w:t>
      </w:r>
      <w:r w:rsidRPr="009E5520">
        <w:rPr>
          <w:rFonts w:eastAsia="DengXian"/>
          <w:i/>
          <w:iCs/>
        </w:rPr>
        <w:t>TFP</w:t>
      </w:r>
      <w:r w:rsidRPr="009E5520">
        <w:rPr>
          <w:rFonts w:eastAsia="DengXian"/>
        </w:rPr>
        <w:t xml:space="preserve">, we estimate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v</m:t>
            </m:r>
          </m:sup>
        </m:sSubSup>
      </m:oMath>
      <w:r w:rsidRPr="009E5520">
        <w:rPr>
          <w:rFonts w:eastAsia="DengXian"/>
        </w:rPr>
        <w:t xml:space="preserve"> using three methods – </w:t>
      </w:r>
      <w:r w:rsidRPr="009E5520">
        <w:rPr>
          <w:rFonts w:eastAsia="DengXian"/>
          <w:i/>
          <w:iCs/>
        </w:rPr>
        <w:t>OLS</w:t>
      </w:r>
      <w:r w:rsidRPr="009E5520">
        <w:rPr>
          <w:rFonts w:eastAsia="DengXian"/>
        </w:rPr>
        <w:t xml:space="preserve">, </w:t>
      </w:r>
      <w:r w:rsidRPr="009E5520">
        <w:rPr>
          <w:rFonts w:eastAsia="DengXian"/>
          <w:i/>
          <w:iCs/>
        </w:rPr>
        <w:t>OP</w:t>
      </w:r>
      <w:r w:rsidRPr="009E5520">
        <w:rPr>
          <w:rFonts w:eastAsia="DengXian"/>
        </w:rPr>
        <w:t xml:space="preserve"> and Wooldridge, – and mark</w:t>
      </w:r>
      <w:r>
        <w:rPr>
          <w:rFonts w:eastAsia="DengXian"/>
        </w:rPr>
        <w:t>-</w:t>
      </w:r>
      <w:r w:rsidRPr="009E5520">
        <w:rPr>
          <w:rFonts w:eastAsia="DengXian"/>
        </w:rPr>
        <w:t xml:space="preserve">up is calculated by substituting </w:t>
      </w:r>
      <m:oMath>
        <m:sSubSup>
          <m:sSubSupPr>
            <m:ctrlPr>
              <w:rPr>
                <w:rFonts w:ascii="Cambria Math" w:hAnsi="Cambria Math"/>
                <w:i/>
              </w:rPr>
            </m:ctrlPr>
          </m:sSubSupPr>
          <m:e>
            <m:r>
              <w:rPr>
                <w:rFonts w:ascii="Cambria Math" w:hAnsi="Cambria Math"/>
              </w:rPr>
              <m:t>θ</m:t>
            </m:r>
          </m:e>
          <m:sub>
            <m:r>
              <w:rPr>
                <w:rFonts w:ascii="Cambria Math" w:hAnsi="Cambria Math"/>
              </w:rPr>
              <m:t>i</m:t>
            </m:r>
          </m:sub>
          <m:sup>
            <m:r>
              <w:rPr>
                <w:rFonts w:ascii="Cambria Math" w:hAnsi="Cambria Math"/>
              </w:rPr>
              <m:t>v</m:t>
            </m:r>
          </m:sup>
        </m:sSubSup>
      </m:oMath>
      <w:r w:rsidRPr="009E5520">
        <w:rPr>
          <w:rFonts w:eastAsia="DengXian"/>
        </w:rPr>
        <w:t xml:space="preserve"> and </w:t>
      </w:r>
      <m:oMath>
        <m:sSubSup>
          <m:sSubSupPr>
            <m:ctrlPr>
              <w:rPr>
                <w:rFonts w:ascii="Cambria Math" w:hAnsi="Cambria Math"/>
                <w:i/>
              </w:rPr>
            </m:ctrlPr>
          </m:sSubSupPr>
          <m:e>
            <m:r>
              <w:rPr>
                <w:rFonts w:ascii="Cambria Math" w:hAnsi="Cambria Math"/>
              </w:rPr>
              <m:t>s</m:t>
            </m:r>
          </m:e>
          <m:sub>
            <m:r>
              <w:rPr>
                <w:rFonts w:ascii="Cambria Math" w:hAnsi="Cambria Math"/>
              </w:rPr>
              <m:t>it</m:t>
            </m:r>
          </m:sub>
          <m:sup>
            <m:r>
              <w:rPr>
                <w:rFonts w:ascii="Cambria Math" w:hAnsi="Cambria Math"/>
              </w:rPr>
              <m:t>v</m:t>
            </m:r>
          </m:sup>
        </m:sSubSup>
      </m:oMath>
      <w:r w:rsidRPr="009E5520">
        <w:rPr>
          <w:rFonts w:eastAsia="DengXian"/>
        </w:rPr>
        <w:t xml:space="preserve"> in equation 8. </w:t>
      </w:r>
    </w:p>
    <w:p w14:paraId="11B48A13" w14:textId="77777777" w:rsidR="00521FEF" w:rsidRPr="009E5520" w:rsidRDefault="00521FEF" w:rsidP="003E3139">
      <w:pPr>
        <w:pStyle w:val="ListParagraph"/>
        <w:numPr>
          <w:ilvl w:val="0"/>
          <w:numId w:val="19"/>
        </w:numPr>
        <w:spacing w:before="240" w:line="240" w:lineRule="auto"/>
        <w:ind w:left="567" w:hanging="357"/>
        <w:jc w:val="left"/>
        <w:rPr>
          <w:b/>
          <w:bCs/>
        </w:rPr>
      </w:pPr>
      <w:r w:rsidRPr="009E5520">
        <w:rPr>
          <w:b/>
          <w:bCs/>
        </w:rPr>
        <w:t>Labour market concentration</w:t>
      </w:r>
    </w:p>
    <w:p w14:paraId="5621C60E" w14:textId="77777777" w:rsidR="00521FEF" w:rsidRPr="009E5520" w:rsidRDefault="00521FEF" w:rsidP="00F5472D">
      <w:pPr>
        <w:spacing w:after="100"/>
        <w:ind w:firstLine="0"/>
      </w:pPr>
      <w:r w:rsidRPr="009E5520">
        <w:t>We define the labour market as employees who work in the same industries. This means that firms within a labour market (same industry) compete for labour. With a definition of the labour market, labour market concentration can be calculated as the industry’s Herﬁndahl-Hirschman index based on the</w:t>
      </w:r>
      <w:r w:rsidRPr="009E5520">
        <w:rPr>
          <w:szCs w:val="24"/>
        </w:rPr>
        <w:t xml:space="preserve"> number of employees (</w:t>
      </w:r>
      <w:proofErr w:type="spellStart"/>
      <w:r w:rsidRPr="009E5520">
        <w:rPr>
          <w:i/>
          <w:iCs/>
          <w:szCs w:val="24"/>
        </w:rPr>
        <w:t>HHIEmp</w:t>
      </w:r>
      <w:proofErr w:type="spellEnd"/>
      <w:r w:rsidRPr="009E5520">
        <w:rPr>
          <w:szCs w:val="24"/>
        </w:rPr>
        <w:t>)</w:t>
      </w:r>
      <w:r w:rsidRPr="009E5520">
        <w:t xml:space="preserve">. </w:t>
      </w:r>
      <w:proofErr w:type="spellStart"/>
      <w:r w:rsidRPr="009E5520">
        <w:rPr>
          <w:i/>
          <w:iCs/>
          <w:szCs w:val="24"/>
        </w:rPr>
        <w:t>HHIEmp</w:t>
      </w:r>
      <w:proofErr w:type="spellEnd"/>
      <w:r w:rsidRPr="009E5520">
        <w:t xml:space="preserve"> is the sum of the squared shares of the labour market each ﬁrm hires.</w:t>
      </w:r>
      <w:r w:rsidRPr="009E5520">
        <w:rPr>
          <w:rtl/>
        </w:rPr>
        <w:t xml:space="preserve"> </w:t>
      </w:r>
      <w:r w:rsidRPr="009E5520">
        <w:t>Therefore, for a market with N firms:</w:t>
      </w:r>
    </w:p>
    <w:p w14:paraId="68B7E80A" w14:textId="77777777" w:rsidR="00521FEF" w:rsidRPr="009E5520" w:rsidRDefault="00521FEF" w:rsidP="00F5472D">
      <w:pPr>
        <w:spacing w:after="80"/>
      </w:pPr>
      <w:r w:rsidRPr="009E5520">
        <w:t xml:space="preserve">  </w:t>
      </w:r>
      <m:oMath>
        <m:r>
          <w:rPr>
            <w:rFonts w:ascii="Cambria Math" w:hAnsi="Cambria Math"/>
          </w:rPr>
          <m:t xml:space="preserve">HHI= </m:t>
        </m:r>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i,j</m:t>
                            </m:r>
                          </m:sub>
                        </m:sSub>
                      </m:num>
                      <m:den>
                        <m:sSub>
                          <m:sSubPr>
                            <m:ctrlPr>
                              <w:rPr>
                                <w:rFonts w:ascii="Cambria Math" w:hAnsi="Cambria Math"/>
                                <w:i/>
                              </w:rPr>
                            </m:ctrlPr>
                          </m:sSubPr>
                          <m:e>
                            <m:r>
                              <w:rPr>
                                <w:rFonts w:ascii="Cambria Math" w:hAnsi="Cambria Math"/>
                              </w:rPr>
                              <m:t>L</m:t>
                            </m:r>
                          </m:e>
                          <m:sub>
                            <m:r>
                              <w:rPr>
                                <w:rFonts w:ascii="Cambria Math" w:hAnsi="Cambria Math"/>
                              </w:rPr>
                              <m:t>j</m:t>
                            </m:r>
                          </m:sub>
                        </m:sSub>
                      </m:den>
                    </m:f>
                  </m:e>
                </m:d>
              </m:e>
              <m:sup>
                <m:r>
                  <w:rPr>
                    <w:rFonts w:ascii="Cambria Math" w:hAnsi="Cambria Math"/>
                  </w:rPr>
                  <m:t>2</m:t>
                </m:r>
              </m:sup>
            </m:sSup>
            <m:r>
              <w:rPr>
                <w:rFonts w:ascii="Cambria Math" w:hAnsi="Cambria Math"/>
              </w:rPr>
              <m:t xml:space="preserve">       (10)</m:t>
            </m:r>
          </m:e>
        </m:nary>
      </m:oMath>
      <w:r w:rsidRPr="009E5520">
        <w:t xml:space="preserve"> </w:t>
      </w:r>
    </w:p>
    <w:p w14:paraId="5B0293D8" w14:textId="5B1E8145" w:rsidR="00521FEF" w:rsidRDefault="00521FEF" w:rsidP="00715602">
      <w:pPr>
        <w:spacing w:after="100"/>
      </w:pPr>
      <w:r w:rsidRPr="009E5520">
        <w:t xml:space="preserve">Where </w:t>
      </w:r>
      <w:proofErr w:type="spellStart"/>
      <w:proofErr w:type="gramStart"/>
      <w:r w:rsidRPr="009E5520">
        <w:t>l</w:t>
      </w:r>
      <w:r w:rsidRPr="009E5520">
        <w:rPr>
          <w:vertAlign w:val="subscript"/>
        </w:rPr>
        <w:t>i,j</w:t>
      </w:r>
      <w:proofErr w:type="spellEnd"/>
      <w:proofErr w:type="gramEnd"/>
      <w:r w:rsidRPr="009E5520">
        <w:t xml:space="preserve"> is the number of employees at firm </w:t>
      </w:r>
      <w:proofErr w:type="spellStart"/>
      <w:r w:rsidRPr="009E5520">
        <w:t>i</w:t>
      </w:r>
      <w:proofErr w:type="spellEnd"/>
      <w:r w:rsidRPr="009E5520">
        <w:t xml:space="preserve"> in industry j, and </w:t>
      </w:r>
      <w:proofErr w:type="spellStart"/>
      <w:r w:rsidRPr="009E5520">
        <w:t>L</w:t>
      </w:r>
      <w:r w:rsidRPr="009E5520">
        <w:rPr>
          <w:vertAlign w:val="subscript"/>
        </w:rPr>
        <w:t>j</w:t>
      </w:r>
      <w:proofErr w:type="spellEnd"/>
      <w:r w:rsidRPr="009E5520">
        <w:t xml:space="preserve"> is total employment in industry j.</w:t>
      </w:r>
    </w:p>
    <w:p w14:paraId="42268B7E" w14:textId="070804A3" w:rsidR="00521FEF" w:rsidRPr="006F2807" w:rsidRDefault="001B2D03" w:rsidP="006F2807">
      <w:pPr>
        <w:spacing w:line="259" w:lineRule="auto"/>
        <w:ind w:firstLine="0"/>
        <w:jc w:val="left"/>
        <w:rPr>
          <w:rFonts w:eastAsiaTheme="majorEastAsia" w:cstheme="majorBidi"/>
          <w:b/>
          <w:bCs/>
          <w:szCs w:val="32"/>
        </w:rPr>
      </w:pPr>
      <w:r>
        <w:br w:type="page"/>
      </w:r>
      <w:r w:rsidR="00521FEF" w:rsidRPr="006F2807">
        <w:rPr>
          <w:b/>
          <w:bCs/>
        </w:rPr>
        <w:lastRenderedPageBreak/>
        <w:t>Appendix B: Definition of Variables</w:t>
      </w: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6407"/>
        <w:gridCol w:w="1868"/>
      </w:tblGrid>
      <w:tr w:rsidR="00521FEF" w:rsidRPr="009E5520" w14:paraId="75BFEF8A" w14:textId="77777777" w:rsidTr="00114EAB">
        <w:tc>
          <w:tcPr>
            <w:tcW w:w="1794" w:type="dxa"/>
            <w:shd w:val="clear" w:color="auto" w:fill="auto"/>
          </w:tcPr>
          <w:p w14:paraId="5BC2373D" w14:textId="77777777" w:rsidR="00521FEF" w:rsidRPr="009E5520" w:rsidRDefault="00521FEF" w:rsidP="00114EAB">
            <w:pPr>
              <w:spacing w:after="0" w:line="240" w:lineRule="auto"/>
              <w:ind w:firstLine="0"/>
              <w:rPr>
                <w:rFonts w:cs="Times New Roman"/>
                <w:b/>
                <w:bCs/>
                <w:sz w:val="20"/>
                <w:szCs w:val="20"/>
              </w:rPr>
            </w:pPr>
            <w:r w:rsidRPr="009E5520">
              <w:rPr>
                <w:rFonts w:cs="Times New Roman"/>
                <w:b/>
                <w:bCs/>
                <w:sz w:val="20"/>
                <w:szCs w:val="20"/>
              </w:rPr>
              <w:t>Variables</w:t>
            </w:r>
          </w:p>
        </w:tc>
        <w:tc>
          <w:tcPr>
            <w:tcW w:w="6407" w:type="dxa"/>
            <w:shd w:val="clear" w:color="auto" w:fill="auto"/>
          </w:tcPr>
          <w:p w14:paraId="44CE1087" w14:textId="77777777" w:rsidR="00521FEF" w:rsidRPr="009E5520" w:rsidRDefault="00521FEF" w:rsidP="00114EAB">
            <w:pPr>
              <w:spacing w:after="0" w:line="240" w:lineRule="auto"/>
              <w:ind w:firstLine="0"/>
              <w:rPr>
                <w:rFonts w:cs="Times New Roman"/>
                <w:b/>
                <w:bCs/>
                <w:sz w:val="20"/>
                <w:szCs w:val="20"/>
              </w:rPr>
            </w:pPr>
            <w:r w:rsidRPr="009E5520">
              <w:rPr>
                <w:rFonts w:cs="Times New Roman"/>
                <w:b/>
                <w:bCs/>
                <w:sz w:val="20"/>
                <w:szCs w:val="20"/>
              </w:rPr>
              <w:t>Definition</w:t>
            </w:r>
          </w:p>
        </w:tc>
        <w:tc>
          <w:tcPr>
            <w:tcW w:w="1868" w:type="dxa"/>
            <w:shd w:val="clear" w:color="auto" w:fill="auto"/>
          </w:tcPr>
          <w:p w14:paraId="305CDE11" w14:textId="77777777" w:rsidR="00521FEF" w:rsidRPr="009E5520" w:rsidRDefault="00521FEF" w:rsidP="00114EAB">
            <w:pPr>
              <w:spacing w:after="0" w:line="240" w:lineRule="auto"/>
              <w:ind w:firstLine="0"/>
              <w:rPr>
                <w:rFonts w:cs="Times New Roman"/>
                <w:b/>
                <w:bCs/>
                <w:sz w:val="20"/>
                <w:szCs w:val="20"/>
              </w:rPr>
            </w:pPr>
            <w:r w:rsidRPr="009E5520">
              <w:rPr>
                <w:rFonts w:cs="Times New Roman"/>
                <w:b/>
                <w:bCs/>
                <w:sz w:val="20"/>
                <w:szCs w:val="20"/>
              </w:rPr>
              <w:t>Source</w:t>
            </w:r>
          </w:p>
        </w:tc>
      </w:tr>
      <w:tr w:rsidR="00521FEF" w:rsidRPr="009E5520" w14:paraId="6F40DDAC" w14:textId="77777777" w:rsidTr="00114EAB">
        <w:tc>
          <w:tcPr>
            <w:tcW w:w="1794" w:type="dxa"/>
            <w:shd w:val="clear" w:color="auto" w:fill="auto"/>
          </w:tcPr>
          <w:p w14:paraId="5F557844" w14:textId="77777777" w:rsidR="00521FEF" w:rsidRPr="009E5520" w:rsidRDefault="00521FEF" w:rsidP="00114EAB">
            <w:pPr>
              <w:spacing w:after="0" w:line="240" w:lineRule="auto"/>
              <w:ind w:firstLine="0"/>
              <w:rPr>
                <w:rFonts w:cs="Times New Roman"/>
                <w:b/>
                <w:bCs/>
                <w:sz w:val="20"/>
                <w:szCs w:val="20"/>
              </w:rPr>
            </w:pPr>
            <w:proofErr w:type="spellStart"/>
            <w:r w:rsidRPr="009E5520">
              <w:rPr>
                <w:rFonts w:cs="Times New Roman"/>
                <w:i/>
                <w:iCs/>
                <w:sz w:val="20"/>
                <w:szCs w:val="20"/>
              </w:rPr>
              <w:t>LabourShare</w:t>
            </w:r>
            <w:proofErr w:type="spellEnd"/>
          </w:p>
        </w:tc>
        <w:tc>
          <w:tcPr>
            <w:tcW w:w="6407" w:type="dxa"/>
            <w:shd w:val="clear" w:color="auto" w:fill="auto"/>
          </w:tcPr>
          <w:p w14:paraId="6CF3C1B6" w14:textId="77777777" w:rsidR="00521FEF" w:rsidRPr="009E5520" w:rsidRDefault="00521FEF" w:rsidP="00114EAB">
            <w:pPr>
              <w:spacing w:after="0" w:line="240" w:lineRule="auto"/>
              <w:ind w:firstLine="0"/>
              <w:rPr>
                <w:rFonts w:cs="Times New Roman"/>
                <w:b/>
                <w:bCs/>
                <w:sz w:val="20"/>
                <w:szCs w:val="20"/>
              </w:rPr>
            </w:pPr>
            <w:r w:rsidRPr="009E5520">
              <w:rPr>
                <w:rFonts w:cs="Times New Roman"/>
                <w:sz w:val="20"/>
                <w:szCs w:val="20"/>
              </w:rPr>
              <w:t>“Staff expenses” divided by “earnings before interest, tax, depreciation, and amortisation (EBITDA) plus staff expenses (WL)”</w:t>
            </w:r>
          </w:p>
        </w:tc>
        <w:tc>
          <w:tcPr>
            <w:tcW w:w="1868" w:type="dxa"/>
            <w:shd w:val="clear" w:color="auto" w:fill="auto"/>
          </w:tcPr>
          <w:p w14:paraId="5E5B4A5E" w14:textId="77777777" w:rsidR="00521FEF" w:rsidRPr="009E5520" w:rsidRDefault="00521FEF" w:rsidP="00114EAB">
            <w:pPr>
              <w:spacing w:after="0" w:line="240" w:lineRule="auto"/>
              <w:ind w:firstLine="0"/>
              <w:rPr>
                <w:rFonts w:cs="Times New Roman"/>
                <w:b/>
                <w:bCs/>
                <w:sz w:val="20"/>
                <w:szCs w:val="20"/>
              </w:rPr>
            </w:pPr>
            <w:r w:rsidRPr="009E5520">
              <w:rPr>
                <w:rFonts w:cs="Times New Roman"/>
                <w:sz w:val="20"/>
                <w:szCs w:val="20"/>
              </w:rPr>
              <w:t>Author’s calculation</w:t>
            </w:r>
          </w:p>
        </w:tc>
      </w:tr>
      <w:tr w:rsidR="00521FEF" w:rsidRPr="009E5520" w14:paraId="4CE85FFA" w14:textId="77777777" w:rsidTr="00114EAB">
        <w:trPr>
          <w:trHeight w:val="1619"/>
        </w:trPr>
        <w:tc>
          <w:tcPr>
            <w:tcW w:w="1794" w:type="dxa"/>
            <w:shd w:val="clear" w:color="auto" w:fill="auto"/>
          </w:tcPr>
          <w:p w14:paraId="26851469"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PayInequality</w:t>
            </w:r>
            <w:proofErr w:type="spellEnd"/>
          </w:p>
        </w:tc>
        <w:tc>
          <w:tcPr>
            <w:tcW w:w="6407" w:type="dxa"/>
            <w:shd w:val="clear" w:color="auto" w:fill="auto"/>
          </w:tcPr>
          <w:p w14:paraId="5A6CBC9C" w14:textId="77777777" w:rsidR="00521FEF" w:rsidRDefault="00521FEF" w:rsidP="00114EAB">
            <w:pPr>
              <w:spacing w:after="0" w:line="240" w:lineRule="auto"/>
              <w:ind w:firstLine="0"/>
              <w:rPr>
                <w:rFonts w:cs="Times New Roman"/>
                <w:sz w:val="20"/>
                <w:szCs w:val="20"/>
              </w:rPr>
            </w:pPr>
            <w:r w:rsidRPr="009E5520">
              <w:rPr>
                <w:rFonts w:cs="Times New Roman"/>
                <w:sz w:val="20"/>
                <w:szCs w:val="20"/>
              </w:rPr>
              <w:t>The natural logarithm of (CEO Compensation / average employee compensation)</w:t>
            </w:r>
            <w:r>
              <w:rPr>
                <w:rFonts w:cs="Times New Roman"/>
                <w:sz w:val="20"/>
                <w:szCs w:val="20"/>
              </w:rPr>
              <w:t xml:space="preserve"> in which </w:t>
            </w:r>
            <w:r w:rsidRPr="00463BE5">
              <w:rPr>
                <w:rFonts w:cs="Times New Roman"/>
                <w:sz w:val="20"/>
                <w:szCs w:val="20"/>
              </w:rPr>
              <w:t>CEO</w:t>
            </w:r>
            <w:r>
              <w:rPr>
                <w:rFonts w:cs="Times New Roman"/>
                <w:sz w:val="20"/>
                <w:szCs w:val="20"/>
              </w:rPr>
              <w:t xml:space="preserve"> and e</w:t>
            </w:r>
            <w:r w:rsidRPr="00463BE5">
              <w:rPr>
                <w:rFonts w:cs="Times New Roman"/>
                <w:sz w:val="20"/>
                <w:szCs w:val="20"/>
              </w:rPr>
              <w:t xml:space="preserve">mployee compensation </w:t>
            </w:r>
            <w:bookmarkStart w:id="10" w:name="_Hlk130048087"/>
            <w:r w:rsidRPr="00463BE5">
              <w:rPr>
                <w:rFonts w:cs="Times New Roman"/>
                <w:sz w:val="20"/>
                <w:szCs w:val="20"/>
              </w:rPr>
              <w:t>includ</w:t>
            </w:r>
            <w:r>
              <w:rPr>
                <w:rFonts w:cs="Times New Roman"/>
                <w:sz w:val="20"/>
                <w:szCs w:val="20"/>
              </w:rPr>
              <w:t xml:space="preserve">es </w:t>
            </w:r>
            <w:r w:rsidRPr="00463BE5">
              <w:rPr>
                <w:rFonts w:cs="Times New Roman"/>
                <w:sz w:val="20"/>
                <w:szCs w:val="20"/>
              </w:rPr>
              <w:t>short-term pay (</w:t>
            </w:r>
            <w:proofErr w:type="gramStart"/>
            <w:r w:rsidRPr="00463BE5">
              <w:rPr>
                <w:rFonts w:cs="Times New Roman"/>
                <w:sz w:val="20"/>
                <w:szCs w:val="20"/>
              </w:rPr>
              <w:t>e.g.</w:t>
            </w:r>
            <w:proofErr w:type="gramEnd"/>
            <w:r w:rsidRPr="00463BE5">
              <w:rPr>
                <w:rFonts w:cs="Times New Roman"/>
                <w:sz w:val="20"/>
                <w:szCs w:val="20"/>
              </w:rPr>
              <w:t xml:space="preserve"> salary and fees, accrued bonus), post-employment benefits (e.g., superannuation) and share-based payment rights</w:t>
            </w:r>
            <w:r>
              <w:rPr>
                <w:rFonts w:cs="Times New Roman"/>
                <w:sz w:val="20"/>
                <w:szCs w:val="20"/>
              </w:rPr>
              <w:t xml:space="preserve">. </w:t>
            </w:r>
          </w:p>
          <w:bookmarkEnd w:id="10"/>
          <w:p w14:paraId="188C9CEB" w14:textId="77777777" w:rsidR="00521FEF" w:rsidRDefault="00521FEF" w:rsidP="00114EAB">
            <w:pPr>
              <w:spacing w:after="0" w:line="240" w:lineRule="auto"/>
              <w:ind w:firstLine="0"/>
              <w:rPr>
                <w:rFonts w:cs="Times New Roman"/>
                <w:sz w:val="20"/>
                <w:szCs w:val="20"/>
              </w:rPr>
            </w:pPr>
            <w:r>
              <w:rPr>
                <w:rFonts w:cs="Times New Roman"/>
                <w:sz w:val="20"/>
                <w:szCs w:val="20"/>
              </w:rPr>
              <w:t xml:space="preserve">Average employee compensation is calculated </w:t>
            </w:r>
            <w:proofErr w:type="gramStart"/>
            <w:r>
              <w:rPr>
                <w:rFonts w:cs="Times New Roman"/>
                <w:sz w:val="20"/>
                <w:szCs w:val="20"/>
              </w:rPr>
              <w:t xml:space="preserve">as  </w:t>
            </w:r>
            <w:r w:rsidRPr="00463BE5">
              <w:rPr>
                <w:rFonts w:cs="Times New Roman"/>
                <w:sz w:val="20"/>
                <w:szCs w:val="20"/>
              </w:rPr>
              <w:t>Employee</w:t>
            </w:r>
            <w:proofErr w:type="gramEnd"/>
            <w:r w:rsidRPr="00463BE5">
              <w:rPr>
                <w:rFonts w:cs="Times New Roman"/>
                <w:sz w:val="20"/>
                <w:szCs w:val="20"/>
              </w:rPr>
              <w:t xml:space="preserve"> benefits minus CEO compensation divided by the number of employees minus one</w:t>
            </w:r>
            <w:r>
              <w:rPr>
                <w:rFonts w:cs="Times New Roman"/>
                <w:sz w:val="20"/>
                <w:szCs w:val="20"/>
              </w:rPr>
              <w:t>.</w:t>
            </w:r>
          </w:p>
          <w:p w14:paraId="656C9A97" w14:textId="77777777" w:rsidR="00521FEF" w:rsidRDefault="00521FEF" w:rsidP="00114EAB">
            <w:pPr>
              <w:spacing w:after="0" w:line="240" w:lineRule="auto"/>
              <w:ind w:firstLine="0"/>
              <w:rPr>
                <w:rFonts w:cs="Times New Roman"/>
                <w:sz w:val="20"/>
                <w:szCs w:val="20"/>
              </w:rPr>
            </w:pPr>
          </w:p>
          <w:p w14:paraId="12738E0A" w14:textId="77777777" w:rsidR="00521FEF" w:rsidRPr="009E5520" w:rsidRDefault="00521FEF" w:rsidP="00114EAB">
            <w:pPr>
              <w:spacing w:after="0" w:line="240" w:lineRule="auto"/>
              <w:ind w:firstLine="0"/>
              <w:rPr>
                <w:rFonts w:cs="Times New Roman"/>
                <w:sz w:val="20"/>
                <w:szCs w:val="20"/>
              </w:rPr>
            </w:pPr>
          </w:p>
        </w:tc>
        <w:tc>
          <w:tcPr>
            <w:tcW w:w="1868" w:type="dxa"/>
            <w:shd w:val="clear" w:color="auto" w:fill="auto"/>
          </w:tcPr>
          <w:p w14:paraId="761CE0C8"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0B8DEAC5" w14:textId="77777777" w:rsidTr="00114EAB">
        <w:tc>
          <w:tcPr>
            <w:tcW w:w="1794" w:type="dxa"/>
            <w:shd w:val="clear" w:color="auto" w:fill="auto"/>
          </w:tcPr>
          <w:p w14:paraId="09B6D576"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LnCapital</w:t>
            </w:r>
            <w:proofErr w:type="spellEnd"/>
            <w:r w:rsidRPr="009E5520">
              <w:rPr>
                <w:rFonts w:cs="Times New Roman"/>
                <w:i/>
                <w:iCs/>
                <w:sz w:val="20"/>
                <w:szCs w:val="20"/>
              </w:rPr>
              <w:t>/VA</w:t>
            </w:r>
          </w:p>
        </w:tc>
        <w:tc>
          <w:tcPr>
            <w:tcW w:w="6407" w:type="dxa"/>
            <w:shd w:val="clear" w:color="auto" w:fill="auto"/>
          </w:tcPr>
          <w:p w14:paraId="4627C8F6"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natural logarithm of gross property, plant and equipment / Value-added</w:t>
            </w:r>
          </w:p>
        </w:tc>
        <w:tc>
          <w:tcPr>
            <w:tcW w:w="1868" w:type="dxa"/>
            <w:shd w:val="clear" w:color="auto" w:fill="auto"/>
          </w:tcPr>
          <w:p w14:paraId="7F556EF0"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0038E76E" w14:textId="77777777" w:rsidTr="00114EAB">
        <w:tc>
          <w:tcPr>
            <w:tcW w:w="1794" w:type="dxa"/>
            <w:shd w:val="clear" w:color="auto" w:fill="auto"/>
          </w:tcPr>
          <w:p w14:paraId="5E744B86"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TFPOLS</w:t>
            </w:r>
          </w:p>
        </w:tc>
        <w:tc>
          <w:tcPr>
            <w:tcW w:w="6407" w:type="dxa"/>
            <w:shd w:val="clear" w:color="auto" w:fill="auto"/>
          </w:tcPr>
          <w:p w14:paraId="2E824A38"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residual of production function based on OLS</w:t>
            </w:r>
          </w:p>
        </w:tc>
        <w:tc>
          <w:tcPr>
            <w:tcW w:w="1868" w:type="dxa"/>
            <w:shd w:val="clear" w:color="auto" w:fill="auto"/>
          </w:tcPr>
          <w:p w14:paraId="57660775"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43D1EC8F" w14:textId="77777777" w:rsidTr="00114EAB">
        <w:tc>
          <w:tcPr>
            <w:tcW w:w="1794" w:type="dxa"/>
            <w:shd w:val="clear" w:color="auto" w:fill="auto"/>
          </w:tcPr>
          <w:p w14:paraId="221304DC"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TFPOP</w:t>
            </w:r>
          </w:p>
        </w:tc>
        <w:tc>
          <w:tcPr>
            <w:tcW w:w="6407" w:type="dxa"/>
            <w:shd w:val="clear" w:color="auto" w:fill="auto"/>
          </w:tcPr>
          <w:p w14:paraId="4EAE319B" w14:textId="77777777" w:rsidR="00521FEF" w:rsidRPr="009E5520" w:rsidRDefault="00000000" w:rsidP="00114EAB">
            <w:pPr>
              <w:spacing w:after="0" w:line="240" w:lineRule="auto"/>
              <w:ind w:firstLine="0"/>
              <w:rPr>
                <w:rFonts w:cs="Times New Roman"/>
                <w:sz w:val="20"/>
                <w:szCs w:val="20"/>
              </w:rPr>
            </w:pPr>
            <m:oMath>
              <m:func>
                <m:funcPr>
                  <m:ctrlPr>
                    <w:rPr>
                      <w:rFonts w:ascii="Cambria Math" w:hAnsi="Cambria Math" w:cs="Times New Roman"/>
                      <w:sz w:val="20"/>
                      <w:szCs w:val="20"/>
                    </w:rPr>
                  </m:ctrlPr>
                </m:funcPr>
                <m:fName>
                  <m:r>
                    <m:rPr>
                      <m:sty m:val="p"/>
                    </m:rPr>
                    <w:rPr>
                      <w:rFonts w:ascii="Cambria Math" w:hAnsi="Cambria Math" w:cs="Times New Roman"/>
                      <w:sz w:val="20"/>
                      <w:szCs w:val="20"/>
                    </w:rPr>
                    <m:t>ln</m:t>
                  </m:r>
                </m:fName>
                <m:e>
                  <m:sSub>
                    <m:sSubPr>
                      <m:ctrlPr>
                        <w:rPr>
                          <w:rFonts w:ascii="Cambria Math" w:hAnsi="Cambria Math" w:cs="Times New Roman"/>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it</m:t>
                      </m:r>
                    </m:sub>
                  </m:sSub>
                </m:e>
              </m:func>
            </m:oMath>
            <w:r w:rsidR="00521FEF" w:rsidRPr="009E5520">
              <w:rPr>
                <w:rFonts w:cs="Times New Roman"/>
                <w:sz w:val="20"/>
                <w:szCs w:val="20"/>
              </w:rPr>
              <w:t xml:space="preserve"> productivity shocks based on Olly and Pakes (1996) </w:t>
            </w:r>
          </w:p>
        </w:tc>
        <w:tc>
          <w:tcPr>
            <w:tcW w:w="1868" w:type="dxa"/>
            <w:shd w:val="clear" w:color="auto" w:fill="auto"/>
          </w:tcPr>
          <w:p w14:paraId="0BB1ECB1"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0DB98CC8" w14:textId="77777777" w:rsidTr="00114EAB">
        <w:tc>
          <w:tcPr>
            <w:tcW w:w="1794" w:type="dxa"/>
            <w:shd w:val="clear" w:color="auto" w:fill="auto"/>
          </w:tcPr>
          <w:p w14:paraId="676D14DF"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TFPWRDG</w:t>
            </w:r>
          </w:p>
        </w:tc>
        <w:tc>
          <w:tcPr>
            <w:tcW w:w="6407" w:type="dxa"/>
            <w:shd w:val="clear" w:color="auto" w:fill="auto"/>
          </w:tcPr>
          <w:p w14:paraId="5EC69091" w14:textId="77777777" w:rsidR="00521FEF" w:rsidRPr="009E5520" w:rsidRDefault="00000000" w:rsidP="00114EAB">
            <w:pPr>
              <w:spacing w:after="0" w:line="240" w:lineRule="auto"/>
              <w:ind w:firstLine="0"/>
              <w:rPr>
                <w:rFonts w:cs="Times New Roman"/>
                <w:sz w:val="20"/>
                <w:szCs w:val="20"/>
              </w:rPr>
            </w:pPr>
            <m:oMath>
              <m:func>
                <m:funcPr>
                  <m:ctrlPr>
                    <w:rPr>
                      <w:rFonts w:ascii="Cambria Math" w:hAnsi="Cambria Math" w:cs="Times New Roman"/>
                      <w:sz w:val="20"/>
                      <w:szCs w:val="20"/>
                    </w:rPr>
                  </m:ctrlPr>
                </m:funcPr>
                <m:fName>
                  <m:r>
                    <m:rPr>
                      <m:sty m:val="p"/>
                    </m:rPr>
                    <w:rPr>
                      <w:rFonts w:ascii="Cambria Math" w:hAnsi="Cambria Math" w:cs="Times New Roman"/>
                      <w:sz w:val="20"/>
                      <w:szCs w:val="20"/>
                    </w:rPr>
                    <m:t>ln</m:t>
                  </m:r>
                </m:fName>
                <m:e>
                  <m:sSub>
                    <m:sSubPr>
                      <m:ctrlPr>
                        <w:rPr>
                          <w:rFonts w:ascii="Cambria Math" w:hAnsi="Cambria Math" w:cs="Times New Roman"/>
                          <w:sz w:val="20"/>
                          <w:szCs w:val="20"/>
                        </w:rPr>
                      </m:ctrlPr>
                    </m:sSubPr>
                    <m:e>
                      <m:r>
                        <m:rPr>
                          <m:sty m:val="p"/>
                        </m:rPr>
                        <w:rPr>
                          <w:rFonts w:ascii="Cambria Math" w:hAnsi="Cambria Math" w:cs="Times New Roman"/>
                          <w:sz w:val="20"/>
                          <w:szCs w:val="20"/>
                        </w:rPr>
                        <m:t>Ω</m:t>
                      </m:r>
                    </m:e>
                    <m:sub>
                      <m:r>
                        <w:rPr>
                          <w:rFonts w:ascii="Cambria Math" w:hAnsi="Cambria Math" w:cs="Times New Roman"/>
                          <w:sz w:val="20"/>
                          <w:szCs w:val="20"/>
                        </w:rPr>
                        <m:t>it</m:t>
                      </m:r>
                    </m:sub>
                  </m:sSub>
                </m:e>
              </m:func>
            </m:oMath>
            <w:r w:rsidR="00521FEF" w:rsidRPr="009E5520">
              <w:rPr>
                <w:rFonts w:cs="Times New Roman"/>
                <w:sz w:val="20"/>
                <w:szCs w:val="20"/>
              </w:rPr>
              <w:t xml:space="preserve"> productivity shocks based on Woordrige (2009)</w:t>
            </w:r>
          </w:p>
        </w:tc>
        <w:tc>
          <w:tcPr>
            <w:tcW w:w="1868" w:type="dxa"/>
            <w:shd w:val="clear" w:color="auto" w:fill="auto"/>
          </w:tcPr>
          <w:p w14:paraId="02A4F78D"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5173D1E0" w14:textId="77777777" w:rsidTr="00114EAB">
        <w:tc>
          <w:tcPr>
            <w:tcW w:w="1794" w:type="dxa"/>
            <w:shd w:val="clear" w:color="auto" w:fill="auto"/>
          </w:tcPr>
          <w:p w14:paraId="225A7CBF"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MarkupOLS</w:t>
            </w:r>
            <w:proofErr w:type="spellEnd"/>
          </w:p>
        </w:tc>
        <w:tc>
          <w:tcPr>
            <w:tcW w:w="6407" w:type="dxa"/>
            <w:shd w:val="clear" w:color="auto" w:fill="auto"/>
          </w:tcPr>
          <w:p w14:paraId="04707CB0"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output elasticity with respect to variables inputs (cost of goods sold) divided by “the share of variable inputs (cost of goods sold) in the firm's revenue”. The production function is estimated using OLS for each industry</w:t>
            </w:r>
          </w:p>
        </w:tc>
        <w:tc>
          <w:tcPr>
            <w:tcW w:w="1868" w:type="dxa"/>
            <w:shd w:val="clear" w:color="auto" w:fill="auto"/>
          </w:tcPr>
          <w:p w14:paraId="6A6C227C"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26F3994E" w14:textId="77777777" w:rsidTr="00114EAB">
        <w:tc>
          <w:tcPr>
            <w:tcW w:w="1794" w:type="dxa"/>
            <w:shd w:val="clear" w:color="auto" w:fill="auto"/>
          </w:tcPr>
          <w:p w14:paraId="63476E9E"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MarkupOP</w:t>
            </w:r>
            <w:proofErr w:type="spellEnd"/>
          </w:p>
        </w:tc>
        <w:tc>
          <w:tcPr>
            <w:tcW w:w="6407" w:type="dxa"/>
            <w:shd w:val="clear" w:color="auto" w:fill="auto"/>
          </w:tcPr>
          <w:p w14:paraId="466B80FC"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 xml:space="preserve">The output elasticity with respect to variables inputs (cost of goods sold) divided by “the share of variable inputs (cost of goods sold) in the firm's revenue”. The production function is estimated using the Olly and </w:t>
            </w:r>
            <w:proofErr w:type="spellStart"/>
            <w:r w:rsidRPr="009E5520">
              <w:rPr>
                <w:rFonts w:cs="Times New Roman"/>
                <w:sz w:val="20"/>
                <w:szCs w:val="20"/>
              </w:rPr>
              <w:t>Pakes</w:t>
            </w:r>
            <w:proofErr w:type="spellEnd"/>
            <w:r w:rsidRPr="009E5520">
              <w:rPr>
                <w:rFonts w:cs="Times New Roman"/>
                <w:sz w:val="20"/>
                <w:szCs w:val="20"/>
              </w:rPr>
              <w:t xml:space="preserve"> (1996) method for each industry</w:t>
            </w:r>
          </w:p>
        </w:tc>
        <w:tc>
          <w:tcPr>
            <w:tcW w:w="1868" w:type="dxa"/>
            <w:shd w:val="clear" w:color="auto" w:fill="auto"/>
          </w:tcPr>
          <w:p w14:paraId="2540185E"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18D25AEE" w14:textId="77777777" w:rsidTr="00114EAB">
        <w:tc>
          <w:tcPr>
            <w:tcW w:w="1794" w:type="dxa"/>
            <w:shd w:val="clear" w:color="auto" w:fill="auto"/>
          </w:tcPr>
          <w:p w14:paraId="6A4CFFED"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MarkupWRDG</w:t>
            </w:r>
            <w:proofErr w:type="spellEnd"/>
          </w:p>
        </w:tc>
        <w:tc>
          <w:tcPr>
            <w:tcW w:w="6407" w:type="dxa"/>
            <w:shd w:val="clear" w:color="auto" w:fill="auto"/>
          </w:tcPr>
          <w:p w14:paraId="270328F3"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 xml:space="preserve">The output elasticity with respect to variables inputs (cost of goods sold) divided by “the share of variable inputs (cost of goods sold) in the firm's revenue”. The production function is estimated using </w:t>
            </w:r>
            <w:proofErr w:type="gramStart"/>
            <w:r w:rsidRPr="009E5520">
              <w:rPr>
                <w:rFonts w:cs="Times New Roman"/>
                <w:sz w:val="20"/>
                <w:szCs w:val="20"/>
              </w:rPr>
              <w:t xml:space="preserve">the  </w:t>
            </w:r>
            <w:proofErr w:type="spellStart"/>
            <w:r w:rsidRPr="009E5520">
              <w:rPr>
                <w:rFonts w:cs="Times New Roman"/>
                <w:sz w:val="20"/>
                <w:szCs w:val="20"/>
              </w:rPr>
              <w:t>Wooldrige</w:t>
            </w:r>
            <w:proofErr w:type="spellEnd"/>
            <w:proofErr w:type="gramEnd"/>
            <w:r w:rsidRPr="009E5520">
              <w:rPr>
                <w:rFonts w:cs="Times New Roman"/>
                <w:sz w:val="20"/>
                <w:szCs w:val="20"/>
              </w:rPr>
              <w:t xml:space="preserve"> method for each industry</w:t>
            </w:r>
          </w:p>
        </w:tc>
        <w:tc>
          <w:tcPr>
            <w:tcW w:w="1868" w:type="dxa"/>
            <w:shd w:val="clear" w:color="auto" w:fill="auto"/>
          </w:tcPr>
          <w:p w14:paraId="3F46C3CD"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65D9F229" w14:textId="77777777" w:rsidTr="00114EAB">
        <w:tc>
          <w:tcPr>
            <w:tcW w:w="1794" w:type="dxa"/>
            <w:shd w:val="clear" w:color="auto" w:fill="auto"/>
          </w:tcPr>
          <w:p w14:paraId="58F70C90"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IndHHIEmp</w:t>
            </w:r>
            <w:proofErr w:type="spellEnd"/>
          </w:p>
        </w:tc>
        <w:tc>
          <w:tcPr>
            <w:tcW w:w="6407" w:type="dxa"/>
            <w:shd w:val="clear" w:color="auto" w:fill="auto"/>
          </w:tcPr>
          <w:p w14:paraId="18A9E1AF"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 xml:space="preserve">The industry’s Herﬁndahl-Hirschman index based on the number of employees  </w:t>
            </w:r>
          </w:p>
        </w:tc>
        <w:tc>
          <w:tcPr>
            <w:tcW w:w="1868" w:type="dxa"/>
            <w:shd w:val="clear" w:color="auto" w:fill="auto"/>
          </w:tcPr>
          <w:p w14:paraId="4843A33B"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1A61066D" w14:textId="77777777" w:rsidTr="00114EAB">
        <w:tc>
          <w:tcPr>
            <w:tcW w:w="1794" w:type="dxa"/>
            <w:shd w:val="clear" w:color="auto" w:fill="auto"/>
          </w:tcPr>
          <w:p w14:paraId="752C0607"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LnEmployeenum</w:t>
            </w:r>
            <w:proofErr w:type="spellEnd"/>
          </w:p>
        </w:tc>
        <w:tc>
          <w:tcPr>
            <w:tcW w:w="6407" w:type="dxa"/>
            <w:shd w:val="clear" w:color="auto" w:fill="auto"/>
          </w:tcPr>
          <w:p w14:paraId="34F03367"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natural logarithm of the number of employees</w:t>
            </w:r>
          </w:p>
        </w:tc>
        <w:tc>
          <w:tcPr>
            <w:tcW w:w="1868" w:type="dxa"/>
            <w:shd w:val="clear" w:color="auto" w:fill="auto"/>
          </w:tcPr>
          <w:p w14:paraId="7DF0CFCE"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6AB3A8AA" w14:textId="77777777" w:rsidTr="00114EAB">
        <w:tc>
          <w:tcPr>
            <w:tcW w:w="1794" w:type="dxa"/>
            <w:shd w:val="clear" w:color="auto" w:fill="auto"/>
          </w:tcPr>
          <w:p w14:paraId="17404F5A" w14:textId="77777777" w:rsidR="00521FEF" w:rsidRPr="009E5520" w:rsidRDefault="00521FEF" w:rsidP="00114EAB">
            <w:pPr>
              <w:spacing w:after="0" w:line="240" w:lineRule="auto"/>
              <w:ind w:firstLine="0"/>
              <w:rPr>
                <w:rFonts w:cs="Times New Roman"/>
                <w:b/>
                <w:bCs/>
                <w:sz w:val="20"/>
                <w:szCs w:val="20"/>
              </w:rPr>
            </w:pPr>
            <w:proofErr w:type="spellStart"/>
            <w:r w:rsidRPr="009E5520">
              <w:rPr>
                <w:rFonts w:cs="Times New Roman"/>
                <w:i/>
                <w:iCs/>
                <w:sz w:val="20"/>
                <w:szCs w:val="20"/>
              </w:rPr>
              <w:t>LnRevenue</w:t>
            </w:r>
            <w:proofErr w:type="spellEnd"/>
          </w:p>
        </w:tc>
        <w:tc>
          <w:tcPr>
            <w:tcW w:w="6407" w:type="dxa"/>
            <w:shd w:val="clear" w:color="auto" w:fill="auto"/>
          </w:tcPr>
          <w:p w14:paraId="1930FBAD"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natural log of total sales in millions of dollars,</w:t>
            </w:r>
          </w:p>
        </w:tc>
        <w:tc>
          <w:tcPr>
            <w:tcW w:w="1868" w:type="dxa"/>
            <w:shd w:val="clear" w:color="auto" w:fill="auto"/>
          </w:tcPr>
          <w:p w14:paraId="0733D65F"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278A6A20" w14:textId="77777777" w:rsidTr="00114EAB">
        <w:tc>
          <w:tcPr>
            <w:tcW w:w="1794" w:type="dxa"/>
            <w:shd w:val="clear" w:color="auto" w:fill="auto"/>
          </w:tcPr>
          <w:p w14:paraId="095A7DC5" w14:textId="77777777" w:rsidR="00521FEF" w:rsidRPr="009E5520" w:rsidRDefault="00521FEF" w:rsidP="00114EAB">
            <w:pPr>
              <w:spacing w:after="0" w:line="240" w:lineRule="auto"/>
              <w:ind w:firstLine="0"/>
              <w:rPr>
                <w:rFonts w:cs="Times New Roman"/>
                <w:b/>
                <w:bCs/>
                <w:sz w:val="20"/>
                <w:szCs w:val="20"/>
              </w:rPr>
            </w:pPr>
            <w:r w:rsidRPr="009E5520">
              <w:rPr>
                <w:rFonts w:cs="Times New Roman"/>
                <w:i/>
                <w:iCs/>
                <w:sz w:val="20"/>
                <w:szCs w:val="20"/>
              </w:rPr>
              <w:t>BTM</w:t>
            </w:r>
          </w:p>
        </w:tc>
        <w:tc>
          <w:tcPr>
            <w:tcW w:w="6407" w:type="dxa"/>
            <w:shd w:val="clear" w:color="auto" w:fill="auto"/>
          </w:tcPr>
          <w:p w14:paraId="6F979347"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 xml:space="preserve">Book value of equity </w:t>
            </w:r>
            <w:proofErr w:type="gramStart"/>
            <w:r w:rsidRPr="009E5520">
              <w:rPr>
                <w:rFonts w:cs="Times New Roman"/>
                <w:sz w:val="20"/>
                <w:szCs w:val="20"/>
              </w:rPr>
              <w:t>/(</w:t>
            </w:r>
            <w:proofErr w:type="gramEnd"/>
            <w:r w:rsidRPr="009E5520">
              <w:rPr>
                <w:rFonts w:cs="Times New Roman"/>
                <w:sz w:val="20"/>
                <w:szCs w:val="20"/>
              </w:rPr>
              <w:t>share price * total shares outstanding)</w:t>
            </w:r>
          </w:p>
        </w:tc>
        <w:tc>
          <w:tcPr>
            <w:tcW w:w="1868" w:type="dxa"/>
            <w:shd w:val="clear" w:color="auto" w:fill="auto"/>
          </w:tcPr>
          <w:p w14:paraId="24FA0B26"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08AAC444" w14:textId="77777777" w:rsidTr="00114EAB">
        <w:tc>
          <w:tcPr>
            <w:tcW w:w="1794" w:type="dxa"/>
            <w:shd w:val="clear" w:color="auto" w:fill="auto"/>
          </w:tcPr>
          <w:p w14:paraId="041625BF" w14:textId="77777777" w:rsidR="00521FEF" w:rsidRPr="009E5520" w:rsidRDefault="00521FEF" w:rsidP="00114EAB">
            <w:pPr>
              <w:spacing w:after="0" w:line="240" w:lineRule="auto"/>
              <w:ind w:firstLine="0"/>
              <w:rPr>
                <w:rFonts w:cs="Times New Roman"/>
                <w:b/>
                <w:bCs/>
                <w:sz w:val="20"/>
                <w:szCs w:val="20"/>
              </w:rPr>
            </w:pPr>
            <w:proofErr w:type="spellStart"/>
            <w:r w:rsidRPr="009E5520">
              <w:rPr>
                <w:rFonts w:cs="Times New Roman"/>
                <w:i/>
                <w:iCs/>
                <w:sz w:val="20"/>
                <w:szCs w:val="20"/>
              </w:rPr>
              <w:t>LnAge</w:t>
            </w:r>
            <w:proofErr w:type="spellEnd"/>
          </w:p>
        </w:tc>
        <w:tc>
          <w:tcPr>
            <w:tcW w:w="6407" w:type="dxa"/>
            <w:shd w:val="clear" w:color="auto" w:fill="auto"/>
          </w:tcPr>
          <w:p w14:paraId="60B2B4E0"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Natural log of (current fiscal date – listing date) per year</w:t>
            </w:r>
          </w:p>
        </w:tc>
        <w:tc>
          <w:tcPr>
            <w:tcW w:w="1868" w:type="dxa"/>
            <w:shd w:val="clear" w:color="auto" w:fill="auto"/>
          </w:tcPr>
          <w:p w14:paraId="42D1E0D3"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12069A17" w14:textId="77777777" w:rsidTr="00114EAB">
        <w:tc>
          <w:tcPr>
            <w:tcW w:w="1794" w:type="dxa"/>
            <w:shd w:val="clear" w:color="auto" w:fill="auto"/>
          </w:tcPr>
          <w:p w14:paraId="1A380E5E"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Ret</w:t>
            </w:r>
          </w:p>
        </w:tc>
        <w:tc>
          <w:tcPr>
            <w:tcW w:w="6407" w:type="dxa"/>
            <w:shd w:val="clear" w:color="auto" w:fill="auto"/>
          </w:tcPr>
          <w:p w14:paraId="738BDF52"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Log (return during the fiscal year)</w:t>
            </w:r>
          </w:p>
        </w:tc>
        <w:tc>
          <w:tcPr>
            <w:tcW w:w="1868" w:type="dxa"/>
            <w:shd w:val="clear" w:color="auto" w:fill="auto"/>
          </w:tcPr>
          <w:p w14:paraId="58034F50"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693C8CFD" w14:textId="77777777" w:rsidTr="00114EAB">
        <w:tc>
          <w:tcPr>
            <w:tcW w:w="1794" w:type="dxa"/>
            <w:shd w:val="clear" w:color="auto" w:fill="auto"/>
          </w:tcPr>
          <w:p w14:paraId="225218A8" w14:textId="77777777" w:rsidR="00521FEF" w:rsidRPr="009E5520" w:rsidRDefault="00521FEF" w:rsidP="00114EAB">
            <w:pPr>
              <w:spacing w:after="0" w:line="240" w:lineRule="auto"/>
              <w:ind w:firstLine="0"/>
              <w:rPr>
                <w:rFonts w:cs="Times New Roman"/>
                <w:sz w:val="20"/>
                <w:szCs w:val="20"/>
              </w:rPr>
            </w:pPr>
            <w:r w:rsidRPr="009E5520">
              <w:rPr>
                <w:rFonts w:cs="Times New Roman"/>
                <w:i/>
                <w:iCs/>
                <w:sz w:val="20"/>
                <w:szCs w:val="20"/>
              </w:rPr>
              <w:t>ROA</w:t>
            </w:r>
          </w:p>
        </w:tc>
        <w:tc>
          <w:tcPr>
            <w:tcW w:w="6407" w:type="dxa"/>
            <w:shd w:val="clear" w:color="auto" w:fill="auto"/>
          </w:tcPr>
          <w:p w14:paraId="4288B6A1"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(Net Income + (Interest Expense on Debt-Interest Capitalized) * (1-Tax Rate)) / Average of Last Year’s and Current Year’s Total Assets * 100</w:t>
            </w:r>
          </w:p>
        </w:tc>
        <w:tc>
          <w:tcPr>
            <w:tcW w:w="1868" w:type="dxa"/>
            <w:shd w:val="clear" w:color="auto" w:fill="auto"/>
          </w:tcPr>
          <w:p w14:paraId="11D310EA"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41334B08" w14:textId="77777777" w:rsidTr="00114EAB">
        <w:tc>
          <w:tcPr>
            <w:tcW w:w="1794" w:type="dxa"/>
            <w:shd w:val="clear" w:color="auto" w:fill="auto"/>
          </w:tcPr>
          <w:p w14:paraId="52F9B7A7"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STDRet</w:t>
            </w:r>
            <w:proofErr w:type="spellEnd"/>
          </w:p>
        </w:tc>
        <w:tc>
          <w:tcPr>
            <w:tcW w:w="6407" w:type="dxa"/>
            <w:shd w:val="clear" w:color="auto" w:fill="auto"/>
          </w:tcPr>
          <w:p w14:paraId="5107512B"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Rolling 60-month standard deviation of returns</w:t>
            </w:r>
          </w:p>
        </w:tc>
        <w:tc>
          <w:tcPr>
            <w:tcW w:w="1868" w:type="dxa"/>
            <w:shd w:val="clear" w:color="auto" w:fill="auto"/>
          </w:tcPr>
          <w:p w14:paraId="20C1ADBF"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593F02A0" w14:textId="77777777" w:rsidTr="00114EAB">
        <w:tc>
          <w:tcPr>
            <w:tcW w:w="1794" w:type="dxa"/>
            <w:shd w:val="clear" w:color="auto" w:fill="auto"/>
          </w:tcPr>
          <w:p w14:paraId="67D25928"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STDROA</w:t>
            </w:r>
          </w:p>
        </w:tc>
        <w:tc>
          <w:tcPr>
            <w:tcW w:w="6407" w:type="dxa"/>
            <w:shd w:val="clear" w:color="auto" w:fill="auto"/>
          </w:tcPr>
          <w:p w14:paraId="0BB338EA"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Rolling 5-year standard deviation of returns</w:t>
            </w:r>
          </w:p>
        </w:tc>
        <w:tc>
          <w:tcPr>
            <w:tcW w:w="1868" w:type="dxa"/>
            <w:shd w:val="clear" w:color="auto" w:fill="auto"/>
          </w:tcPr>
          <w:p w14:paraId="759B1344"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39528E83" w14:textId="77777777" w:rsidTr="00114EAB">
        <w:tc>
          <w:tcPr>
            <w:tcW w:w="1794" w:type="dxa"/>
            <w:shd w:val="clear" w:color="auto" w:fill="auto"/>
          </w:tcPr>
          <w:p w14:paraId="615495C1"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Leverage</w:t>
            </w:r>
          </w:p>
        </w:tc>
        <w:tc>
          <w:tcPr>
            <w:tcW w:w="6407" w:type="dxa"/>
            <w:shd w:val="clear" w:color="auto" w:fill="auto"/>
          </w:tcPr>
          <w:p w14:paraId="050200F5" w14:textId="77777777" w:rsidR="00521FEF" w:rsidRPr="009E5520" w:rsidRDefault="00521FEF" w:rsidP="00114EAB">
            <w:pPr>
              <w:spacing w:after="0" w:line="240" w:lineRule="auto"/>
              <w:ind w:firstLine="0"/>
              <w:rPr>
                <w:rFonts w:cs="Times New Roman"/>
                <w:sz w:val="20"/>
                <w:szCs w:val="20"/>
              </w:rPr>
            </w:pPr>
            <w:bookmarkStart w:id="11" w:name="_Hlk95736535"/>
            <w:r w:rsidRPr="009E5520">
              <w:rPr>
                <w:rFonts w:cs="Times New Roman"/>
                <w:sz w:val="20"/>
                <w:szCs w:val="20"/>
              </w:rPr>
              <w:t>Total debt scaled by the total assets</w:t>
            </w:r>
            <w:bookmarkEnd w:id="11"/>
          </w:p>
        </w:tc>
        <w:tc>
          <w:tcPr>
            <w:tcW w:w="1868" w:type="dxa"/>
            <w:shd w:val="clear" w:color="auto" w:fill="auto"/>
          </w:tcPr>
          <w:p w14:paraId="38EB6370"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768D4BAB" w14:textId="77777777" w:rsidTr="00114EAB">
        <w:tc>
          <w:tcPr>
            <w:tcW w:w="1794" w:type="dxa"/>
            <w:shd w:val="clear" w:color="auto" w:fill="auto"/>
          </w:tcPr>
          <w:p w14:paraId="2F3214BA"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BoardSize</w:t>
            </w:r>
            <w:proofErr w:type="spellEnd"/>
          </w:p>
        </w:tc>
        <w:tc>
          <w:tcPr>
            <w:tcW w:w="6407" w:type="dxa"/>
            <w:shd w:val="clear" w:color="auto" w:fill="auto"/>
          </w:tcPr>
          <w:p w14:paraId="2F51F4F2"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total number of board members at the end of the fiscal year</w:t>
            </w:r>
          </w:p>
        </w:tc>
        <w:tc>
          <w:tcPr>
            <w:tcW w:w="1868" w:type="dxa"/>
            <w:shd w:val="clear" w:color="auto" w:fill="auto"/>
          </w:tcPr>
          <w:p w14:paraId="762EA56D"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5664AFEF" w14:textId="77777777" w:rsidTr="00114EAB">
        <w:tc>
          <w:tcPr>
            <w:tcW w:w="1794" w:type="dxa"/>
            <w:shd w:val="clear" w:color="auto" w:fill="auto"/>
          </w:tcPr>
          <w:p w14:paraId="259CCFBE"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IsCEOBoard</w:t>
            </w:r>
            <w:proofErr w:type="spellEnd"/>
          </w:p>
        </w:tc>
        <w:tc>
          <w:tcPr>
            <w:tcW w:w="6407" w:type="dxa"/>
            <w:shd w:val="clear" w:color="auto" w:fill="auto"/>
          </w:tcPr>
          <w:p w14:paraId="0BDA5FCD"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An indicator equal to 1 if the CEO is a board member and 0 otherwise</w:t>
            </w:r>
          </w:p>
        </w:tc>
        <w:tc>
          <w:tcPr>
            <w:tcW w:w="1868" w:type="dxa"/>
            <w:shd w:val="clear" w:color="auto" w:fill="auto"/>
          </w:tcPr>
          <w:p w14:paraId="539A02A7"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4B943C4F" w14:textId="77777777" w:rsidTr="00114EAB">
        <w:tc>
          <w:tcPr>
            <w:tcW w:w="1794" w:type="dxa"/>
            <w:shd w:val="clear" w:color="auto" w:fill="auto"/>
          </w:tcPr>
          <w:p w14:paraId="6FBE59E9"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IsCEOChair</w:t>
            </w:r>
            <w:proofErr w:type="spellEnd"/>
          </w:p>
        </w:tc>
        <w:tc>
          <w:tcPr>
            <w:tcW w:w="6407" w:type="dxa"/>
            <w:shd w:val="clear" w:color="auto" w:fill="auto"/>
          </w:tcPr>
          <w:p w14:paraId="748C23AC"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An indicator equal to 1 if the CEO is the chairman of the board and 0 otherwise</w:t>
            </w:r>
          </w:p>
        </w:tc>
        <w:tc>
          <w:tcPr>
            <w:tcW w:w="1868" w:type="dxa"/>
            <w:shd w:val="clear" w:color="auto" w:fill="auto"/>
          </w:tcPr>
          <w:p w14:paraId="3F416A35"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21AF74A4" w14:textId="77777777" w:rsidTr="00114EAB">
        <w:tc>
          <w:tcPr>
            <w:tcW w:w="1794" w:type="dxa"/>
            <w:shd w:val="clear" w:color="auto" w:fill="auto"/>
          </w:tcPr>
          <w:p w14:paraId="10DA805D"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BoardTenure</w:t>
            </w:r>
            <w:proofErr w:type="spellEnd"/>
          </w:p>
        </w:tc>
        <w:tc>
          <w:tcPr>
            <w:tcW w:w="6407" w:type="dxa"/>
            <w:shd w:val="clear" w:color="auto" w:fill="auto"/>
          </w:tcPr>
          <w:p w14:paraId="297B2536"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average number of years that each board member has been on the board.</w:t>
            </w:r>
          </w:p>
        </w:tc>
        <w:tc>
          <w:tcPr>
            <w:tcW w:w="1868" w:type="dxa"/>
            <w:shd w:val="clear" w:color="auto" w:fill="auto"/>
          </w:tcPr>
          <w:p w14:paraId="744F4FA5"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7EB6BE01" w14:textId="77777777" w:rsidTr="00114EAB">
        <w:tc>
          <w:tcPr>
            <w:tcW w:w="1794" w:type="dxa"/>
            <w:shd w:val="clear" w:color="auto" w:fill="auto"/>
          </w:tcPr>
          <w:p w14:paraId="631A6941"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IndCommittee</w:t>
            </w:r>
            <w:proofErr w:type="spellEnd"/>
          </w:p>
        </w:tc>
        <w:tc>
          <w:tcPr>
            <w:tcW w:w="6407" w:type="dxa"/>
            <w:shd w:val="clear" w:color="auto" w:fill="auto"/>
          </w:tcPr>
          <w:p w14:paraId="0744CCDE"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Percentage of independent board members on the compensation committee as stipulated by the company</w:t>
            </w:r>
          </w:p>
        </w:tc>
        <w:tc>
          <w:tcPr>
            <w:tcW w:w="1868" w:type="dxa"/>
            <w:shd w:val="clear" w:color="auto" w:fill="auto"/>
          </w:tcPr>
          <w:p w14:paraId="7574037D"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4BF27B4A" w14:textId="77777777" w:rsidTr="00114EAB">
        <w:tc>
          <w:tcPr>
            <w:tcW w:w="1794" w:type="dxa"/>
            <w:shd w:val="clear" w:color="auto" w:fill="auto"/>
          </w:tcPr>
          <w:p w14:paraId="43A42646"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RDIntensity</w:t>
            </w:r>
            <w:proofErr w:type="spellEnd"/>
          </w:p>
        </w:tc>
        <w:tc>
          <w:tcPr>
            <w:tcW w:w="6407" w:type="dxa"/>
            <w:shd w:val="clear" w:color="auto" w:fill="auto"/>
          </w:tcPr>
          <w:p w14:paraId="0B5D134A"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 xml:space="preserve">Research and development expenses scaled by total asset, assumed equal to zero when R&amp;D is missing in </w:t>
            </w:r>
            <w:proofErr w:type="spellStart"/>
            <w:r w:rsidRPr="009E5520">
              <w:rPr>
                <w:rFonts w:cs="Times New Roman"/>
                <w:sz w:val="20"/>
                <w:szCs w:val="20"/>
              </w:rPr>
              <w:t>Datastream</w:t>
            </w:r>
            <w:proofErr w:type="spellEnd"/>
            <w:r w:rsidRPr="009E5520">
              <w:rPr>
                <w:rFonts w:cs="Times New Roman"/>
                <w:sz w:val="20"/>
                <w:szCs w:val="20"/>
              </w:rPr>
              <w:t>.</w:t>
            </w:r>
          </w:p>
        </w:tc>
        <w:tc>
          <w:tcPr>
            <w:tcW w:w="1868" w:type="dxa"/>
            <w:shd w:val="clear" w:color="auto" w:fill="auto"/>
          </w:tcPr>
          <w:p w14:paraId="0CB9B8C8"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6B989710" w14:textId="77777777" w:rsidTr="00114EAB">
        <w:tc>
          <w:tcPr>
            <w:tcW w:w="1794" w:type="dxa"/>
            <w:shd w:val="clear" w:color="auto" w:fill="auto"/>
          </w:tcPr>
          <w:p w14:paraId="3070AD49"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PPTIntensity</w:t>
            </w:r>
            <w:proofErr w:type="spellEnd"/>
          </w:p>
        </w:tc>
        <w:tc>
          <w:tcPr>
            <w:tcW w:w="6407" w:type="dxa"/>
            <w:shd w:val="clear" w:color="auto" w:fill="auto"/>
          </w:tcPr>
          <w:p w14:paraId="6DB49678"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Net property, plant, and equipment per employee in millions of dollars.</w:t>
            </w:r>
          </w:p>
        </w:tc>
        <w:tc>
          <w:tcPr>
            <w:tcW w:w="1868" w:type="dxa"/>
            <w:shd w:val="clear" w:color="auto" w:fill="auto"/>
          </w:tcPr>
          <w:p w14:paraId="43FD6856" w14:textId="77777777" w:rsidR="00521FEF" w:rsidRPr="009E5520" w:rsidRDefault="00521FEF" w:rsidP="00114EAB">
            <w:pPr>
              <w:spacing w:after="0" w:line="240" w:lineRule="auto"/>
              <w:ind w:firstLine="0"/>
              <w:rPr>
                <w:rFonts w:cs="Times New Roman"/>
                <w:sz w:val="20"/>
                <w:szCs w:val="20"/>
              </w:rPr>
            </w:pPr>
            <w:proofErr w:type="spellStart"/>
            <w:r w:rsidRPr="009E5520">
              <w:rPr>
                <w:rFonts w:cs="Times New Roman"/>
                <w:sz w:val="20"/>
                <w:szCs w:val="20"/>
              </w:rPr>
              <w:t>Datastream</w:t>
            </w:r>
            <w:proofErr w:type="spellEnd"/>
          </w:p>
        </w:tc>
      </w:tr>
      <w:tr w:rsidR="00521FEF" w:rsidRPr="009E5520" w14:paraId="0DDB2430" w14:textId="77777777" w:rsidTr="00114EAB">
        <w:tc>
          <w:tcPr>
            <w:tcW w:w="1794" w:type="dxa"/>
            <w:shd w:val="clear" w:color="auto" w:fill="auto"/>
          </w:tcPr>
          <w:p w14:paraId="57E82943"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Education</w:t>
            </w:r>
          </w:p>
        </w:tc>
        <w:tc>
          <w:tcPr>
            <w:tcW w:w="6407" w:type="dxa"/>
            <w:shd w:val="clear" w:color="auto" w:fill="auto"/>
          </w:tcPr>
          <w:p w14:paraId="0083D146"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percentage of the population with at least a bachelor’s degree in each region in each year.</w:t>
            </w:r>
          </w:p>
        </w:tc>
        <w:tc>
          <w:tcPr>
            <w:tcW w:w="1868" w:type="dxa"/>
            <w:shd w:val="clear" w:color="auto" w:fill="auto"/>
          </w:tcPr>
          <w:p w14:paraId="5C002D6A"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ASB</w:t>
            </w:r>
          </w:p>
        </w:tc>
      </w:tr>
      <w:tr w:rsidR="00521FEF" w:rsidRPr="009E5520" w14:paraId="5E6A0D84" w14:textId="77777777" w:rsidTr="00114EAB">
        <w:tc>
          <w:tcPr>
            <w:tcW w:w="1794" w:type="dxa"/>
            <w:shd w:val="clear" w:color="auto" w:fill="auto"/>
          </w:tcPr>
          <w:p w14:paraId="2B07FADD"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IndConcentration</w:t>
            </w:r>
            <w:proofErr w:type="spellEnd"/>
          </w:p>
        </w:tc>
        <w:tc>
          <w:tcPr>
            <w:tcW w:w="6407" w:type="dxa"/>
            <w:shd w:val="clear" w:color="auto" w:fill="auto"/>
          </w:tcPr>
          <w:p w14:paraId="6C2FB751"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 xml:space="preserve">The </w:t>
            </w:r>
            <w:proofErr w:type="gramStart"/>
            <w:r w:rsidRPr="009E5520">
              <w:rPr>
                <w:rFonts w:cs="Times New Roman"/>
                <w:sz w:val="20"/>
                <w:szCs w:val="20"/>
              </w:rPr>
              <w:t>sales-based</w:t>
            </w:r>
            <w:proofErr w:type="gramEnd"/>
            <w:r w:rsidRPr="009E5520">
              <w:rPr>
                <w:rFonts w:cs="Times New Roman"/>
                <w:sz w:val="20"/>
                <w:szCs w:val="20"/>
              </w:rPr>
              <w:t xml:space="preserve"> Herfindahl index calculated based on all DataStream firms in the same industry. Revenue is trimmed at the 5</w:t>
            </w:r>
            <w:r w:rsidRPr="009E5520">
              <w:rPr>
                <w:rFonts w:cs="Times New Roman"/>
                <w:sz w:val="20"/>
                <w:szCs w:val="20"/>
                <w:vertAlign w:val="superscript"/>
              </w:rPr>
              <w:t>th</w:t>
            </w:r>
            <w:r w:rsidRPr="009E5520">
              <w:rPr>
                <w:rFonts w:cs="Times New Roman"/>
                <w:sz w:val="20"/>
                <w:szCs w:val="20"/>
              </w:rPr>
              <w:t xml:space="preserve"> and 95</w:t>
            </w:r>
            <w:r w:rsidRPr="009E5520">
              <w:rPr>
                <w:rFonts w:cs="Times New Roman"/>
                <w:sz w:val="20"/>
                <w:szCs w:val="20"/>
                <w:vertAlign w:val="superscript"/>
              </w:rPr>
              <w:t>th</w:t>
            </w:r>
            <w:r w:rsidRPr="009E5520">
              <w:rPr>
                <w:rFonts w:cs="Times New Roman"/>
                <w:sz w:val="20"/>
                <w:szCs w:val="20"/>
              </w:rPr>
              <w:t xml:space="preserve"> percentiles.</w:t>
            </w:r>
          </w:p>
        </w:tc>
        <w:tc>
          <w:tcPr>
            <w:tcW w:w="1868" w:type="dxa"/>
            <w:shd w:val="clear" w:color="auto" w:fill="auto"/>
          </w:tcPr>
          <w:p w14:paraId="7D987FC1"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Author’s calculation</w:t>
            </w:r>
          </w:p>
        </w:tc>
      </w:tr>
      <w:tr w:rsidR="00521FEF" w:rsidRPr="009E5520" w14:paraId="6FEC863F" w14:textId="77777777" w:rsidTr="00114EAB">
        <w:tc>
          <w:tcPr>
            <w:tcW w:w="1794" w:type="dxa"/>
            <w:shd w:val="clear" w:color="auto" w:fill="auto"/>
          </w:tcPr>
          <w:p w14:paraId="25956B47" w14:textId="77777777" w:rsidR="00521FEF" w:rsidRPr="009E5520" w:rsidRDefault="00521FEF" w:rsidP="00114EAB">
            <w:pPr>
              <w:spacing w:after="0" w:line="240" w:lineRule="auto"/>
              <w:ind w:firstLine="0"/>
              <w:rPr>
                <w:rFonts w:cs="Times New Roman"/>
                <w:i/>
                <w:iCs/>
                <w:sz w:val="20"/>
                <w:szCs w:val="20"/>
              </w:rPr>
            </w:pPr>
            <w:r w:rsidRPr="009E5520">
              <w:rPr>
                <w:rFonts w:cs="Times New Roman"/>
                <w:i/>
                <w:iCs/>
                <w:sz w:val="20"/>
                <w:szCs w:val="20"/>
              </w:rPr>
              <w:t>Union</w:t>
            </w:r>
          </w:p>
        </w:tc>
        <w:tc>
          <w:tcPr>
            <w:tcW w:w="6407" w:type="dxa"/>
            <w:shd w:val="clear" w:color="auto" w:fill="auto"/>
          </w:tcPr>
          <w:p w14:paraId="704152F7"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percentage of employees who are members of trade unions in each region in each year.</w:t>
            </w:r>
          </w:p>
        </w:tc>
        <w:tc>
          <w:tcPr>
            <w:tcW w:w="1868" w:type="dxa"/>
            <w:shd w:val="clear" w:color="auto" w:fill="auto"/>
          </w:tcPr>
          <w:p w14:paraId="1518B536"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ASB</w:t>
            </w:r>
          </w:p>
        </w:tc>
      </w:tr>
      <w:tr w:rsidR="00521FEF" w:rsidRPr="009E5520" w14:paraId="76CEB782" w14:textId="77777777" w:rsidTr="00114EAB">
        <w:tc>
          <w:tcPr>
            <w:tcW w:w="1794" w:type="dxa"/>
            <w:shd w:val="clear" w:color="auto" w:fill="auto"/>
          </w:tcPr>
          <w:p w14:paraId="5FE7107A"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UnemploymentRate</w:t>
            </w:r>
            <w:proofErr w:type="spellEnd"/>
          </w:p>
        </w:tc>
        <w:tc>
          <w:tcPr>
            <w:tcW w:w="6407" w:type="dxa"/>
            <w:shd w:val="clear" w:color="auto" w:fill="auto"/>
          </w:tcPr>
          <w:p w14:paraId="3E70003F"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percentage of those looking for a job in the labour force in each region in each year.</w:t>
            </w:r>
          </w:p>
        </w:tc>
        <w:tc>
          <w:tcPr>
            <w:tcW w:w="1868" w:type="dxa"/>
            <w:shd w:val="clear" w:color="auto" w:fill="auto"/>
          </w:tcPr>
          <w:p w14:paraId="69C64840"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ASB</w:t>
            </w:r>
          </w:p>
        </w:tc>
      </w:tr>
      <w:tr w:rsidR="00521FEF" w:rsidRPr="009E5520" w14:paraId="358ABA68" w14:textId="77777777" w:rsidTr="00114EAB">
        <w:tc>
          <w:tcPr>
            <w:tcW w:w="1794" w:type="dxa"/>
            <w:shd w:val="clear" w:color="auto" w:fill="auto"/>
          </w:tcPr>
          <w:p w14:paraId="7362E485" w14:textId="77777777" w:rsidR="00521FEF" w:rsidRPr="009E5520" w:rsidRDefault="00521FEF" w:rsidP="00114EAB">
            <w:pPr>
              <w:spacing w:after="0" w:line="240" w:lineRule="auto"/>
              <w:ind w:firstLine="0"/>
              <w:rPr>
                <w:rFonts w:cs="Times New Roman"/>
                <w:i/>
                <w:iCs/>
                <w:sz w:val="20"/>
                <w:szCs w:val="20"/>
              </w:rPr>
            </w:pPr>
            <w:proofErr w:type="spellStart"/>
            <w:r w:rsidRPr="009E5520">
              <w:rPr>
                <w:rFonts w:cs="Times New Roman"/>
                <w:i/>
                <w:iCs/>
                <w:sz w:val="20"/>
                <w:szCs w:val="20"/>
              </w:rPr>
              <w:t>VacantJob</w:t>
            </w:r>
            <w:proofErr w:type="spellEnd"/>
          </w:p>
          <w:p w14:paraId="33E5AA8B" w14:textId="77777777" w:rsidR="00521FEF" w:rsidRPr="009E5520" w:rsidRDefault="00521FEF" w:rsidP="00114EAB">
            <w:pPr>
              <w:spacing w:after="0" w:line="240" w:lineRule="auto"/>
              <w:ind w:firstLine="0"/>
              <w:rPr>
                <w:rFonts w:cs="Times New Roman"/>
                <w:i/>
                <w:iCs/>
                <w:sz w:val="20"/>
                <w:szCs w:val="20"/>
              </w:rPr>
            </w:pPr>
          </w:p>
        </w:tc>
        <w:tc>
          <w:tcPr>
            <w:tcW w:w="6407" w:type="dxa"/>
            <w:shd w:val="clear" w:color="auto" w:fill="auto"/>
          </w:tcPr>
          <w:p w14:paraId="0CCC6373"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The ratio of vacant jobs to total jobs in each industry in each year.</w:t>
            </w:r>
          </w:p>
          <w:p w14:paraId="180FFB29" w14:textId="77777777" w:rsidR="00521FEF" w:rsidRPr="009E5520" w:rsidRDefault="00521FEF" w:rsidP="00114EAB">
            <w:pPr>
              <w:spacing w:after="0" w:line="240" w:lineRule="auto"/>
              <w:ind w:firstLine="0"/>
              <w:rPr>
                <w:rFonts w:cs="Times New Roman"/>
                <w:sz w:val="20"/>
                <w:szCs w:val="20"/>
              </w:rPr>
            </w:pPr>
          </w:p>
        </w:tc>
        <w:tc>
          <w:tcPr>
            <w:tcW w:w="1868" w:type="dxa"/>
            <w:shd w:val="clear" w:color="auto" w:fill="auto"/>
          </w:tcPr>
          <w:p w14:paraId="38231934" w14:textId="77777777" w:rsidR="00521FEF" w:rsidRPr="009E5520" w:rsidRDefault="00521FEF" w:rsidP="00114EAB">
            <w:pPr>
              <w:spacing w:after="0" w:line="240" w:lineRule="auto"/>
              <w:ind w:firstLine="0"/>
              <w:rPr>
                <w:rFonts w:cs="Times New Roman"/>
                <w:sz w:val="20"/>
                <w:szCs w:val="20"/>
              </w:rPr>
            </w:pPr>
            <w:r w:rsidRPr="009E5520">
              <w:rPr>
                <w:rFonts w:cs="Times New Roman"/>
                <w:sz w:val="20"/>
                <w:szCs w:val="20"/>
              </w:rPr>
              <w:t>ASB</w:t>
            </w:r>
          </w:p>
        </w:tc>
      </w:tr>
    </w:tbl>
    <w:p w14:paraId="62BAF5D6" w14:textId="77777777" w:rsidR="001B2D03" w:rsidRDefault="001B2D03" w:rsidP="00AE61C9">
      <w:pPr>
        <w:pStyle w:val="Heading1"/>
      </w:pPr>
    </w:p>
    <w:p w14:paraId="261DEB72" w14:textId="1D33AE85" w:rsidR="00521FEF" w:rsidRPr="00AE61C9" w:rsidRDefault="00521FEF" w:rsidP="00AE61C9">
      <w:pPr>
        <w:pStyle w:val="Heading1"/>
      </w:pPr>
      <w:r w:rsidRPr="00AE61C9">
        <w:t>Appendix C: Industry Map to Join GICS to ANZSIC</w:t>
      </w: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6201"/>
      </w:tblGrid>
      <w:tr w:rsidR="00521FEF" w:rsidRPr="009E5520" w14:paraId="7FD7BFAF" w14:textId="77777777" w:rsidTr="00114EAB">
        <w:trPr>
          <w:trHeight w:val="300"/>
          <w:jc w:val="center"/>
        </w:trPr>
        <w:tc>
          <w:tcPr>
            <w:tcW w:w="4151" w:type="dxa"/>
            <w:shd w:val="clear" w:color="auto" w:fill="auto"/>
            <w:noWrap/>
            <w:vAlign w:val="center"/>
            <w:hideMark/>
          </w:tcPr>
          <w:p w14:paraId="64DE28B6" w14:textId="77777777" w:rsidR="00521FEF" w:rsidRPr="009E5520" w:rsidRDefault="00521FEF" w:rsidP="00114EAB">
            <w:pPr>
              <w:spacing w:after="0" w:line="240" w:lineRule="auto"/>
              <w:ind w:firstLine="0"/>
              <w:jc w:val="center"/>
              <w:rPr>
                <w:rFonts w:eastAsia="Times New Roman" w:cs="Times New Roman"/>
                <w:b/>
                <w:bCs/>
                <w:color w:val="000000"/>
                <w:sz w:val="20"/>
                <w:szCs w:val="20"/>
              </w:rPr>
            </w:pPr>
            <w:r w:rsidRPr="009E5520">
              <w:rPr>
                <w:rFonts w:eastAsia="Times New Roman" w:cs="Times New Roman"/>
                <w:b/>
                <w:bCs/>
                <w:color w:val="000000"/>
                <w:sz w:val="20"/>
                <w:szCs w:val="20"/>
              </w:rPr>
              <w:t>GICS Industry Group (two-digit)</w:t>
            </w:r>
          </w:p>
        </w:tc>
        <w:tc>
          <w:tcPr>
            <w:tcW w:w="6201" w:type="dxa"/>
            <w:shd w:val="clear" w:color="auto" w:fill="auto"/>
            <w:noWrap/>
            <w:vAlign w:val="center"/>
            <w:hideMark/>
          </w:tcPr>
          <w:p w14:paraId="39CCC614" w14:textId="77777777" w:rsidR="00521FEF" w:rsidRPr="009E5520" w:rsidRDefault="00521FEF" w:rsidP="00114EAB">
            <w:pPr>
              <w:spacing w:after="0" w:line="240" w:lineRule="auto"/>
              <w:ind w:firstLine="0"/>
              <w:jc w:val="center"/>
              <w:rPr>
                <w:rFonts w:eastAsia="Times New Roman" w:cs="Times New Roman"/>
                <w:b/>
                <w:bCs/>
                <w:color w:val="000000"/>
                <w:sz w:val="20"/>
                <w:szCs w:val="20"/>
              </w:rPr>
            </w:pPr>
            <w:r w:rsidRPr="009E5520">
              <w:rPr>
                <w:rFonts w:eastAsia="Times New Roman" w:cs="Times New Roman"/>
                <w:b/>
                <w:bCs/>
                <w:color w:val="000000"/>
                <w:sz w:val="20"/>
                <w:szCs w:val="20"/>
              </w:rPr>
              <w:t>ANZSIC code</w:t>
            </w:r>
          </w:p>
        </w:tc>
      </w:tr>
      <w:tr w:rsidR="00521FEF" w:rsidRPr="009E5520" w14:paraId="01B212EE" w14:textId="77777777" w:rsidTr="00114EAB">
        <w:trPr>
          <w:trHeight w:val="300"/>
          <w:jc w:val="center"/>
        </w:trPr>
        <w:tc>
          <w:tcPr>
            <w:tcW w:w="4151" w:type="dxa"/>
            <w:shd w:val="clear" w:color="auto" w:fill="auto"/>
            <w:noWrap/>
            <w:vAlign w:val="center"/>
            <w:hideMark/>
          </w:tcPr>
          <w:p w14:paraId="12E19549"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Materials</w:t>
            </w:r>
          </w:p>
        </w:tc>
        <w:tc>
          <w:tcPr>
            <w:tcW w:w="6201" w:type="dxa"/>
            <w:shd w:val="clear" w:color="auto" w:fill="auto"/>
            <w:noWrap/>
            <w:vAlign w:val="center"/>
            <w:hideMark/>
          </w:tcPr>
          <w:p w14:paraId="7328DCF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Mining (B)</w:t>
            </w:r>
          </w:p>
        </w:tc>
      </w:tr>
      <w:tr w:rsidR="00521FEF" w:rsidRPr="009E5520" w14:paraId="38D9DCBF" w14:textId="77777777" w:rsidTr="00114EAB">
        <w:trPr>
          <w:trHeight w:val="300"/>
          <w:jc w:val="center"/>
        </w:trPr>
        <w:tc>
          <w:tcPr>
            <w:tcW w:w="4151" w:type="dxa"/>
            <w:shd w:val="clear" w:color="auto" w:fill="auto"/>
            <w:noWrap/>
            <w:vAlign w:val="center"/>
            <w:hideMark/>
          </w:tcPr>
          <w:p w14:paraId="278CD941"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Energy</w:t>
            </w:r>
          </w:p>
        </w:tc>
        <w:tc>
          <w:tcPr>
            <w:tcW w:w="6201" w:type="dxa"/>
            <w:shd w:val="clear" w:color="auto" w:fill="auto"/>
            <w:noWrap/>
            <w:vAlign w:val="center"/>
            <w:hideMark/>
          </w:tcPr>
          <w:p w14:paraId="61774D35"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Oil &amp; gas extraction (07)</w:t>
            </w:r>
          </w:p>
        </w:tc>
      </w:tr>
      <w:tr w:rsidR="00521FEF" w:rsidRPr="009E5520" w14:paraId="107BE2C8" w14:textId="77777777" w:rsidTr="00114EAB">
        <w:trPr>
          <w:trHeight w:val="300"/>
          <w:jc w:val="center"/>
        </w:trPr>
        <w:tc>
          <w:tcPr>
            <w:tcW w:w="4151" w:type="dxa"/>
            <w:shd w:val="clear" w:color="auto" w:fill="auto"/>
            <w:noWrap/>
            <w:vAlign w:val="center"/>
            <w:hideMark/>
          </w:tcPr>
          <w:p w14:paraId="18F653D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Real Estate</w:t>
            </w:r>
          </w:p>
        </w:tc>
        <w:tc>
          <w:tcPr>
            <w:tcW w:w="6201" w:type="dxa"/>
            <w:shd w:val="clear" w:color="auto" w:fill="auto"/>
            <w:noWrap/>
            <w:vAlign w:val="center"/>
            <w:hideMark/>
          </w:tcPr>
          <w:p w14:paraId="3CFB51BF"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Property operators &amp; real estate services (67)</w:t>
            </w:r>
          </w:p>
        </w:tc>
      </w:tr>
      <w:tr w:rsidR="00521FEF" w:rsidRPr="009E5520" w14:paraId="568DA17B" w14:textId="77777777" w:rsidTr="00114EAB">
        <w:trPr>
          <w:trHeight w:val="300"/>
          <w:jc w:val="center"/>
        </w:trPr>
        <w:tc>
          <w:tcPr>
            <w:tcW w:w="4151" w:type="dxa"/>
            <w:shd w:val="clear" w:color="auto" w:fill="auto"/>
            <w:noWrap/>
            <w:vAlign w:val="center"/>
            <w:hideMark/>
          </w:tcPr>
          <w:p w14:paraId="7BB7D6B0"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Software &amp; Services</w:t>
            </w:r>
          </w:p>
        </w:tc>
        <w:tc>
          <w:tcPr>
            <w:tcW w:w="6201" w:type="dxa"/>
            <w:shd w:val="clear" w:color="auto" w:fill="auto"/>
            <w:noWrap/>
            <w:vAlign w:val="center"/>
            <w:hideMark/>
          </w:tcPr>
          <w:p w14:paraId="56B41B71"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Computer system design &amp; related services (70)</w:t>
            </w:r>
          </w:p>
        </w:tc>
      </w:tr>
      <w:tr w:rsidR="00521FEF" w:rsidRPr="009E5520" w14:paraId="2CAF6D02" w14:textId="77777777" w:rsidTr="00114EAB">
        <w:trPr>
          <w:trHeight w:val="300"/>
          <w:jc w:val="center"/>
        </w:trPr>
        <w:tc>
          <w:tcPr>
            <w:tcW w:w="4151" w:type="dxa"/>
            <w:shd w:val="clear" w:color="auto" w:fill="auto"/>
            <w:noWrap/>
            <w:vAlign w:val="center"/>
            <w:hideMark/>
          </w:tcPr>
          <w:p w14:paraId="1278C6F3"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Capital Goods</w:t>
            </w:r>
          </w:p>
        </w:tc>
        <w:tc>
          <w:tcPr>
            <w:tcW w:w="6201" w:type="dxa"/>
            <w:shd w:val="clear" w:color="auto" w:fill="auto"/>
            <w:noWrap/>
            <w:vAlign w:val="center"/>
            <w:hideMark/>
          </w:tcPr>
          <w:p w14:paraId="3E7514E5"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Construction (E)</w:t>
            </w:r>
          </w:p>
        </w:tc>
      </w:tr>
      <w:tr w:rsidR="00521FEF" w:rsidRPr="009E5520" w14:paraId="4EE43148" w14:textId="77777777" w:rsidTr="00114EAB">
        <w:trPr>
          <w:trHeight w:val="300"/>
          <w:jc w:val="center"/>
        </w:trPr>
        <w:tc>
          <w:tcPr>
            <w:tcW w:w="4151" w:type="dxa"/>
            <w:shd w:val="clear" w:color="auto" w:fill="auto"/>
            <w:noWrap/>
            <w:vAlign w:val="center"/>
            <w:hideMark/>
          </w:tcPr>
          <w:p w14:paraId="60F5BB11"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Diversified Financials</w:t>
            </w:r>
          </w:p>
        </w:tc>
        <w:tc>
          <w:tcPr>
            <w:tcW w:w="6201" w:type="dxa"/>
            <w:shd w:val="clear" w:color="auto" w:fill="auto"/>
            <w:noWrap/>
            <w:vAlign w:val="center"/>
            <w:hideMark/>
          </w:tcPr>
          <w:p w14:paraId="4E16771B"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Finance (62)</w:t>
            </w:r>
          </w:p>
        </w:tc>
      </w:tr>
      <w:tr w:rsidR="00521FEF" w:rsidRPr="009E5520" w14:paraId="27231BDC" w14:textId="77777777" w:rsidTr="00114EAB">
        <w:trPr>
          <w:trHeight w:val="300"/>
          <w:jc w:val="center"/>
        </w:trPr>
        <w:tc>
          <w:tcPr>
            <w:tcW w:w="4151" w:type="dxa"/>
            <w:shd w:val="clear" w:color="auto" w:fill="auto"/>
            <w:noWrap/>
            <w:vAlign w:val="center"/>
            <w:hideMark/>
          </w:tcPr>
          <w:p w14:paraId="23437545"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Retailing</w:t>
            </w:r>
          </w:p>
        </w:tc>
        <w:tc>
          <w:tcPr>
            <w:tcW w:w="6201" w:type="dxa"/>
            <w:shd w:val="clear" w:color="auto" w:fill="auto"/>
            <w:noWrap/>
            <w:vAlign w:val="center"/>
            <w:hideMark/>
          </w:tcPr>
          <w:p w14:paraId="6DF690EF"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Retail trade (G)</w:t>
            </w:r>
          </w:p>
        </w:tc>
      </w:tr>
      <w:tr w:rsidR="00521FEF" w:rsidRPr="009E5520" w14:paraId="116A8E88" w14:textId="77777777" w:rsidTr="00114EAB">
        <w:trPr>
          <w:trHeight w:val="300"/>
          <w:jc w:val="center"/>
        </w:trPr>
        <w:tc>
          <w:tcPr>
            <w:tcW w:w="4151" w:type="dxa"/>
            <w:shd w:val="clear" w:color="auto" w:fill="auto"/>
            <w:noWrap/>
            <w:vAlign w:val="center"/>
            <w:hideMark/>
          </w:tcPr>
          <w:p w14:paraId="08F0844B"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Consumer Services</w:t>
            </w:r>
          </w:p>
        </w:tc>
        <w:tc>
          <w:tcPr>
            <w:tcW w:w="6201" w:type="dxa"/>
            <w:shd w:val="clear" w:color="auto" w:fill="auto"/>
            <w:noWrap/>
            <w:vAlign w:val="center"/>
            <w:hideMark/>
          </w:tcPr>
          <w:p w14:paraId="0E0FDBA9"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Accommodation and food services (H)</w:t>
            </w:r>
          </w:p>
        </w:tc>
      </w:tr>
      <w:tr w:rsidR="00521FEF" w:rsidRPr="009E5520" w14:paraId="29EEAD16" w14:textId="77777777" w:rsidTr="00114EAB">
        <w:trPr>
          <w:trHeight w:val="300"/>
          <w:jc w:val="center"/>
        </w:trPr>
        <w:tc>
          <w:tcPr>
            <w:tcW w:w="4151" w:type="dxa"/>
            <w:shd w:val="clear" w:color="auto" w:fill="auto"/>
            <w:noWrap/>
            <w:vAlign w:val="center"/>
            <w:hideMark/>
          </w:tcPr>
          <w:p w14:paraId="3FEAAA5C"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Commercial &amp; Professional Services</w:t>
            </w:r>
          </w:p>
        </w:tc>
        <w:tc>
          <w:tcPr>
            <w:tcW w:w="6201" w:type="dxa"/>
            <w:shd w:val="clear" w:color="auto" w:fill="auto"/>
            <w:noWrap/>
            <w:vAlign w:val="center"/>
            <w:hideMark/>
          </w:tcPr>
          <w:p w14:paraId="289652AE"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Professional, scientific &amp; technical services (except computer design) (69)</w:t>
            </w:r>
          </w:p>
        </w:tc>
      </w:tr>
      <w:tr w:rsidR="00521FEF" w:rsidRPr="009E5520" w14:paraId="6BEA4BE2" w14:textId="77777777" w:rsidTr="00114EAB">
        <w:trPr>
          <w:trHeight w:val="300"/>
          <w:jc w:val="center"/>
        </w:trPr>
        <w:tc>
          <w:tcPr>
            <w:tcW w:w="4151" w:type="dxa"/>
            <w:shd w:val="clear" w:color="auto" w:fill="auto"/>
            <w:noWrap/>
            <w:vAlign w:val="center"/>
            <w:hideMark/>
          </w:tcPr>
          <w:p w14:paraId="4472F09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Health Care Equipment &amp; Services</w:t>
            </w:r>
          </w:p>
        </w:tc>
        <w:tc>
          <w:tcPr>
            <w:tcW w:w="6201" w:type="dxa"/>
            <w:shd w:val="clear" w:color="auto" w:fill="auto"/>
            <w:noWrap/>
            <w:vAlign w:val="center"/>
            <w:hideMark/>
          </w:tcPr>
          <w:p w14:paraId="0884DBA0"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Health care and social assistance (Q)</w:t>
            </w:r>
          </w:p>
        </w:tc>
      </w:tr>
      <w:tr w:rsidR="00521FEF" w:rsidRPr="009E5520" w14:paraId="3CDC63B7" w14:textId="77777777" w:rsidTr="00114EAB">
        <w:trPr>
          <w:trHeight w:val="300"/>
          <w:jc w:val="center"/>
        </w:trPr>
        <w:tc>
          <w:tcPr>
            <w:tcW w:w="4151" w:type="dxa"/>
            <w:shd w:val="clear" w:color="auto" w:fill="auto"/>
            <w:noWrap/>
            <w:vAlign w:val="center"/>
            <w:hideMark/>
          </w:tcPr>
          <w:p w14:paraId="166E173D"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Food, Beverage &amp; Tobacco</w:t>
            </w:r>
          </w:p>
        </w:tc>
        <w:tc>
          <w:tcPr>
            <w:tcW w:w="6201" w:type="dxa"/>
            <w:shd w:val="clear" w:color="auto" w:fill="auto"/>
            <w:noWrap/>
            <w:vAlign w:val="center"/>
            <w:hideMark/>
          </w:tcPr>
          <w:p w14:paraId="187E35A3"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Food product manufacturing (11)</w:t>
            </w:r>
          </w:p>
        </w:tc>
      </w:tr>
      <w:tr w:rsidR="00521FEF" w:rsidRPr="009E5520" w14:paraId="5CBCE188" w14:textId="77777777" w:rsidTr="00114EAB">
        <w:trPr>
          <w:trHeight w:val="300"/>
          <w:jc w:val="center"/>
        </w:trPr>
        <w:tc>
          <w:tcPr>
            <w:tcW w:w="4151" w:type="dxa"/>
            <w:shd w:val="clear" w:color="auto" w:fill="auto"/>
            <w:noWrap/>
            <w:vAlign w:val="center"/>
            <w:hideMark/>
          </w:tcPr>
          <w:p w14:paraId="6DEA317A"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Media &amp; Entertainment</w:t>
            </w:r>
          </w:p>
        </w:tc>
        <w:tc>
          <w:tcPr>
            <w:tcW w:w="6201" w:type="dxa"/>
            <w:shd w:val="clear" w:color="auto" w:fill="auto"/>
            <w:noWrap/>
            <w:vAlign w:val="center"/>
            <w:hideMark/>
          </w:tcPr>
          <w:p w14:paraId="4C7918E5"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Information media and telecommunications (J)</w:t>
            </w:r>
          </w:p>
        </w:tc>
      </w:tr>
      <w:tr w:rsidR="00521FEF" w:rsidRPr="009E5520" w14:paraId="74DDA6B3" w14:textId="77777777" w:rsidTr="00114EAB">
        <w:trPr>
          <w:trHeight w:val="300"/>
          <w:jc w:val="center"/>
        </w:trPr>
        <w:tc>
          <w:tcPr>
            <w:tcW w:w="4151" w:type="dxa"/>
            <w:shd w:val="clear" w:color="auto" w:fill="auto"/>
            <w:noWrap/>
            <w:vAlign w:val="center"/>
            <w:hideMark/>
          </w:tcPr>
          <w:p w14:paraId="5524FE2A"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Pharmaceuticals, Biotechnology &amp; Life Sciences</w:t>
            </w:r>
          </w:p>
        </w:tc>
        <w:tc>
          <w:tcPr>
            <w:tcW w:w="6201" w:type="dxa"/>
            <w:shd w:val="clear" w:color="auto" w:fill="auto"/>
            <w:noWrap/>
            <w:vAlign w:val="center"/>
            <w:hideMark/>
          </w:tcPr>
          <w:p w14:paraId="0737705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Basic chemical &amp; chemical product manufacturing (18)</w:t>
            </w:r>
          </w:p>
        </w:tc>
      </w:tr>
      <w:tr w:rsidR="00521FEF" w:rsidRPr="009E5520" w14:paraId="684790E2" w14:textId="77777777" w:rsidTr="00114EAB">
        <w:trPr>
          <w:trHeight w:val="300"/>
          <w:jc w:val="center"/>
        </w:trPr>
        <w:tc>
          <w:tcPr>
            <w:tcW w:w="4151" w:type="dxa"/>
            <w:shd w:val="clear" w:color="auto" w:fill="auto"/>
            <w:noWrap/>
            <w:vAlign w:val="center"/>
            <w:hideMark/>
          </w:tcPr>
          <w:p w14:paraId="76510CD9"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Utilities</w:t>
            </w:r>
          </w:p>
        </w:tc>
        <w:tc>
          <w:tcPr>
            <w:tcW w:w="6201" w:type="dxa"/>
            <w:shd w:val="clear" w:color="auto" w:fill="auto"/>
            <w:noWrap/>
            <w:vAlign w:val="center"/>
            <w:hideMark/>
          </w:tcPr>
          <w:p w14:paraId="1E66C95C"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Electricity, gas, water, and waste services (D)</w:t>
            </w:r>
          </w:p>
        </w:tc>
      </w:tr>
      <w:tr w:rsidR="00521FEF" w:rsidRPr="009E5520" w14:paraId="293F1DA6" w14:textId="77777777" w:rsidTr="00114EAB">
        <w:trPr>
          <w:trHeight w:val="300"/>
          <w:jc w:val="center"/>
        </w:trPr>
        <w:tc>
          <w:tcPr>
            <w:tcW w:w="4151" w:type="dxa"/>
            <w:shd w:val="clear" w:color="auto" w:fill="auto"/>
            <w:noWrap/>
            <w:vAlign w:val="center"/>
            <w:hideMark/>
          </w:tcPr>
          <w:p w14:paraId="1C8E0C5D"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Transportation</w:t>
            </w:r>
          </w:p>
        </w:tc>
        <w:tc>
          <w:tcPr>
            <w:tcW w:w="6201" w:type="dxa"/>
            <w:shd w:val="clear" w:color="auto" w:fill="auto"/>
            <w:noWrap/>
            <w:vAlign w:val="center"/>
            <w:hideMark/>
          </w:tcPr>
          <w:p w14:paraId="107D129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Transport, postal and warehousing (I)</w:t>
            </w:r>
          </w:p>
        </w:tc>
      </w:tr>
      <w:tr w:rsidR="00521FEF" w:rsidRPr="009E5520" w14:paraId="610DB6BF" w14:textId="77777777" w:rsidTr="00114EAB">
        <w:trPr>
          <w:trHeight w:val="300"/>
          <w:jc w:val="center"/>
        </w:trPr>
        <w:tc>
          <w:tcPr>
            <w:tcW w:w="4151" w:type="dxa"/>
            <w:shd w:val="clear" w:color="auto" w:fill="auto"/>
            <w:noWrap/>
            <w:vAlign w:val="center"/>
            <w:hideMark/>
          </w:tcPr>
          <w:p w14:paraId="75612744"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Banks</w:t>
            </w:r>
          </w:p>
        </w:tc>
        <w:tc>
          <w:tcPr>
            <w:tcW w:w="6201" w:type="dxa"/>
            <w:shd w:val="clear" w:color="auto" w:fill="auto"/>
            <w:noWrap/>
            <w:vAlign w:val="center"/>
            <w:hideMark/>
          </w:tcPr>
          <w:p w14:paraId="2B2C6439"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Finance (62)</w:t>
            </w:r>
          </w:p>
        </w:tc>
      </w:tr>
      <w:tr w:rsidR="00521FEF" w:rsidRPr="009E5520" w14:paraId="4FDBB178" w14:textId="77777777" w:rsidTr="00114EAB">
        <w:trPr>
          <w:trHeight w:val="300"/>
          <w:jc w:val="center"/>
        </w:trPr>
        <w:tc>
          <w:tcPr>
            <w:tcW w:w="4151" w:type="dxa"/>
            <w:shd w:val="clear" w:color="auto" w:fill="auto"/>
            <w:noWrap/>
            <w:vAlign w:val="center"/>
            <w:hideMark/>
          </w:tcPr>
          <w:p w14:paraId="6628A7A2"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Insurance</w:t>
            </w:r>
          </w:p>
        </w:tc>
        <w:tc>
          <w:tcPr>
            <w:tcW w:w="6201" w:type="dxa"/>
            <w:shd w:val="clear" w:color="auto" w:fill="auto"/>
            <w:noWrap/>
            <w:vAlign w:val="center"/>
            <w:hideMark/>
          </w:tcPr>
          <w:p w14:paraId="40B3E16C"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Insurance &amp; superannuation funds (63)</w:t>
            </w:r>
          </w:p>
        </w:tc>
      </w:tr>
      <w:tr w:rsidR="00521FEF" w:rsidRPr="009E5520" w14:paraId="32E5CA36" w14:textId="77777777" w:rsidTr="00114EAB">
        <w:trPr>
          <w:trHeight w:val="300"/>
          <w:jc w:val="center"/>
        </w:trPr>
        <w:tc>
          <w:tcPr>
            <w:tcW w:w="4151" w:type="dxa"/>
            <w:shd w:val="clear" w:color="auto" w:fill="auto"/>
            <w:noWrap/>
            <w:vAlign w:val="center"/>
            <w:hideMark/>
          </w:tcPr>
          <w:p w14:paraId="3A341C24"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Telecommunication Services</w:t>
            </w:r>
          </w:p>
        </w:tc>
        <w:tc>
          <w:tcPr>
            <w:tcW w:w="6201" w:type="dxa"/>
            <w:shd w:val="clear" w:color="auto" w:fill="auto"/>
            <w:noWrap/>
            <w:vAlign w:val="center"/>
            <w:hideMark/>
          </w:tcPr>
          <w:p w14:paraId="7C2858DB"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Telecommunications services (58)</w:t>
            </w:r>
          </w:p>
        </w:tc>
      </w:tr>
      <w:tr w:rsidR="00521FEF" w:rsidRPr="009E5520" w14:paraId="4C13CF84" w14:textId="77777777" w:rsidTr="00114EAB">
        <w:trPr>
          <w:trHeight w:val="300"/>
          <w:jc w:val="center"/>
        </w:trPr>
        <w:tc>
          <w:tcPr>
            <w:tcW w:w="4151" w:type="dxa"/>
            <w:shd w:val="clear" w:color="auto" w:fill="auto"/>
            <w:noWrap/>
            <w:vAlign w:val="center"/>
            <w:hideMark/>
          </w:tcPr>
          <w:p w14:paraId="348B4ED0"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Food &amp; Staples Retailing</w:t>
            </w:r>
          </w:p>
        </w:tc>
        <w:tc>
          <w:tcPr>
            <w:tcW w:w="6201" w:type="dxa"/>
            <w:shd w:val="clear" w:color="auto" w:fill="auto"/>
            <w:noWrap/>
            <w:vAlign w:val="center"/>
            <w:hideMark/>
          </w:tcPr>
          <w:p w14:paraId="5F5B4931"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Food retailing (41)</w:t>
            </w:r>
          </w:p>
        </w:tc>
      </w:tr>
      <w:tr w:rsidR="00521FEF" w:rsidRPr="009E5520" w14:paraId="3963F01F" w14:textId="77777777" w:rsidTr="00114EAB">
        <w:trPr>
          <w:trHeight w:val="300"/>
          <w:jc w:val="center"/>
        </w:trPr>
        <w:tc>
          <w:tcPr>
            <w:tcW w:w="4151" w:type="dxa"/>
            <w:shd w:val="clear" w:color="auto" w:fill="auto"/>
            <w:noWrap/>
            <w:vAlign w:val="center"/>
            <w:hideMark/>
          </w:tcPr>
          <w:p w14:paraId="2F0CD851"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Household &amp; Personal Products</w:t>
            </w:r>
          </w:p>
        </w:tc>
        <w:tc>
          <w:tcPr>
            <w:tcW w:w="6201" w:type="dxa"/>
            <w:shd w:val="clear" w:color="auto" w:fill="auto"/>
            <w:noWrap/>
            <w:vAlign w:val="center"/>
            <w:hideMark/>
          </w:tcPr>
          <w:p w14:paraId="1AD35B5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Other services (S)</w:t>
            </w:r>
          </w:p>
        </w:tc>
      </w:tr>
      <w:tr w:rsidR="00521FEF" w:rsidRPr="009E5520" w14:paraId="5042518A" w14:textId="77777777" w:rsidTr="00114EAB">
        <w:trPr>
          <w:trHeight w:val="300"/>
          <w:jc w:val="center"/>
        </w:trPr>
        <w:tc>
          <w:tcPr>
            <w:tcW w:w="4151" w:type="dxa"/>
            <w:shd w:val="clear" w:color="auto" w:fill="auto"/>
            <w:noWrap/>
            <w:vAlign w:val="center"/>
            <w:hideMark/>
          </w:tcPr>
          <w:p w14:paraId="49FFB51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Technology Hardware &amp; Equipment</w:t>
            </w:r>
          </w:p>
        </w:tc>
        <w:tc>
          <w:tcPr>
            <w:tcW w:w="6201" w:type="dxa"/>
            <w:shd w:val="clear" w:color="auto" w:fill="auto"/>
            <w:noWrap/>
            <w:vAlign w:val="center"/>
            <w:hideMark/>
          </w:tcPr>
          <w:p w14:paraId="71D33FC5"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Information media and telecommunications (J)</w:t>
            </w:r>
          </w:p>
        </w:tc>
      </w:tr>
      <w:tr w:rsidR="00521FEF" w:rsidRPr="009E5520" w14:paraId="4F8F7A7B" w14:textId="77777777" w:rsidTr="00114EAB">
        <w:trPr>
          <w:trHeight w:val="300"/>
          <w:jc w:val="center"/>
        </w:trPr>
        <w:tc>
          <w:tcPr>
            <w:tcW w:w="4151" w:type="dxa"/>
            <w:shd w:val="clear" w:color="auto" w:fill="auto"/>
            <w:noWrap/>
            <w:vAlign w:val="center"/>
            <w:hideMark/>
          </w:tcPr>
          <w:p w14:paraId="1B3F076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Consumer Durables &amp; Apparel</w:t>
            </w:r>
          </w:p>
        </w:tc>
        <w:tc>
          <w:tcPr>
            <w:tcW w:w="6201" w:type="dxa"/>
            <w:shd w:val="clear" w:color="auto" w:fill="auto"/>
            <w:noWrap/>
            <w:vAlign w:val="center"/>
            <w:hideMark/>
          </w:tcPr>
          <w:p w14:paraId="5C0BE650"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Textile, leather, clothing &amp; footwear manufacturing (13)</w:t>
            </w:r>
          </w:p>
        </w:tc>
      </w:tr>
      <w:tr w:rsidR="00521FEF" w:rsidRPr="009E5520" w14:paraId="1F0DE683" w14:textId="77777777" w:rsidTr="00114EAB">
        <w:trPr>
          <w:trHeight w:val="300"/>
          <w:jc w:val="center"/>
        </w:trPr>
        <w:tc>
          <w:tcPr>
            <w:tcW w:w="4151" w:type="dxa"/>
            <w:shd w:val="clear" w:color="auto" w:fill="auto"/>
            <w:noWrap/>
            <w:vAlign w:val="center"/>
            <w:hideMark/>
          </w:tcPr>
          <w:p w14:paraId="4E5A9E58"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Semiconductors &amp; Semiconductor Equipment</w:t>
            </w:r>
          </w:p>
        </w:tc>
        <w:tc>
          <w:tcPr>
            <w:tcW w:w="6201" w:type="dxa"/>
            <w:shd w:val="clear" w:color="auto" w:fill="auto"/>
            <w:noWrap/>
            <w:vAlign w:val="center"/>
            <w:hideMark/>
          </w:tcPr>
          <w:p w14:paraId="057971C3"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Other services (S)</w:t>
            </w:r>
          </w:p>
        </w:tc>
      </w:tr>
      <w:tr w:rsidR="00521FEF" w:rsidRPr="00DE19D4" w14:paraId="6A2ABF6F" w14:textId="77777777" w:rsidTr="00114EAB">
        <w:trPr>
          <w:trHeight w:val="300"/>
          <w:jc w:val="center"/>
        </w:trPr>
        <w:tc>
          <w:tcPr>
            <w:tcW w:w="4151" w:type="dxa"/>
            <w:shd w:val="clear" w:color="auto" w:fill="auto"/>
            <w:noWrap/>
            <w:vAlign w:val="center"/>
            <w:hideMark/>
          </w:tcPr>
          <w:p w14:paraId="7350EA8E" w14:textId="77777777" w:rsidR="00521FEF" w:rsidRPr="009E5520"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Automobiles &amp; Components</w:t>
            </w:r>
          </w:p>
        </w:tc>
        <w:tc>
          <w:tcPr>
            <w:tcW w:w="6201" w:type="dxa"/>
            <w:shd w:val="clear" w:color="auto" w:fill="auto"/>
            <w:noWrap/>
            <w:vAlign w:val="center"/>
            <w:hideMark/>
          </w:tcPr>
          <w:p w14:paraId="024347EB" w14:textId="77777777" w:rsidR="00521FEF" w:rsidRPr="00DE19D4" w:rsidRDefault="00521FEF" w:rsidP="00114EAB">
            <w:pPr>
              <w:spacing w:after="0" w:line="240" w:lineRule="auto"/>
              <w:ind w:firstLine="0"/>
              <w:jc w:val="center"/>
              <w:rPr>
                <w:rFonts w:eastAsia="Times New Roman" w:cs="Times New Roman"/>
                <w:color w:val="000000"/>
                <w:sz w:val="20"/>
                <w:szCs w:val="20"/>
              </w:rPr>
            </w:pPr>
            <w:r w:rsidRPr="009E5520">
              <w:rPr>
                <w:rFonts w:eastAsia="Times New Roman" w:cs="Times New Roman"/>
                <w:color w:val="000000"/>
                <w:sz w:val="20"/>
                <w:szCs w:val="20"/>
              </w:rPr>
              <w:t>Other services (S)</w:t>
            </w:r>
          </w:p>
        </w:tc>
      </w:tr>
      <w:bookmarkEnd w:id="8"/>
    </w:tbl>
    <w:p w14:paraId="462C189B" w14:textId="77777777" w:rsidR="009A7B5F" w:rsidRDefault="009A7B5F" w:rsidP="000322AD">
      <w:pPr>
        <w:ind w:firstLine="0"/>
      </w:pPr>
    </w:p>
    <w:sectPr w:rsidR="009A7B5F" w:rsidSect="007759F6">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6E2F7" w14:textId="77777777" w:rsidR="002E0DC5" w:rsidRDefault="002E0DC5" w:rsidP="00916652">
      <w:pPr>
        <w:spacing w:after="0" w:line="240" w:lineRule="auto"/>
      </w:pPr>
      <w:r>
        <w:separator/>
      </w:r>
    </w:p>
  </w:endnote>
  <w:endnote w:type="continuationSeparator" w:id="0">
    <w:p w14:paraId="6B6C93FD" w14:textId="77777777" w:rsidR="002E0DC5" w:rsidRDefault="002E0DC5" w:rsidP="0091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858224"/>
      <w:docPartObj>
        <w:docPartGallery w:val="Page Numbers (Bottom of Page)"/>
        <w:docPartUnique/>
      </w:docPartObj>
    </w:sdtPr>
    <w:sdtEndPr>
      <w:rPr>
        <w:noProof/>
      </w:rPr>
    </w:sdtEndPr>
    <w:sdtContent>
      <w:p w14:paraId="5F3B8A22" w14:textId="4E42DA98" w:rsidR="007759F6" w:rsidRDefault="00775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E65C8" w14:textId="77777777" w:rsidR="00C549DB" w:rsidRDefault="00C549DB" w:rsidP="00727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1C22" w14:textId="77777777" w:rsidR="002E0DC5" w:rsidRDefault="002E0DC5" w:rsidP="00916652">
      <w:pPr>
        <w:spacing w:after="0" w:line="240" w:lineRule="auto"/>
      </w:pPr>
      <w:r>
        <w:separator/>
      </w:r>
    </w:p>
  </w:footnote>
  <w:footnote w:type="continuationSeparator" w:id="0">
    <w:p w14:paraId="4151DFD3" w14:textId="77777777" w:rsidR="002E0DC5" w:rsidRDefault="002E0DC5" w:rsidP="00916652">
      <w:pPr>
        <w:spacing w:after="0" w:line="240" w:lineRule="auto"/>
      </w:pPr>
      <w:r>
        <w:continuationSeparator/>
      </w:r>
    </w:p>
  </w:footnote>
  <w:footnote w:id="1">
    <w:p w14:paraId="544C82C0" w14:textId="4CC31065" w:rsidR="00421703" w:rsidRDefault="00421703" w:rsidP="00D5211E">
      <w:pPr>
        <w:ind w:firstLine="0"/>
      </w:pPr>
      <w:r>
        <w:rPr>
          <w:rStyle w:val="FootnoteReference"/>
        </w:rPr>
        <w:footnoteRef/>
      </w:r>
      <w:r>
        <w:t xml:space="preserve"> </w:t>
      </w:r>
      <w:r w:rsidRPr="00D5211E">
        <w:rPr>
          <w:rFonts w:eastAsiaTheme="minorHAnsi" w:cstheme="majorBidi"/>
          <w:sz w:val="22"/>
          <w:lang w:eastAsia="en-US"/>
        </w:rPr>
        <w:t xml:space="preserve">The high CEO compensation relative to average employee at the firm level can eventually lead to higher income inequality at macro level. For example, </w:t>
      </w:r>
      <w:r w:rsidRPr="00D5211E">
        <w:rPr>
          <w:rFonts w:eastAsiaTheme="minorHAnsi" w:cstheme="majorBidi"/>
          <w:sz w:val="22"/>
          <w:lang w:eastAsia="en-US"/>
        </w:rPr>
        <w:fldChar w:fldCharType="begin" w:fldLock="1"/>
      </w:r>
      <w:r w:rsidR="00BA76AC">
        <w:rPr>
          <w:rFonts w:eastAsiaTheme="minorHAnsi" w:cstheme="majorBidi"/>
          <w:sz w:val="22"/>
          <w:lang w:eastAsia="en-US"/>
        </w:rPr>
        <w:instrText>ADDIN CSL_CITATION {"citationItems":[{"id":"ITEM-1","itemData":{"abstract":"This paper presents summary statistics on the occupations of taxpayers in the top percentile of the national income distribution and fractiles thereof, as well as the patterns of real income growth between 1979 and 2005 for top earners in each occupation, based on information reported on U.S. individual income tax returns. The data demonstrate that executives, managers, supervisors, and financial professionals account for about 60 percent of the top 0.1 percent of income earners in recent years, and can account for 70 percent of the increase in the share of national income going to the top 0.1 percent of the income distribution between 1979 and 2005. During 1979-2005 there was substantial heterogeneity in growth rates of income for top earners across occupations, and significant divergence in incomes within occupations among people in the top 1 percent. We consider the implications for various competing explanations for the substantial changes in income inequality that have occurred in the U.S. in recent times. We then use panel data on U.S. tax returns spanning the years 1987 through 2005, to estimate the elasticity of gross income with respect to net-of-tax share (that is, one minus the marginal tax rate). Information on occupation allows us to control for other influences on income in a flexible way using interactions among occupation, position in the income distribution, stock prices, housing prices, and the business cycle. We also allow for income shifting across years in response to anticipated tax changes, for the long-run effect of a tax reform to differ from the short-run effects, for heterogeneous mean-reversion across incomes, and for heterogeneous elasticities across income classes. In a specification that does all this, we estimate a significant elasticity of 0.7 among taxpayers in the top 0.1 percent of the income distribution. Outside of the top 0.1 percent of the income distribution, we find no conclusive evidence of a positive elasticity of income with respect to net-of-tax shares. We find that the estimate for the top 0.1 percent is not robust to controlling for a spline in lagged income that is very flexible at the upper reaches of the income distribution, suggesting that the method used to allow for income dynamics is very important. Allowing for income shifting across years in response to anticipated tax changes has important consequences for the estimates.","author":[{"dropping-particle":"","family":"Bakija","given":"Jon","non-dropping-particle":"","parse-names":false,"suffix":""},{"dropping-particle":"","family":"Cole","given":"Adam","non-dropping-particle":"","parse-names":false,"suffix":""},{"dropping-particle":"","family":"Heim","given":"Bradley","non-dropping-particle":"","parse-names":false,"suffix":""}],"collection-title":"Department of Economics Working Paper","id":"ITEM-1","issued":{"date-parts":[["2012"]]},"number":"2010-22","publisher":"Department of Economics, Williams College","title":"Jobs and Income Growth of Top Earners and the Causes of Changing Income Inequality: Evidence from U.S. Tax Return Data","type":"report"},"uris":["http://www.mendeley.com/documents/?uuid=3e4d8dae-4c35-3fa9-8e73-65d9be0d447b"]}],"mendeley":{"formattedCitation":"(Bakija et al., 2012)","plainTextFormattedCitation":"(Bakija et al., 2012)","previouslyFormattedCitation":"(Bakija, Cole, and Heim 2012)"},"properties":{"noteIndex":0},"schema":"https://github.com/citation-style-language/schema/raw/master/csl-citation.json"}</w:instrText>
      </w:r>
      <w:r w:rsidRPr="00D5211E">
        <w:rPr>
          <w:rFonts w:eastAsiaTheme="minorHAnsi" w:cstheme="majorBidi"/>
          <w:sz w:val="22"/>
          <w:lang w:eastAsia="en-US"/>
        </w:rPr>
        <w:fldChar w:fldCharType="separate"/>
      </w:r>
      <w:r w:rsidR="00BA76AC" w:rsidRPr="00BA76AC">
        <w:rPr>
          <w:rFonts w:eastAsiaTheme="minorHAnsi" w:cstheme="majorBidi"/>
          <w:noProof/>
          <w:sz w:val="22"/>
          <w:lang w:eastAsia="en-US"/>
        </w:rPr>
        <w:t>(Bakija et al., 2012)</w:t>
      </w:r>
      <w:r w:rsidRPr="00D5211E">
        <w:rPr>
          <w:rFonts w:eastAsiaTheme="minorHAnsi" w:cstheme="majorBidi"/>
          <w:sz w:val="22"/>
          <w:lang w:eastAsia="en-US"/>
        </w:rPr>
        <w:fldChar w:fldCharType="end"/>
      </w:r>
      <w:r w:rsidRPr="00D5211E">
        <w:rPr>
          <w:rFonts w:eastAsiaTheme="minorHAnsi" w:cstheme="majorBidi"/>
          <w:sz w:val="22"/>
          <w:lang w:eastAsia="en-US"/>
        </w:rPr>
        <w:t>, using information reported on U.S. individual income tax returns, find that executives, managers, supervisors, and financial professionals account for about 60 percent of the top 0.1 percent of income earners in recent years, and can account for 70 percent of the increase in the share of national income going to the top 0.1 percent of the income distribution between 1979 and 2005.</w:t>
      </w:r>
    </w:p>
  </w:footnote>
  <w:footnote w:id="2">
    <w:p w14:paraId="3BE9D084" w14:textId="77777777" w:rsidR="00047F4C" w:rsidRDefault="00047F4C" w:rsidP="009B68DD">
      <w:pPr>
        <w:ind w:firstLine="0"/>
      </w:pPr>
      <w:r w:rsidRPr="00C90746">
        <w:rPr>
          <w:rStyle w:val="FootnoteReference"/>
        </w:rPr>
        <w:footnoteRef/>
      </w:r>
      <w:r>
        <w:t xml:space="preserve"> </w:t>
      </w:r>
      <w:r w:rsidRPr="009B68DD">
        <w:rPr>
          <w:rFonts w:eastAsiaTheme="minorHAnsi" w:cstheme="majorBidi"/>
          <w:sz w:val="22"/>
          <w:lang w:eastAsia="en-US"/>
        </w:rPr>
        <w:t>The effects of TFP and k on LS should have the same sign. If TFP shifts the Labour share-</w:t>
      </w:r>
      <w:proofErr w:type="spellStart"/>
      <w:r w:rsidRPr="009B68DD">
        <w:rPr>
          <w:rFonts w:eastAsiaTheme="minorHAnsi" w:cstheme="majorBidi"/>
          <w:sz w:val="22"/>
          <w:lang w:eastAsia="en-US"/>
        </w:rPr>
        <w:t>LnCapital</w:t>
      </w:r>
      <w:proofErr w:type="spellEnd"/>
      <w:r w:rsidRPr="009B68DD">
        <w:rPr>
          <w:rFonts w:eastAsiaTheme="minorHAnsi" w:cstheme="majorBidi"/>
          <w:sz w:val="22"/>
          <w:lang w:eastAsia="en-US"/>
        </w:rPr>
        <w:t>/VA curve but violates that condition, it is neither labour- nor capital-augmenting (</w:t>
      </w:r>
      <w:proofErr w:type="spellStart"/>
      <w:r w:rsidRPr="009B68DD">
        <w:rPr>
          <w:rFonts w:eastAsiaTheme="minorHAnsi" w:cstheme="majorBidi"/>
          <w:sz w:val="22"/>
          <w:lang w:eastAsia="en-US"/>
        </w:rPr>
        <w:t>Bentolila</w:t>
      </w:r>
      <w:proofErr w:type="spellEnd"/>
      <w:r w:rsidRPr="009B68DD">
        <w:rPr>
          <w:rFonts w:eastAsiaTheme="minorHAnsi" w:cstheme="majorBidi"/>
          <w:sz w:val="22"/>
          <w:lang w:eastAsia="en-US"/>
        </w:rPr>
        <w:t xml:space="preserve"> and Saint-Paul (2003)).</w:t>
      </w:r>
    </w:p>
  </w:footnote>
  <w:footnote w:id="3">
    <w:p w14:paraId="37B84FEC" w14:textId="0BA18263" w:rsidR="00F04F23" w:rsidRDefault="00F04F23" w:rsidP="00F04F23">
      <w:pPr>
        <w:ind w:firstLine="0"/>
      </w:pPr>
      <w:r>
        <w:rPr>
          <w:rStyle w:val="FootnoteReference"/>
        </w:rPr>
        <w:footnoteRef/>
      </w:r>
      <w:r>
        <w:t xml:space="preserve"> </w:t>
      </w:r>
      <w:r w:rsidRPr="00F04F23">
        <w:rPr>
          <w:sz w:val="22"/>
        </w:rPr>
        <w:t xml:space="preserve">To our knowledge, TRD is the only data source that provides financial data for Australian firms which has been widely used in the literature on compensation, pay inequality, and labour share </w:t>
      </w:r>
      <w:r w:rsidRPr="00F04F23">
        <w:rPr>
          <w:sz w:val="22"/>
        </w:rPr>
        <w:fldChar w:fldCharType="begin" w:fldLock="1"/>
      </w:r>
      <w:r w:rsidR="00BA76AC">
        <w:rPr>
          <w:sz w:val="22"/>
        </w:rPr>
        <w:instrText>ADDIN CSL_CITATION {"citationItems":[{"id":"ITEM-1","itemData":{"abstract":"This paper provides international evidence for the effect of financialisation on the labour share at the firm level. We test different hypotheses about the impact of financialisation on functional income distribution, while also controlling for the effect of technological change, market concentration, labour market institutions and globalisation. We use panel data for publicly listed non-financial companies globally and with a particular focus on the EU15 for the period of 1995-2016. We find a negative effect of financialisation on the labour share due to increased shareholder value orientation in all countries, while there is also evidence of a negative effect due to an increase in mark-ups in France and the UK. Additionally, our findings cast doubt on the hypotheses that the decline in the labour share in European publicly listed firms is due to technological change. Similarly, market concentration did not play an important role for the decline in the labour share. In contrast, we find that concentration has declined among publicly listed firms in Europe, and that concentration is not associated with declining labour shares.","author":[{"dropping-particle":"","family":"Guschanski","given":"Alexander","non-dropping-particle":"","parse-names":false,"suffix":""},{"dropping-particle":"","family":"Onaran","given":"Özlem","non-dropping-particle":"","parse-names":false,"suffix":""}],"container-title":"Greenwich Paper in Political Economy","id":"ITEM-1","issued":{"date-parts":[["2018","3","5"]]},"number":"19371","title":"The labour share and financialisation: Evidence from publicly listed firms","type":"report"},"uris":["http://www.mendeley.com/documents/?uuid=3cbb6586-3118-3630-8c60-b60817c9e248"]}],"mendeley":{"formattedCitation":"(Guschanski &amp; Onaran, 2018)","manualFormatting":"(e.g., Guschanski and Onaran 2018)","plainTextFormattedCitation":"(Guschanski &amp; Onaran, 2018)","previouslyFormattedCitation":"(Guschanski and Onaran 2018)"},"properties":{"noteIndex":0},"schema":"https://github.com/citation-style-language/schema/raw/master/csl-citation.json"}</w:instrText>
      </w:r>
      <w:r w:rsidRPr="00F04F23">
        <w:rPr>
          <w:sz w:val="22"/>
        </w:rPr>
        <w:fldChar w:fldCharType="separate"/>
      </w:r>
      <w:r w:rsidRPr="00F04F23">
        <w:rPr>
          <w:noProof/>
          <w:sz w:val="22"/>
        </w:rPr>
        <w:t>(e.g., Guschanski and Onaran 2018)</w:t>
      </w:r>
      <w:r w:rsidRPr="00F04F23">
        <w:rPr>
          <w:sz w:val="22"/>
        </w:rPr>
        <w:fldChar w:fldCharType="end"/>
      </w:r>
    </w:p>
  </w:footnote>
  <w:footnote w:id="4">
    <w:p w14:paraId="34DEF55D" w14:textId="77777777" w:rsidR="00F04F23" w:rsidRPr="00457F4D" w:rsidRDefault="00F04F23" w:rsidP="00457F4D">
      <w:pPr>
        <w:ind w:firstLine="0"/>
        <w:rPr>
          <w:sz w:val="22"/>
          <w:szCs w:val="20"/>
        </w:rPr>
      </w:pPr>
      <w:r w:rsidRPr="00457F4D">
        <w:rPr>
          <w:rStyle w:val="FootnoteReference"/>
          <w:sz w:val="22"/>
          <w:szCs w:val="20"/>
        </w:rPr>
        <w:footnoteRef/>
      </w:r>
      <w:r w:rsidRPr="00457F4D">
        <w:rPr>
          <w:sz w:val="22"/>
          <w:szCs w:val="20"/>
        </w:rPr>
        <w:t xml:space="preserve"> CEO compensation, reported in TRD, is based on the US dollar. Therefore, we collect the USD/AUD currency rate from </w:t>
      </w:r>
      <w:proofErr w:type="gramStart"/>
      <w:r w:rsidRPr="00457F4D">
        <w:rPr>
          <w:sz w:val="22"/>
          <w:szCs w:val="20"/>
        </w:rPr>
        <w:t>TRD</w:t>
      </w:r>
      <w:proofErr w:type="gramEnd"/>
      <w:r w:rsidRPr="00457F4D">
        <w:rPr>
          <w:sz w:val="22"/>
          <w:szCs w:val="20"/>
        </w:rPr>
        <w:t xml:space="preserve"> and we calculate CEO compensation in AUD by multiplying CEO compensation in USD by the currency rate in the fiscal date of each firm-year  </w:t>
      </w:r>
    </w:p>
  </w:footnote>
  <w:footnote w:id="5">
    <w:p w14:paraId="6877C873" w14:textId="77777777" w:rsidR="00F04F23" w:rsidRDefault="00F04F23" w:rsidP="00457F4D">
      <w:pPr>
        <w:ind w:firstLine="0"/>
      </w:pPr>
      <w:r w:rsidRPr="00457F4D">
        <w:rPr>
          <w:rStyle w:val="FootnoteReference"/>
          <w:sz w:val="22"/>
          <w:szCs w:val="20"/>
        </w:rPr>
        <w:footnoteRef/>
      </w:r>
      <w:r w:rsidRPr="00457F4D">
        <w:rPr>
          <w:sz w:val="22"/>
          <w:szCs w:val="20"/>
        </w:rPr>
        <w:t xml:space="preserve"> If the number of employees is missing, we use the employee numbers from the previous year.  </w:t>
      </w:r>
    </w:p>
  </w:footnote>
  <w:footnote w:id="6">
    <w:p w14:paraId="13C77CD6" w14:textId="77777777" w:rsidR="00340937" w:rsidRDefault="00340937" w:rsidP="00FD6330">
      <w:pPr>
        <w:pStyle w:val="Footnoot"/>
      </w:pPr>
      <w:r w:rsidRPr="005A1C92">
        <w:rPr>
          <w:rStyle w:val="FootnoteReference"/>
          <w:sz w:val="22"/>
        </w:rPr>
        <w:footnoteRef/>
      </w:r>
      <w:r w:rsidRPr="005A1C92">
        <w:t xml:space="preserve"> In all subsamples, the coefficients are estimated using the </w:t>
      </w:r>
      <w:r w:rsidRPr="005A1C92">
        <w:rPr>
          <w:i/>
          <w:iCs/>
        </w:rPr>
        <w:t>OLS</w:t>
      </w:r>
      <w:r w:rsidRPr="005A1C92">
        <w:t xml:space="preserve"> method. The low number of observations in some subsamples and high numbers of instruments provided by </w:t>
      </w:r>
      <w:r w:rsidRPr="005A1C92">
        <w:rPr>
          <w:i/>
          <w:iCs/>
        </w:rPr>
        <w:t>SGMM</w:t>
      </w:r>
      <w:r w:rsidRPr="005A1C92">
        <w:t xml:space="preserve"> restrict us to estimate coefficients using the two-step </w:t>
      </w:r>
      <w:r w:rsidRPr="005A1C92">
        <w:rPr>
          <w:i/>
          <w:iCs/>
        </w:rPr>
        <w:t>SGMM</w:t>
      </w:r>
      <w:r w:rsidRPr="005A1C92">
        <w:t xml:space="preserve"> method. However, it appears that the </w:t>
      </w:r>
      <w:r w:rsidRPr="005A1C92">
        <w:rPr>
          <w:i/>
          <w:iCs/>
        </w:rPr>
        <w:t xml:space="preserve">OLS </w:t>
      </w:r>
      <w:r w:rsidRPr="005A1C92">
        <w:t>bias is limited since estimated coefficients using</w:t>
      </w:r>
      <w:r w:rsidRPr="005A1C92">
        <w:rPr>
          <w:i/>
          <w:iCs/>
        </w:rPr>
        <w:t xml:space="preserve"> OLS </w:t>
      </w:r>
      <w:r w:rsidRPr="005A1C92">
        <w:t>and the</w:t>
      </w:r>
      <w:r w:rsidRPr="005A1C92">
        <w:rPr>
          <w:i/>
          <w:iCs/>
        </w:rPr>
        <w:t xml:space="preserve"> SGMM </w:t>
      </w:r>
      <w:r w:rsidRPr="005A1C92">
        <w:t>method (Table 2) show a similar sign.</w:t>
      </w:r>
    </w:p>
  </w:footnote>
  <w:footnote w:id="7">
    <w:p w14:paraId="670CCF7E" w14:textId="77777777" w:rsidR="00340937" w:rsidRPr="005A1C92" w:rsidRDefault="00340937" w:rsidP="005A1C92">
      <w:pPr>
        <w:ind w:firstLine="0"/>
        <w:rPr>
          <w:sz w:val="22"/>
        </w:rPr>
      </w:pPr>
      <w:r w:rsidRPr="005A1C92">
        <w:rPr>
          <w:rStyle w:val="FootnoteReference"/>
          <w:sz w:val="22"/>
        </w:rPr>
        <w:footnoteRef/>
      </w:r>
      <w:r w:rsidRPr="005A1C92">
        <w:rPr>
          <w:sz w:val="22"/>
        </w:rPr>
        <w:t xml:space="preserve"> Except the coefficient of the mark-up in Utilities, which is almost equal to zero.</w:t>
      </w:r>
    </w:p>
  </w:footnote>
  <w:footnote w:id="8">
    <w:p w14:paraId="718105FD" w14:textId="68837D55" w:rsidR="00340937" w:rsidRDefault="00340937" w:rsidP="005A1C92">
      <w:pPr>
        <w:ind w:firstLine="0"/>
      </w:pPr>
      <w:r w:rsidRPr="005A1C92">
        <w:rPr>
          <w:rStyle w:val="FootnoteReference"/>
          <w:sz w:val="22"/>
        </w:rPr>
        <w:footnoteRef/>
      </w:r>
      <w:r w:rsidRPr="005A1C92">
        <w:rPr>
          <w:sz w:val="22"/>
        </w:rPr>
        <w:t xml:space="preserve"> By following </w:t>
      </w:r>
      <w:r w:rsidRPr="005A1C92">
        <w:rPr>
          <w:sz w:val="22"/>
        </w:rPr>
        <w:fldChar w:fldCharType="begin" w:fldLock="1"/>
      </w:r>
      <w:r w:rsidR="00BA76AC">
        <w:rPr>
          <w:sz w:val="22"/>
        </w:rPr>
        <w:instrText>ADDIN CSL_CITATION {"citationItems":[{"id":"ITEM-1","itemData":{"author":[{"dropping-particle":"","family":"Abayadeera","given":"Nadana","non-dropping-particle":"","parse-names":false,"suffix":""}],"container-title":"Global review of accounting and finance","id":"ITEM-1","issue":"1","issued":{"date-parts":[["2010"]]},"page":"77-99","title":"Value relevance of information in hi-tech industries in Australia : accounting information and intangible asset disclosures - DRO","type":"article-journal","volume":"1"},"uris":["http://www.mendeley.com/documents/?uuid=5944fc69-7a86-3a85-a241-24ba8902c574"]}],"mendeley":{"formattedCitation":"(Abayadeera, 2010)","manualFormatting":"Abayadeera (2010)","plainTextFormattedCitation":"(Abayadeera, 2010)","previouslyFormattedCitation":"(Abayadeera 2010)"},"properties":{"noteIndex":0},"schema":"https://github.com/citation-style-language/schema/raw/master/csl-citation.json"}</w:instrText>
      </w:r>
      <w:r w:rsidRPr="005A1C92">
        <w:rPr>
          <w:sz w:val="22"/>
        </w:rPr>
        <w:fldChar w:fldCharType="separate"/>
      </w:r>
      <w:r w:rsidRPr="005A1C92">
        <w:rPr>
          <w:noProof/>
          <w:sz w:val="22"/>
        </w:rPr>
        <w:t>Abayadeera (2010)</w:t>
      </w:r>
      <w:r w:rsidRPr="005A1C92">
        <w:rPr>
          <w:sz w:val="22"/>
        </w:rPr>
        <w:fldChar w:fldCharType="end"/>
      </w:r>
      <w:r w:rsidRPr="005A1C92">
        <w:rPr>
          <w:sz w:val="22"/>
        </w:rPr>
        <w:t>, we consider health care, information technology and telecommunication services as sectors including most Australian high-tech firms.</w:t>
      </w:r>
      <w:r w:rsidRPr="00AC42A1">
        <w:t xml:space="preserve">  </w:t>
      </w:r>
    </w:p>
  </w:footnote>
  <w:footnote w:id="9">
    <w:p w14:paraId="46BA9243" w14:textId="77777777" w:rsidR="00521FEF" w:rsidRDefault="00521FEF" w:rsidP="00521FEF">
      <w:pPr>
        <w:pStyle w:val="Footnoot"/>
      </w:pPr>
      <w:r w:rsidRPr="00C90746">
        <w:rPr>
          <w:rStyle w:val="FootnoteReference"/>
        </w:rPr>
        <w:footnoteRef/>
      </w:r>
      <w:r>
        <w:t xml:space="preserve"> </w:t>
      </w:r>
      <w:r w:rsidRPr="00DD053F">
        <w:t>The sample does not directly report a breakdown of the expenditure on</w:t>
      </w:r>
      <w:r>
        <w:t xml:space="preserve"> </w:t>
      </w:r>
      <w:r w:rsidRPr="00DD053F">
        <w:t>variable inputs, such as labour, intermediate inputs, electricity, and others, and</w:t>
      </w:r>
      <w:r>
        <w:t xml:space="preserve"> </w:t>
      </w:r>
      <w:r w:rsidRPr="00DD053F">
        <w:t>therefore we prefer to rely on the reported total variable cost of production.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3EBB"/>
    <w:multiLevelType w:val="multilevel"/>
    <w:tmpl w:val="1ED6483C"/>
    <w:numStyleLink w:val="styleWP"/>
  </w:abstractNum>
  <w:abstractNum w:abstractNumId="1" w15:restartNumberingAfterBreak="0">
    <w:nsid w:val="12DF2188"/>
    <w:multiLevelType w:val="multilevel"/>
    <w:tmpl w:val="60D40C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6E790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E0103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27507"/>
    <w:multiLevelType w:val="hybridMultilevel"/>
    <w:tmpl w:val="4A7E2462"/>
    <w:lvl w:ilvl="0" w:tplc="D5628A68">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28F9261E"/>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FE416E"/>
    <w:multiLevelType w:val="hybridMultilevel"/>
    <w:tmpl w:val="CF7A2A58"/>
    <w:lvl w:ilvl="0" w:tplc="14090013">
      <w:start w:val="1"/>
      <w:numFmt w:val="upperRoman"/>
      <w:lvlText w:val="%1."/>
      <w:lvlJc w:val="right"/>
      <w:pPr>
        <w:ind w:left="1117" w:hanging="360"/>
      </w:pPr>
    </w:lvl>
    <w:lvl w:ilvl="1" w:tplc="14090019" w:tentative="1">
      <w:start w:val="1"/>
      <w:numFmt w:val="lowerLetter"/>
      <w:lvlText w:val="%2."/>
      <w:lvlJc w:val="left"/>
      <w:pPr>
        <w:ind w:left="1837" w:hanging="360"/>
      </w:pPr>
    </w:lvl>
    <w:lvl w:ilvl="2" w:tplc="1409001B" w:tentative="1">
      <w:start w:val="1"/>
      <w:numFmt w:val="lowerRoman"/>
      <w:lvlText w:val="%3."/>
      <w:lvlJc w:val="right"/>
      <w:pPr>
        <w:ind w:left="2557" w:hanging="180"/>
      </w:pPr>
    </w:lvl>
    <w:lvl w:ilvl="3" w:tplc="1409000F" w:tentative="1">
      <w:start w:val="1"/>
      <w:numFmt w:val="decimal"/>
      <w:lvlText w:val="%4."/>
      <w:lvlJc w:val="left"/>
      <w:pPr>
        <w:ind w:left="3277" w:hanging="360"/>
      </w:pPr>
    </w:lvl>
    <w:lvl w:ilvl="4" w:tplc="14090019" w:tentative="1">
      <w:start w:val="1"/>
      <w:numFmt w:val="lowerLetter"/>
      <w:lvlText w:val="%5."/>
      <w:lvlJc w:val="left"/>
      <w:pPr>
        <w:ind w:left="3997" w:hanging="360"/>
      </w:pPr>
    </w:lvl>
    <w:lvl w:ilvl="5" w:tplc="1409001B" w:tentative="1">
      <w:start w:val="1"/>
      <w:numFmt w:val="lowerRoman"/>
      <w:lvlText w:val="%6."/>
      <w:lvlJc w:val="right"/>
      <w:pPr>
        <w:ind w:left="4717" w:hanging="180"/>
      </w:pPr>
    </w:lvl>
    <w:lvl w:ilvl="6" w:tplc="1409000F" w:tentative="1">
      <w:start w:val="1"/>
      <w:numFmt w:val="decimal"/>
      <w:lvlText w:val="%7."/>
      <w:lvlJc w:val="left"/>
      <w:pPr>
        <w:ind w:left="5437" w:hanging="360"/>
      </w:pPr>
    </w:lvl>
    <w:lvl w:ilvl="7" w:tplc="14090019" w:tentative="1">
      <w:start w:val="1"/>
      <w:numFmt w:val="lowerLetter"/>
      <w:lvlText w:val="%8."/>
      <w:lvlJc w:val="left"/>
      <w:pPr>
        <w:ind w:left="6157" w:hanging="360"/>
      </w:pPr>
    </w:lvl>
    <w:lvl w:ilvl="8" w:tplc="1409001B" w:tentative="1">
      <w:start w:val="1"/>
      <w:numFmt w:val="lowerRoman"/>
      <w:lvlText w:val="%9."/>
      <w:lvlJc w:val="right"/>
      <w:pPr>
        <w:ind w:left="6877" w:hanging="180"/>
      </w:pPr>
    </w:lvl>
  </w:abstractNum>
  <w:abstractNum w:abstractNumId="7" w15:restartNumberingAfterBreak="0">
    <w:nsid w:val="3AF57EAB"/>
    <w:multiLevelType w:val="multilevel"/>
    <w:tmpl w:val="83DCF4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705CF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6923B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F32E2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EF3FD0"/>
    <w:multiLevelType w:val="multilevel"/>
    <w:tmpl w:val="664250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781621"/>
    <w:multiLevelType w:val="multilevel"/>
    <w:tmpl w:val="1ED6483C"/>
    <w:numStyleLink w:val="styleWP"/>
  </w:abstractNum>
  <w:abstractNum w:abstractNumId="13" w15:restartNumberingAfterBreak="0">
    <w:nsid w:val="5075604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1C97"/>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A0171"/>
    <w:multiLevelType w:val="multilevel"/>
    <w:tmpl w:val="1ED6483C"/>
    <w:numStyleLink w:val="styleWP"/>
  </w:abstractNum>
  <w:abstractNum w:abstractNumId="16" w15:restartNumberingAfterBreak="0">
    <w:nsid w:val="6A6030C5"/>
    <w:multiLevelType w:val="multilevel"/>
    <w:tmpl w:val="1ED6483C"/>
    <w:styleLink w:val="styleWP"/>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6C553EA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183F9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0533049">
    <w:abstractNumId w:val="1"/>
  </w:num>
  <w:num w:numId="2" w16cid:durableId="1223372809">
    <w:abstractNumId w:val="4"/>
  </w:num>
  <w:num w:numId="3" w16cid:durableId="553783094">
    <w:abstractNumId w:val="7"/>
  </w:num>
  <w:num w:numId="4" w16cid:durableId="1534032704">
    <w:abstractNumId w:val="5"/>
  </w:num>
  <w:num w:numId="5" w16cid:durableId="610473473">
    <w:abstractNumId w:val="17"/>
  </w:num>
  <w:num w:numId="6" w16cid:durableId="688988140">
    <w:abstractNumId w:val="9"/>
  </w:num>
  <w:num w:numId="7" w16cid:durableId="1675523387">
    <w:abstractNumId w:val="3"/>
  </w:num>
  <w:num w:numId="8" w16cid:durableId="440996836">
    <w:abstractNumId w:val="11"/>
  </w:num>
  <w:num w:numId="9" w16cid:durableId="1233009920">
    <w:abstractNumId w:val="14"/>
  </w:num>
  <w:num w:numId="10" w16cid:durableId="1648778727">
    <w:abstractNumId w:val="16"/>
  </w:num>
  <w:num w:numId="11" w16cid:durableId="992678886">
    <w:abstractNumId w:val="0"/>
  </w:num>
  <w:num w:numId="12" w16cid:durableId="1761104119">
    <w:abstractNumId w:val="12"/>
  </w:num>
  <w:num w:numId="13" w16cid:durableId="48921588">
    <w:abstractNumId w:val="2"/>
  </w:num>
  <w:num w:numId="14" w16cid:durableId="991985050">
    <w:abstractNumId w:val="8"/>
  </w:num>
  <w:num w:numId="15" w16cid:durableId="416906888">
    <w:abstractNumId w:val="18"/>
  </w:num>
  <w:num w:numId="16" w16cid:durableId="1564373188">
    <w:abstractNumId w:val="15"/>
  </w:num>
  <w:num w:numId="17" w16cid:durableId="553546571">
    <w:abstractNumId w:val="10"/>
  </w:num>
  <w:num w:numId="18" w16cid:durableId="743919502">
    <w:abstractNumId w:val="13"/>
  </w:num>
  <w:num w:numId="19" w16cid:durableId="198530774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NZ" w:vendorID="64" w:dllVersion="6" w:nlCheck="1" w:checkStyle="1"/>
  <w:activeWritingStyle w:appName="MSWord" w:lang="en-US" w:vendorID="64" w:dllVersion="6" w:nlCheck="1" w:checkStyle="1"/>
  <w:activeWritingStyle w:appName="MSWord" w:lang="en-US" w:vendorID="64" w:dllVersion="0" w:nlCheck="1" w:checkStyle="0"/>
  <w:activeWritingStyle w:appName="MSWord" w:lang="en-NZ"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7IwtzQxMjMzNzNX0lEKTi0uzszPAykwrgUApsMwDiw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31F8E"/>
    <w:rsid w:val="00001896"/>
    <w:rsid w:val="00001C5B"/>
    <w:rsid w:val="00002211"/>
    <w:rsid w:val="000026A6"/>
    <w:rsid w:val="00002783"/>
    <w:rsid w:val="00002B0F"/>
    <w:rsid w:val="000036B0"/>
    <w:rsid w:val="00003DB7"/>
    <w:rsid w:val="00003EC8"/>
    <w:rsid w:val="000042AA"/>
    <w:rsid w:val="00005865"/>
    <w:rsid w:val="00005C9D"/>
    <w:rsid w:val="000063DA"/>
    <w:rsid w:val="00006812"/>
    <w:rsid w:val="00006D3F"/>
    <w:rsid w:val="00006EE5"/>
    <w:rsid w:val="000079C4"/>
    <w:rsid w:val="00007F55"/>
    <w:rsid w:val="000104D8"/>
    <w:rsid w:val="000108EF"/>
    <w:rsid w:val="00010CAF"/>
    <w:rsid w:val="0001289E"/>
    <w:rsid w:val="00013468"/>
    <w:rsid w:val="00014407"/>
    <w:rsid w:val="0001458A"/>
    <w:rsid w:val="000155D8"/>
    <w:rsid w:val="00015742"/>
    <w:rsid w:val="000159D0"/>
    <w:rsid w:val="00015FF5"/>
    <w:rsid w:val="00016408"/>
    <w:rsid w:val="000169D5"/>
    <w:rsid w:val="00017505"/>
    <w:rsid w:val="000176E7"/>
    <w:rsid w:val="00017A85"/>
    <w:rsid w:val="0002050F"/>
    <w:rsid w:val="00020809"/>
    <w:rsid w:val="00020A47"/>
    <w:rsid w:val="0002145C"/>
    <w:rsid w:val="000217D5"/>
    <w:rsid w:val="00021DF4"/>
    <w:rsid w:val="0002252A"/>
    <w:rsid w:val="00023C03"/>
    <w:rsid w:val="00023DAB"/>
    <w:rsid w:val="0002454F"/>
    <w:rsid w:val="00025B42"/>
    <w:rsid w:val="000265E4"/>
    <w:rsid w:val="00026ADB"/>
    <w:rsid w:val="0002766D"/>
    <w:rsid w:val="00027828"/>
    <w:rsid w:val="00030234"/>
    <w:rsid w:val="000303D3"/>
    <w:rsid w:val="00030575"/>
    <w:rsid w:val="000310C2"/>
    <w:rsid w:val="00031C67"/>
    <w:rsid w:val="00031F27"/>
    <w:rsid w:val="000322AD"/>
    <w:rsid w:val="00032725"/>
    <w:rsid w:val="00033884"/>
    <w:rsid w:val="00034A24"/>
    <w:rsid w:val="00034F58"/>
    <w:rsid w:val="00034F63"/>
    <w:rsid w:val="000373C9"/>
    <w:rsid w:val="000377B7"/>
    <w:rsid w:val="00040D13"/>
    <w:rsid w:val="000415BF"/>
    <w:rsid w:val="0004161D"/>
    <w:rsid w:val="000419EF"/>
    <w:rsid w:val="0004230B"/>
    <w:rsid w:val="00042889"/>
    <w:rsid w:val="00042E99"/>
    <w:rsid w:val="000434F3"/>
    <w:rsid w:val="000435E2"/>
    <w:rsid w:val="000435F3"/>
    <w:rsid w:val="000436A6"/>
    <w:rsid w:val="000436B3"/>
    <w:rsid w:val="000451E2"/>
    <w:rsid w:val="00045ADB"/>
    <w:rsid w:val="00047256"/>
    <w:rsid w:val="000472A7"/>
    <w:rsid w:val="00047F4C"/>
    <w:rsid w:val="00050426"/>
    <w:rsid w:val="00050AD1"/>
    <w:rsid w:val="00050F0B"/>
    <w:rsid w:val="0005291D"/>
    <w:rsid w:val="00052C60"/>
    <w:rsid w:val="00053007"/>
    <w:rsid w:val="000533D3"/>
    <w:rsid w:val="0005526A"/>
    <w:rsid w:val="0005529D"/>
    <w:rsid w:val="00055F82"/>
    <w:rsid w:val="00056958"/>
    <w:rsid w:val="00057561"/>
    <w:rsid w:val="00057B9A"/>
    <w:rsid w:val="00057FB1"/>
    <w:rsid w:val="00061141"/>
    <w:rsid w:val="00061447"/>
    <w:rsid w:val="00061951"/>
    <w:rsid w:val="000623EE"/>
    <w:rsid w:val="0006324F"/>
    <w:rsid w:val="00063EF9"/>
    <w:rsid w:val="000643BD"/>
    <w:rsid w:val="00065C44"/>
    <w:rsid w:val="0006631B"/>
    <w:rsid w:val="00066990"/>
    <w:rsid w:val="00066B5A"/>
    <w:rsid w:val="00067D60"/>
    <w:rsid w:val="00070803"/>
    <w:rsid w:val="00070F6D"/>
    <w:rsid w:val="00071517"/>
    <w:rsid w:val="00071AE4"/>
    <w:rsid w:val="00071FA9"/>
    <w:rsid w:val="00072010"/>
    <w:rsid w:val="00072800"/>
    <w:rsid w:val="000737DE"/>
    <w:rsid w:val="000740DC"/>
    <w:rsid w:val="00074187"/>
    <w:rsid w:val="00075BD7"/>
    <w:rsid w:val="00076C47"/>
    <w:rsid w:val="00077924"/>
    <w:rsid w:val="000801C2"/>
    <w:rsid w:val="00080579"/>
    <w:rsid w:val="000806F4"/>
    <w:rsid w:val="0008082E"/>
    <w:rsid w:val="00080C38"/>
    <w:rsid w:val="00080D05"/>
    <w:rsid w:val="00082D9B"/>
    <w:rsid w:val="0008577B"/>
    <w:rsid w:val="00085A2A"/>
    <w:rsid w:val="000862C6"/>
    <w:rsid w:val="00086319"/>
    <w:rsid w:val="00086F10"/>
    <w:rsid w:val="000879AB"/>
    <w:rsid w:val="00087B3A"/>
    <w:rsid w:val="00090861"/>
    <w:rsid w:val="00091315"/>
    <w:rsid w:val="0009191E"/>
    <w:rsid w:val="000920AB"/>
    <w:rsid w:val="000925C2"/>
    <w:rsid w:val="00092920"/>
    <w:rsid w:val="00093BA0"/>
    <w:rsid w:val="0009441D"/>
    <w:rsid w:val="0009493C"/>
    <w:rsid w:val="00094B10"/>
    <w:rsid w:val="0009687F"/>
    <w:rsid w:val="00096C37"/>
    <w:rsid w:val="00097344"/>
    <w:rsid w:val="000973E9"/>
    <w:rsid w:val="0009741F"/>
    <w:rsid w:val="00097702"/>
    <w:rsid w:val="000A0367"/>
    <w:rsid w:val="000A0514"/>
    <w:rsid w:val="000A0E2A"/>
    <w:rsid w:val="000A0E4A"/>
    <w:rsid w:val="000A1F59"/>
    <w:rsid w:val="000A2609"/>
    <w:rsid w:val="000A2BF7"/>
    <w:rsid w:val="000A40E8"/>
    <w:rsid w:val="000A50B3"/>
    <w:rsid w:val="000A5675"/>
    <w:rsid w:val="000A594C"/>
    <w:rsid w:val="000A6780"/>
    <w:rsid w:val="000A7F64"/>
    <w:rsid w:val="000B00EA"/>
    <w:rsid w:val="000B0C13"/>
    <w:rsid w:val="000B0D72"/>
    <w:rsid w:val="000B0E6B"/>
    <w:rsid w:val="000B0EBF"/>
    <w:rsid w:val="000B2801"/>
    <w:rsid w:val="000B3FED"/>
    <w:rsid w:val="000B415D"/>
    <w:rsid w:val="000B421A"/>
    <w:rsid w:val="000B51B6"/>
    <w:rsid w:val="000B52CA"/>
    <w:rsid w:val="000B6030"/>
    <w:rsid w:val="000B72C3"/>
    <w:rsid w:val="000C02B0"/>
    <w:rsid w:val="000C1794"/>
    <w:rsid w:val="000C1A2D"/>
    <w:rsid w:val="000C1AD4"/>
    <w:rsid w:val="000C2B97"/>
    <w:rsid w:val="000C3105"/>
    <w:rsid w:val="000C37D1"/>
    <w:rsid w:val="000C4031"/>
    <w:rsid w:val="000C4C8A"/>
    <w:rsid w:val="000C4D76"/>
    <w:rsid w:val="000C555E"/>
    <w:rsid w:val="000C5971"/>
    <w:rsid w:val="000C5F5A"/>
    <w:rsid w:val="000C6780"/>
    <w:rsid w:val="000C6DA6"/>
    <w:rsid w:val="000D11E0"/>
    <w:rsid w:val="000D1967"/>
    <w:rsid w:val="000D3695"/>
    <w:rsid w:val="000D3A88"/>
    <w:rsid w:val="000D4DB7"/>
    <w:rsid w:val="000D500D"/>
    <w:rsid w:val="000D59D9"/>
    <w:rsid w:val="000D5E24"/>
    <w:rsid w:val="000D5E94"/>
    <w:rsid w:val="000D62EE"/>
    <w:rsid w:val="000D6614"/>
    <w:rsid w:val="000D69D6"/>
    <w:rsid w:val="000D7289"/>
    <w:rsid w:val="000D7756"/>
    <w:rsid w:val="000D7C1B"/>
    <w:rsid w:val="000E0421"/>
    <w:rsid w:val="000E0603"/>
    <w:rsid w:val="000E140C"/>
    <w:rsid w:val="000E1C97"/>
    <w:rsid w:val="000E262D"/>
    <w:rsid w:val="000E2B33"/>
    <w:rsid w:val="000E448A"/>
    <w:rsid w:val="000E4E3B"/>
    <w:rsid w:val="000E5403"/>
    <w:rsid w:val="000E5A7E"/>
    <w:rsid w:val="000E5BA5"/>
    <w:rsid w:val="000E639B"/>
    <w:rsid w:val="000E6A6A"/>
    <w:rsid w:val="000F00C6"/>
    <w:rsid w:val="000F0364"/>
    <w:rsid w:val="000F1AD9"/>
    <w:rsid w:val="000F28A4"/>
    <w:rsid w:val="000F465A"/>
    <w:rsid w:val="000F46B2"/>
    <w:rsid w:val="000F619D"/>
    <w:rsid w:val="000F62E0"/>
    <w:rsid w:val="000F6421"/>
    <w:rsid w:val="000F69BD"/>
    <w:rsid w:val="000F72D7"/>
    <w:rsid w:val="000F7577"/>
    <w:rsid w:val="00100A2D"/>
    <w:rsid w:val="00100FD5"/>
    <w:rsid w:val="001016C9"/>
    <w:rsid w:val="00101B2D"/>
    <w:rsid w:val="001029E0"/>
    <w:rsid w:val="00103EF5"/>
    <w:rsid w:val="00104947"/>
    <w:rsid w:val="00104FBD"/>
    <w:rsid w:val="001065B9"/>
    <w:rsid w:val="00106675"/>
    <w:rsid w:val="001069FF"/>
    <w:rsid w:val="00107BED"/>
    <w:rsid w:val="00107DA7"/>
    <w:rsid w:val="00107E65"/>
    <w:rsid w:val="00110140"/>
    <w:rsid w:val="00110146"/>
    <w:rsid w:val="0011020F"/>
    <w:rsid w:val="00110433"/>
    <w:rsid w:val="001112A9"/>
    <w:rsid w:val="001116CB"/>
    <w:rsid w:val="00112A63"/>
    <w:rsid w:val="00112F73"/>
    <w:rsid w:val="00113F60"/>
    <w:rsid w:val="0011529D"/>
    <w:rsid w:val="001164D0"/>
    <w:rsid w:val="00116AF3"/>
    <w:rsid w:val="00116CF1"/>
    <w:rsid w:val="00117630"/>
    <w:rsid w:val="001214C1"/>
    <w:rsid w:val="00122217"/>
    <w:rsid w:val="001223F3"/>
    <w:rsid w:val="00122EC4"/>
    <w:rsid w:val="00122FBF"/>
    <w:rsid w:val="001236F3"/>
    <w:rsid w:val="00124B5B"/>
    <w:rsid w:val="00124D0F"/>
    <w:rsid w:val="001255A9"/>
    <w:rsid w:val="00125EF8"/>
    <w:rsid w:val="00126392"/>
    <w:rsid w:val="00126AB2"/>
    <w:rsid w:val="00127687"/>
    <w:rsid w:val="00127B8A"/>
    <w:rsid w:val="0013100C"/>
    <w:rsid w:val="001312B5"/>
    <w:rsid w:val="00131E35"/>
    <w:rsid w:val="00131E3B"/>
    <w:rsid w:val="00133C3B"/>
    <w:rsid w:val="00134D9C"/>
    <w:rsid w:val="0013511F"/>
    <w:rsid w:val="0013560B"/>
    <w:rsid w:val="0013576B"/>
    <w:rsid w:val="001357FF"/>
    <w:rsid w:val="00135A66"/>
    <w:rsid w:val="00135C2A"/>
    <w:rsid w:val="001369C5"/>
    <w:rsid w:val="00137F89"/>
    <w:rsid w:val="001404E2"/>
    <w:rsid w:val="001414B9"/>
    <w:rsid w:val="00141CF1"/>
    <w:rsid w:val="00142045"/>
    <w:rsid w:val="0014299C"/>
    <w:rsid w:val="00142AC0"/>
    <w:rsid w:val="00143C8B"/>
    <w:rsid w:val="001448BA"/>
    <w:rsid w:val="00144BBA"/>
    <w:rsid w:val="00144F12"/>
    <w:rsid w:val="001450E2"/>
    <w:rsid w:val="00145D45"/>
    <w:rsid w:val="0014688A"/>
    <w:rsid w:val="00146CD4"/>
    <w:rsid w:val="00147360"/>
    <w:rsid w:val="00151221"/>
    <w:rsid w:val="001515DA"/>
    <w:rsid w:val="00151A0D"/>
    <w:rsid w:val="00151C4B"/>
    <w:rsid w:val="00152167"/>
    <w:rsid w:val="0015251D"/>
    <w:rsid w:val="00153B27"/>
    <w:rsid w:val="00153C55"/>
    <w:rsid w:val="00153E56"/>
    <w:rsid w:val="00153E75"/>
    <w:rsid w:val="001541C0"/>
    <w:rsid w:val="001546FF"/>
    <w:rsid w:val="00154C16"/>
    <w:rsid w:val="0015553C"/>
    <w:rsid w:val="00155721"/>
    <w:rsid w:val="00155747"/>
    <w:rsid w:val="00155999"/>
    <w:rsid w:val="00155AE4"/>
    <w:rsid w:val="001569DE"/>
    <w:rsid w:val="001573EA"/>
    <w:rsid w:val="0015785F"/>
    <w:rsid w:val="00157ABD"/>
    <w:rsid w:val="00157C90"/>
    <w:rsid w:val="00161633"/>
    <w:rsid w:val="0016216C"/>
    <w:rsid w:val="0016230F"/>
    <w:rsid w:val="001627CD"/>
    <w:rsid w:val="0016388A"/>
    <w:rsid w:val="00164C53"/>
    <w:rsid w:val="00164CB6"/>
    <w:rsid w:val="00164E9A"/>
    <w:rsid w:val="00164FF2"/>
    <w:rsid w:val="00165BF7"/>
    <w:rsid w:val="0016637F"/>
    <w:rsid w:val="0016706D"/>
    <w:rsid w:val="00170895"/>
    <w:rsid w:val="00170BDC"/>
    <w:rsid w:val="001727AD"/>
    <w:rsid w:val="00173F38"/>
    <w:rsid w:val="00174A45"/>
    <w:rsid w:val="00175BD3"/>
    <w:rsid w:val="00175D7A"/>
    <w:rsid w:val="00176004"/>
    <w:rsid w:val="001762E3"/>
    <w:rsid w:val="00176C27"/>
    <w:rsid w:val="0018091B"/>
    <w:rsid w:val="00181A16"/>
    <w:rsid w:val="001823F3"/>
    <w:rsid w:val="001826BE"/>
    <w:rsid w:val="00184290"/>
    <w:rsid w:val="001858CC"/>
    <w:rsid w:val="00186ACA"/>
    <w:rsid w:val="00186C52"/>
    <w:rsid w:val="0018721D"/>
    <w:rsid w:val="00187C01"/>
    <w:rsid w:val="00190488"/>
    <w:rsid w:val="001907E9"/>
    <w:rsid w:val="00191CF8"/>
    <w:rsid w:val="0019321F"/>
    <w:rsid w:val="00193A8B"/>
    <w:rsid w:val="001942B3"/>
    <w:rsid w:val="00194B57"/>
    <w:rsid w:val="00195594"/>
    <w:rsid w:val="00195688"/>
    <w:rsid w:val="00195E1B"/>
    <w:rsid w:val="00196806"/>
    <w:rsid w:val="001971D9"/>
    <w:rsid w:val="001A03C6"/>
    <w:rsid w:val="001A077D"/>
    <w:rsid w:val="001A1388"/>
    <w:rsid w:val="001A1950"/>
    <w:rsid w:val="001A19EF"/>
    <w:rsid w:val="001A2CD9"/>
    <w:rsid w:val="001A376F"/>
    <w:rsid w:val="001A3FCB"/>
    <w:rsid w:val="001A4E3D"/>
    <w:rsid w:val="001A5125"/>
    <w:rsid w:val="001A5256"/>
    <w:rsid w:val="001A5A0D"/>
    <w:rsid w:val="001A6E14"/>
    <w:rsid w:val="001A764F"/>
    <w:rsid w:val="001B01B6"/>
    <w:rsid w:val="001B1536"/>
    <w:rsid w:val="001B1B1C"/>
    <w:rsid w:val="001B1ED2"/>
    <w:rsid w:val="001B2D03"/>
    <w:rsid w:val="001B37F3"/>
    <w:rsid w:val="001B393A"/>
    <w:rsid w:val="001B3CCB"/>
    <w:rsid w:val="001B3CDE"/>
    <w:rsid w:val="001B4BA6"/>
    <w:rsid w:val="001B629E"/>
    <w:rsid w:val="001B659C"/>
    <w:rsid w:val="001B67A8"/>
    <w:rsid w:val="001B6DD7"/>
    <w:rsid w:val="001B7597"/>
    <w:rsid w:val="001B75A9"/>
    <w:rsid w:val="001B7727"/>
    <w:rsid w:val="001B777F"/>
    <w:rsid w:val="001B77A9"/>
    <w:rsid w:val="001B7B19"/>
    <w:rsid w:val="001C02A8"/>
    <w:rsid w:val="001C03E5"/>
    <w:rsid w:val="001C0B36"/>
    <w:rsid w:val="001C181A"/>
    <w:rsid w:val="001C18EB"/>
    <w:rsid w:val="001C212F"/>
    <w:rsid w:val="001C3241"/>
    <w:rsid w:val="001C3CF2"/>
    <w:rsid w:val="001C4D12"/>
    <w:rsid w:val="001C585A"/>
    <w:rsid w:val="001C613E"/>
    <w:rsid w:val="001C6347"/>
    <w:rsid w:val="001C63C5"/>
    <w:rsid w:val="001C6C88"/>
    <w:rsid w:val="001C72B9"/>
    <w:rsid w:val="001D071E"/>
    <w:rsid w:val="001D087C"/>
    <w:rsid w:val="001D11DF"/>
    <w:rsid w:val="001D121B"/>
    <w:rsid w:val="001D181C"/>
    <w:rsid w:val="001D1926"/>
    <w:rsid w:val="001D1FA6"/>
    <w:rsid w:val="001D26DA"/>
    <w:rsid w:val="001D322E"/>
    <w:rsid w:val="001D4677"/>
    <w:rsid w:val="001D46DA"/>
    <w:rsid w:val="001D47C2"/>
    <w:rsid w:val="001D5C0B"/>
    <w:rsid w:val="001D6103"/>
    <w:rsid w:val="001D700B"/>
    <w:rsid w:val="001D7984"/>
    <w:rsid w:val="001E1AE5"/>
    <w:rsid w:val="001E2FDE"/>
    <w:rsid w:val="001E40CB"/>
    <w:rsid w:val="001E43B0"/>
    <w:rsid w:val="001E4A57"/>
    <w:rsid w:val="001E4AB0"/>
    <w:rsid w:val="001E5C1C"/>
    <w:rsid w:val="001F0316"/>
    <w:rsid w:val="001F1EBC"/>
    <w:rsid w:val="001F1FD1"/>
    <w:rsid w:val="001F2761"/>
    <w:rsid w:val="001F27EF"/>
    <w:rsid w:val="001F2F1E"/>
    <w:rsid w:val="001F3866"/>
    <w:rsid w:val="001F3B48"/>
    <w:rsid w:val="001F419F"/>
    <w:rsid w:val="001F47F0"/>
    <w:rsid w:val="001F49ED"/>
    <w:rsid w:val="001F4B70"/>
    <w:rsid w:val="001F4F49"/>
    <w:rsid w:val="001F5B55"/>
    <w:rsid w:val="001F6671"/>
    <w:rsid w:val="001F6CB3"/>
    <w:rsid w:val="001F6E30"/>
    <w:rsid w:val="001F7E82"/>
    <w:rsid w:val="0020161C"/>
    <w:rsid w:val="0020391A"/>
    <w:rsid w:val="002039BA"/>
    <w:rsid w:val="00205CB4"/>
    <w:rsid w:val="00206EF8"/>
    <w:rsid w:val="002077DC"/>
    <w:rsid w:val="00207832"/>
    <w:rsid w:val="00210CC6"/>
    <w:rsid w:val="00210F23"/>
    <w:rsid w:val="0021140D"/>
    <w:rsid w:val="00211C9E"/>
    <w:rsid w:val="00211EDB"/>
    <w:rsid w:val="00213317"/>
    <w:rsid w:val="0021362F"/>
    <w:rsid w:val="00213F7C"/>
    <w:rsid w:val="00214F12"/>
    <w:rsid w:val="002154A1"/>
    <w:rsid w:val="00215EF3"/>
    <w:rsid w:val="00216762"/>
    <w:rsid w:val="00216D3C"/>
    <w:rsid w:val="00216D4F"/>
    <w:rsid w:val="00217E45"/>
    <w:rsid w:val="00220B42"/>
    <w:rsid w:val="00220DA8"/>
    <w:rsid w:val="00220EDE"/>
    <w:rsid w:val="002217C8"/>
    <w:rsid w:val="0022355B"/>
    <w:rsid w:val="00223846"/>
    <w:rsid w:val="00224656"/>
    <w:rsid w:val="00224929"/>
    <w:rsid w:val="00224D40"/>
    <w:rsid w:val="00224DCA"/>
    <w:rsid w:val="00224F7F"/>
    <w:rsid w:val="00225842"/>
    <w:rsid w:val="00225AB5"/>
    <w:rsid w:val="00226387"/>
    <w:rsid w:val="0022675B"/>
    <w:rsid w:val="0022691F"/>
    <w:rsid w:val="00226B89"/>
    <w:rsid w:val="00226BB8"/>
    <w:rsid w:val="002303C5"/>
    <w:rsid w:val="00230F23"/>
    <w:rsid w:val="00231421"/>
    <w:rsid w:val="00231773"/>
    <w:rsid w:val="00232887"/>
    <w:rsid w:val="002328F7"/>
    <w:rsid w:val="00233167"/>
    <w:rsid w:val="002334DF"/>
    <w:rsid w:val="00233C71"/>
    <w:rsid w:val="00233FE0"/>
    <w:rsid w:val="002342A6"/>
    <w:rsid w:val="00235C1D"/>
    <w:rsid w:val="002362AD"/>
    <w:rsid w:val="00237050"/>
    <w:rsid w:val="00240751"/>
    <w:rsid w:val="00241824"/>
    <w:rsid w:val="002429B4"/>
    <w:rsid w:val="00243352"/>
    <w:rsid w:val="00243A90"/>
    <w:rsid w:val="00243C25"/>
    <w:rsid w:val="002444B4"/>
    <w:rsid w:val="00244DEF"/>
    <w:rsid w:val="00245625"/>
    <w:rsid w:val="00245E0E"/>
    <w:rsid w:val="002464BE"/>
    <w:rsid w:val="00247B87"/>
    <w:rsid w:val="00247D90"/>
    <w:rsid w:val="00250A27"/>
    <w:rsid w:val="00250BD5"/>
    <w:rsid w:val="00250D11"/>
    <w:rsid w:val="00250FD4"/>
    <w:rsid w:val="00252915"/>
    <w:rsid w:val="0025343C"/>
    <w:rsid w:val="002539C7"/>
    <w:rsid w:val="00253BA4"/>
    <w:rsid w:val="00253C56"/>
    <w:rsid w:val="00253D37"/>
    <w:rsid w:val="0025457E"/>
    <w:rsid w:val="00254C9D"/>
    <w:rsid w:val="0025559E"/>
    <w:rsid w:val="0025563D"/>
    <w:rsid w:val="002559B8"/>
    <w:rsid w:val="0025635C"/>
    <w:rsid w:val="0025714E"/>
    <w:rsid w:val="002575BD"/>
    <w:rsid w:val="002604D5"/>
    <w:rsid w:val="00261B43"/>
    <w:rsid w:val="002628D2"/>
    <w:rsid w:val="002630C5"/>
    <w:rsid w:val="00263805"/>
    <w:rsid w:val="002639EE"/>
    <w:rsid w:val="00263CBD"/>
    <w:rsid w:val="00264028"/>
    <w:rsid w:val="00264282"/>
    <w:rsid w:val="002642BF"/>
    <w:rsid w:val="00264A16"/>
    <w:rsid w:val="00265332"/>
    <w:rsid w:val="00265CA3"/>
    <w:rsid w:val="00265E97"/>
    <w:rsid w:val="002671B9"/>
    <w:rsid w:val="00267B12"/>
    <w:rsid w:val="00270672"/>
    <w:rsid w:val="00273107"/>
    <w:rsid w:val="00273ACC"/>
    <w:rsid w:val="00273FD7"/>
    <w:rsid w:val="002745BD"/>
    <w:rsid w:val="0027463B"/>
    <w:rsid w:val="002761C9"/>
    <w:rsid w:val="00276917"/>
    <w:rsid w:val="00276E89"/>
    <w:rsid w:val="00277B16"/>
    <w:rsid w:val="00280607"/>
    <w:rsid w:val="002808B8"/>
    <w:rsid w:val="00281667"/>
    <w:rsid w:val="00282EB2"/>
    <w:rsid w:val="00282ED3"/>
    <w:rsid w:val="00283385"/>
    <w:rsid w:val="002839FF"/>
    <w:rsid w:val="00284C77"/>
    <w:rsid w:val="00284CF7"/>
    <w:rsid w:val="00286D12"/>
    <w:rsid w:val="00286D51"/>
    <w:rsid w:val="00286F60"/>
    <w:rsid w:val="00287097"/>
    <w:rsid w:val="00287231"/>
    <w:rsid w:val="00287FC8"/>
    <w:rsid w:val="00290423"/>
    <w:rsid w:val="002913DA"/>
    <w:rsid w:val="0029197D"/>
    <w:rsid w:val="00291CF5"/>
    <w:rsid w:val="0029233E"/>
    <w:rsid w:val="0029278E"/>
    <w:rsid w:val="00292E0D"/>
    <w:rsid w:val="00293798"/>
    <w:rsid w:val="00293AA4"/>
    <w:rsid w:val="00293D8F"/>
    <w:rsid w:val="00293F56"/>
    <w:rsid w:val="0029418B"/>
    <w:rsid w:val="002947D9"/>
    <w:rsid w:val="00294B59"/>
    <w:rsid w:val="00294BCE"/>
    <w:rsid w:val="00295541"/>
    <w:rsid w:val="0029574D"/>
    <w:rsid w:val="002958D0"/>
    <w:rsid w:val="002970B5"/>
    <w:rsid w:val="00297A9C"/>
    <w:rsid w:val="002A00B6"/>
    <w:rsid w:val="002A0482"/>
    <w:rsid w:val="002A220F"/>
    <w:rsid w:val="002A228C"/>
    <w:rsid w:val="002A274E"/>
    <w:rsid w:val="002A3219"/>
    <w:rsid w:val="002A33B9"/>
    <w:rsid w:val="002A3F1B"/>
    <w:rsid w:val="002A5F74"/>
    <w:rsid w:val="002A720D"/>
    <w:rsid w:val="002A7A40"/>
    <w:rsid w:val="002B0365"/>
    <w:rsid w:val="002B0A15"/>
    <w:rsid w:val="002B0CAD"/>
    <w:rsid w:val="002B0D74"/>
    <w:rsid w:val="002B1529"/>
    <w:rsid w:val="002B3877"/>
    <w:rsid w:val="002B3947"/>
    <w:rsid w:val="002B3DF5"/>
    <w:rsid w:val="002B5671"/>
    <w:rsid w:val="002B66B4"/>
    <w:rsid w:val="002B6DF8"/>
    <w:rsid w:val="002B757B"/>
    <w:rsid w:val="002B76C5"/>
    <w:rsid w:val="002B7CE8"/>
    <w:rsid w:val="002B7F1E"/>
    <w:rsid w:val="002C0821"/>
    <w:rsid w:val="002C0C29"/>
    <w:rsid w:val="002C104C"/>
    <w:rsid w:val="002C1198"/>
    <w:rsid w:val="002C13CC"/>
    <w:rsid w:val="002C1480"/>
    <w:rsid w:val="002C1906"/>
    <w:rsid w:val="002C241C"/>
    <w:rsid w:val="002C258C"/>
    <w:rsid w:val="002C25A0"/>
    <w:rsid w:val="002C4914"/>
    <w:rsid w:val="002C5297"/>
    <w:rsid w:val="002C5A54"/>
    <w:rsid w:val="002C5A84"/>
    <w:rsid w:val="002C612A"/>
    <w:rsid w:val="002C630C"/>
    <w:rsid w:val="002C6880"/>
    <w:rsid w:val="002C7FE1"/>
    <w:rsid w:val="002D045B"/>
    <w:rsid w:val="002D0785"/>
    <w:rsid w:val="002D17EC"/>
    <w:rsid w:val="002D264B"/>
    <w:rsid w:val="002D2ED8"/>
    <w:rsid w:val="002D4D07"/>
    <w:rsid w:val="002D504C"/>
    <w:rsid w:val="002D5EF2"/>
    <w:rsid w:val="002D6D30"/>
    <w:rsid w:val="002D70BE"/>
    <w:rsid w:val="002D7619"/>
    <w:rsid w:val="002D78A1"/>
    <w:rsid w:val="002D7BD6"/>
    <w:rsid w:val="002D7CA8"/>
    <w:rsid w:val="002E0242"/>
    <w:rsid w:val="002E0453"/>
    <w:rsid w:val="002E0DC5"/>
    <w:rsid w:val="002E256B"/>
    <w:rsid w:val="002E2768"/>
    <w:rsid w:val="002E2818"/>
    <w:rsid w:val="002E2895"/>
    <w:rsid w:val="002E2AA0"/>
    <w:rsid w:val="002E3CFA"/>
    <w:rsid w:val="002E43FF"/>
    <w:rsid w:val="002E467A"/>
    <w:rsid w:val="002E5440"/>
    <w:rsid w:val="002E54EA"/>
    <w:rsid w:val="002E5AF3"/>
    <w:rsid w:val="002E6236"/>
    <w:rsid w:val="002E6399"/>
    <w:rsid w:val="002E6B4A"/>
    <w:rsid w:val="002E7309"/>
    <w:rsid w:val="002E73B5"/>
    <w:rsid w:val="002E7D44"/>
    <w:rsid w:val="002F00E9"/>
    <w:rsid w:val="002F12E1"/>
    <w:rsid w:val="002F13F4"/>
    <w:rsid w:val="002F1A51"/>
    <w:rsid w:val="002F1E08"/>
    <w:rsid w:val="002F24EC"/>
    <w:rsid w:val="002F28BC"/>
    <w:rsid w:val="002F3061"/>
    <w:rsid w:val="002F465F"/>
    <w:rsid w:val="002F497D"/>
    <w:rsid w:val="002F50D8"/>
    <w:rsid w:val="002F5D76"/>
    <w:rsid w:val="002F6253"/>
    <w:rsid w:val="002F76FE"/>
    <w:rsid w:val="002F7EE8"/>
    <w:rsid w:val="00300231"/>
    <w:rsid w:val="003015CB"/>
    <w:rsid w:val="00301EE7"/>
    <w:rsid w:val="00302375"/>
    <w:rsid w:val="0030267A"/>
    <w:rsid w:val="00302CA5"/>
    <w:rsid w:val="00302E6B"/>
    <w:rsid w:val="0030364D"/>
    <w:rsid w:val="00303C5E"/>
    <w:rsid w:val="00304E0A"/>
    <w:rsid w:val="00305079"/>
    <w:rsid w:val="00305245"/>
    <w:rsid w:val="003064E0"/>
    <w:rsid w:val="00306E4E"/>
    <w:rsid w:val="00307071"/>
    <w:rsid w:val="00307125"/>
    <w:rsid w:val="003079BE"/>
    <w:rsid w:val="00310FF4"/>
    <w:rsid w:val="0031117F"/>
    <w:rsid w:val="003113EE"/>
    <w:rsid w:val="00311CC1"/>
    <w:rsid w:val="00312D65"/>
    <w:rsid w:val="0031364B"/>
    <w:rsid w:val="0031433D"/>
    <w:rsid w:val="00314E4B"/>
    <w:rsid w:val="0031567E"/>
    <w:rsid w:val="00315B5A"/>
    <w:rsid w:val="00316509"/>
    <w:rsid w:val="00316A42"/>
    <w:rsid w:val="00316D87"/>
    <w:rsid w:val="00316F00"/>
    <w:rsid w:val="00317D8E"/>
    <w:rsid w:val="003217D4"/>
    <w:rsid w:val="00322062"/>
    <w:rsid w:val="0032214D"/>
    <w:rsid w:val="00322255"/>
    <w:rsid w:val="0032235F"/>
    <w:rsid w:val="00322525"/>
    <w:rsid w:val="0032272E"/>
    <w:rsid w:val="003229DB"/>
    <w:rsid w:val="00322AB2"/>
    <w:rsid w:val="00322CFF"/>
    <w:rsid w:val="00322E68"/>
    <w:rsid w:val="00323FA3"/>
    <w:rsid w:val="0032467E"/>
    <w:rsid w:val="00324B0D"/>
    <w:rsid w:val="00324FE4"/>
    <w:rsid w:val="00325131"/>
    <w:rsid w:val="003252B1"/>
    <w:rsid w:val="00325A68"/>
    <w:rsid w:val="00325F19"/>
    <w:rsid w:val="003262D0"/>
    <w:rsid w:val="00326371"/>
    <w:rsid w:val="00326CFD"/>
    <w:rsid w:val="003270BA"/>
    <w:rsid w:val="003276BA"/>
    <w:rsid w:val="00327F5F"/>
    <w:rsid w:val="00330DEF"/>
    <w:rsid w:val="0033179E"/>
    <w:rsid w:val="00331897"/>
    <w:rsid w:val="00331BD8"/>
    <w:rsid w:val="00331BF4"/>
    <w:rsid w:val="00331D71"/>
    <w:rsid w:val="0033222D"/>
    <w:rsid w:val="00332D6A"/>
    <w:rsid w:val="00333696"/>
    <w:rsid w:val="00334343"/>
    <w:rsid w:val="00335292"/>
    <w:rsid w:val="00335329"/>
    <w:rsid w:val="00335680"/>
    <w:rsid w:val="00336EFE"/>
    <w:rsid w:val="00337351"/>
    <w:rsid w:val="00337603"/>
    <w:rsid w:val="00337AC0"/>
    <w:rsid w:val="00337C21"/>
    <w:rsid w:val="003403AB"/>
    <w:rsid w:val="00340937"/>
    <w:rsid w:val="00340A71"/>
    <w:rsid w:val="00340C56"/>
    <w:rsid w:val="00342472"/>
    <w:rsid w:val="0034292F"/>
    <w:rsid w:val="00342DBE"/>
    <w:rsid w:val="003430E8"/>
    <w:rsid w:val="0034552B"/>
    <w:rsid w:val="0034594E"/>
    <w:rsid w:val="00346134"/>
    <w:rsid w:val="0034630E"/>
    <w:rsid w:val="00347923"/>
    <w:rsid w:val="00347AD3"/>
    <w:rsid w:val="0035067C"/>
    <w:rsid w:val="00350C00"/>
    <w:rsid w:val="00350C3D"/>
    <w:rsid w:val="00351693"/>
    <w:rsid w:val="00352B95"/>
    <w:rsid w:val="00352D65"/>
    <w:rsid w:val="00352E9D"/>
    <w:rsid w:val="00353C6C"/>
    <w:rsid w:val="00355066"/>
    <w:rsid w:val="0035510B"/>
    <w:rsid w:val="003570D6"/>
    <w:rsid w:val="00357794"/>
    <w:rsid w:val="00360037"/>
    <w:rsid w:val="003601BF"/>
    <w:rsid w:val="0036169D"/>
    <w:rsid w:val="00361A9B"/>
    <w:rsid w:val="0036251B"/>
    <w:rsid w:val="003625ED"/>
    <w:rsid w:val="00363DBF"/>
    <w:rsid w:val="00363F3A"/>
    <w:rsid w:val="00364952"/>
    <w:rsid w:val="00365357"/>
    <w:rsid w:val="003657CF"/>
    <w:rsid w:val="00365C9D"/>
    <w:rsid w:val="00365DF9"/>
    <w:rsid w:val="00366369"/>
    <w:rsid w:val="00366739"/>
    <w:rsid w:val="00366B1C"/>
    <w:rsid w:val="0036794F"/>
    <w:rsid w:val="00370408"/>
    <w:rsid w:val="00370FD8"/>
    <w:rsid w:val="003710FE"/>
    <w:rsid w:val="003724B4"/>
    <w:rsid w:val="00373302"/>
    <w:rsid w:val="00373C55"/>
    <w:rsid w:val="00374013"/>
    <w:rsid w:val="003741A2"/>
    <w:rsid w:val="003745AE"/>
    <w:rsid w:val="00374659"/>
    <w:rsid w:val="003747D2"/>
    <w:rsid w:val="00374FBB"/>
    <w:rsid w:val="00375726"/>
    <w:rsid w:val="00376C72"/>
    <w:rsid w:val="003773CD"/>
    <w:rsid w:val="00377B7C"/>
    <w:rsid w:val="0038024F"/>
    <w:rsid w:val="0038043F"/>
    <w:rsid w:val="00381ABA"/>
    <w:rsid w:val="00383506"/>
    <w:rsid w:val="003847DC"/>
    <w:rsid w:val="003853B5"/>
    <w:rsid w:val="00385B92"/>
    <w:rsid w:val="00385FA3"/>
    <w:rsid w:val="003866FA"/>
    <w:rsid w:val="003868E8"/>
    <w:rsid w:val="00386996"/>
    <w:rsid w:val="00386BBD"/>
    <w:rsid w:val="003879E9"/>
    <w:rsid w:val="00387A6F"/>
    <w:rsid w:val="00390E9B"/>
    <w:rsid w:val="00391309"/>
    <w:rsid w:val="00391F76"/>
    <w:rsid w:val="00392B69"/>
    <w:rsid w:val="00392F18"/>
    <w:rsid w:val="0039310F"/>
    <w:rsid w:val="00393CD3"/>
    <w:rsid w:val="00394337"/>
    <w:rsid w:val="00394870"/>
    <w:rsid w:val="00394B26"/>
    <w:rsid w:val="0039528F"/>
    <w:rsid w:val="00395BE5"/>
    <w:rsid w:val="00395D21"/>
    <w:rsid w:val="00395E52"/>
    <w:rsid w:val="00396320"/>
    <w:rsid w:val="00396745"/>
    <w:rsid w:val="00396B70"/>
    <w:rsid w:val="00397531"/>
    <w:rsid w:val="00397934"/>
    <w:rsid w:val="00397E78"/>
    <w:rsid w:val="003A00E6"/>
    <w:rsid w:val="003A06F5"/>
    <w:rsid w:val="003A0990"/>
    <w:rsid w:val="003A2366"/>
    <w:rsid w:val="003A28A2"/>
    <w:rsid w:val="003A4FD7"/>
    <w:rsid w:val="003A50A9"/>
    <w:rsid w:val="003A5418"/>
    <w:rsid w:val="003A7E47"/>
    <w:rsid w:val="003B1CD2"/>
    <w:rsid w:val="003B1FC7"/>
    <w:rsid w:val="003B354A"/>
    <w:rsid w:val="003B3C93"/>
    <w:rsid w:val="003B3FC1"/>
    <w:rsid w:val="003B4C5E"/>
    <w:rsid w:val="003B56C4"/>
    <w:rsid w:val="003B5B1F"/>
    <w:rsid w:val="003B5F58"/>
    <w:rsid w:val="003B660D"/>
    <w:rsid w:val="003B73FD"/>
    <w:rsid w:val="003B751F"/>
    <w:rsid w:val="003B7BD4"/>
    <w:rsid w:val="003C068B"/>
    <w:rsid w:val="003C09D5"/>
    <w:rsid w:val="003C14C9"/>
    <w:rsid w:val="003C156D"/>
    <w:rsid w:val="003C1930"/>
    <w:rsid w:val="003C19E4"/>
    <w:rsid w:val="003C23D9"/>
    <w:rsid w:val="003C3406"/>
    <w:rsid w:val="003C3DE3"/>
    <w:rsid w:val="003C4CA3"/>
    <w:rsid w:val="003C4ED4"/>
    <w:rsid w:val="003C6943"/>
    <w:rsid w:val="003C7E66"/>
    <w:rsid w:val="003C7F06"/>
    <w:rsid w:val="003D07B9"/>
    <w:rsid w:val="003D0C11"/>
    <w:rsid w:val="003D1957"/>
    <w:rsid w:val="003D21A9"/>
    <w:rsid w:val="003D2C39"/>
    <w:rsid w:val="003D3416"/>
    <w:rsid w:val="003D3F23"/>
    <w:rsid w:val="003D3F6B"/>
    <w:rsid w:val="003D44EF"/>
    <w:rsid w:val="003D49E3"/>
    <w:rsid w:val="003D4C81"/>
    <w:rsid w:val="003D6F15"/>
    <w:rsid w:val="003D7730"/>
    <w:rsid w:val="003E0702"/>
    <w:rsid w:val="003E195A"/>
    <w:rsid w:val="003E244A"/>
    <w:rsid w:val="003E25F4"/>
    <w:rsid w:val="003E3139"/>
    <w:rsid w:val="003E4873"/>
    <w:rsid w:val="003E4A06"/>
    <w:rsid w:val="003E5551"/>
    <w:rsid w:val="003E55AE"/>
    <w:rsid w:val="003E6244"/>
    <w:rsid w:val="003E6635"/>
    <w:rsid w:val="003E6920"/>
    <w:rsid w:val="003E698D"/>
    <w:rsid w:val="003F0715"/>
    <w:rsid w:val="003F0B5B"/>
    <w:rsid w:val="003F0E00"/>
    <w:rsid w:val="003F1ACC"/>
    <w:rsid w:val="003F221C"/>
    <w:rsid w:val="003F325C"/>
    <w:rsid w:val="003F4C5A"/>
    <w:rsid w:val="003F4E9B"/>
    <w:rsid w:val="003F5A3B"/>
    <w:rsid w:val="003F71D7"/>
    <w:rsid w:val="003F7BED"/>
    <w:rsid w:val="00400AD3"/>
    <w:rsid w:val="00400C71"/>
    <w:rsid w:val="00400F38"/>
    <w:rsid w:val="004026E9"/>
    <w:rsid w:val="00402817"/>
    <w:rsid w:val="0040331A"/>
    <w:rsid w:val="00403ADC"/>
    <w:rsid w:val="00405119"/>
    <w:rsid w:val="0040579A"/>
    <w:rsid w:val="0040580D"/>
    <w:rsid w:val="00406362"/>
    <w:rsid w:val="00406F40"/>
    <w:rsid w:val="0040700D"/>
    <w:rsid w:val="00407503"/>
    <w:rsid w:val="0040763E"/>
    <w:rsid w:val="0041003A"/>
    <w:rsid w:val="00410140"/>
    <w:rsid w:val="00410CE7"/>
    <w:rsid w:val="004125CB"/>
    <w:rsid w:val="00412797"/>
    <w:rsid w:val="00413091"/>
    <w:rsid w:val="00413C9C"/>
    <w:rsid w:val="00413C9E"/>
    <w:rsid w:val="0041434D"/>
    <w:rsid w:val="004143A9"/>
    <w:rsid w:val="004144E7"/>
    <w:rsid w:val="004149C4"/>
    <w:rsid w:val="00414AA2"/>
    <w:rsid w:val="00414B60"/>
    <w:rsid w:val="00414CA3"/>
    <w:rsid w:val="0041598C"/>
    <w:rsid w:val="00416F82"/>
    <w:rsid w:val="00416FD2"/>
    <w:rsid w:val="004205D3"/>
    <w:rsid w:val="00420724"/>
    <w:rsid w:val="00421703"/>
    <w:rsid w:val="00421941"/>
    <w:rsid w:val="00421E99"/>
    <w:rsid w:val="00422094"/>
    <w:rsid w:val="00422677"/>
    <w:rsid w:val="00422D6E"/>
    <w:rsid w:val="00423420"/>
    <w:rsid w:val="00423615"/>
    <w:rsid w:val="00423E7B"/>
    <w:rsid w:val="00423F57"/>
    <w:rsid w:val="004241F3"/>
    <w:rsid w:val="00425275"/>
    <w:rsid w:val="004268ED"/>
    <w:rsid w:val="00426B91"/>
    <w:rsid w:val="0042725F"/>
    <w:rsid w:val="004300AF"/>
    <w:rsid w:val="004302AF"/>
    <w:rsid w:val="00430720"/>
    <w:rsid w:val="00432102"/>
    <w:rsid w:val="00433543"/>
    <w:rsid w:val="00433896"/>
    <w:rsid w:val="004338F0"/>
    <w:rsid w:val="00433BD9"/>
    <w:rsid w:val="00433D76"/>
    <w:rsid w:val="00433F4B"/>
    <w:rsid w:val="0043426F"/>
    <w:rsid w:val="004346FC"/>
    <w:rsid w:val="00434F79"/>
    <w:rsid w:val="00435719"/>
    <w:rsid w:val="00435987"/>
    <w:rsid w:val="00435CEF"/>
    <w:rsid w:val="004360CB"/>
    <w:rsid w:val="00436D96"/>
    <w:rsid w:val="0043718A"/>
    <w:rsid w:val="00437D85"/>
    <w:rsid w:val="00440C1A"/>
    <w:rsid w:val="0044365E"/>
    <w:rsid w:val="00443A7D"/>
    <w:rsid w:val="00444890"/>
    <w:rsid w:val="0044528A"/>
    <w:rsid w:val="00445579"/>
    <w:rsid w:val="004459E7"/>
    <w:rsid w:val="00446E9C"/>
    <w:rsid w:val="00446FA7"/>
    <w:rsid w:val="00447044"/>
    <w:rsid w:val="00447368"/>
    <w:rsid w:val="00447444"/>
    <w:rsid w:val="004500F7"/>
    <w:rsid w:val="0045032C"/>
    <w:rsid w:val="004504B8"/>
    <w:rsid w:val="004508C9"/>
    <w:rsid w:val="00450C61"/>
    <w:rsid w:val="00450F3C"/>
    <w:rsid w:val="004517FC"/>
    <w:rsid w:val="00452205"/>
    <w:rsid w:val="0045441E"/>
    <w:rsid w:val="00454936"/>
    <w:rsid w:val="0045498D"/>
    <w:rsid w:val="004559E6"/>
    <w:rsid w:val="0045635B"/>
    <w:rsid w:val="00456451"/>
    <w:rsid w:val="00457BD5"/>
    <w:rsid w:val="00457F4D"/>
    <w:rsid w:val="00460154"/>
    <w:rsid w:val="00460C61"/>
    <w:rsid w:val="00461672"/>
    <w:rsid w:val="00461F54"/>
    <w:rsid w:val="00462C78"/>
    <w:rsid w:val="00463200"/>
    <w:rsid w:val="004634E1"/>
    <w:rsid w:val="00463BB2"/>
    <w:rsid w:val="00463E85"/>
    <w:rsid w:val="0046435D"/>
    <w:rsid w:val="00465AE0"/>
    <w:rsid w:val="00467110"/>
    <w:rsid w:val="00467244"/>
    <w:rsid w:val="00467529"/>
    <w:rsid w:val="0047189E"/>
    <w:rsid w:val="00471E7F"/>
    <w:rsid w:val="0047279B"/>
    <w:rsid w:val="00474481"/>
    <w:rsid w:val="00474C3B"/>
    <w:rsid w:val="00474F88"/>
    <w:rsid w:val="004753B7"/>
    <w:rsid w:val="00477879"/>
    <w:rsid w:val="0047788A"/>
    <w:rsid w:val="00480733"/>
    <w:rsid w:val="00480E7C"/>
    <w:rsid w:val="00481CB1"/>
    <w:rsid w:val="00482710"/>
    <w:rsid w:val="004836F4"/>
    <w:rsid w:val="004837DC"/>
    <w:rsid w:val="004848FE"/>
    <w:rsid w:val="0048566E"/>
    <w:rsid w:val="0048568F"/>
    <w:rsid w:val="00486EE6"/>
    <w:rsid w:val="0048797D"/>
    <w:rsid w:val="00487EA8"/>
    <w:rsid w:val="0049075A"/>
    <w:rsid w:val="00490C7C"/>
    <w:rsid w:val="00491319"/>
    <w:rsid w:val="00491617"/>
    <w:rsid w:val="00491A71"/>
    <w:rsid w:val="00492067"/>
    <w:rsid w:val="004921BE"/>
    <w:rsid w:val="00494661"/>
    <w:rsid w:val="004A2D28"/>
    <w:rsid w:val="004A3587"/>
    <w:rsid w:val="004A3589"/>
    <w:rsid w:val="004A46C7"/>
    <w:rsid w:val="004A5E79"/>
    <w:rsid w:val="004A624B"/>
    <w:rsid w:val="004A64D3"/>
    <w:rsid w:val="004A65D2"/>
    <w:rsid w:val="004A6EE3"/>
    <w:rsid w:val="004A70C2"/>
    <w:rsid w:val="004B01F5"/>
    <w:rsid w:val="004B02C6"/>
    <w:rsid w:val="004B047F"/>
    <w:rsid w:val="004B07B4"/>
    <w:rsid w:val="004B0B3C"/>
    <w:rsid w:val="004B0D2F"/>
    <w:rsid w:val="004B0E14"/>
    <w:rsid w:val="004B1861"/>
    <w:rsid w:val="004B1956"/>
    <w:rsid w:val="004B1F1E"/>
    <w:rsid w:val="004B1F65"/>
    <w:rsid w:val="004B3AC1"/>
    <w:rsid w:val="004B40E6"/>
    <w:rsid w:val="004B4807"/>
    <w:rsid w:val="004B4F1B"/>
    <w:rsid w:val="004B64E5"/>
    <w:rsid w:val="004C02B1"/>
    <w:rsid w:val="004C031D"/>
    <w:rsid w:val="004C1B6A"/>
    <w:rsid w:val="004C1F72"/>
    <w:rsid w:val="004C1FAB"/>
    <w:rsid w:val="004C2E89"/>
    <w:rsid w:val="004C3419"/>
    <w:rsid w:val="004C3D24"/>
    <w:rsid w:val="004C3FCB"/>
    <w:rsid w:val="004C4053"/>
    <w:rsid w:val="004C464D"/>
    <w:rsid w:val="004C4F99"/>
    <w:rsid w:val="004C5D30"/>
    <w:rsid w:val="004C5FE5"/>
    <w:rsid w:val="004C669C"/>
    <w:rsid w:val="004C6EDF"/>
    <w:rsid w:val="004C76E1"/>
    <w:rsid w:val="004C776E"/>
    <w:rsid w:val="004C7E22"/>
    <w:rsid w:val="004D03BD"/>
    <w:rsid w:val="004D1BE3"/>
    <w:rsid w:val="004D1EE9"/>
    <w:rsid w:val="004D2380"/>
    <w:rsid w:val="004D3552"/>
    <w:rsid w:val="004D3991"/>
    <w:rsid w:val="004D3A5E"/>
    <w:rsid w:val="004D3A94"/>
    <w:rsid w:val="004D3C35"/>
    <w:rsid w:val="004D42DC"/>
    <w:rsid w:val="004D4776"/>
    <w:rsid w:val="004D4A9C"/>
    <w:rsid w:val="004D6776"/>
    <w:rsid w:val="004D68C8"/>
    <w:rsid w:val="004D6A34"/>
    <w:rsid w:val="004D6F6A"/>
    <w:rsid w:val="004D7056"/>
    <w:rsid w:val="004E0226"/>
    <w:rsid w:val="004E0AC1"/>
    <w:rsid w:val="004E0F20"/>
    <w:rsid w:val="004E1021"/>
    <w:rsid w:val="004E137B"/>
    <w:rsid w:val="004E157A"/>
    <w:rsid w:val="004E1984"/>
    <w:rsid w:val="004E1AF2"/>
    <w:rsid w:val="004E4260"/>
    <w:rsid w:val="004E4DFF"/>
    <w:rsid w:val="004E5406"/>
    <w:rsid w:val="004E55C8"/>
    <w:rsid w:val="004E5686"/>
    <w:rsid w:val="004E5C0F"/>
    <w:rsid w:val="004E78CB"/>
    <w:rsid w:val="004F031A"/>
    <w:rsid w:val="004F0AFC"/>
    <w:rsid w:val="004F110D"/>
    <w:rsid w:val="004F2BE2"/>
    <w:rsid w:val="004F33CD"/>
    <w:rsid w:val="004F3B3E"/>
    <w:rsid w:val="004F3BE9"/>
    <w:rsid w:val="004F4703"/>
    <w:rsid w:val="004F512F"/>
    <w:rsid w:val="004F518B"/>
    <w:rsid w:val="004F641C"/>
    <w:rsid w:val="004F6525"/>
    <w:rsid w:val="005008C7"/>
    <w:rsid w:val="00502506"/>
    <w:rsid w:val="00503358"/>
    <w:rsid w:val="00503A29"/>
    <w:rsid w:val="0050409B"/>
    <w:rsid w:val="005045FF"/>
    <w:rsid w:val="00504E7B"/>
    <w:rsid w:val="0050530F"/>
    <w:rsid w:val="00505BB6"/>
    <w:rsid w:val="00505E2D"/>
    <w:rsid w:val="005060E8"/>
    <w:rsid w:val="00506B3A"/>
    <w:rsid w:val="00506BBB"/>
    <w:rsid w:val="0050789A"/>
    <w:rsid w:val="00507A47"/>
    <w:rsid w:val="00510141"/>
    <w:rsid w:val="00510771"/>
    <w:rsid w:val="00511235"/>
    <w:rsid w:val="00511F30"/>
    <w:rsid w:val="005124EF"/>
    <w:rsid w:val="005126D0"/>
    <w:rsid w:val="00513843"/>
    <w:rsid w:val="00514002"/>
    <w:rsid w:val="00514411"/>
    <w:rsid w:val="0051510B"/>
    <w:rsid w:val="0051553E"/>
    <w:rsid w:val="0051779E"/>
    <w:rsid w:val="00517A5A"/>
    <w:rsid w:val="00517B0F"/>
    <w:rsid w:val="00517C9E"/>
    <w:rsid w:val="0052081C"/>
    <w:rsid w:val="00520BAB"/>
    <w:rsid w:val="00520C9D"/>
    <w:rsid w:val="00521FEF"/>
    <w:rsid w:val="005223AB"/>
    <w:rsid w:val="0052283F"/>
    <w:rsid w:val="00523A27"/>
    <w:rsid w:val="00523AD8"/>
    <w:rsid w:val="00525C5C"/>
    <w:rsid w:val="00526FFD"/>
    <w:rsid w:val="0053051B"/>
    <w:rsid w:val="005310CA"/>
    <w:rsid w:val="00531491"/>
    <w:rsid w:val="00531B7A"/>
    <w:rsid w:val="00532275"/>
    <w:rsid w:val="00532DE8"/>
    <w:rsid w:val="0053383D"/>
    <w:rsid w:val="00533EEE"/>
    <w:rsid w:val="005341D9"/>
    <w:rsid w:val="00534B8E"/>
    <w:rsid w:val="005350B7"/>
    <w:rsid w:val="005357D2"/>
    <w:rsid w:val="00535C55"/>
    <w:rsid w:val="0053604A"/>
    <w:rsid w:val="0053642F"/>
    <w:rsid w:val="005367EB"/>
    <w:rsid w:val="00536AE7"/>
    <w:rsid w:val="00536B38"/>
    <w:rsid w:val="00537044"/>
    <w:rsid w:val="0054043A"/>
    <w:rsid w:val="00540BBB"/>
    <w:rsid w:val="00540D99"/>
    <w:rsid w:val="00541CEF"/>
    <w:rsid w:val="00542126"/>
    <w:rsid w:val="005428CF"/>
    <w:rsid w:val="00542991"/>
    <w:rsid w:val="0054411D"/>
    <w:rsid w:val="005444DB"/>
    <w:rsid w:val="005445AE"/>
    <w:rsid w:val="005449B8"/>
    <w:rsid w:val="00544C97"/>
    <w:rsid w:val="00544D49"/>
    <w:rsid w:val="005466F6"/>
    <w:rsid w:val="00546EC9"/>
    <w:rsid w:val="00550060"/>
    <w:rsid w:val="00550369"/>
    <w:rsid w:val="0055045F"/>
    <w:rsid w:val="00550B11"/>
    <w:rsid w:val="00550B7F"/>
    <w:rsid w:val="00550DCC"/>
    <w:rsid w:val="00551563"/>
    <w:rsid w:val="00551A4F"/>
    <w:rsid w:val="005526D0"/>
    <w:rsid w:val="00552850"/>
    <w:rsid w:val="00553400"/>
    <w:rsid w:val="00554098"/>
    <w:rsid w:val="00554E0F"/>
    <w:rsid w:val="00554E73"/>
    <w:rsid w:val="00555260"/>
    <w:rsid w:val="00556614"/>
    <w:rsid w:val="00557228"/>
    <w:rsid w:val="00557258"/>
    <w:rsid w:val="00557C93"/>
    <w:rsid w:val="00557E43"/>
    <w:rsid w:val="00560800"/>
    <w:rsid w:val="00560BAA"/>
    <w:rsid w:val="00561A3A"/>
    <w:rsid w:val="00562342"/>
    <w:rsid w:val="00562A05"/>
    <w:rsid w:val="00563958"/>
    <w:rsid w:val="00563FB9"/>
    <w:rsid w:val="00565648"/>
    <w:rsid w:val="00565C9F"/>
    <w:rsid w:val="00566B27"/>
    <w:rsid w:val="00567BDD"/>
    <w:rsid w:val="00570283"/>
    <w:rsid w:val="00570750"/>
    <w:rsid w:val="005707DC"/>
    <w:rsid w:val="00571061"/>
    <w:rsid w:val="00571FAC"/>
    <w:rsid w:val="00572745"/>
    <w:rsid w:val="00572DEB"/>
    <w:rsid w:val="0057366E"/>
    <w:rsid w:val="00574EBC"/>
    <w:rsid w:val="00575794"/>
    <w:rsid w:val="00576657"/>
    <w:rsid w:val="005777E9"/>
    <w:rsid w:val="0057787A"/>
    <w:rsid w:val="00577B8A"/>
    <w:rsid w:val="0058027C"/>
    <w:rsid w:val="0058034A"/>
    <w:rsid w:val="00581B2F"/>
    <w:rsid w:val="00581C2B"/>
    <w:rsid w:val="00582C04"/>
    <w:rsid w:val="00583969"/>
    <w:rsid w:val="00584049"/>
    <w:rsid w:val="00584EAB"/>
    <w:rsid w:val="005857A9"/>
    <w:rsid w:val="00585BFD"/>
    <w:rsid w:val="00585CDA"/>
    <w:rsid w:val="00585ED6"/>
    <w:rsid w:val="00586104"/>
    <w:rsid w:val="00586680"/>
    <w:rsid w:val="005906FB"/>
    <w:rsid w:val="00590B2F"/>
    <w:rsid w:val="00590F4D"/>
    <w:rsid w:val="005917A5"/>
    <w:rsid w:val="00592A0F"/>
    <w:rsid w:val="00593147"/>
    <w:rsid w:val="00593A0B"/>
    <w:rsid w:val="00594142"/>
    <w:rsid w:val="00594516"/>
    <w:rsid w:val="005946A7"/>
    <w:rsid w:val="0059475B"/>
    <w:rsid w:val="005947CD"/>
    <w:rsid w:val="00594F29"/>
    <w:rsid w:val="005959F1"/>
    <w:rsid w:val="00595C4C"/>
    <w:rsid w:val="0059677A"/>
    <w:rsid w:val="00596D76"/>
    <w:rsid w:val="00596E4C"/>
    <w:rsid w:val="005A018C"/>
    <w:rsid w:val="005A0437"/>
    <w:rsid w:val="005A05C3"/>
    <w:rsid w:val="005A169F"/>
    <w:rsid w:val="005A1C7A"/>
    <w:rsid w:val="005A1C92"/>
    <w:rsid w:val="005A2BDE"/>
    <w:rsid w:val="005A2E19"/>
    <w:rsid w:val="005A3226"/>
    <w:rsid w:val="005A389C"/>
    <w:rsid w:val="005A4708"/>
    <w:rsid w:val="005A4A50"/>
    <w:rsid w:val="005A5274"/>
    <w:rsid w:val="005A5F1C"/>
    <w:rsid w:val="005A6499"/>
    <w:rsid w:val="005A7019"/>
    <w:rsid w:val="005A737E"/>
    <w:rsid w:val="005B0EE9"/>
    <w:rsid w:val="005B102F"/>
    <w:rsid w:val="005B149F"/>
    <w:rsid w:val="005B1984"/>
    <w:rsid w:val="005B1BEE"/>
    <w:rsid w:val="005B1CEB"/>
    <w:rsid w:val="005B2BD5"/>
    <w:rsid w:val="005B3825"/>
    <w:rsid w:val="005B4D0F"/>
    <w:rsid w:val="005B503A"/>
    <w:rsid w:val="005B5598"/>
    <w:rsid w:val="005B5D68"/>
    <w:rsid w:val="005B678A"/>
    <w:rsid w:val="005B6E85"/>
    <w:rsid w:val="005B78FB"/>
    <w:rsid w:val="005C018B"/>
    <w:rsid w:val="005C0560"/>
    <w:rsid w:val="005C0ADF"/>
    <w:rsid w:val="005C1498"/>
    <w:rsid w:val="005C1F2B"/>
    <w:rsid w:val="005C2F62"/>
    <w:rsid w:val="005C32AF"/>
    <w:rsid w:val="005C33F5"/>
    <w:rsid w:val="005C3BF3"/>
    <w:rsid w:val="005C4082"/>
    <w:rsid w:val="005C499B"/>
    <w:rsid w:val="005C5B4C"/>
    <w:rsid w:val="005C5B5E"/>
    <w:rsid w:val="005C5B9A"/>
    <w:rsid w:val="005C5DAF"/>
    <w:rsid w:val="005C65FD"/>
    <w:rsid w:val="005C6C54"/>
    <w:rsid w:val="005C7194"/>
    <w:rsid w:val="005C7783"/>
    <w:rsid w:val="005C7B65"/>
    <w:rsid w:val="005D0334"/>
    <w:rsid w:val="005D046F"/>
    <w:rsid w:val="005D05F2"/>
    <w:rsid w:val="005D084C"/>
    <w:rsid w:val="005D0D92"/>
    <w:rsid w:val="005D1060"/>
    <w:rsid w:val="005D172B"/>
    <w:rsid w:val="005D1762"/>
    <w:rsid w:val="005D195C"/>
    <w:rsid w:val="005D19E3"/>
    <w:rsid w:val="005D1E89"/>
    <w:rsid w:val="005D2451"/>
    <w:rsid w:val="005D2957"/>
    <w:rsid w:val="005D2BA9"/>
    <w:rsid w:val="005D318D"/>
    <w:rsid w:val="005D3693"/>
    <w:rsid w:val="005D4E5C"/>
    <w:rsid w:val="005D4F66"/>
    <w:rsid w:val="005D51D0"/>
    <w:rsid w:val="005D5B05"/>
    <w:rsid w:val="005D5E56"/>
    <w:rsid w:val="005D603A"/>
    <w:rsid w:val="005D7224"/>
    <w:rsid w:val="005D7879"/>
    <w:rsid w:val="005D7E6A"/>
    <w:rsid w:val="005E0BB9"/>
    <w:rsid w:val="005E14D9"/>
    <w:rsid w:val="005E21EC"/>
    <w:rsid w:val="005E2FFB"/>
    <w:rsid w:val="005E3C41"/>
    <w:rsid w:val="005E3CE3"/>
    <w:rsid w:val="005E3D72"/>
    <w:rsid w:val="005E3D86"/>
    <w:rsid w:val="005E3F37"/>
    <w:rsid w:val="005E508C"/>
    <w:rsid w:val="005E5BB8"/>
    <w:rsid w:val="005E5E3F"/>
    <w:rsid w:val="005E63D4"/>
    <w:rsid w:val="005E7B34"/>
    <w:rsid w:val="005F00A0"/>
    <w:rsid w:val="005F0530"/>
    <w:rsid w:val="005F0C17"/>
    <w:rsid w:val="005F0D54"/>
    <w:rsid w:val="005F1360"/>
    <w:rsid w:val="005F26B4"/>
    <w:rsid w:val="005F3337"/>
    <w:rsid w:val="005F333A"/>
    <w:rsid w:val="005F3B04"/>
    <w:rsid w:val="005F3BEA"/>
    <w:rsid w:val="005F455D"/>
    <w:rsid w:val="005F4D5E"/>
    <w:rsid w:val="005F51B7"/>
    <w:rsid w:val="005F53D5"/>
    <w:rsid w:val="005F6280"/>
    <w:rsid w:val="005F694C"/>
    <w:rsid w:val="005F6A94"/>
    <w:rsid w:val="005F74E3"/>
    <w:rsid w:val="00600327"/>
    <w:rsid w:val="0060115B"/>
    <w:rsid w:val="00602141"/>
    <w:rsid w:val="0060237F"/>
    <w:rsid w:val="0060327D"/>
    <w:rsid w:val="00604430"/>
    <w:rsid w:val="006047AC"/>
    <w:rsid w:val="00604A5A"/>
    <w:rsid w:val="00604D07"/>
    <w:rsid w:val="0060525F"/>
    <w:rsid w:val="00605975"/>
    <w:rsid w:val="00605C09"/>
    <w:rsid w:val="00606CC0"/>
    <w:rsid w:val="006074A4"/>
    <w:rsid w:val="00607960"/>
    <w:rsid w:val="00607F40"/>
    <w:rsid w:val="00610213"/>
    <w:rsid w:val="0061065D"/>
    <w:rsid w:val="00610A3B"/>
    <w:rsid w:val="00610E0C"/>
    <w:rsid w:val="006132D5"/>
    <w:rsid w:val="00613998"/>
    <w:rsid w:val="00613F8D"/>
    <w:rsid w:val="00615309"/>
    <w:rsid w:val="00615A7B"/>
    <w:rsid w:val="00620215"/>
    <w:rsid w:val="00620453"/>
    <w:rsid w:val="00620540"/>
    <w:rsid w:val="00622D32"/>
    <w:rsid w:val="00623673"/>
    <w:rsid w:val="006238D5"/>
    <w:rsid w:val="00623A96"/>
    <w:rsid w:val="00623AF6"/>
    <w:rsid w:val="00623B8E"/>
    <w:rsid w:val="0062450A"/>
    <w:rsid w:val="0062475A"/>
    <w:rsid w:val="006248F8"/>
    <w:rsid w:val="00625A87"/>
    <w:rsid w:val="00625D23"/>
    <w:rsid w:val="00625FBE"/>
    <w:rsid w:val="00630B25"/>
    <w:rsid w:val="00631F8E"/>
    <w:rsid w:val="00632590"/>
    <w:rsid w:val="00634BC8"/>
    <w:rsid w:val="00635FF8"/>
    <w:rsid w:val="0063611A"/>
    <w:rsid w:val="006373E4"/>
    <w:rsid w:val="00637D8D"/>
    <w:rsid w:val="006413C1"/>
    <w:rsid w:val="006419DE"/>
    <w:rsid w:val="00641DCE"/>
    <w:rsid w:val="00643D63"/>
    <w:rsid w:val="00645433"/>
    <w:rsid w:val="00645D7B"/>
    <w:rsid w:val="006467E2"/>
    <w:rsid w:val="0064699D"/>
    <w:rsid w:val="00646BDD"/>
    <w:rsid w:val="00646C4F"/>
    <w:rsid w:val="00646E2A"/>
    <w:rsid w:val="00647FA0"/>
    <w:rsid w:val="00650B21"/>
    <w:rsid w:val="00651C30"/>
    <w:rsid w:val="00652904"/>
    <w:rsid w:val="00652906"/>
    <w:rsid w:val="006546A4"/>
    <w:rsid w:val="00655385"/>
    <w:rsid w:val="00655D2E"/>
    <w:rsid w:val="00655D9F"/>
    <w:rsid w:val="00656C58"/>
    <w:rsid w:val="00657641"/>
    <w:rsid w:val="00657953"/>
    <w:rsid w:val="0066054E"/>
    <w:rsid w:val="00660849"/>
    <w:rsid w:val="00661BD9"/>
    <w:rsid w:val="006620AD"/>
    <w:rsid w:val="00662AEA"/>
    <w:rsid w:val="00663463"/>
    <w:rsid w:val="00664F15"/>
    <w:rsid w:val="006652B3"/>
    <w:rsid w:val="006657E5"/>
    <w:rsid w:val="00666941"/>
    <w:rsid w:val="00666966"/>
    <w:rsid w:val="006701A6"/>
    <w:rsid w:val="00670242"/>
    <w:rsid w:val="006706A7"/>
    <w:rsid w:val="00670A9E"/>
    <w:rsid w:val="006719AA"/>
    <w:rsid w:val="00672CE5"/>
    <w:rsid w:val="00672F8E"/>
    <w:rsid w:val="00675F9D"/>
    <w:rsid w:val="0067621B"/>
    <w:rsid w:val="00676DC4"/>
    <w:rsid w:val="00676E71"/>
    <w:rsid w:val="0068025F"/>
    <w:rsid w:val="00680805"/>
    <w:rsid w:val="0068161E"/>
    <w:rsid w:val="00681638"/>
    <w:rsid w:val="006816C4"/>
    <w:rsid w:val="00681BFC"/>
    <w:rsid w:val="0068220C"/>
    <w:rsid w:val="00682D81"/>
    <w:rsid w:val="00683888"/>
    <w:rsid w:val="006841F1"/>
    <w:rsid w:val="00684521"/>
    <w:rsid w:val="00684787"/>
    <w:rsid w:val="00684C21"/>
    <w:rsid w:val="00684D14"/>
    <w:rsid w:val="00684FD5"/>
    <w:rsid w:val="00685261"/>
    <w:rsid w:val="006872B7"/>
    <w:rsid w:val="0069074A"/>
    <w:rsid w:val="006908E6"/>
    <w:rsid w:val="006913C6"/>
    <w:rsid w:val="00691C19"/>
    <w:rsid w:val="00691EF5"/>
    <w:rsid w:val="006921BA"/>
    <w:rsid w:val="00693716"/>
    <w:rsid w:val="0069591A"/>
    <w:rsid w:val="00695DDE"/>
    <w:rsid w:val="00695F1C"/>
    <w:rsid w:val="0069745B"/>
    <w:rsid w:val="006976B5"/>
    <w:rsid w:val="00697BE8"/>
    <w:rsid w:val="006A0804"/>
    <w:rsid w:val="006A0DAA"/>
    <w:rsid w:val="006A2EB1"/>
    <w:rsid w:val="006A30F3"/>
    <w:rsid w:val="006A3466"/>
    <w:rsid w:val="006A3EF8"/>
    <w:rsid w:val="006A5860"/>
    <w:rsid w:val="006A6A45"/>
    <w:rsid w:val="006A7BB8"/>
    <w:rsid w:val="006B0A7B"/>
    <w:rsid w:val="006B1FAF"/>
    <w:rsid w:val="006B296C"/>
    <w:rsid w:val="006B2A73"/>
    <w:rsid w:val="006B2B98"/>
    <w:rsid w:val="006B319E"/>
    <w:rsid w:val="006B3967"/>
    <w:rsid w:val="006B3A55"/>
    <w:rsid w:val="006B42E9"/>
    <w:rsid w:val="006B430E"/>
    <w:rsid w:val="006B4968"/>
    <w:rsid w:val="006B4D89"/>
    <w:rsid w:val="006B4F83"/>
    <w:rsid w:val="006B63FC"/>
    <w:rsid w:val="006B661A"/>
    <w:rsid w:val="006C0E77"/>
    <w:rsid w:val="006C1C36"/>
    <w:rsid w:val="006C2B35"/>
    <w:rsid w:val="006C37FA"/>
    <w:rsid w:val="006C3FFD"/>
    <w:rsid w:val="006C41AE"/>
    <w:rsid w:val="006C4457"/>
    <w:rsid w:val="006C47AE"/>
    <w:rsid w:val="006C6143"/>
    <w:rsid w:val="006C659A"/>
    <w:rsid w:val="006C67AF"/>
    <w:rsid w:val="006C6B3C"/>
    <w:rsid w:val="006C714D"/>
    <w:rsid w:val="006C76E0"/>
    <w:rsid w:val="006D1E91"/>
    <w:rsid w:val="006D22AA"/>
    <w:rsid w:val="006D25C2"/>
    <w:rsid w:val="006D2996"/>
    <w:rsid w:val="006D3430"/>
    <w:rsid w:val="006D3E9A"/>
    <w:rsid w:val="006D4389"/>
    <w:rsid w:val="006D4527"/>
    <w:rsid w:val="006D48FC"/>
    <w:rsid w:val="006D4D17"/>
    <w:rsid w:val="006D5682"/>
    <w:rsid w:val="006D588F"/>
    <w:rsid w:val="006D68F2"/>
    <w:rsid w:val="006D76E4"/>
    <w:rsid w:val="006E0231"/>
    <w:rsid w:val="006E0BB1"/>
    <w:rsid w:val="006E16B2"/>
    <w:rsid w:val="006E1BD7"/>
    <w:rsid w:val="006E1D3B"/>
    <w:rsid w:val="006E2D7D"/>
    <w:rsid w:val="006E2F26"/>
    <w:rsid w:val="006E4A42"/>
    <w:rsid w:val="006E587C"/>
    <w:rsid w:val="006E6B94"/>
    <w:rsid w:val="006E71DF"/>
    <w:rsid w:val="006E75BF"/>
    <w:rsid w:val="006F0401"/>
    <w:rsid w:val="006F21FE"/>
    <w:rsid w:val="006F2807"/>
    <w:rsid w:val="006F3B78"/>
    <w:rsid w:val="006F479E"/>
    <w:rsid w:val="006F49FD"/>
    <w:rsid w:val="006F570C"/>
    <w:rsid w:val="006F58A8"/>
    <w:rsid w:val="006F5938"/>
    <w:rsid w:val="006F5B49"/>
    <w:rsid w:val="006F60DB"/>
    <w:rsid w:val="006F64AF"/>
    <w:rsid w:val="006F6604"/>
    <w:rsid w:val="006F66F3"/>
    <w:rsid w:val="006F7CB6"/>
    <w:rsid w:val="00701048"/>
    <w:rsid w:val="00701B09"/>
    <w:rsid w:val="00702ACB"/>
    <w:rsid w:val="00702BAD"/>
    <w:rsid w:val="00703099"/>
    <w:rsid w:val="0070377E"/>
    <w:rsid w:val="00705837"/>
    <w:rsid w:val="00705AB0"/>
    <w:rsid w:val="00705ECF"/>
    <w:rsid w:val="0070655D"/>
    <w:rsid w:val="00707E10"/>
    <w:rsid w:val="00710AA2"/>
    <w:rsid w:val="00712BDF"/>
    <w:rsid w:val="00713F06"/>
    <w:rsid w:val="00714C2A"/>
    <w:rsid w:val="007155CD"/>
    <w:rsid w:val="00715602"/>
    <w:rsid w:val="00715CE3"/>
    <w:rsid w:val="00715DD7"/>
    <w:rsid w:val="007162EE"/>
    <w:rsid w:val="0071763B"/>
    <w:rsid w:val="00717888"/>
    <w:rsid w:val="0072042A"/>
    <w:rsid w:val="00720F89"/>
    <w:rsid w:val="00721471"/>
    <w:rsid w:val="00722966"/>
    <w:rsid w:val="0072398B"/>
    <w:rsid w:val="00723E2C"/>
    <w:rsid w:val="00724FB0"/>
    <w:rsid w:val="00725948"/>
    <w:rsid w:val="007264F8"/>
    <w:rsid w:val="007269BE"/>
    <w:rsid w:val="00726CB8"/>
    <w:rsid w:val="00726EA4"/>
    <w:rsid w:val="007277D6"/>
    <w:rsid w:val="00727F16"/>
    <w:rsid w:val="00730783"/>
    <w:rsid w:val="0073078C"/>
    <w:rsid w:val="00730F96"/>
    <w:rsid w:val="00731EFA"/>
    <w:rsid w:val="00733786"/>
    <w:rsid w:val="00733B01"/>
    <w:rsid w:val="00734257"/>
    <w:rsid w:val="007360E0"/>
    <w:rsid w:val="00736D95"/>
    <w:rsid w:val="00737D09"/>
    <w:rsid w:val="00737DF2"/>
    <w:rsid w:val="00737FCA"/>
    <w:rsid w:val="007403C8"/>
    <w:rsid w:val="00741F49"/>
    <w:rsid w:val="0074278C"/>
    <w:rsid w:val="007427B8"/>
    <w:rsid w:val="00742D7C"/>
    <w:rsid w:val="00743591"/>
    <w:rsid w:val="007435F1"/>
    <w:rsid w:val="00743770"/>
    <w:rsid w:val="00743F5F"/>
    <w:rsid w:val="00744BB7"/>
    <w:rsid w:val="00746714"/>
    <w:rsid w:val="00746FD7"/>
    <w:rsid w:val="00747C4A"/>
    <w:rsid w:val="00747EE4"/>
    <w:rsid w:val="0075092D"/>
    <w:rsid w:val="0075139D"/>
    <w:rsid w:val="00752946"/>
    <w:rsid w:val="00752A90"/>
    <w:rsid w:val="00752BB8"/>
    <w:rsid w:val="00752D4D"/>
    <w:rsid w:val="007537C2"/>
    <w:rsid w:val="00753CC0"/>
    <w:rsid w:val="007549E0"/>
    <w:rsid w:val="00754E33"/>
    <w:rsid w:val="00754F52"/>
    <w:rsid w:val="00755661"/>
    <w:rsid w:val="007556AF"/>
    <w:rsid w:val="00755F1A"/>
    <w:rsid w:val="00757A7C"/>
    <w:rsid w:val="00760449"/>
    <w:rsid w:val="007607BB"/>
    <w:rsid w:val="0076083D"/>
    <w:rsid w:val="00760D6F"/>
    <w:rsid w:val="00761BBA"/>
    <w:rsid w:val="00761FF0"/>
    <w:rsid w:val="00763B87"/>
    <w:rsid w:val="00764E5C"/>
    <w:rsid w:val="007655E1"/>
    <w:rsid w:val="007657F7"/>
    <w:rsid w:val="0076611B"/>
    <w:rsid w:val="00766C48"/>
    <w:rsid w:val="0076735E"/>
    <w:rsid w:val="007674D3"/>
    <w:rsid w:val="00767554"/>
    <w:rsid w:val="00767F71"/>
    <w:rsid w:val="00767F9E"/>
    <w:rsid w:val="00770459"/>
    <w:rsid w:val="007707C5"/>
    <w:rsid w:val="00770EC4"/>
    <w:rsid w:val="00770F8D"/>
    <w:rsid w:val="00771998"/>
    <w:rsid w:val="00772388"/>
    <w:rsid w:val="0077252B"/>
    <w:rsid w:val="00772DE9"/>
    <w:rsid w:val="007736B5"/>
    <w:rsid w:val="00774EB6"/>
    <w:rsid w:val="007759F6"/>
    <w:rsid w:val="00776A4B"/>
    <w:rsid w:val="00776DD6"/>
    <w:rsid w:val="00777125"/>
    <w:rsid w:val="00777CB5"/>
    <w:rsid w:val="007813C3"/>
    <w:rsid w:val="007815F4"/>
    <w:rsid w:val="00781842"/>
    <w:rsid w:val="007818C0"/>
    <w:rsid w:val="00782FB7"/>
    <w:rsid w:val="0078697D"/>
    <w:rsid w:val="00787672"/>
    <w:rsid w:val="007901F7"/>
    <w:rsid w:val="007913C9"/>
    <w:rsid w:val="007916AA"/>
    <w:rsid w:val="0079240B"/>
    <w:rsid w:val="0079311E"/>
    <w:rsid w:val="0079489E"/>
    <w:rsid w:val="00795773"/>
    <w:rsid w:val="00795779"/>
    <w:rsid w:val="007974E7"/>
    <w:rsid w:val="007A036E"/>
    <w:rsid w:val="007A1CB0"/>
    <w:rsid w:val="007A236D"/>
    <w:rsid w:val="007A264B"/>
    <w:rsid w:val="007A2F93"/>
    <w:rsid w:val="007A3C39"/>
    <w:rsid w:val="007A3DD1"/>
    <w:rsid w:val="007A4A72"/>
    <w:rsid w:val="007A5834"/>
    <w:rsid w:val="007A5BA9"/>
    <w:rsid w:val="007A63FD"/>
    <w:rsid w:val="007A6A88"/>
    <w:rsid w:val="007A7583"/>
    <w:rsid w:val="007A7AB2"/>
    <w:rsid w:val="007A7CEF"/>
    <w:rsid w:val="007B12CD"/>
    <w:rsid w:val="007B1400"/>
    <w:rsid w:val="007B1448"/>
    <w:rsid w:val="007B1862"/>
    <w:rsid w:val="007B1DC4"/>
    <w:rsid w:val="007B26CF"/>
    <w:rsid w:val="007B3808"/>
    <w:rsid w:val="007B3F9C"/>
    <w:rsid w:val="007B4C8A"/>
    <w:rsid w:val="007B52FB"/>
    <w:rsid w:val="007B6003"/>
    <w:rsid w:val="007B66E1"/>
    <w:rsid w:val="007B7F2F"/>
    <w:rsid w:val="007B7F38"/>
    <w:rsid w:val="007C041D"/>
    <w:rsid w:val="007C071A"/>
    <w:rsid w:val="007C0E62"/>
    <w:rsid w:val="007C111E"/>
    <w:rsid w:val="007C13FE"/>
    <w:rsid w:val="007C195D"/>
    <w:rsid w:val="007C2735"/>
    <w:rsid w:val="007C2740"/>
    <w:rsid w:val="007C2D04"/>
    <w:rsid w:val="007C35FF"/>
    <w:rsid w:val="007C36DC"/>
    <w:rsid w:val="007C37AE"/>
    <w:rsid w:val="007C3F22"/>
    <w:rsid w:val="007C5460"/>
    <w:rsid w:val="007C5497"/>
    <w:rsid w:val="007C56D6"/>
    <w:rsid w:val="007C636F"/>
    <w:rsid w:val="007C755D"/>
    <w:rsid w:val="007D0417"/>
    <w:rsid w:val="007D067F"/>
    <w:rsid w:val="007D0745"/>
    <w:rsid w:val="007D0DB0"/>
    <w:rsid w:val="007D2460"/>
    <w:rsid w:val="007D3A53"/>
    <w:rsid w:val="007D4623"/>
    <w:rsid w:val="007D4BBC"/>
    <w:rsid w:val="007D5472"/>
    <w:rsid w:val="007D5F99"/>
    <w:rsid w:val="007D78A2"/>
    <w:rsid w:val="007E0D6C"/>
    <w:rsid w:val="007E2373"/>
    <w:rsid w:val="007E2AC9"/>
    <w:rsid w:val="007E2E13"/>
    <w:rsid w:val="007E3A1A"/>
    <w:rsid w:val="007E41C3"/>
    <w:rsid w:val="007E4856"/>
    <w:rsid w:val="007E4D01"/>
    <w:rsid w:val="007E70AF"/>
    <w:rsid w:val="007E739E"/>
    <w:rsid w:val="007E7838"/>
    <w:rsid w:val="007E79C7"/>
    <w:rsid w:val="007E7B3C"/>
    <w:rsid w:val="007F1558"/>
    <w:rsid w:val="007F15AC"/>
    <w:rsid w:val="007F1FE0"/>
    <w:rsid w:val="007F2E79"/>
    <w:rsid w:val="007F2F25"/>
    <w:rsid w:val="007F2FB3"/>
    <w:rsid w:val="007F3085"/>
    <w:rsid w:val="007F3373"/>
    <w:rsid w:val="007F5FE3"/>
    <w:rsid w:val="007F78DD"/>
    <w:rsid w:val="007F7C9A"/>
    <w:rsid w:val="0080050E"/>
    <w:rsid w:val="00801855"/>
    <w:rsid w:val="00802D3A"/>
    <w:rsid w:val="00803449"/>
    <w:rsid w:val="00803A34"/>
    <w:rsid w:val="00803A36"/>
    <w:rsid w:val="00803E87"/>
    <w:rsid w:val="008049BD"/>
    <w:rsid w:val="00804B42"/>
    <w:rsid w:val="00804DEC"/>
    <w:rsid w:val="008057B5"/>
    <w:rsid w:val="00807492"/>
    <w:rsid w:val="00810AFF"/>
    <w:rsid w:val="00811070"/>
    <w:rsid w:val="008129C9"/>
    <w:rsid w:val="00812F47"/>
    <w:rsid w:val="00812F9A"/>
    <w:rsid w:val="00813EAC"/>
    <w:rsid w:val="00814158"/>
    <w:rsid w:val="008146CA"/>
    <w:rsid w:val="008147F9"/>
    <w:rsid w:val="0081484A"/>
    <w:rsid w:val="008159AE"/>
    <w:rsid w:val="00816476"/>
    <w:rsid w:val="00817909"/>
    <w:rsid w:val="00820442"/>
    <w:rsid w:val="00820751"/>
    <w:rsid w:val="008223B6"/>
    <w:rsid w:val="00822669"/>
    <w:rsid w:val="0082269C"/>
    <w:rsid w:val="00822B6C"/>
    <w:rsid w:val="00822C4D"/>
    <w:rsid w:val="00822C4E"/>
    <w:rsid w:val="00822C8D"/>
    <w:rsid w:val="00823490"/>
    <w:rsid w:val="0082400E"/>
    <w:rsid w:val="008259C6"/>
    <w:rsid w:val="00825A1E"/>
    <w:rsid w:val="008260D6"/>
    <w:rsid w:val="00827508"/>
    <w:rsid w:val="0083039A"/>
    <w:rsid w:val="008308B2"/>
    <w:rsid w:val="00830BB9"/>
    <w:rsid w:val="0083102B"/>
    <w:rsid w:val="00831B9A"/>
    <w:rsid w:val="00831BE7"/>
    <w:rsid w:val="00831F05"/>
    <w:rsid w:val="00832828"/>
    <w:rsid w:val="00832E1E"/>
    <w:rsid w:val="008330BF"/>
    <w:rsid w:val="0083390E"/>
    <w:rsid w:val="00833B25"/>
    <w:rsid w:val="008356EE"/>
    <w:rsid w:val="00835C76"/>
    <w:rsid w:val="00836875"/>
    <w:rsid w:val="00836B4E"/>
    <w:rsid w:val="00836C5F"/>
    <w:rsid w:val="00837DB8"/>
    <w:rsid w:val="008409C5"/>
    <w:rsid w:val="00840CEF"/>
    <w:rsid w:val="00841D88"/>
    <w:rsid w:val="008422C4"/>
    <w:rsid w:val="00842345"/>
    <w:rsid w:val="00842D5F"/>
    <w:rsid w:val="00843069"/>
    <w:rsid w:val="00843087"/>
    <w:rsid w:val="00843A35"/>
    <w:rsid w:val="00843A54"/>
    <w:rsid w:val="00844503"/>
    <w:rsid w:val="00844CB1"/>
    <w:rsid w:val="00844E1C"/>
    <w:rsid w:val="00844E55"/>
    <w:rsid w:val="0084554E"/>
    <w:rsid w:val="00846292"/>
    <w:rsid w:val="00846895"/>
    <w:rsid w:val="00846A5D"/>
    <w:rsid w:val="00847E85"/>
    <w:rsid w:val="008503AE"/>
    <w:rsid w:val="00850D17"/>
    <w:rsid w:val="0085138E"/>
    <w:rsid w:val="0085248C"/>
    <w:rsid w:val="00852751"/>
    <w:rsid w:val="0085281E"/>
    <w:rsid w:val="00852A08"/>
    <w:rsid w:val="00853595"/>
    <w:rsid w:val="0085446B"/>
    <w:rsid w:val="00854B03"/>
    <w:rsid w:val="00854B88"/>
    <w:rsid w:val="00856C9A"/>
    <w:rsid w:val="008572DA"/>
    <w:rsid w:val="0086099D"/>
    <w:rsid w:val="0086170C"/>
    <w:rsid w:val="00861C8C"/>
    <w:rsid w:val="00862440"/>
    <w:rsid w:val="00862462"/>
    <w:rsid w:val="008626DC"/>
    <w:rsid w:val="00862B0A"/>
    <w:rsid w:val="008633FB"/>
    <w:rsid w:val="00863C1F"/>
    <w:rsid w:val="00865387"/>
    <w:rsid w:val="00865604"/>
    <w:rsid w:val="0086561D"/>
    <w:rsid w:val="008664C0"/>
    <w:rsid w:val="00870844"/>
    <w:rsid w:val="00871231"/>
    <w:rsid w:val="008712E9"/>
    <w:rsid w:val="00871D8E"/>
    <w:rsid w:val="008720E2"/>
    <w:rsid w:val="00873775"/>
    <w:rsid w:val="00873D31"/>
    <w:rsid w:val="00874B51"/>
    <w:rsid w:val="00874BCA"/>
    <w:rsid w:val="0087508C"/>
    <w:rsid w:val="00877B55"/>
    <w:rsid w:val="008803FC"/>
    <w:rsid w:val="00881047"/>
    <w:rsid w:val="00881070"/>
    <w:rsid w:val="00881C19"/>
    <w:rsid w:val="00882434"/>
    <w:rsid w:val="008827D4"/>
    <w:rsid w:val="00882A13"/>
    <w:rsid w:val="00883D77"/>
    <w:rsid w:val="008863B2"/>
    <w:rsid w:val="008864F6"/>
    <w:rsid w:val="00886883"/>
    <w:rsid w:val="00886F9F"/>
    <w:rsid w:val="008906CD"/>
    <w:rsid w:val="00890D4E"/>
    <w:rsid w:val="008914E5"/>
    <w:rsid w:val="00891A5F"/>
    <w:rsid w:val="0089224F"/>
    <w:rsid w:val="00892CF8"/>
    <w:rsid w:val="00893FAB"/>
    <w:rsid w:val="0089459B"/>
    <w:rsid w:val="00894DE3"/>
    <w:rsid w:val="00895B96"/>
    <w:rsid w:val="008963EE"/>
    <w:rsid w:val="00896923"/>
    <w:rsid w:val="008A00BF"/>
    <w:rsid w:val="008A1393"/>
    <w:rsid w:val="008A16C9"/>
    <w:rsid w:val="008A2A33"/>
    <w:rsid w:val="008A3699"/>
    <w:rsid w:val="008A5C44"/>
    <w:rsid w:val="008A76E6"/>
    <w:rsid w:val="008A79DA"/>
    <w:rsid w:val="008B01D5"/>
    <w:rsid w:val="008B0A3C"/>
    <w:rsid w:val="008B0CDC"/>
    <w:rsid w:val="008B1BF8"/>
    <w:rsid w:val="008B1CF4"/>
    <w:rsid w:val="008B1F06"/>
    <w:rsid w:val="008B2FD6"/>
    <w:rsid w:val="008B323C"/>
    <w:rsid w:val="008B4CB8"/>
    <w:rsid w:val="008B5C9C"/>
    <w:rsid w:val="008B70FE"/>
    <w:rsid w:val="008B7F7A"/>
    <w:rsid w:val="008C0198"/>
    <w:rsid w:val="008C0975"/>
    <w:rsid w:val="008C0FB9"/>
    <w:rsid w:val="008C1024"/>
    <w:rsid w:val="008C18F0"/>
    <w:rsid w:val="008C1C6E"/>
    <w:rsid w:val="008C201F"/>
    <w:rsid w:val="008C2B83"/>
    <w:rsid w:val="008C2DC7"/>
    <w:rsid w:val="008C300C"/>
    <w:rsid w:val="008C303C"/>
    <w:rsid w:val="008C465F"/>
    <w:rsid w:val="008C4CD0"/>
    <w:rsid w:val="008C54ED"/>
    <w:rsid w:val="008C7CC8"/>
    <w:rsid w:val="008C7D82"/>
    <w:rsid w:val="008D0005"/>
    <w:rsid w:val="008D00E9"/>
    <w:rsid w:val="008D061F"/>
    <w:rsid w:val="008D0A44"/>
    <w:rsid w:val="008D1261"/>
    <w:rsid w:val="008D237E"/>
    <w:rsid w:val="008D34A4"/>
    <w:rsid w:val="008D3572"/>
    <w:rsid w:val="008D3B18"/>
    <w:rsid w:val="008D5405"/>
    <w:rsid w:val="008D5F63"/>
    <w:rsid w:val="008D61B4"/>
    <w:rsid w:val="008D6D35"/>
    <w:rsid w:val="008D6EF1"/>
    <w:rsid w:val="008D71AC"/>
    <w:rsid w:val="008D728A"/>
    <w:rsid w:val="008D7B29"/>
    <w:rsid w:val="008E0045"/>
    <w:rsid w:val="008E06C6"/>
    <w:rsid w:val="008E0C8A"/>
    <w:rsid w:val="008E0CC8"/>
    <w:rsid w:val="008E1710"/>
    <w:rsid w:val="008E1714"/>
    <w:rsid w:val="008E187D"/>
    <w:rsid w:val="008E1F6F"/>
    <w:rsid w:val="008E20F9"/>
    <w:rsid w:val="008E2119"/>
    <w:rsid w:val="008E2806"/>
    <w:rsid w:val="008E347E"/>
    <w:rsid w:val="008E4497"/>
    <w:rsid w:val="008E47F4"/>
    <w:rsid w:val="008E5003"/>
    <w:rsid w:val="008E561D"/>
    <w:rsid w:val="008E60B1"/>
    <w:rsid w:val="008E66BF"/>
    <w:rsid w:val="008E6720"/>
    <w:rsid w:val="008E68A4"/>
    <w:rsid w:val="008E68D1"/>
    <w:rsid w:val="008E6D61"/>
    <w:rsid w:val="008E7583"/>
    <w:rsid w:val="008F0852"/>
    <w:rsid w:val="008F16B6"/>
    <w:rsid w:val="008F1AFF"/>
    <w:rsid w:val="008F1F92"/>
    <w:rsid w:val="008F2794"/>
    <w:rsid w:val="008F27C5"/>
    <w:rsid w:val="008F3783"/>
    <w:rsid w:val="008F50EA"/>
    <w:rsid w:val="008F52B6"/>
    <w:rsid w:val="008F5D71"/>
    <w:rsid w:val="008F60B6"/>
    <w:rsid w:val="008F618D"/>
    <w:rsid w:val="008F6C40"/>
    <w:rsid w:val="008F792C"/>
    <w:rsid w:val="008F7ECB"/>
    <w:rsid w:val="0090033D"/>
    <w:rsid w:val="009004D6"/>
    <w:rsid w:val="00901502"/>
    <w:rsid w:val="00902435"/>
    <w:rsid w:val="009028BA"/>
    <w:rsid w:val="00902917"/>
    <w:rsid w:val="00903F08"/>
    <w:rsid w:val="00903FF8"/>
    <w:rsid w:val="00904299"/>
    <w:rsid w:val="00904E61"/>
    <w:rsid w:val="009063B7"/>
    <w:rsid w:val="009078BC"/>
    <w:rsid w:val="0091107D"/>
    <w:rsid w:val="00911170"/>
    <w:rsid w:val="00911472"/>
    <w:rsid w:val="0091157C"/>
    <w:rsid w:val="00911FFC"/>
    <w:rsid w:val="0091305A"/>
    <w:rsid w:val="0091426B"/>
    <w:rsid w:val="00914807"/>
    <w:rsid w:val="009153F0"/>
    <w:rsid w:val="00916073"/>
    <w:rsid w:val="00916124"/>
    <w:rsid w:val="00916199"/>
    <w:rsid w:val="009164B9"/>
    <w:rsid w:val="009165CE"/>
    <w:rsid w:val="00916652"/>
    <w:rsid w:val="009178BF"/>
    <w:rsid w:val="00920098"/>
    <w:rsid w:val="009200A6"/>
    <w:rsid w:val="0092054A"/>
    <w:rsid w:val="00921268"/>
    <w:rsid w:val="0092236C"/>
    <w:rsid w:val="00922EDE"/>
    <w:rsid w:val="009236D6"/>
    <w:rsid w:val="009245C6"/>
    <w:rsid w:val="009246FE"/>
    <w:rsid w:val="009254C5"/>
    <w:rsid w:val="0092559E"/>
    <w:rsid w:val="0092588D"/>
    <w:rsid w:val="00926114"/>
    <w:rsid w:val="00926154"/>
    <w:rsid w:val="009261BE"/>
    <w:rsid w:val="009262C9"/>
    <w:rsid w:val="0092710B"/>
    <w:rsid w:val="00927217"/>
    <w:rsid w:val="0092736C"/>
    <w:rsid w:val="0092763C"/>
    <w:rsid w:val="00927862"/>
    <w:rsid w:val="00930C54"/>
    <w:rsid w:val="0093130C"/>
    <w:rsid w:val="00931FE5"/>
    <w:rsid w:val="00932159"/>
    <w:rsid w:val="0093250A"/>
    <w:rsid w:val="009328CC"/>
    <w:rsid w:val="00932BB5"/>
    <w:rsid w:val="009330B2"/>
    <w:rsid w:val="00934AF2"/>
    <w:rsid w:val="009355ED"/>
    <w:rsid w:val="0093569D"/>
    <w:rsid w:val="00936B8C"/>
    <w:rsid w:val="00936ED3"/>
    <w:rsid w:val="009379B2"/>
    <w:rsid w:val="00937A15"/>
    <w:rsid w:val="00937C50"/>
    <w:rsid w:val="00940A09"/>
    <w:rsid w:val="009410A0"/>
    <w:rsid w:val="009430B5"/>
    <w:rsid w:val="00943AE0"/>
    <w:rsid w:val="00943B03"/>
    <w:rsid w:val="00943CAE"/>
    <w:rsid w:val="009440D8"/>
    <w:rsid w:val="009447E1"/>
    <w:rsid w:val="00944977"/>
    <w:rsid w:val="00944C6C"/>
    <w:rsid w:val="00944F47"/>
    <w:rsid w:val="00945A52"/>
    <w:rsid w:val="00945B49"/>
    <w:rsid w:val="00946576"/>
    <w:rsid w:val="00947332"/>
    <w:rsid w:val="00947C40"/>
    <w:rsid w:val="00947C77"/>
    <w:rsid w:val="00950104"/>
    <w:rsid w:val="009506EE"/>
    <w:rsid w:val="00951030"/>
    <w:rsid w:val="00951862"/>
    <w:rsid w:val="009521FF"/>
    <w:rsid w:val="00953145"/>
    <w:rsid w:val="0095385B"/>
    <w:rsid w:val="00954520"/>
    <w:rsid w:val="00954A13"/>
    <w:rsid w:val="00955ADC"/>
    <w:rsid w:val="00955EFB"/>
    <w:rsid w:val="00956595"/>
    <w:rsid w:val="009575D6"/>
    <w:rsid w:val="00960B44"/>
    <w:rsid w:val="00961C3E"/>
    <w:rsid w:val="00962502"/>
    <w:rsid w:val="0096262F"/>
    <w:rsid w:val="00962C6F"/>
    <w:rsid w:val="0096317E"/>
    <w:rsid w:val="009637D5"/>
    <w:rsid w:val="00963AB5"/>
    <w:rsid w:val="00963BA3"/>
    <w:rsid w:val="0096438C"/>
    <w:rsid w:val="00964840"/>
    <w:rsid w:val="009648AD"/>
    <w:rsid w:val="00964E6D"/>
    <w:rsid w:val="0096579A"/>
    <w:rsid w:val="00965A9E"/>
    <w:rsid w:val="00966406"/>
    <w:rsid w:val="009664A3"/>
    <w:rsid w:val="00966693"/>
    <w:rsid w:val="00966759"/>
    <w:rsid w:val="009667CB"/>
    <w:rsid w:val="009669D1"/>
    <w:rsid w:val="00966D6D"/>
    <w:rsid w:val="009678A3"/>
    <w:rsid w:val="009679D6"/>
    <w:rsid w:val="00970F83"/>
    <w:rsid w:val="00971603"/>
    <w:rsid w:val="0097241D"/>
    <w:rsid w:val="00972C85"/>
    <w:rsid w:val="009734DA"/>
    <w:rsid w:val="00973A38"/>
    <w:rsid w:val="0097544C"/>
    <w:rsid w:val="00975F25"/>
    <w:rsid w:val="009802EC"/>
    <w:rsid w:val="009803D7"/>
    <w:rsid w:val="009807E8"/>
    <w:rsid w:val="00980AF3"/>
    <w:rsid w:val="00981507"/>
    <w:rsid w:val="00982263"/>
    <w:rsid w:val="00983004"/>
    <w:rsid w:val="009830E8"/>
    <w:rsid w:val="00983A55"/>
    <w:rsid w:val="00983DBA"/>
    <w:rsid w:val="00983DCE"/>
    <w:rsid w:val="00985B52"/>
    <w:rsid w:val="0098626C"/>
    <w:rsid w:val="00986558"/>
    <w:rsid w:val="0098702D"/>
    <w:rsid w:val="0099067E"/>
    <w:rsid w:val="00991682"/>
    <w:rsid w:val="009916A4"/>
    <w:rsid w:val="00992D1D"/>
    <w:rsid w:val="00993BDE"/>
    <w:rsid w:val="0099469A"/>
    <w:rsid w:val="00995004"/>
    <w:rsid w:val="009A022B"/>
    <w:rsid w:val="009A07BC"/>
    <w:rsid w:val="009A098B"/>
    <w:rsid w:val="009A11E5"/>
    <w:rsid w:val="009A12C6"/>
    <w:rsid w:val="009A1668"/>
    <w:rsid w:val="009A16C2"/>
    <w:rsid w:val="009A1B64"/>
    <w:rsid w:val="009A1C8C"/>
    <w:rsid w:val="009A2055"/>
    <w:rsid w:val="009A2A35"/>
    <w:rsid w:val="009A2FFA"/>
    <w:rsid w:val="009A33D6"/>
    <w:rsid w:val="009A3DE7"/>
    <w:rsid w:val="009A3E1E"/>
    <w:rsid w:val="009A441A"/>
    <w:rsid w:val="009A498E"/>
    <w:rsid w:val="009A4B93"/>
    <w:rsid w:val="009A4BB0"/>
    <w:rsid w:val="009A5EB1"/>
    <w:rsid w:val="009A61D7"/>
    <w:rsid w:val="009A62F7"/>
    <w:rsid w:val="009A696C"/>
    <w:rsid w:val="009A6C04"/>
    <w:rsid w:val="009A6F16"/>
    <w:rsid w:val="009A729F"/>
    <w:rsid w:val="009A7B5F"/>
    <w:rsid w:val="009B05C1"/>
    <w:rsid w:val="009B0712"/>
    <w:rsid w:val="009B0FA9"/>
    <w:rsid w:val="009B1AB6"/>
    <w:rsid w:val="009B2145"/>
    <w:rsid w:val="009B25A8"/>
    <w:rsid w:val="009B30B4"/>
    <w:rsid w:val="009B472A"/>
    <w:rsid w:val="009B4DD7"/>
    <w:rsid w:val="009B5BB3"/>
    <w:rsid w:val="009B6222"/>
    <w:rsid w:val="009B650B"/>
    <w:rsid w:val="009B67A6"/>
    <w:rsid w:val="009B68DD"/>
    <w:rsid w:val="009C043A"/>
    <w:rsid w:val="009C19BE"/>
    <w:rsid w:val="009C1BB8"/>
    <w:rsid w:val="009C36D8"/>
    <w:rsid w:val="009C4E9B"/>
    <w:rsid w:val="009C50A1"/>
    <w:rsid w:val="009C51FE"/>
    <w:rsid w:val="009C5A6E"/>
    <w:rsid w:val="009C632B"/>
    <w:rsid w:val="009C654E"/>
    <w:rsid w:val="009C7365"/>
    <w:rsid w:val="009C7E5F"/>
    <w:rsid w:val="009C7F33"/>
    <w:rsid w:val="009D1515"/>
    <w:rsid w:val="009D1519"/>
    <w:rsid w:val="009D17AB"/>
    <w:rsid w:val="009D238D"/>
    <w:rsid w:val="009D2930"/>
    <w:rsid w:val="009D2B99"/>
    <w:rsid w:val="009D3CA3"/>
    <w:rsid w:val="009D5494"/>
    <w:rsid w:val="009D5590"/>
    <w:rsid w:val="009D571A"/>
    <w:rsid w:val="009D782D"/>
    <w:rsid w:val="009D7A3B"/>
    <w:rsid w:val="009D7E93"/>
    <w:rsid w:val="009E05B0"/>
    <w:rsid w:val="009E0FB3"/>
    <w:rsid w:val="009E1618"/>
    <w:rsid w:val="009E1F2D"/>
    <w:rsid w:val="009E24B9"/>
    <w:rsid w:val="009E3711"/>
    <w:rsid w:val="009E4161"/>
    <w:rsid w:val="009E4E20"/>
    <w:rsid w:val="009E5A29"/>
    <w:rsid w:val="009F107E"/>
    <w:rsid w:val="009F137A"/>
    <w:rsid w:val="009F2BEA"/>
    <w:rsid w:val="009F2CBA"/>
    <w:rsid w:val="009F3B50"/>
    <w:rsid w:val="009F3C2F"/>
    <w:rsid w:val="009F3C5C"/>
    <w:rsid w:val="009F4151"/>
    <w:rsid w:val="009F43FF"/>
    <w:rsid w:val="009F46DF"/>
    <w:rsid w:val="009F4870"/>
    <w:rsid w:val="009F4FB6"/>
    <w:rsid w:val="009F533D"/>
    <w:rsid w:val="009F5667"/>
    <w:rsid w:val="009F7C2D"/>
    <w:rsid w:val="00A008F4"/>
    <w:rsid w:val="00A02649"/>
    <w:rsid w:val="00A02D64"/>
    <w:rsid w:val="00A02F0D"/>
    <w:rsid w:val="00A031C9"/>
    <w:rsid w:val="00A035F9"/>
    <w:rsid w:val="00A037BE"/>
    <w:rsid w:val="00A03C67"/>
    <w:rsid w:val="00A04DD6"/>
    <w:rsid w:val="00A057A7"/>
    <w:rsid w:val="00A0629A"/>
    <w:rsid w:val="00A06AB6"/>
    <w:rsid w:val="00A06DD7"/>
    <w:rsid w:val="00A0737A"/>
    <w:rsid w:val="00A110F1"/>
    <w:rsid w:val="00A1121F"/>
    <w:rsid w:val="00A113D4"/>
    <w:rsid w:val="00A11B01"/>
    <w:rsid w:val="00A11E22"/>
    <w:rsid w:val="00A135E0"/>
    <w:rsid w:val="00A137CC"/>
    <w:rsid w:val="00A13CB7"/>
    <w:rsid w:val="00A13FEE"/>
    <w:rsid w:val="00A144B9"/>
    <w:rsid w:val="00A14685"/>
    <w:rsid w:val="00A14D2B"/>
    <w:rsid w:val="00A14D62"/>
    <w:rsid w:val="00A14E6E"/>
    <w:rsid w:val="00A152E2"/>
    <w:rsid w:val="00A15C73"/>
    <w:rsid w:val="00A15F1E"/>
    <w:rsid w:val="00A1671B"/>
    <w:rsid w:val="00A17998"/>
    <w:rsid w:val="00A20668"/>
    <w:rsid w:val="00A20F99"/>
    <w:rsid w:val="00A21F88"/>
    <w:rsid w:val="00A22579"/>
    <w:rsid w:val="00A227B3"/>
    <w:rsid w:val="00A23091"/>
    <w:rsid w:val="00A237EE"/>
    <w:rsid w:val="00A237FB"/>
    <w:rsid w:val="00A243E4"/>
    <w:rsid w:val="00A24D9E"/>
    <w:rsid w:val="00A25988"/>
    <w:rsid w:val="00A25F36"/>
    <w:rsid w:val="00A26950"/>
    <w:rsid w:val="00A27933"/>
    <w:rsid w:val="00A30FDA"/>
    <w:rsid w:val="00A31E6E"/>
    <w:rsid w:val="00A32540"/>
    <w:rsid w:val="00A3262E"/>
    <w:rsid w:val="00A32EBC"/>
    <w:rsid w:val="00A339E2"/>
    <w:rsid w:val="00A33ACF"/>
    <w:rsid w:val="00A33C98"/>
    <w:rsid w:val="00A35677"/>
    <w:rsid w:val="00A35D6A"/>
    <w:rsid w:val="00A36028"/>
    <w:rsid w:val="00A37455"/>
    <w:rsid w:val="00A37B58"/>
    <w:rsid w:val="00A40B61"/>
    <w:rsid w:val="00A4377E"/>
    <w:rsid w:val="00A43899"/>
    <w:rsid w:val="00A44412"/>
    <w:rsid w:val="00A4461D"/>
    <w:rsid w:val="00A4467B"/>
    <w:rsid w:val="00A4572C"/>
    <w:rsid w:val="00A45926"/>
    <w:rsid w:val="00A45EDE"/>
    <w:rsid w:val="00A462F9"/>
    <w:rsid w:val="00A463A4"/>
    <w:rsid w:val="00A47099"/>
    <w:rsid w:val="00A471C8"/>
    <w:rsid w:val="00A47230"/>
    <w:rsid w:val="00A47E9B"/>
    <w:rsid w:val="00A51462"/>
    <w:rsid w:val="00A51ED5"/>
    <w:rsid w:val="00A52BA9"/>
    <w:rsid w:val="00A5383B"/>
    <w:rsid w:val="00A543E2"/>
    <w:rsid w:val="00A54692"/>
    <w:rsid w:val="00A54B32"/>
    <w:rsid w:val="00A55A09"/>
    <w:rsid w:val="00A56208"/>
    <w:rsid w:val="00A566DE"/>
    <w:rsid w:val="00A57B3A"/>
    <w:rsid w:val="00A57E17"/>
    <w:rsid w:val="00A60033"/>
    <w:rsid w:val="00A60423"/>
    <w:rsid w:val="00A60A06"/>
    <w:rsid w:val="00A6187F"/>
    <w:rsid w:val="00A61F6B"/>
    <w:rsid w:val="00A61FD6"/>
    <w:rsid w:val="00A6312F"/>
    <w:rsid w:val="00A63BCC"/>
    <w:rsid w:val="00A64C78"/>
    <w:rsid w:val="00A64F43"/>
    <w:rsid w:val="00A65962"/>
    <w:rsid w:val="00A65BB1"/>
    <w:rsid w:val="00A65DC7"/>
    <w:rsid w:val="00A66F98"/>
    <w:rsid w:val="00A6710E"/>
    <w:rsid w:val="00A67F06"/>
    <w:rsid w:val="00A70138"/>
    <w:rsid w:val="00A703E9"/>
    <w:rsid w:val="00A70F57"/>
    <w:rsid w:val="00A71234"/>
    <w:rsid w:val="00A71CB2"/>
    <w:rsid w:val="00A71D16"/>
    <w:rsid w:val="00A71DF2"/>
    <w:rsid w:val="00A71EB9"/>
    <w:rsid w:val="00A720CE"/>
    <w:rsid w:val="00A72668"/>
    <w:rsid w:val="00A746BD"/>
    <w:rsid w:val="00A75599"/>
    <w:rsid w:val="00A75625"/>
    <w:rsid w:val="00A75722"/>
    <w:rsid w:val="00A7586E"/>
    <w:rsid w:val="00A75A1C"/>
    <w:rsid w:val="00A75A25"/>
    <w:rsid w:val="00A75D2E"/>
    <w:rsid w:val="00A76B60"/>
    <w:rsid w:val="00A773FB"/>
    <w:rsid w:val="00A80C12"/>
    <w:rsid w:val="00A80FC4"/>
    <w:rsid w:val="00A81C7E"/>
    <w:rsid w:val="00A82111"/>
    <w:rsid w:val="00A82EB6"/>
    <w:rsid w:val="00A82F7F"/>
    <w:rsid w:val="00A82FAD"/>
    <w:rsid w:val="00A8351B"/>
    <w:rsid w:val="00A838E0"/>
    <w:rsid w:val="00A83DCF"/>
    <w:rsid w:val="00A842B9"/>
    <w:rsid w:val="00A848EF"/>
    <w:rsid w:val="00A85F0D"/>
    <w:rsid w:val="00A86893"/>
    <w:rsid w:val="00A872E6"/>
    <w:rsid w:val="00A91F5A"/>
    <w:rsid w:val="00A9266F"/>
    <w:rsid w:val="00A92DCB"/>
    <w:rsid w:val="00A93437"/>
    <w:rsid w:val="00A93BE0"/>
    <w:rsid w:val="00A9453B"/>
    <w:rsid w:val="00A9485D"/>
    <w:rsid w:val="00A94DC0"/>
    <w:rsid w:val="00A94E4A"/>
    <w:rsid w:val="00A95DE7"/>
    <w:rsid w:val="00A97A18"/>
    <w:rsid w:val="00AA039A"/>
    <w:rsid w:val="00AA0737"/>
    <w:rsid w:val="00AA0F91"/>
    <w:rsid w:val="00AA17C3"/>
    <w:rsid w:val="00AA1951"/>
    <w:rsid w:val="00AA227E"/>
    <w:rsid w:val="00AA2E8F"/>
    <w:rsid w:val="00AA3349"/>
    <w:rsid w:val="00AA3AD5"/>
    <w:rsid w:val="00AA3B9C"/>
    <w:rsid w:val="00AA3D9D"/>
    <w:rsid w:val="00AA4009"/>
    <w:rsid w:val="00AA4776"/>
    <w:rsid w:val="00AA4C9F"/>
    <w:rsid w:val="00AA60C6"/>
    <w:rsid w:val="00AA66FF"/>
    <w:rsid w:val="00AA69F6"/>
    <w:rsid w:val="00AA6CE1"/>
    <w:rsid w:val="00AA71CD"/>
    <w:rsid w:val="00AB0634"/>
    <w:rsid w:val="00AB12D1"/>
    <w:rsid w:val="00AB2724"/>
    <w:rsid w:val="00AB34EF"/>
    <w:rsid w:val="00AB3C09"/>
    <w:rsid w:val="00AB4969"/>
    <w:rsid w:val="00AB5DBF"/>
    <w:rsid w:val="00AB600C"/>
    <w:rsid w:val="00AB6C24"/>
    <w:rsid w:val="00AB725E"/>
    <w:rsid w:val="00AB75E2"/>
    <w:rsid w:val="00AC1AF1"/>
    <w:rsid w:val="00AC2054"/>
    <w:rsid w:val="00AC2363"/>
    <w:rsid w:val="00AC2779"/>
    <w:rsid w:val="00AC2F85"/>
    <w:rsid w:val="00AC353E"/>
    <w:rsid w:val="00AC3912"/>
    <w:rsid w:val="00AC3CED"/>
    <w:rsid w:val="00AC3E94"/>
    <w:rsid w:val="00AC4051"/>
    <w:rsid w:val="00AC4967"/>
    <w:rsid w:val="00AC5A58"/>
    <w:rsid w:val="00AC6D52"/>
    <w:rsid w:val="00AC6EB4"/>
    <w:rsid w:val="00AD0EAB"/>
    <w:rsid w:val="00AD206F"/>
    <w:rsid w:val="00AD20C9"/>
    <w:rsid w:val="00AD23A2"/>
    <w:rsid w:val="00AD3480"/>
    <w:rsid w:val="00AD3520"/>
    <w:rsid w:val="00AD3F19"/>
    <w:rsid w:val="00AD576C"/>
    <w:rsid w:val="00AD59BA"/>
    <w:rsid w:val="00AD6103"/>
    <w:rsid w:val="00AD7CEF"/>
    <w:rsid w:val="00AE005A"/>
    <w:rsid w:val="00AE0CD4"/>
    <w:rsid w:val="00AE29DE"/>
    <w:rsid w:val="00AE55D6"/>
    <w:rsid w:val="00AE5A0D"/>
    <w:rsid w:val="00AE5EB8"/>
    <w:rsid w:val="00AE61C9"/>
    <w:rsid w:val="00AE6767"/>
    <w:rsid w:val="00AE6DC9"/>
    <w:rsid w:val="00AF01B1"/>
    <w:rsid w:val="00AF1114"/>
    <w:rsid w:val="00AF12AF"/>
    <w:rsid w:val="00AF189E"/>
    <w:rsid w:val="00AF1EAF"/>
    <w:rsid w:val="00AF3D8F"/>
    <w:rsid w:val="00AF3DF1"/>
    <w:rsid w:val="00AF48A5"/>
    <w:rsid w:val="00AF5DF0"/>
    <w:rsid w:val="00AF65A3"/>
    <w:rsid w:val="00AF6AA7"/>
    <w:rsid w:val="00AF7D11"/>
    <w:rsid w:val="00AF7DA9"/>
    <w:rsid w:val="00B00079"/>
    <w:rsid w:val="00B0008C"/>
    <w:rsid w:val="00B01930"/>
    <w:rsid w:val="00B01B3D"/>
    <w:rsid w:val="00B02E45"/>
    <w:rsid w:val="00B03102"/>
    <w:rsid w:val="00B031C8"/>
    <w:rsid w:val="00B03627"/>
    <w:rsid w:val="00B0404C"/>
    <w:rsid w:val="00B0462D"/>
    <w:rsid w:val="00B04F5D"/>
    <w:rsid w:val="00B05F41"/>
    <w:rsid w:val="00B077C5"/>
    <w:rsid w:val="00B11482"/>
    <w:rsid w:val="00B11563"/>
    <w:rsid w:val="00B11761"/>
    <w:rsid w:val="00B11A29"/>
    <w:rsid w:val="00B11C62"/>
    <w:rsid w:val="00B1206D"/>
    <w:rsid w:val="00B1239A"/>
    <w:rsid w:val="00B13F1F"/>
    <w:rsid w:val="00B1433F"/>
    <w:rsid w:val="00B143F1"/>
    <w:rsid w:val="00B16508"/>
    <w:rsid w:val="00B16AAA"/>
    <w:rsid w:val="00B16D80"/>
    <w:rsid w:val="00B16E82"/>
    <w:rsid w:val="00B170E5"/>
    <w:rsid w:val="00B177E0"/>
    <w:rsid w:val="00B17885"/>
    <w:rsid w:val="00B17C88"/>
    <w:rsid w:val="00B20274"/>
    <w:rsid w:val="00B208E8"/>
    <w:rsid w:val="00B208F8"/>
    <w:rsid w:val="00B20976"/>
    <w:rsid w:val="00B2133B"/>
    <w:rsid w:val="00B22630"/>
    <w:rsid w:val="00B22C9C"/>
    <w:rsid w:val="00B239C3"/>
    <w:rsid w:val="00B25232"/>
    <w:rsid w:val="00B25404"/>
    <w:rsid w:val="00B25524"/>
    <w:rsid w:val="00B26AE7"/>
    <w:rsid w:val="00B26D6E"/>
    <w:rsid w:val="00B2738A"/>
    <w:rsid w:val="00B275A7"/>
    <w:rsid w:val="00B27AAC"/>
    <w:rsid w:val="00B30110"/>
    <w:rsid w:val="00B30465"/>
    <w:rsid w:val="00B31821"/>
    <w:rsid w:val="00B329F4"/>
    <w:rsid w:val="00B3335E"/>
    <w:rsid w:val="00B333FF"/>
    <w:rsid w:val="00B336EA"/>
    <w:rsid w:val="00B33C20"/>
    <w:rsid w:val="00B33DAB"/>
    <w:rsid w:val="00B351F7"/>
    <w:rsid w:val="00B355F8"/>
    <w:rsid w:val="00B36536"/>
    <w:rsid w:val="00B36D36"/>
    <w:rsid w:val="00B375CA"/>
    <w:rsid w:val="00B40FC1"/>
    <w:rsid w:val="00B41523"/>
    <w:rsid w:val="00B42F75"/>
    <w:rsid w:val="00B43AFC"/>
    <w:rsid w:val="00B46012"/>
    <w:rsid w:val="00B469AE"/>
    <w:rsid w:val="00B46C70"/>
    <w:rsid w:val="00B5048A"/>
    <w:rsid w:val="00B507BA"/>
    <w:rsid w:val="00B509A1"/>
    <w:rsid w:val="00B509CF"/>
    <w:rsid w:val="00B50DEE"/>
    <w:rsid w:val="00B5154D"/>
    <w:rsid w:val="00B53997"/>
    <w:rsid w:val="00B53B54"/>
    <w:rsid w:val="00B53C54"/>
    <w:rsid w:val="00B5433B"/>
    <w:rsid w:val="00B54C64"/>
    <w:rsid w:val="00B55212"/>
    <w:rsid w:val="00B5616D"/>
    <w:rsid w:val="00B56299"/>
    <w:rsid w:val="00B56884"/>
    <w:rsid w:val="00B61123"/>
    <w:rsid w:val="00B61941"/>
    <w:rsid w:val="00B61FBA"/>
    <w:rsid w:val="00B62AF5"/>
    <w:rsid w:val="00B63557"/>
    <w:rsid w:val="00B64066"/>
    <w:rsid w:val="00B64EA7"/>
    <w:rsid w:val="00B6557D"/>
    <w:rsid w:val="00B66325"/>
    <w:rsid w:val="00B669A1"/>
    <w:rsid w:val="00B66E66"/>
    <w:rsid w:val="00B6728B"/>
    <w:rsid w:val="00B700EC"/>
    <w:rsid w:val="00B703DD"/>
    <w:rsid w:val="00B70CCB"/>
    <w:rsid w:val="00B729E6"/>
    <w:rsid w:val="00B72A3B"/>
    <w:rsid w:val="00B732BB"/>
    <w:rsid w:val="00B74A30"/>
    <w:rsid w:val="00B74CE3"/>
    <w:rsid w:val="00B75482"/>
    <w:rsid w:val="00B75EED"/>
    <w:rsid w:val="00B76118"/>
    <w:rsid w:val="00B77119"/>
    <w:rsid w:val="00B773F5"/>
    <w:rsid w:val="00B801FD"/>
    <w:rsid w:val="00B818EF"/>
    <w:rsid w:val="00B82174"/>
    <w:rsid w:val="00B827BD"/>
    <w:rsid w:val="00B82C30"/>
    <w:rsid w:val="00B832D8"/>
    <w:rsid w:val="00B83E23"/>
    <w:rsid w:val="00B84292"/>
    <w:rsid w:val="00B84AEA"/>
    <w:rsid w:val="00B85E62"/>
    <w:rsid w:val="00B86A5F"/>
    <w:rsid w:val="00B878D7"/>
    <w:rsid w:val="00B903FC"/>
    <w:rsid w:val="00B907D6"/>
    <w:rsid w:val="00B91FB8"/>
    <w:rsid w:val="00B9312A"/>
    <w:rsid w:val="00B93F92"/>
    <w:rsid w:val="00B9421F"/>
    <w:rsid w:val="00B9446D"/>
    <w:rsid w:val="00B94B1C"/>
    <w:rsid w:val="00B94D42"/>
    <w:rsid w:val="00B95E15"/>
    <w:rsid w:val="00B96AF6"/>
    <w:rsid w:val="00B979F0"/>
    <w:rsid w:val="00B97F6C"/>
    <w:rsid w:val="00BA2FA3"/>
    <w:rsid w:val="00BA3907"/>
    <w:rsid w:val="00BA39D2"/>
    <w:rsid w:val="00BA4C6E"/>
    <w:rsid w:val="00BA4EA3"/>
    <w:rsid w:val="00BA58BD"/>
    <w:rsid w:val="00BA5E65"/>
    <w:rsid w:val="00BA5FD8"/>
    <w:rsid w:val="00BA6052"/>
    <w:rsid w:val="00BA6949"/>
    <w:rsid w:val="00BA6FD4"/>
    <w:rsid w:val="00BA76AC"/>
    <w:rsid w:val="00BB0A39"/>
    <w:rsid w:val="00BB0C22"/>
    <w:rsid w:val="00BB0EEC"/>
    <w:rsid w:val="00BB0FBA"/>
    <w:rsid w:val="00BB0FE8"/>
    <w:rsid w:val="00BB1359"/>
    <w:rsid w:val="00BB13FD"/>
    <w:rsid w:val="00BB14D3"/>
    <w:rsid w:val="00BB1B5C"/>
    <w:rsid w:val="00BB1D3A"/>
    <w:rsid w:val="00BB1E12"/>
    <w:rsid w:val="00BB1F25"/>
    <w:rsid w:val="00BB44EC"/>
    <w:rsid w:val="00BB4BF7"/>
    <w:rsid w:val="00BB4E0D"/>
    <w:rsid w:val="00BB5B55"/>
    <w:rsid w:val="00BB653E"/>
    <w:rsid w:val="00BB6FAA"/>
    <w:rsid w:val="00BB75D3"/>
    <w:rsid w:val="00BB7EBD"/>
    <w:rsid w:val="00BC0412"/>
    <w:rsid w:val="00BC0D84"/>
    <w:rsid w:val="00BC0EBD"/>
    <w:rsid w:val="00BC1BF4"/>
    <w:rsid w:val="00BC3455"/>
    <w:rsid w:val="00BC3A47"/>
    <w:rsid w:val="00BC3EF0"/>
    <w:rsid w:val="00BC4302"/>
    <w:rsid w:val="00BC5889"/>
    <w:rsid w:val="00BC66C3"/>
    <w:rsid w:val="00BC770E"/>
    <w:rsid w:val="00BC7B9A"/>
    <w:rsid w:val="00BD007D"/>
    <w:rsid w:val="00BD01F4"/>
    <w:rsid w:val="00BD0396"/>
    <w:rsid w:val="00BD0986"/>
    <w:rsid w:val="00BD1172"/>
    <w:rsid w:val="00BD136A"/>
    <w:rsid w:val="00BD170A"/>
    <w:rsid w:val="00BD26B0"/>
    <w:rsid w:val="00BD2C0C"/>
    <w:rsid w:val="00BD2DBC"/>
    <w:rsid w:val="00BD2FAC"/>
    <w:rsid w:val="00BD3924"/>
    <w:rsid w:val="00BD47F8"/>
    <w:rsid w:val="00BD50C6"/>
    <w:rsid w:val="00BD526B"/>
    <w:rsid w:val="00BD5E30"/>
    <w:rsid w:val="00BD67E8"/>
    <w:rsid w:val="00BD6E06"/>
    <w:rsid w:val="00BD714E"/>
    <w:rsid w:val="00BD75A9"/>
    <w:rsid w:val="00BD7901"/>
    <w:rsid w:val="00BE0007"/>
    <w:rsid w:val="00BE0113"/>
    <w:rsid w:val="00BE02D0"/>
    <w:rsid w:val="00BE1350"/>
    <w:rsid w:val="00BE291E"/>
    <w:rsid w:val="00BE30AC"/>
    <w:rsid w:val="00BE39D0"/>
    <w:rsid w:val="00BE4779"/>
    <w:rsid w:val="00BE47F6"/>
    <w:rsid w:val="00BE5563"/>
    <w:rsid w:val="00BE5564"/>
    <w:rsid w:val="00BE6432"/>
    <w:rsid w:val="00BE6E6C"/>
    <w:rsid w:val="00BE72DA"/>
    <w:rsid w:val="00BE740E"/>
    <w:rsid w:val="00BE747F"/>
    <w:rsid w:val="00BF00FB"/>
    <w:rsid w:val="00BF0267"/>
    <w:rsid w:val="00BF1D33"/>
    <w:rsid w:val="00BF2B5A"/>
    <w:rsid w:val="00BF40B5"/>
    <w:rsid w:val="00BF4A63"/>
    <w:rsid w:val="00BF59AD"/>
    <w:rsid w:val="00BF611D"/>
    <w:rsid w:val="00BF6122"/>
    <w:rsid w:val="00BF6B4E"/>
    <w:rsid w:val="00BF7A9A"/>
    <w:rsid w:val="00BF7B10"/>
    <w:rsid w:val="00BF7D11"/>
    <w:rsid w:val="00C00A63"/>
    <w:rsid w:val="00C02E42"/>
    <w:rsid w:val="00C02FD9"/>
    <w:rsid w:val="00C0345C"/>
    <w:rsid w:val="00C03AC5"/>
    <w:rsid w:val="00C03D47"/>
    <w:rsid w:val="00C05581"/>
    <w:rsid w:val="00C05AA5"/>
    <w:rsid w:val="00C066DB"/>
    <w:rsid w:val="00C101B2"/>
    <w:rsid w:val="00C10372"/>
    <w:rsid w:val="00C10CA8"/>
    <w:rsid w:val="00C10E78"/>
    <w:rsid w:val="00C116A3"/>
    <w:rsid w:val="00C119D6"/>
    <w:rsid w:val="00C11B34"/>
    <w:rsid w:val="00C1205A"/>
    <w:rsid w:val="00C12A79"/>
    <w:rsid w:val="00C136A9"/>
    <w:rsid w:val="00C14CF1"/>
    <w:rsid w:val="00C1541A"/>
    <w:rsid w:val="00C15615"/>
    <w:rsid w:val="00C16EE1"/>
    <w:rsid w:val="00C17692"/>
    <w:rsid w:val="00C17859"/>
    <w:rsid w:val="00C17FC0"/>
    <w:rsid w:val="00C221A7"/>
    <w:rsid w:val="00C222FC"/>
    <w:rsid w:val="00C22B08"/>
    <w:rsid w:val="00C23CD4"/>
    <w:rsid w:val="00C23E08"/>
    <w:rsid w:val="00C241E0"/>
    <w:rsid w:val="00C244A1"/>
    <w:rsid w:val="00C25233"/>
    <w:rsid w:val="00C260AE"/>
    <w:rsid w:val="00C271DF"/>
    <w:rsid w:val="00C27598"/>
    <w:rsid w:val="00C27E4C"/>
    <w:rsid w:val="00C306FD"/>
    <w:rsid w:val="00C311EC"/>
    <w:rsid w:val="00C311EE"/>
    <w:rsid w:val="00C313B5"/>
    <w:rsid w:val="00C313F5"/>
    <w:rsid w:val="00C319E0"/>
    <w:rsid w:val="00C31F7E"/>
    <w:rsid w:val="00C321BA"/>
    <w:rsid w:val="00C325A8"/>
    <w:rsid w:val="00C34986"/>
    <w:rsid w:val="00C354E9"/>
    <w:rsid w:val="00C3695F"/>
    <w:rsid w:val="00C372AF"/>
    <w:rsid w:val="00C375DE"/>
    <w:rsid w:val="00C37733"/>
    <w:rsid w:val="00C40022"/>
    <w:rsid w:val="00C401B9"/>
    <w:rsid w:val="00C4037C"/>
    <w:rsid w:val="00C40DB9"/>
    <w:rsid w:val="00C41D69"/>
    <w:rsid w:val="00C42159"/>
    <w:rsid w:val="00C43852"/>
    <w:rsid w:val="00C439EE"/>
    <w:rsid w:val="00C45042"/>
    <w:rsid w:val="00C455BA"/>
    <w:rsid w:val="00C47A1F"/>
    <w:rsid w:val="00C47D02"/>
    <w:rsid w:val="00C47DA5"/>
    <w:rsid w:val="00C500CC"/>
    <w:rsid w:val="00C50305"/>
    <w:rsid w:val="00C506CB"/>
    <w:rsid w:val="00C50CAA"/>
    <w:rsid w:val="00C523F7"/>
    <w:rsid w:val="00C52DF5"/>
    <w:rsid w:val="00C52FCD"/>
    <w:rsid w:val="00C53C47"/>
    <w:rsid w:val="00C549DB"/>
    <w:rsid w:val="00C55BD0"/>
    <w:rsid w:val="00C56094"/>
    <w:rsid w:val="00C56CE2"/>
    <w:rsid w:val="00C574C5"/>
    <w:rsid w:val="00C57B26"/>
    <w:rsid w:val="00C6049B"/>
    <w:rsid w:val="00C61100"/>
    <w:rsid w:val="00C618D0"/>
    <w:rsid w:val="00C61A6D"/>
    <w:rsid w:val="00C61A9F"/>
    <w:rsid w:val="00C62549"/>
    <w:rsid w:val="00C63072"/>
    <w:rsid w:val="00C6442A"/>
    <w:rsid w:val="00C646DF"/>
    <w:rsid w:val="00C64B20"/>
    <w:rsid w:val="00C66D8B"/>
    <w:rsid w:val="00C67853"/>
    <w:rsid w:val="00C67E05"/>
    <w:rsid w:val="00C71250"/>
    <w:rsid w:val="00C7184E"/>
    <w:rsid w:val="00C71CBB"/>
    <w:rsid w:val="00C73477"/>
    <w:rsid w:val="00C73E31"/>
    <w:rsid w:val="00C745F5"/>
    <w:rsid w:val="00C75013"/>
    <w:rsid w:val="00C753AC"/>
    <w:rsid w:val="00C75593"/>
    <w:rsid w:val="00C75943"/>
    <w:rsid w:val="00C76FE3"/>
    <w:rsid w:val="00C77660"/>
    <w:rsid w:val="00C8028E"/>
    <w:rsid w:val="00C80732"/>
    <w:rsid w:val="00C80866"/>
    <w:rsid w:val="00C814A1"/>
    <w:rsid w:val="00C81C4D"/>
    <w:rsid w:val="00C820D6"/>
    <w:rsid w:val="00C820DE"/>
    <w:rsid w:val="00C821BA"/>
    <w:rsid w:val="00C82801"/>
    <w:rsid w:val="00C82B87"/>
    <w:rsid w:val="00C83B96"/>
    <w:rsid w:val="00C84172"/>
    <w:rsid w:val="00C849DF"/>
    <w:rsid w:val="00C85328"/>
    <w:rsid w:val="00C857F6"/>
    <w:rsid w:val="00C8588F"/>
    <w:rsid w:val="00C85C44"/>
    <w:rsid w:val="00C87308"/>
    <w:rsid w:val="00C90042"/>
    <w:rsid w:val="00C90DE7"/>
    <w:rsid w:val="00C91AC4"/>
    <w:rsid w:val="00C9216C"/>
    <w:rsid w:val="00C92790"/>
    <w:rsid w:val="00C92ADB"/>
    <w:rsid w:val="00C93383"/>
    <w:rsid w:val="00C941B3"/>
    <w:rsid w:val="00C9470C"/>
    <w:rsid w:val="00C9486C"/>
    <w:rsid w:val="00C95186"/>
    <w:rsid w:val="00C9657A"/>
    <w:rsid w:val="00C96680"/>
    <w:rsid w:val="00C96ACA"/>
    <w:rsid w:val="00CA073A"/>
    <w:rsid w:val="00CA117C"/>
    <w:rsid w:val="00CA20A9"/>
    <w:rsid w:val="00CA2BD6"/>
    <w:rsid w:val="00CA3144"/>
    <w:rsid w:val="00CA36BE"/>
    <w:rsid w:val="00CA422B"/>
    <w:rsid w:val="00CA44EA"/>
    <w:rsid w:val="00CA47E1"/>
    <w:rsid w:val="00CA4875"/>
    <w:rsid w:val="00CA4CD2"/>
    <w:rsid w:val="00CA69B3"/>
    <w:rsid w:val="00CA6FFE"/>
    <w:rsid w:val="00CA75A0"/>
    <w:rsid w:val="00CA77A5"/>
    <w:rsid w:val="00CB10D0"/>
    <w:rsid w:val="00CB189F"/>
    <w:rsid w:val="00CB1F3D"/>
    <w:rsid w:val="00CB3875"/>
    <w:rsid w:val="00CB3B9B"/>
    <w:rsid w:val="00CB4574"/>
    <w:rsid w:val="00CB4890"/>
    <w:rsid w:val="00CB6A83"/>
    <w:rsid w:val="00CB6D1F"/>
    <w:rsid w:val="00CB6EA9"/>
    <w:rsid w:val="00CC0A1B"/>
    <w:rsid w:val="00CC0F7F"/>
    <w:rsid w:val="00CC194E"/>
    <w:rsid w:val="00CC3F48"/>
    <w:rsid w:val="00CC43F8"/>
    <w:rsid w:val="00CC6516"/>
    <w:rsid w:val="00CC6AE1"/>
    <w:rsid w:val="00CC7268"/>
    <w:rsid w:val="00CD070E"/>
    <w:rsid w:val="00CD09AE"/>
    <w:rsid w:val="00CD1E88"/>
    <w:rsid w:val="00CD1EF9"/>
    <w:rsid w:val="00CD2BE8"/>
    <w:rsid w:val="00CD2CAD"/>
    <w:rsid w:val="00CD3C34"/>
    <w:rsid w:val="00CD3C80"/>
    <w:rsid w:val="00CD55B8"/>
    <w:rsid w:val="00CD578B"/>
    <w:rsid w:val="00CD68B8"/>
    <w:rsid w:val="00CD6C17"/>
    <w:rsid w:val="00CD72D8"/>
    <w:rsid w:val="00CD7410"/>
    <w:rsid w:val="00CD7C11"/>
    <w:rsid w:val="00CE06CD"/>
    <w:rsid w:val="00CE0764"/>
    <w:rsid w:val="00CE11B0"/>
    <w:rsid w:val="00CE142D"/>
    <w:rsid w:val="00CE149E"/>
    <w:rsid w:val="00CE1958"/>
    <w:rsid w:val="00CE1A48"/>
    <w:rsid w:val="00CE208E"/>
    <w:rsid w:val="00CE33CA"/>
    <w:rsid w:val="00CE40F6"/>
    <w:rsid w:val="00CE4552"/>
    <w:rsid w:val="00CE4B29"/>
    <w:rsid w:val="00CE5CF7"/>
    <w:rsid w:val="00CE6C68"/>
    <w:rsid w:val="00CE7049"/>
    <w:rsid w:val="00CF0D8C"/>
    <w:rsid w:val="00CF0E87"/>
    <w:rsid w:val="00CF0F0E"/>
    <w:rsid w:val="00CF1769"/>
    <w:rsid w:val="00CF2027"/>
    <w:rsid w:val="00CF2C58"/>
    <w:rsid w:val="00CF4E59"/>
    <w:rsid w:val="00CF54C2"/>
    <w:rsid w:val="00CF5B88"/>
    <w:rsid w:val="00CF5D16"/>
    <w:rsid w:val="00CF62AC"/>
    <w:rsid w:val="00CF6529"/>
    <w:rsid w:val="00CF7082"/>
    <w:rsid w:val="00CF74F0"/>
    <w:rsid w:val="00D00DF4"/>
    <w:rsid w:val="00D0237F"/>
    <w:rsid w:val="00D026EC"/>
    <w:rsid w:val="00D02CFD"/>
    <w:rsid w:val="00D03314"/>
    <w:rsid w:val="00D03729"/>
    <w:rsid w:val="00D0451D"/>
    <w:rsid w:val="00D04B89"/>
    <w:rsid w:val="00D04DD3"/>
    <w:rsid w:val="00D061C0"/>
    <w:rsid w:val="00D071B3"/>
    <w:rsid w:val="00D07F2C"/>
    <w:rsid w:val="00D101FB"/>
    <w:rsid w:val="00D10398"/>
    <w:rsid w:val="00D13DCA"/>
    <w:rsid w:val="00D13ECA"/>
    <w:rsid w:val="00D1419E"/>
    <w:rsid w:val="00D15E04"/>
    <w:rsid w:val="00D16FB2"/>
    <w:rsid w:val="00D17CDF"/>
    <w:rsid w:val="00D207D9"/>
    <w:rsid w:val="00D20A46"/>
    <w:rsid w:val="00D21A2D"/>
    <w:rsid w:val="00D22BDE"/>
    <w:rsid w:val="00D259EA"/>
    <w:rsid w:val="00D25DB2"/>
    <w:rsid w:val="00D26362"/>
    <w:rsid w:val="00D26FF9"/>
    <w:rsid w:val="00D270CA"/>
    <w:rsid w:val="00D273D2"/>
    <w:rsid w:val="00D27D2C"/>
    <w:rsid w:val="00D305FD"/>
    <w:rsid w:val="00D30708"/>
    <w:rsid w:val="00D30CBE"/>
    <w:rsid w:val="00D31BF4"/>
    <w:rsid w:val="00D31D57"/>
    <w:rsid w:val="00D31DA7"/>
    <w:rsid w:val="00D31ED6"/>
    <w:rsid w:val="00D3234F"/>
    <w:rsid w:val="00D325C7"/>
    <w:rsid w:val="00D32C95"/>
    <w:rsid w:val="00D33CDB"/>
    <w:rsid w:val="00D33EAC"/>
    <w:rsid w:val="00D34559"/>
    <w:rsid w:val="00D34F6D"/>
    <w:rsid w:val="00D36E89"/>
    <w:rsid w:val="00D424FF"/>
    <w:rsid w:val="00D42580"/>
    <w:rsid w:val="00D44607"/>
    <w:rsid w:val="00D44F41"/>
    <w:rsid w:val="00D45926"/>
    <w:rsid w:val="00D45B18"/>
    <w:rsid w:val="00D46AF4"/>
    <w:rsid w:val="00D507A1"/>
    <w:rsid w:val="00D5131B"/>
    <w:rsid w:val="00D5148D"/>
    <w:rsid w:val="00D5211E"/>
    <w:rsid w:val="00D539D9"/>
    <w:rsid w:val="00D53A33"/>
    <w:rsid w:val="00D5446C"/>
    <w:rsid w:val="00D54638"/>
    <w:rsid w:val="00D54D9F"/>
    <w:rsid w:val="00D55A1E"/>
    <w:rsid w:val="00D55A92"/>
    <w:rsid w:val="00D55B7E"/>
    <w:rsid w:val="00D55D3B"/>
    <w:rsid w:val="00D56855"/>
    <w:rsid w:val="00D573B8"/>
    <w:rsid w:val="00D57EEB"/>
    <w:rsid w:val="00D60007"/>
    <w:rsid w:val="00D601A1"/>
    <w:rsid w:val="00D60684"/>
    <w:rsid w:val="00D60E79"/>
    <w:rsid w:val="00D61084"/>
    <w:rsid w:val="00D611E6"/>
    <w:rsid w:val="00D61943"/>
    <w:rsid w:val="00D64747"/>
    <w:rsid w:val="00D64D52"/>
    <w:rsid w:val="00D65058"/>
    <w:rsid w:val="00D668B1"/>
    <w:rsid w:val="00D66BA4"/>
    <w:rsid w:val="00D66CD1"/>
    <w:rsid w:val="00D70413"/>
    <w:rsid w:val="00D70510"/>
    <w:rsid w:val="00D7135F"/>
    <w:rsid w:val="00D71EA9"/>
    <w:rsid w:val="00D72D30"/>
    <w:rsid w:val="00D74285"/>
    <w:rsid w:val="00D74E73"/>
    <w:rsid w:val="00D756FD"/>
    <w:rsid w:val="00D75D70"/>
    <w:rsid w:val="00D75EBF"/>
    <w:rsid w:val="00D760B8"/>
    <w:rsid w:val="00D76601"/>
    <w:rsid w:val="00D76D52"/>
    <w:rsid w:val="00D76D77"/>
    <w:rsid w:val="00D77D84"/>
    <w:rsid w:val="00D77FE8"/>
    <w:rsid w:val="00D8058C"/>
    <w:rsid w:val="00D807F3"/>
    <w:rsid w:val="00D808A9"/>
    <w:rsid w:val="00D81137"/>
    <w:rsid w:val="00D81AD6"/>
    <w:rsid w:val="00D81B98"/>
    <w:rsid w:val="00D82122"/>
    <w:rsid w:val="00D825BE"/>
    <w:rsid w:val="00D83356"/>
    <w:rsid w:val="00D844C0"/>
    <w:rsid w:val="00D848D9"/>
    <w:rsid w:val="00D84B8A"/>
    <w:rsid w:val="00D85B48"/>
    <w:rsid w:val="00D866A4"/>
    <w:rsid w:val="00D8733A"/>
    <w:rsid w:val="00D8756E"/>
    <w:rsid w:val="00D87932"/>
    <w:rsid w:val="00D87F1B"/>
    <w:rsid w:val="00D87F65"/>
    <w:rsid w:val="00D90761"/>
    <w:rsid w:val="00D90875"/>
    <w:rsid w:val="00D91940"/>
    <w:rsid w:val="00D91AB7"/>
    <w:rsid w:val="00D91E2A"/>
    <w:rsid w:val="00D92646"/>
    <w:rsid w:val="00D93726"/>
    <w:rsid w:val="00D938A2"/>
    <w:rsid w:val="00D95BFE"/>
    <w:rsid w:val="00D95ECC"/>
    <w:rsid w:val="00D96AA6"/>
    <w:rsid w:val="00DA0668"/>
    <w:rsid w:val="00DA0AB9"/>
    <w:rsid w:val="00DA19C4"/>
    <w:rsid w:val="00DA3718"/>
    <w:rsid w:val="00DA3890"/>
    <w:rsid w:val="00DA3CB5"/>
    <w:rsid w:val="00DA4C1A"/>
    <w:rsid w:val="00DA5842"/>
    <w:rsid w:val="00DA5E3D"/>
    <w:rsid w:val="00DA72D7"/>
    <w:rsid w:val="00DA77AE"/>
    <w:rsid w:val="00DB0697"/>
    <w:rsid w:val="00DB091B"/>
    <w:rsid w:val="00DB20DA"/>
    <w:rsid w:val="00DB217D"/>
    <w:rsid w:val="00DB2253"/>
    <w:rsid w:val="00DB2B4F"/>
    <w:rsid w:val="00DB3C9E"/>
    <w:rsid w:val="00DB43EB"/>
    <w:rsid w:val="00DB455B"/>
    <w:rsid w:val="00DB4C16"/>
    <w:rsid w:val="00DB4EE3"/>
    <w:rsid w:val="00DB537B"/>
    <w:rsid w:val="00DB581E"/>
    <w:rsid w:val="00DB6432"/>
    <w:rsid w:val="00DB6A2A"/>
    <w:rsid w:val="00DB6C9E"/>
    <w:rsid w:val="00DB7D7C"/>
    <w:rsid w:val="00DC086A"/>
    <w:rsid w:val="00DC13C1"/>
    <w:rsid w:val="00DC1870"/>
    <w:rsid w:val="00DC1E66"/>
    <w:rsid w:val="00DC258F"/>
    <w:rsid w:val="00DC30DD"/>
    <w:rsid w:val="00DC333C"/>
    <w:rsid w:val="00DC4597"/>
    <w:rsid w:val="00DC49DD"/>
    <w:rsid w:val="00DC4B75"/>
    <w:rsid w:val="00DC4CB7"/>
    <w:rsid w:val="00DC5DC4"/>
    <w:rsid w:val="00DC5FA3"/>
    <w:rsid w:val="00DC6832"/>
    <w:rsid w:val="00DC6AF5"/>
    <w:rsid w:val="00DC7EEB"/>
    <w:rsid w:val="00DD0888"/>
    <w:rsid w:val="00DD092B"/>
    <w:rsid w:val="00DD368E"/>
    <w:rsid w:val="00DD5AF0"/>
    <w:rsid w:val="00DD5C30"/>
    <w:rsid w:val="00DD60B3"/>
    <w:rsid w:val="00DD6E84"/>
    <w:rsid w:val="00DD7844"/>
    <w:rsid w:val="00DE0305"/>
    <w:rsid w:val="00DE0B7E"/>
    <w:rsid w:val="00DE0CCB"/>
    <w:rsid w:val="00DE0CEA"/>
    <w:rsid w:val="00DE19EB"/>
    <w:rsid w:val="00DE244D"/>
    <w:rsid w:val="00DE2A44"/>
    <w:rsid w:val="00DE2E11"/>
    <w:rsid w:val="00DE3438"/>
    <w:rsid w:val="00DE375C"/>
    <w:rsid w:val="00DE3B62"/>
    <w:rsid w:val="00DE473B"/>
    <w:rsid w:val="00DE523D"/>
    <w:rsid w:val="00DE561E"/>
    <w:rsid w:val="00DE5778"/>
    <w:rsid w:val="00DE5822"/>
    <w:rsid w:val="00DF0062"/>
    <w:rsid w:val="00DF0776"/>
    <w:rsid w:val="00DF0E87"/>
    <w:rsid w:val="00DF128F"/>
    <w:rsid w:val="00DF1D2B"/>
    <w:rsid w:val="00DF2325"/>
    <w:rsid w:val="00DF26E5"/>
    <w:rsid w:val="00DF312C"/>
    <w:rsid w:val="00DF34A4"/>
    <w:rsid w:val="00DF44B0"/>
    <w:rsid w:val="00DF460E"/>
    <w:rsid w:val="00DF56E2"/>
    <w:rsid w:val="00DF5EFA"/>
    <w:rsid w:val="00DF611E"/>
    <w:rsid w:val="00DF768C"/>
    <w:rsid w:val="00DF7FA5"/>
    <w:rsid w:val="00E0253D"/>
    <w:rsid w:val="00E03833"/>
    <w:rsid w:val="00E04791"/>
    <w:rsid w:val="00E0544C"/>
    <w:rsid w:val="00E05C92"/>
    <w:rsid w:val="00E0621C"/>
    <w:rsid w:val="00E06828"/>
    <w:rsid w:val="00E074B9"/>
    <w:rsid w:val="00E07507"/>
    <w:rsid w:val="00E07E7C"/>
    <w:rsid w:val="00E103BB"/>
    <w:rsid w:val="00E107EF"/>
    <w:rsid w:val="00E10DBC"/>
    <w:rsid w:val="00E12C07"/>
    <w:rsid w:val="00E14204"/>
    <w:rsid w:val="00E14340"/>
    <w:rsid w:val="00E16C27"/>
    <w:rsid w:val="00E16F5A"/>
    <w:rsid w:val="00E175C6"/>
    <w:rsid w:val="00E208A4"/>
    <w:rsid w:val="00E210C3"/>
    <w:rsid w:val="00E213C5"/>
    <w:rsid w:val="00E21453"/>
    <w:rsid w:val="00E21910"/>
    <w:rsid w:val="00E23740"/>
    <w:rsid w:val="00E25763"/>
    <w:rsid w:val="00E26194"/>
    <w:rsid w:val="00E264F1"/>
    <w:rsid w:val="00E265C3"/>
    <w:rsid w:val="00E26624"/>
    <w:rsid w:val="00E270CC"/>
    <w:rsid w:val="00E271A5"/>
    <w:rsid w:val="00E27D51"/>
    <w:rsid w:val="00E30375"/>
    <w:rsid w:val="00E308A5"/>
    <w:rsid w:val="00E30B67"/>
    <w:rsid w:val="00E31020"/>
    <w:rsid w:val="00E31BBC"/>
    <w:rsid w:val="00E31E42"/>
    <w:rsid w:val="00E32394"/>
    <w:rsid w:val="00E32BAF"/>
    <w:rsid w:val="00E32FFF"/>
    <w:rsid w:val="00E331D3"/>
    <w:rsid w:val="00E332AC"/>
    <w:rsid w:val="00E339F2"/>
    <w:rsid w:val="00E34864"/>
    <w:rsid w:val="00E34902"/>
    <w:rsid w:val="00E34996"/>
    <w:rsid w:val="00E351DD"/>
    <w:rsid w:val="00E3543F"/>
    <w:rsid w:val="00E3592E"/>
    <w:rsid w:val="00E3668D"/>
    <w:rsid w:val="00E36C0C"/>
    <w:rsid w:val="00E376BD"/>
    <w:rsid w:val="00E40BE1"/>
    <w:rsid w:val="00E41329"/>
    <w:rsid w:val="00E414B8"/>
    <w:rsid w:val="00E41B3C"/>
    <w:rsid w:val="00E41DA4"/>
    <w:rsid w:val="00E42581"/>
    <w:rsid w:val="00E42E26"/>
    <w:rsid w:val="00E42EC1"/>
    <w:rsid w:val="00E43B11"/>
    <w:rsid w:val="00E43EBA"/>
    <w:rsid w:val="00E4423A"/>
    <w:rsid w:val="00E4466F"/>
    <w:rsid w:val="00E44B98"/>
    <w:rsid w:val="00E45973"/>
    <w:rsid w:val="00E45EDF"/>
    <w:rsid w:val="00E46C59"/>
    <w:rsid w:val="00E46EA4"/>
    <w:rsid w:val="00E47279"/>
    <w:rsid w:val="00E47871"/>
    <w:rsid w:val="00E47A90"/>
    <w:rsid w:val="00E47F94"/>
    <w:rsid w:val="00E509EF"/>
    <w:rsid w:val="00E5136E"/>
    <w:rsid w:val="00E5275A"/>
    <w:rsid w:val="00E53707"/>
    <w:rsid w:val="00E53F34"/>
    <w:rsid w:val="00E54105"/>
    <w:rsid w:val="00E55044"/>
    <w:rsid w:val="00E55359"/>
    <w:rsid w:val="00E55BA2"/>
    <w:rsid w:val="00E56A69"/>
    <w:rsid w:val="00E57495"/>
    <w:rsid w:val="00E57E8D"/>
    <w:rsid w:val="00E6007D"/>
    <w:rsid w:val="00E60917"/>
    <w:rsid w:val="00E61BE4"/>
    <w:rsid w:val="00E6216A"/>
    <w:rsid w:val="00E62722"/>
    <w:rsid w:val="00E648F6"/>
    <w:rsid w:val="00E651D2"/>
    <w:rsid w:val="00E65342"/>
    <w:rsid w:val="00E657A6"/>
    <w:rsid w:val="00E66572"/>
    <w:rsid w:val="00E6700D"/>
    <w:rsid w:val="00E67417"/>
    <w:rsid w:val="00E675EC"/>
    <w:rsid w:val="00E70041"/>
    <w:rsid w:val="00E70729"/>
    <w:rsid w:val="00E709E9"/>
    <w:rsid w:val="00E7296C"/>
    <w:rsid w:val="00E729D9"/>
    <w:rsid w:val="00E737C7"/>
    <w:rsid w:val="00E741FA"/>
    <w:rsid w:val="00E74288"/>
    <w:rsid w:val="00E745F3"/>
    <w:rsid w:val="00E75598"/>
    <w:rsid w:val="00E75E9A"/>
    <w:rsid w:val="00E75F6A"/>
    <w:rsid w:val="00E75FD6"/>
    <w:rsid w:val="00E7637F"/>
    <w:rsid w:val="00E76A61"/>
    <w:rsid w:val="00E76DCA"/>
    <w:rsid w:val="00E77E82"/>
    <w:rsid w:val="00E814B9"/>
    <w:rsid w:val="00E81C37"/>
    <w:rsid w:val="00E82DEF"/>
    <w:rsid w:val="00E82E58"/>
    <w:rsid w:val="00E832B2"/>
    <w:rsid w:val="00E834C8"/>
    <w:rsid w:val="00E83C46"/>
    <w:rsid w:val="00E83DD5"/>
    <w:rsid w:val="00E85114"/>
    <w:rsid w:val="00E85C13"/>
    <w:rsid w:val="00E867D7"/>
    <w:rsid w:val="00E8737B"/>
    <w:rsid w:val="00E900F1"/>
    <w:rsid w:val="00E90E32"/>
    <w:rsid w:val="00E90EB9"/>
    <w:rsid w:val="00E960A3"/>
    <w:rsid w:val="00E96727"/>
    <w:rsid w:val="00E96749"/>
    <w:rsid w:val="00E96BCE"/>
    <w:rsid w:val="00E96C7B"/>
    <w:rsid w:val="00E97CC3"/>
    <w:rsid w:val="00EA0A03"/>
    <w:rsid w:val="00EA0A3C"/>
    <w:rsid w:val="00EA123D"/>
    <w:rsid w:val="00EA1D2B"/>
    <w:rsid w:val="00EA40C6"/>
    <w:rsid w:val="00EA420F"/>
    <w:rsid w:val="00EA47E3"/>
    <w:rsid w:val="00EA55EA"/>
    <w:rsid w:val="00EA589B"/>
    <w:rsid w:val="00EA5AFA"/>
    <w:rsid w:val="00EA612B"/>
    <w:rsid w:val="00EA62EA"/>
    <w:rsid w:val="00EA75EE"/>
    <w:rsid w:val="00EB129B"/>
    <w:rsid w:val="00EB2271"/>
    <w:rsid w:val="00EB2FD4"/>
    <w:rsid w:val="00EB31DB"/>
    <w:rsid w:val="00EB3539"/>
    <w:rsid w:val="00EB4440"/>
    <w:rsid w:val="00EB470E"/>
    <w:rsid w:val="00EB47A7"/>
    <w:rsid w:val="00EB4A29"/>
    <w:rsid w:val="00EB4C4D"/>
    <w:rsid w:val="00EB5980"/>
    <w:rsid w:val="00EB68FA"/>
    <w:rsid w:val="00EB6D88"/>
    <w:rsid w:val="00EB7398"/>
    <w:rsid w:val="00EB7AE4"/>
    <w:rsid w:val="00EB7E48"/>
    <w:rsid w:val="00EC0452"/>
    <w:rsid w:val="00EC111B"/>
    <w:rsid w:val="00EC210B"/>
    <w:rsid w:val="00EC3998"/>
    <w:rsid w:val="00EC42FA"/>
    <w:rsid w:val="00EC468B"/>
    <w:rsid w:val="00EC4C11"/>
    <w:rsid w:val="00EC59C0"/>
    <w:rsid w:val="00EC5D33"/>
    <w:rsid w:val="00EC64AE"/>
    <w:rsid w:val="00EC6A63"/>
    <w:rsid w:val="00ED01CD"/>
    <w:rsid w:val="00ED0802"/>
    <w:rsid w:val="00ED1B7A"/>
    <w:rsid w:val="00ED2749"/>
    <w:rsid w:val="00ED301C"/>
    <w:rsid w:val="00ED34BF"/>
    <w:rsid w:val="00ED3A25"/>
    <w:rsid w:val="00ED44AD"/>
    <w:rsid w:val="00ED4578"/>
    <w:rsid w:val="00ED6B58"/>
    <w:rsid w:val="00ED6B6B"/>
    <w:rsid w:val="00ED7FD8"/>
    <w:rsid w:val="00EE0170"/>
    <w:rsid w:val="00EE0FAB"/>
    <w:rsid w:val="00EE1667"/>
    <w:rsid w:val="00EE1DB8"/>
    <w:rsid w:val="00EE2833"/>
    <w:rsid w:val="00EE30F5"/>
    <w:rsid w:val="00EE4440"/>
    <w:rsid w:val="00EE52BD"/>
    <w:rsid w:val="00EE5312"/>
    <w:rsid w:val="00EF0B1C"/>
    <w:rsid w:val="00EF12D9"/>
    <w:rsid w:val="00EF15F7"/>
    <w:rsid w:val="00EF19F4"/>
    <w:rsid w:val="00EF2FA3"/>
    <w:rsid w:val="00EF3920"/>
    <w:rsid w:val="00EF3AF5"/>
    <w:rsid w:val="00EF6093"/>
    <w:rsid w:val="00EF614E"/>
    <w:rsid w:val="00EF6236"/>
    <w:rsid w:val="00EF63F5"/>
    <w:rsid w:val="00EF744E"/>
    <w:rsid w:val="00EF783C"/>
    <w:rsid w:val="00F008B0"/>
    <w:rsid w:val="00F01535"/>
    <w:rsid w:val="00F0154A"/>
    <w:rsid w:val="00F017C0"/>
    <w:rsid w:val="00F01C1D"/>
    <w:rsid w:val="00F01D96"/>
    <w:rsid w:val="00F01F5A"/>
    <w:rsid w:val="00F030D3"/>
    <w:rsid w:val="00F038BD"/>
    <w:rsid w:val="00F042E9"/>
    <w:rsid w:val="00F049CC"/>
    <w:rsid w:val="00F04B3F"/>
    <w:rsid w:val="00F04D90"/>
    <w:rsid w:val="00F04F23"/>
    <w:rsid w:val="00F05202"/>
    <w:rsid w:val="00F057E9"/>
    <w:rsid w:val="00F07FCE"/>
    <w:rsid w:val="00F10209"/>
    <w:rsid w:val="00F11C8D"/>
    <w:rsid w:val="00F121DD"/>
    <w:rsid w:val="00F13076"/>
    <w:rsid w:val="00F143B2"/>
    <w:rsid w:val="00F15078"/>
    <w:rsid w:val="00F150C1"/>
    <w:rsid w:val="00F163E5"/>
    <w:rsid w:val="00F16CAE"/>
    <w:rsid w:val="00F17078"/>
    <w:rsid w:val="00F20572"/>
    <w:rsid w:val="00F2175A"/>
    <w:rsid w:val="00F218A1"/>
    <w:rsid w:val="00F21FE3"/>
    <w:rsid w:val="00F234AF"/>
    <w:rsid w:val="00F237B8"/>
    <w:rsid w:val="00F23A79"/>
    <w:rsid w:val="00F24255"/>
    <w:rsid w:val="00F25274"/>
    <w:rsid w:val="00F25BAD"/>
    <w:rsid w:val="00F25C01"/>
    <w:rsid w:val="00F2627B"/>
    <w:rsid w:val="00F264F0"/>
    <w:rsid w:val="00F266D7"/>
    <w:rsid w:val="00F2681D"/>
    <w:rsid w:val="00F26DCB"/>
    <w:rsid w:val="00F26E42"/>
    <w:rsid w:val="00F27172"/>
    <w:rsid w:val="00F300F6"/>
    <w:rsid w:val="00F30811"/>
    <w:rsid w:val="00F30C41"/>
    <w:rsid w:val="00F3280B"/>
    <w:rsid w:val="00F32DEF"/>
    <w:rsid w:val="00F32F60"/>
    <w:rsid w:val="00F34B59"/>
    <w:rsid w:val="00F35538"/>
    <w:rsid w:val="00F35712"/>
    <w:rsid w:val="00F36AF7"/>
    <w:rsid w:val="00F370D1"/>
    <w:rsid w:val="00F3720F"/>
    <w:rsid w:val="00F41423"/>
    <w:rsid w:val="00F416D1"/>
    <w:rsid w:val="00F41E6A"/>
    <w:rsid w:val="00F428F7"/>
    <w:rsid w:val="00F42B9B"/>
    <w:rsid w:val="00F437A0"/>
    <w:rsid w:val="00F44143"/>
    <w:rsid w:val="00F4417C"/>
    <w:rsid w:val="00F44CCA"/>
    <w:rsid w:val="00F45833"/>
    <w:rsid w:val="00F461CA"/>
    <w:rsid w:val="00F461F2"/>
    <w:rsid w:val="00F4647D"/>
    <w:rsid w:val="00F46A65"/>
    <w:rsid w:val="00F46B07"/>
    <w:rsid w:val="00F472D2"/>
    <w:rsid w:val="00F50137"/>
    <w:rsid w:val="00F51D62"/>
    <w:rsid w:val="00F51D7B"/>
    <w:rsid w:val="00F5240F"/>
    <w:rsid w:val="00F5258F"/>
    <w:rsid w:val="00F52ADB"/>
    <w:rsid w:val="00F5321E"/>
    <w:rsid w:val="00F532E0"/>
    <w:rsid w:val="00F54483"/>
    <w:rsid w:val="00F5472D"/>
    <w:rsid w:val="00F54A19"/>
    <w:rsid w:val="00F558B5"/>
    <w:rsid w:val="00F55D97"/>
    <w:rsid w:val="00F56091"/>
    <w:rsid w:val="00F56563"/>
    <w:rsid w:val="00F57298"/>
    <w:rsid w:val="00F57E38"/>
    <w:rsid w:val="00F57FA6"/>
    <w:rsid w:val="00F60D41"/>
    <w:rsid w:val="00F6156F"/>
    <w:rsid w:val="00F62F38"/>
    <w:rsid w:val="00F639E2"/>
    <w:rsid w:val="00F63F64"/>
    <w:rsid w:val="00F643FA"/>
    <w:rsid w:val="00F64F99"/>
    <w:rsid w:val="00F65D2E"/>
    <w:rsid w:val="00F66581"/>
    <w:rsid w:val="00F670D9"/>
    <w:rsid w:val="00F671F9"/>
    <w:rsid w:val="00F67A76"/>
    <w:rsid w:val="00F70B66"/>
    <w:rsid w:val="00F72775"/>
    <w:rsid w:val="00F72BE6"/>
    <w:rsid w:val="00F736E0"/>
    <w:rsid w:val="00F74E49"/>
    <w:rsid w:val="00F76515"/>
    <w:rsid w:val="00F77071"/>
    <w:rsid w:val="00F80292"/>
    <w:rsid w:val="00F80E9C"/>
    <w:rsid w:val="00F8279D"/>
    <w:rsid w:val="00F841F0"/>
    <w:rsid w:val="00F8429A"/>
    <w:rsid w:val="00F84667"/>
    <w:rsid w:val="00F854F2"/>
    <w:rsid w:val="00F858F2"/>
    <w:rsid w:val="00F864D6"/>
    <w:rsid w:val="00F86BFC"/>
    <w:rsid w:val="00F90A52"/>
    <w:rsid w:val="00F90E4D"/>
    <w:rsid w:val="00F922D5"/>
    <w:rsid w:val="00F922F0"/>
    <w:rsid w:val="00F92FA0"/>
    <w:rsid w:val="00F934E7"/>
    <w:rsid w:val="00F93DB7"/>
    <w:rsid w:val="00F95AC8"/>
    <w:rsid w:val="00F9651F"/>
    <w:rsid w:val="00F97E53"/>
    <w:rsid w:val="00FA10DB"/>
    <w:rsid w:val="00FA27DC"/>
    <w:rsid w:val="00FA2BAA"/>
    <w:rsid w:val="00FA31E9"/>
    <w:rsid w:val="00FA3CDC"/>
    <w:rsid w:val="00FA4293"/>
    <w:rsid w:val="00FA4F4C"/>
    <w:rsid w:val="00FA5BE2"/>
    <w:rsid w:val="00FA5C2D"/>
    <w:rsid w:val="00FA717E"/>
    <w:rsid w:val="00FA7E13"/>
    <w:rsid w:val="00FB218D"/>
    <w:rsid w:val="00FB294A"/>
    <w:rsid w:val="00FB2D4D"/>
    <w:rsid w:val="00FB5A42"/>
    <w:rsid w:val="00FB5F86"/>
    <w:rsid w:val="00FB65D9"/>
    <w:rsid w:val="00FB6DFE"/>
    <w:rsid w:val="00FB73F9"/>
    <w:rsid w:val="00FC0C85"/>
    <w:rsid w:val="00FC0D8E"/>
    <w:rsid w:val="00FC0F4D"/>
    <w:rsid w:val="00FC1877"/>
    <w:rsid w:val="00FC1E96"/>
    <w:rsid w:val="00FC2105"/>
    <w:rsid w:val="00FC3098"/>
    <w:rsid w:val="00FC3948"/>
    <w:rsid w:val="00FC5EEE"/>
    <w:rsid w:val="00FC6330"/>
    <w:rsid w:val="00FC65B1"/>
    <w:rsid w:val="00FD0191"/>
    <w:rsid w:val="00FD0845"/>
    <w:rsid w:val="00FD0C6A"/>
    <w:rsid w:val="00FD0FEB"/>
    <w:rsid w:val="00FD10EE"/>
    <w:rsid w:val="00FD16D5"/>
    <w:rsid w:val="00FD231E"/>
    <w:rsid w:val="00FD26C9"/>
    <w:rsid w:val="00FD3489"/>
    <w:rsid w:val="00FD3783"/>
    <w:rsid w:val="00FD3EDB"/>
    <w:rsid w:val="00FD4920"/>
    <w:rsid w:val="00FD4B21"/>
    <w:rsid w:val="00FD5468"/>
    <w:rsid w:val="00FD5B72"/>
    <w:rsid w:val="00FD5FD4"/>
    <w:rsid w:val="00FD6330"/>
    <w:rsid w:val="00FD6737"/>
    <w:rsid w:val="00FD69DC"/>
    <w:rsid w:val="00FD6AB4"/>
    <w:rsid w:val="00FD6CFD"/>
    <w:rsid w:val="00FD78A9"/>
    <w:rsid w:val="00FD7FBB"/>
    <w:rsid w:val="00FE0D1B"/>
    <w:rsid w:val="00FE2C44"/>
    <w:rsid w:val="00FE3CE8"/>
    <w:rsid w:val="00FE3F29"/>
    <w:rsid w:val="00FE629E"/>
    <w:rsid w:val="00FE6CEB"/>
    <w:rsid w:val="00FE6EF2"/>
    <w:rsid w:val="00FE76E7"/>
    <w:rsid w:val="00FE7754"/>
    <w:rsid w:val="00FF058B"/>
    <w:rsid w:val="00FF06BC"/>
    <w:rsid w:val="00FF1EE1"/>
    <w:rsid w:val="00FF296C"/>
    <w:rsid w:val="00FF299D"/>
    <w:rsid w:val="00FF2DD6"/>
    <w:rsid w:val="00FF3D31"/>
    <w:rsid w:val="00FF3D84"/>
    <w:rsid w:val="00FF4439"/>
    <w:rsid w:val="00FF4B97"/>
    <w:rsid w:val="00FF4EFE"/>
    <w:rsid w:val="00FF5F5A"/>
    <w:rsid w:val="00FF6073"/>
    <w:rsid w:val="00FF6496"/>
    <w:rsid w:val="00FF6EB8"/>
    <w:rsid w:val="00FF72B7"/>
    <w:rsid w:val="00FF72F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8765B1"/>
  <w15:docId w15:val="{2930DA6E-777E-43BD-BEB6-4FA07C8B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90"/>
    <w:pPr>
      <w:spacing w:line="288" w:lineRule="auto"/>
      <w:ind w:firstLine="567"/>
      <w:jc w:val="both"/>
    </w:pPr>
    <w:rPr>
      <w:rFonts w:asciiTheme="majorBidi" w:hAnsiTheme="majorBidi"/>
      <w:sz w:val="24"/>
    </w:rPr>
  </w:style>
  <w:style w:type="paragraph" w:styleId="Heading1">
    <w:name w:val="heading 1"/>
    <w:basedOn w:val="Normal"/>
    <w:next w:val="Normal"/>
    <w:link w:val="Heading1Char"/>
    <w:uiPriority w:val="9"/>
    <w:qFormat/>
    <w:rsid w:val="00186C52"/>
    <w:pPr>
      <w:keepNext/>
      <w:keepLines/>
      <w:ind w:firstLine="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D7619"/>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F66F3"/>
    <w:pPr>
      <w:keepNext/>
      <w:keepLines/>
      <w:ind w:firstLine="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9A7B5F"/>
    <w:pPr>
      <w:keepNext/>
      <w:keepLines/>
      <w:spacing w:before="40" w:after="0" w:line="360" w:lineRule="auto"/>
      <w:ind w:firstLine="0"/>
      <w:outlineLvl w:val="3"/>
    </w:pPr>
    <w:rPr>
      <w:rFonts w:asciiTheme="majorHAnsi" w:eastAsiaTheme="majorEastAsia" w:hAnsiTheme="majorHAnsi" w:cstheme="majorBidi"/>
      <w:i/>
      <w:iCs/>
      <w:color w:val="2E74B5" w:themeColor="accent1" w:themeShade="BF"/>
      <w:lang w:eastAsia="en-US"/>
    </w:rPr>
  </w:style>
  <w:style w:type="paragraph" w:styleId="Heading5">
    <w:name w:val="heading 5"/>
    <w:basedOn w:val="Normal"/>
    <w:next w:val="Normal"/>
    <w:link w:val="Heading5Char"/>
    <w:uiPriority w:val="9"/>
    <w:semiHidden/>
    <w:unhideWhenUsed/>
    <w:qFormat/>
    <w:rsid w:val="009A7B5F"/>
    <w:pPr>
      <w:keepNext/>
      <w:keepLines/>
      <w:spacing w:before="40" w:after="0" w:line="360" w:lineRule="auto"/>
      <w:ind w:firstLine="0"/>
      <w:outlineLvl w:val="4"/>
    </w:pPr>
    <w:rPr>
      <w:rFonts w:asciiTheme="majorHAnsi" w:eastAsiaTheme="majorEastAsia" w:hAnsiTheme="majorHAnsi" w:cstheme="majorBidi"/>
      <w:color w:val="2E74B5" w:themeColor="accent1" w:themeShade="BF"/>
      <w:lang w:eastAsia="en-US"/>
    </w:rPr>
  </w:style>
  <w:style w:type="paragraph" w:styleId="Heading6">
    <w:name w:val="heading 6"/>
    <w:basedOn w:val="Normal"/>
    <w:next w:val="Normal"/>
    <w:link w:val="Heading6Char"/>
    <w:uiPriority w:val="9"/>
    <w:semiHidden/>
    <w:unhideWhenUsed/>
    <w:qFormat/>
    <w:rsid w:val="009A7B5F"/>
    <w:pPr>
      <w:keepNext/>
      <w:keepLines/>
      <w:spacing w:before="40" w:after="0" w:line="360" w:lineRule="auto"/>
      <w:ind w:firstLine="0"/>
      <w:outlineLvl w:val="5"/>
    </w:pPr>
    <w:rPr>
      <w:rFonts w:asciiTheme="majorHAnsi" w:eastAsiaTheme="majorEastAsia" w:hAnsiTheme="majorHAnsi" w:cstheme="majorBidi"/>
      <w:color w:val="1F4D78" w:themeColor="accent1" w:themeShade="7F"/>
      <w:lang w:eastAsia="en-US"/>
    </w:rPr>
  </w:style>
  <w:style w:type="paragraph" w:styleId="Heading7">
    <w:name w:val="heading 7"/>
    <w:basedOn w:val="Normal"/>
    <w:next w:val="Normal"/>
    <w:link w:val="Heading7Char"/>
    <w:uiPriority w:val="9"/>
    <w:semiHidden/>
    <w:unhideWhenUsed/>
    <w:qFormat/>
    <w:rsid w:val="009A7B5F"/>
    <w:pPr>
      <w:keepNext/>
      <w:keepLines/>
      <w:spacing w:before="40" w:after="0" w:line="360" w:lineRule="auto"/>
      <w:ind w:firstLine="0"/>
      <w:outlineLvl w:val="6"/>
    </w:pPr>
    <w:rPr>
      <w:rFonts w:asciiTheme="majorHAnsi" w:eastAsiaTheme="majorEastAsia" w:hAnsiTheme="majorHAnsi" w:cstheme="majorBidi"/>
      <w:i/>
      <w:iCs/>
      <w:color w:val="1F4D78" w:themeColor="accent1" w:themeShade="7F"/>
      <w:lang w:eastAsia="en-US"/>
    </w:rPr>
  </w:style>
  <w:style w:type="paragraph" w:styleId="Heading8">
    <w:name w:val="heading 8"/>
    <w:basedOn w:val="Normal"/>
    <w:next w:val="Normal"/>
    <w:link w:val="Heading8Char"/>
    <w:uiPriority w:val="9"/>
    <w:semiHidden/>
    <w:unhideWhenUsed/>
    <w:qFormat/>
    <w:rsid w:val="009A7B5F"/>
    <w:pPr>
      <w:keepNext/>
      <w:keepLines/>
      <w:spacing w:before="40" w:after="0" w:line="360" w:lineRule="auto"/>
      <w:ind w:firstLine="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A7B5F"/>
    <w:pPr>
      <w:keepNext/>
      <w:keepLines/>
      <w:spacing w:before="40" w:after="0" w:line="360" w:lineRule="auto"/>
      <w:ind w:firstLine="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52"/>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2D7619"/>
    <w:rPr>
      <w:rFonts w:asciiTheme="majorBidi" w:eastAsiaTheme="majorEastAsia" w:hAnsiTheme="majorBidi" w:cstheme="majorBidi"/>
      <w:b/>
      <w:sz w:val="24"/>
      <w:szCs w:val="26"/>
    </w:rPr>
  </w:style>
  <w:style w:type="paragraph" w:customStyle="1" w:styleId="EndNoteBibliographyTitle">
    <w:name w:val="EndNote Bibliography Title"/>
    <w:basedOn w:val="Normal"/>
    <w:link w:val="EndNoteBibliographyTitleChar"/>
    <w:rsid w:val="00F8279D"/>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F8279D"/>
    <w:rPr>
      <w:rFonts w:ascii="Calibri" w:hAnsi="Calibri" w:cs="Calibri"/>
      <w:noProof/>
    </w:rPr>
  </w:style>
  <w:style w:type="paragraph" w:customStyle="1" w:styleId="EndNoteBibliography">
    <w:name w:val="EndNote Bibliography"/>
    <w:basedOn w:val="Normal"/>
    <w:link w:val="EndNoteBibliographyChar"/>
    <w:rsid w:val="00F8279D"/>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F8279D"/>
    <w:rPr>
      <w:rFonts w:ascii="Calibri" w:hAnsi="Calibri" w:cs="Calibri"/>
      <w:noProof/>
    </w:rPr>
  </w:style>
  <w:style w:type="character" w:styleId="Hyperlink">
    <w:name w:val="Hyperlink"/>
    <w:basedOn w:val="DefaultParagraphFont"/>
    <w:uiPriority w:val="99"/>
    <w:unhideWhenUsed/>
    <w:rsid w:val="00F8279D"/>
    <w:rPr>
      <w:color w:val="0563C1" w:themeColor="hyperlink"/>
      <w:u w:val="single"/>
    </w:rPr>
  </w:style>
  <w:style w:type="paragraph" w:styleId="Header">
    <w:name w:val="header"/>
    <w:basedOn w:val="Normal"/>
    <w:link w:val="HeaderChar"/>
    <w:uiPriority w:val="99"/>
    <w:unhideWhenUsed/>
    <w:rsid w:val="00916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652"/>
  </w:style>
  <w:style w:type="paragraph" w:styleId="Footer">
    <w:name w:val="footer"/>
    <w:basedOn w:val="Normal"/>
    <w:link w:val="FooterChar"/>
    <w:uiPriority w:val="99"/>
    <w:unhideWhenUsed/>
    <w:rsid w:val="00916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652"/>
  </w:style>
  <w:style w:type="paragraph" w:styleId="BalloonText">
    <w:name w:val="Balloon Text"/>
    <w:basedOn w:val="Normal"/>
    <w:link w:val="BalloonTextChar"/>
    <w:uiPriority w:val="99"/>
    <w:semiHidden/>
    <w:unhideWhenUsed/>
    <w:rsid w:val="005D4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E5C"/>
    <w:rPr>
      <w:rFonts w:ascii="Segoe UI" w:hAnsi="Segoe UI" w:cs="Segoe UI"/>
      <w:sz w:val="18"/>
      <w:szCs w:val="18"/>
    </w:rPr>
  </w:style>
  <w:style w:type="paragraph" w:styleId="NoSpacing">
    <w:name w:val="No Spacing"/>
    <w:uiPriority w:val="1"/>
    <w:qFormat/>
    <w:rsid w:val="00DD6E84"/>
    <w:pPr>
      <w:spacing w:after="0" w:line="240" w:lineRule="auto"/>
    </w:pPr>
  </w:style>
  <w:style w:type="paragraph" w:styleId="FootnoteText">
    <w:name w:val="footnote text"/>
    <w:basedOn w:val="Normal"/>
    <w:link w:val="FootnoteTextChar"/>
    <w:uiPriority w:val="99"/>
    <w:unhideWhenUsed/>
    <w:rsid w:val="00A71EB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A71EB9"/>
    <w:rPr>
      <w:rFonts w:eastAsiaTheme="minorHAnsi"/>
      <w:sz w:val="20"/>
      <w:szCs w:val="20"/>
      <w:lang w:eastAsia="en-US"/>
    </w:rPr>
  </w:style>
  <w:style w:type="paragraph" w:styleId="Title">
    <w:name w:val="Title"/>
    <w:basedOn w:val="Normal"/>
    <w:next w:val="Normal"/>
    <w:link w:val="TitleChar"/>
    <w:qFormat/>
    <w:rsid w:val="00157C90"/>
    <w:pPr>
      <w:pBdr>
        <w:bottom w:val="single" w:sz="4" w:space="1" w:color="auto"/>
      </w:pBdr>
      <w:spacing w:after="0" w:line="240" w:lineRule="auto"/>
      <w:contextualSpacing/>
    </w:pPr>
    <w:rPr>
      <w:rFonts w:eastAsiaTheme="majorEastAsia" w:cstheme="majorBidi"/>
      <w:b/>
      <w:spacing w:val="5"/>
      <w:szCs w:val="52"/>
      <w:lang w:val="en-US" w:eastAsia="ko-KR"/>
    </w:rPr>
  </w:style>
  <w:style w:type="character" w:customStyle="1" w:styleId="TitleChar">
    <w:name w:val="Title Char"/>
    <w:basedOn w:val="DefaultParagraphFont"/>
    <w:link w:val="Title"/>
    <w:rsid w:val="00157C90"/>
    <w:rPr>
      <w:rFonts w:asciiTheme="majorBidi" w:eastAsiaTheme="majorEastAsia" w:hAnsiTheme="majorBidi" w:cstheme="majorBidi"/>
      <w:b/>
      <w:spacing w:val="5"/>
      <w:sz w:val="24"/>
      <w:szCs w:val="52"/>
      <w:lang w:val="en-US" w:eastAsia="ko-KR"/>
    </w:rPr>
  </w:style>
  <w:style w:type="paragraph" w:customStyle="1" w:styleId="Default">
    <w:name w:val="Default"/>
    <w:rsid w:val="00A71EB9"/>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paragraph" w:customStyle="1" w:styleId="CM1">
    <w:name w:val="CM1"/>
    <w:basedOn w:val="Default"/>
    <w:next w:val="Default"/>
    <w:rsid w:val="00A71EB9"/>
    <w:pPr>
      <w:widowControl w:val="0"/>
      <w:spacing w:line="323" w:lineRule="atLeast"/>
    </w:pPr>
    <w:rPr>
      <w:color w:val="auto"/>
      <w:lang w:val="en-US" w:eastAsia="en-US"/>
    </w:rPr>
  </w:style>
  <w:style w:type="paragraph" w:customStyle="1" w:styleId="CM3">
    <w:name w:val="CM3"/>
    <w:basedOn w:val="Default"/>
    <w:next w:val="Default"/>
    <w:rsid w:val="00A71EB9"/>
    <w:pPr>
      <w:widowControl w:val="0"/>
    </w:pPr>
    <w:rPr>
      <w:color w:val="auto"/>
      <w:lang w:val="en-US" w:eastAsia="en-US"/>
    </w:rPr>
  </w:style>
  <w:style w:type="paragraph" w:customStyle="1" w:styleId="CM22">
    <w:name w:val="CM22"/>
    <w:basedOn w:val="Default"/>
    <w:next w:val="Default"/>
    <w:rsid w:val="00A71EB9"/>
    <w:pPr>
      <w:widowControl w:val="0"/>
      <w:spacing w:after="65"/>
    </w:pPr>
    <w:rPr>
      <w:color w:val="auto"/>
      <w:lang w:val="en-US" w:eastAsia="en-US"/>
    </w:rPr>
  </w:style>
  <w:style w:type="paragraph" w:customStyle="1" w:styleId="CM4">
    <w:name w:val="CM4"/>
    <w:basedOn w:val="Default"/>
    <w:next w:val="Default"/>
    <w:rsid w:val="00A71EB9"/>
    <w:pPr>
      <w:widowControl w:val="0"/>
      <w:spacing w:line="253" w:lineRule="atLeast"/>
    </w:pPr>
    <w:rPr>
      <w:color w:val="auto"/>
      <w:lang w:val="en-US" w:eastAsia="en-US"/>
    </w:rPr>
  </w:style>
  <w:style w:type="paragraph" w:customStyle="1" w:styleId="CM23">
    <w:name w:val="CM23"/>
    <w:basedOn w:val="Default"/>
    <w:next w:val="Default"/>
    <w:rsid w:val="00A71EB9"/>
    <w:pPr>
      <w:widowControl w:val="0"/>
      <w:spacing w:after="233"/>
    </w:pPr>
    <w:rPr>
      <w:color w:val="auto"/>
      <w:lang w:val="en-US" w:eastAsia="en-US"/>
    </w:rPr>
  </w:style>
  <w:style w:type="paragraph" w:styleId="ListParagraph">
    <w:name w:val="List Paragraph"/>
    <w:basedOn w:val="Normal"/>
    <w:uiPriority w:val="34"/>
    <w:qFormat/>
    <w:rsid w:val="005350B7"/>
    <w:pPr>
      <w:ind w:left="720"/>
      <w:contextualSpacing/>
    </w:pPr>
  </w:style>
  <w:style w:type="character" w:styleId="CommentReference">
    <w:name w:val="annotation reference"/>
    <w:basedOn w:val="DefaultParagraphFont"/>
    <w:uiPriority w:val="99"/>
    <w:semiHidden/>
    <w:unhideWhenUsed/>
    <w:rsid w:val="00CA422B"/>
    <w:rPr>
      <w:sz w:val="16"/>
      <w:szCs w:val="16"/>
    </w:rPr>
  </w:style>
  <w:style w:type="paragraph" w:styleId="CommentText">
    <w:name w:val="annotation text"/>
    <w:basedOn w:val="Normal"/>
    <w:link w:val="CommentTextChar"/>
    <w:uiPriority w:val="99"/>
    <w:semiHidden/>
    <w:unhideWhenUsed/>
    <w:rsid w:val="00CA422B"/>
    <w:pPr>
      <w:spacing w:line="240" w:lineRule="auto"/>
    </w:pPr>
    <w:rPr>
      <w:sz w:val="20"/>
      <w:szCs w:val="20"/>
    </w:rPr>
  </w:style>
  <w:style w:type="character" w:customStyle="1" w:styleId="CommentTextChar">
    <w:name w:val="Comment Text Char"/>
    <w:basedOn w:val="DefaultParagraphFont"/>
    <w:link w:val="CommentText"/>
    <w:uiPriority w:val="99"/>
    <w:semiHidden/>
    <w:rsid w:val="00CA422B"/>
    <w:rPr>
      <w:sz w:val="20"/>
      <w:szCs w:val="20"/>
    </w:rPr>
  </w:style>
  <w:style w:type="paragraph" w:styleId="CommentSubject">
    <w:name w:val="annotation subject"/>
    <w:basedOn w:val="CommentText"/>
    <w:next w:val="CommentText"/>
    <w:link w:val="CommentSubjectChar"/>
    <w:uiPriority w:val="99"/>
    <w:semiHidden/>
    <w:unhideWhenUsed/>
    <w:rsid w:val="00CA422B"/>
    <w:rPr>
      <w:b/>
      <w:bCs/>
    </w:rPr>
  </w:style>
  <w:style w:type="character" w:customStyle="1" w:styleId="CommentSubjectChar">
    <w:name w:val="Comment Subject Char"/>
    <w:basedOn w:val="CommentTextChar"/>
    <w:link w:val="CommentSubject"/>
    <w:uiPriority w:val="99"/>
    <w:semiHidden/>
    <w:rsid w:val="00CA422B"/>
    <w:rPr>
      <w:b/>
      <w:bCs/>
      <w:sz w:val="20"/>
      <w:szCs w:val="20"/>
    </w:rPr>
  </w:style>
  <w:style w:type="character" w:styleId="UnresolvedMention">
    <w:name w:val="Unresolved Mention"/>
    <w:basedOn w:val="DefaultParagraphFont"/>
    <w:uiPriority w:val="99"/>
    <w:semiHidden/>
    <w:unhideWhenUsed/>
    <w:rsid w:val="00186C52"/>
    <w:rPr>
      <w:color w:val="605E5C"/>
      <w:shd w:val="clear" w:color="auto" w:fill="E1DFDD"/>
    </w:rPr>
  </w:style>
  <w:style w:type="character" w:styleId="FootnoteReference">
    <w:name w:val="footnote reference"/>
    <w:basedOn w:val="DefaultParagraphFont"/>
    <w:uiPriority w:val="99"/>
    <w:semiHidden/>
    <w:unhideWhenUsed/>
    <w:rsid w:val="00186C52"/>
    <w:rPr>
      <w:vertAlign w:val="superscript"/>
    </w:rPr>
  </w:style>
  <w:style w:type="character" w:customStyle="1" w:styleId="Heading3Char">
    <w:name w:val="Heading 3 Char"/>
    <w:basedOn w:val="DefaultParagraphFont"/>
    <w:link w:val="Heading3"/>
    <w:uiPriority w:val="9"/>
    <w:rsid w:val="006F66F3"/>
    <w:rPr>
      <w:rFonts w:asciiTheme="majorBidi" w:eastAsiaTheme="majorEastAsia" w:hAnsiTheme="majorBidi" w:cstheme="majorBidi"/>
      <w:b/>
      <w:color w:val="000000" w:themeColor="text1"/>
      <w:sz w:val="24"/>
      <w:szCs w:val="24"/>
    </w:rPr>
  </w:style>
  <w:style w:type="paragraph" w:styleId="Caption">
    <w:name w:val="caption"/>
    <w:basedOn w:val="Normal"/>
    <w:next w:val="Normal"/>
    <w:uiPriority w:val="35"/>
    <w:unhideWhenUsed/>
    <w:qFormat/>
    <w:rsid w:val="009A7B5F"/>
    <w:pPr>
      <w:spacing w:before="120" w:after="200" w:line="360" w:lineRule="auto"/>
      <w:ind w:firstLine="284"/>
    </w:pPr>
    <w:rPr>
      <w:rFonts w:eastAsiaTheme="minorHAnsi"/>
      <w:i/>
      <w:iCs/>
      <w:color w:val="44546A" w:themeColor="text2"/>
      <w:sz w:val="18"/>
      <w:szCs w:val="18"/>
      <w:lang w:eastAsia="en-US"/>
    </w:rPr>
  </w:style>
  <w:style w:type="table" w:customStyle="1" w:styleId="TableGrid1">
    <w:name w:val="Table Grid1"/>
    <w:basedOn w:val="TableNormal"/>
    <w:next w:val="TableGrid"/>
    <w:uiPriority w:val="39"/>
    <w:rsid w:val="009A7B5F"/>
    <w:pPr>
      <w:spacing w:after="0" w:line="240" w:lineRule="auto"/>
    </w:pPr>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7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A7B5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uiPriority w:val="9"/>
    <w:semiHidden/>
    <w:rsid w:val="009A7B5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uiPriority w:val="9"/>
    <w:semiHidden/>
    <w:rsid w:val="009A7B5F"/>
    <w:rPr>
      <w:rFonts w:asciiTheme="majorHAnsi" w:eastAsiaTheme="majorEastAsia" w:hAnsiTheme="majorHAnsi" w:cstheme="majorBidi"/>
      <w:color w:val="1F4D78" w:themeColor="accent1" w:themeShade="7F"/>
      <w:sz w:val="24"/>
      <w:lang w:eastAsia="en-US"/>
    </w:rPr>
  </w:style>
  <w:style w:type="character" w:customStyle="1" w:styleId="Heading7Char">
    <w:name w:val="Heading 7 Char"/>
    <w:basedOn w:val="DefaultParagraphFont"/>
    <w:link w:val="Heading7"/>
    <w:uiPriority w:val="9"/>
    <w:semiHidden/>
    <w:rsid w:val="009A7B5F"/>
    <w:rPr>
      <w:rFonts w:asciiTheme="majorHAnsi" w:eastAsiaTheme="majorEastAsia" w:hAnsiTheme="majorHAnsi" w:cstheme="majorBidi"/>
      <w:i/>
      <w:iCs/>
      <w:color w:val="1F4D78" w:themeColor="accent1" w:themeShade="7F"/>
      <w:sz w:val="24"/>
      <w:lang w:eastAsia="en-US"/>
    </w:rPr>
  </w:style>
  <w:style w:type="character" w:customStyle="1" w:styleId="Heading8Char">
    <w:name w:val="Heading 8 Char"/>
    <w:basedOn w:val="DefaultParagraphFont"/>
    <w:link w:val="Heading8"/>
    <w:uiPriority w:val="9"/>
    <w:semiHidden/>
    <w:rsid w:val="009A7B5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A7B5F"/>
    <w:rPr>
      <w:rFonts w:asciiTheme="majorHAnsi" w:eastAsiaTheme="majorEastAsia" w:hAnsiTheme="majorHAnsi" w:cstheme="majorBidi"/>
      <w:i/>
      <w:iCs/>
      <w:color w:val="272727" w:themeColor="text1" w:themeTint="D8"/>
      <w:sz w:val="21"/>
      <w:szCs w:val="21"/>
      <w:lang w:eastAsia="en-US"/>
    </w:rPr>
  </w:style>
  <w:style w:type="character" w:customStyle="1" w:styleId="UnresolvedMention1">
    <w:name w:val="Unresolved Mention1"/>
    <w:basedOn w:val="DefaultParagraphFont"/>
    <w:uiPriority w:val="99"/>
    <w:semiHidden/>
    <w:unhideWhenUsed/>
    <w:rsid w:val="009A7B5F"/>
    <w:rPr>
      <w:color w:val="605E5C"/>
      <w:shd w:val="clear" w:color="auto" w:fill="E1DFDD"/>
    </w:rPr>
  </w:style>
  <w:style w:type="table" w:customStyle="1" w:styleId="PlainTable21">
    <w:name w:val="Plain Table 21"/>
    <w:basedOn w:val="TableNormal"/>
    <w:uiPriority w:val="42"/>
    <w:rsid w:val="009A7B5F"/>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A7B5F"/>
    <w:pPr>
      <w:spacing w:before="100" w:beforeAutospacing="1" w:after="100" w:afterAutospacing="1" w:line="360" w:lineRule="auto"/>
      <w:ind w:firstLine="0"/>
      <w:jc w:val="left"/>
    </w:pPr>
    <w:rPr>
      <w:rFonts w:ascii="Times New Roman" w:hAnsi="Times New Roman" w:cs="Times New Roman"/>
      <w:szCs w:val="24"/>
    </w:rPr>
  </w:style>
  <w:style w:type="paragraph" w:customStyle="1" w:styleId="Normal0">
    <w:name w:val="[Normal]"/>
    <w:rsid w:val="009A7B5F"/>
    <w:pPr>
      <w:widowControl w:val="0"/>
      <w:autoSpaceDE w:val="0"/>
      <w:autoSpaceDN w:val="0"/>
      <w:adjustRightInd w:val="0"/>
      <w:spacing w:after="0" w:line="240" w:lineRule="auto"/>
    </w:pPr>
    <w:rPr>
      <w:rFonts w:ascii="Arial" w:hAnsi="Arial" w:cs="Arial"/>
      <w:sz w:val="24"/>
      <w:szCs w:val="24"/>
      <w:lang w:val="en-US"/>
    </w:rPr>
  </w:style>
  <w:style w:type="paragraph" w:styleId="TOCHeading">
    <w:name w:val="TOC Heading"/>
    <w:basedOn w:val="Heading1"/>
    <w:next w:val="Normal"/>
    <w:uiPriority w:val="39"/>
    <w:unhideWhenUsed/>
    <w:qFormat/>
    <w:rsid w:val="009A7B5F"/>
    <w:pPr>
      <w:spacing w:before="240" w:after="0" w:line="259" w:lineRule="auto"/>
      <w:jc w:val="left"/>
      <w:outlineLvl w:val="9"/>
    </w:pPr>
    <w:rPr>
      <w:rFonts w:asciiTheme="majorHAnsi" w:hAnsiTheme="majorHAnsi"/>
      <w:b w:val="0"/>
      <w:color w:val="000000" w:themeColor="text1"/>
      <w:sz w:val="32"/>
      <w:lang w:eastAsia="en-US"/>
    </w:rPr>
  </w:style>
  <w:style w:type="paragraph" w:styleId="TOC1">
    <w:name w:val="toc 1"/>
    <w:basedOn w:val="Normal"/>
    <w:next w:val="Normal"/>
    <w:autoRedefine/>
    <w:uiPriority w:val="39"/>
    <w:unhideWhenUsed/>
    <w:rsid w:val="009A7B5F"/>
    <w:pPr>
      <w:tabs>
        <w:tab w:val="left" w:pos="142"/>
        <w:tab w:val="right" w:leader="dot" w:pos="9350"/>
      </w:tabs>
      <w:spacing w:before="120" w:after="100" w:line="360" w:lineRule="auto"/>
      <w:ind w:hanging="142"/>
    </w:pPr>
    <w:rPr>
      <w:rFonts w:eastAsiaTheme="minorHAnsi"/>
      <w:lang w:eastAsia="en-US"/>
    </w:rPr>
  </w:style>
  <w:style w:type="paragraph" w:styleId="TOC2">
    <w:name w:val="toc 2"/>
    <w:basedOn w:val="Normal"/>
    <w:next w:val="Normal"/>
    <w:autoRedefine/>
    <w:uiPriority w:val="39"/>
    <w:unhideWhenUsed/>
    <w:rsid w:val="009A7B5F"/>
    <w:pPr>
      <w:tabs>
        <w:tab w:val="left" w:pos="142"/>
        <w:tab w:val="left" w:pos="426"/>
        <w:tab w:val="right" w:leader="dot" w:pos="9350"/>
      </w:tabs>
      <w:spacing w:before="120" w:after="100" w:line="360" w:lineRule="auto"/>
      <w:ind w:left="180" w:hanging="142"/>
    </w:pPr>
    <w:rPr>
      <w:rFonts w:eastAsiaTheme="minorHAnsi"/>
      <w:lang w:eastAsia="en-US"/>
    </w:rPr>
  </w:style>
  <w:style w:type="paragraph" w:styleId="TOC3">
    <w:name w:val="toc 3"/>
    <w:basedOn w:val="Normal"/>
    <w:next w:val="Normal"/>
    <w:autoRedefine/>
    <w:uiPriority w:val="39"/>
    <w:unhideWhenUsed/>
    <w:rsid w:val="009A7B5F"/>
    <w:pPr>
      <w:tabs>
        <w:tab w:val="left" w:pos="142"/>
        <w:tab w:val="left" w:pos="540"/>
        <w:tab w:val="left" w:pos="993"/>
        <w:tab w:val="right" w:leader="dot" w:pos="9350"/>
      </w:tabs>
      <w:spacing w:before="120" w:after="100" w:line="360" w:lineRule="auto"/>
      <w:ind w:left="540" w:hanging="142"/>
    </w:pPr>
    <w:rPr>
      <w:rFonts w:eastAsiaTheme="minorHAnsi"/>
      <w:lang w:eastAsia="en-US"/>
    </w:rPr>
  </w:style>
  <w:style w:type="table" w:customStyle="1" w:styleId="GridTable1Light1">
    <w:name w:val="Grid Table 1 Light1"/>
    <w:basedOn w:val="TableNormal"/>
    <w:uiPriority w:val="46"/>
    <w:rsid w:val="009A7B5F"/>
    <w:pPr>
      <w:spacing w:after="0" w:line="240" w:lineRule="auto"/>
    </w:pPr>
    <w:rPr>
      <w:rFonts w:eastAsiaTheme="minorHAns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9A7B5F"/>
    <w:pPr>
      <w:spacing w:before="120" w:after="0" w:line="360" w:lineRule="auto"/>
      <w:ind w:firstLine="284"/>
    </w:pPr>
    <w:rPr>
      <w:rFonts w:eastAsiaTheme="minorHAnsi"/>
      <w:lang w:eastAsia="en-US"/>
    </w:rPr>
  </w:style>
  <w:style w:type="table" w:customStyle="1" w:styleId="PlainTable51">
    <w:name w:val="Plain Table 51"/>
    <w:basedOn w:val="TableNormal"/>
    <w:uiPriority w:val="45"/>
    <w:rsid w:val="009A7B5F"/>
    <w:pPr>
      <w:spacing w:after="0" w:line="240" w:lineRule="auto"/>
    </w:pPr>
    <w:rPr>
      <w:rFonts w:eastAsiaTheme="minorHAnsi"/>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TableNormal"/>
    <w:uiPriority w:val="49"/>
    <w:rsid w:val="009A7B5F"/>
    <w:pPr>
      <w:spacing w:after="0" w:line="240" w:lineRule="auto"/>
    </w:pPr>
    <w:rPr>
      <w:rFonts w:eastAsiaTheme="minorHAnsi"/>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9A7B5F"/>
    <w:rPr>
      <w:color w:val="954F72" w:themeColor="followedHyperlink"/>
      <w:u w:val="single"/>
    </w:rPr>
  </w:style>
  <w:style w:type="paragraph" w:styleId="EndnoteText">
    <w:name w:val="endnote text"/>
    <w:basedOn w:val="Normal"/>
    <w:link w:val="EndnoteTextChar"/>
    <w:uiPriority w:val="99"/>
    <w:semiHidden/>
    <w:unhideWhenUsed/>
    <w:rsid w:val="009A7B5F"/>
    <w:pPr>
      <w:spacing w:after="0" w:line="360" w:lineRule="auto"/>
      <w:ind w:firstLine="284"/>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9A7B5F"/>
    <w:rPr>
      <w:rFonts w:asciiTheme="majorBidi" w:eastAsiaTheme="minorHAnsi" w:hAnsiTheme="majorBidi"/>
      <w:sz w:val="20"/>
      <w:szCs w:val="20"/>
      <w:lang w:eastAsia="en-US"/>
    </w:rPr>
  </w:style>
  <w:style w:type="character" w:styleId="EndnoteReference">
    <w:name w:val="endnote reference"/>
    <w:basedOn w:val="DefaultParagraphFont"/>
    <w:uiPriority w:val="99"/>
    <w:semiHidden/>
    <w:unhideWhenUsed/>
    <w:rsid w:val="009A7B5F"/>
    <w:rPr>
      <w:vertAlign w:val="superscript"/>
    </w:rPr>
  </w:style>
  <w:style w:type="character" w:styleId="PlaceholderText">
    <w:name w:val="Placeholder Text"/>
    <w:basedOn w:val="DefaultParagraphFont"/>
    <w:uiPriority w:val="99"/>
    <w:semiHidden/>
    <w:rsid w:val="009A7B5F"/>
    <w:rPr>
      <w:color w:val="808080"/>
    </w:rPr>
  </w:style>
  <w:style w:type="character" w:customStyle="1" w:styleId="a">
    <w:name w:val="_"/>
    <w:basedOn w:val="DefaultParagraphFont"/>
    <w:rsid w:val="009A7B5F"/>
  </w:style>
  <w:style w:type="character" w:customStyle="1" w:styleId="ff3">
    <w:name w:val="ff3"/>
    <w:basedOn w:val="DefaultParagraphFont"/>
    <w:rsid w:val="009A7B5F"/>
  </w:style>
  <w:style w:type="character" w:customStyle="1" w:styleId="ff2">
    <w:name w:val="ff2"/>
    <w:basedOn w:val="DefaultParagraphFont"/>
    <w:rsid w:val="009A7B5F"/>
  </w:style>
  <w:style w:type="character" w:customStyle="1" w:styleId="UnresolvedMention2">
    <w:name w:val="Unresolved Mention2"/>
    <w:basedOn w:val="DefaultParagraphFont"/>
    <w:uiPriority w:val="99"/>
    <w:semiHidden/>
    <w:unhideWhenUsed/>
    <w:rsid w:val="009A7B5F"/>
    <w:rPr>
      <w:color w:val="605E5C"/>
      <w:shd w:val="clear" w:color="auto" w:fill="E1DFDD"/>
    </w:rPr>
  </w:style>
  <w:style w:type="paragraph" w:styleId="Revision">
    <w:name w:val="Revision"/>
    <w:hidden/>
    <w:uiPriority w:val="99"/>
    <w:semiHidden/>
    <w:rsid w:val="009A7B5F"/>
    <w:pPr>
      <w:spacing w:after="0" w:line="240" w:lineRule="auto"/>
    </w:pPr>
    <w:rPr>
      <w:rFonts w:asciiTheme="majorBidi" w:eastAsiaTheme="minorHAnsi" w:hAnsiTheme="majorBidi"/>
      <w:sz w:val="24"/>
      <w:lang w:eastAsia="en-US"/>
    </w:rPr>
  </w:style>
  <w:style w:type="numbering" w:customStyle="1" w:styleId="styleWP">
    <w:name w:val="styleWP"/>
    <w:uiPriority w:val="99"/>
    <w:rsid w:val="00B355F8"/>
    <w:pPr>
      <w:numPr>
        <w:numId w:val="10"/>
      </w:numPr>
    </w:pPr>
  </w:style>
  <w:style w:type="paragraph" w:customStyle="1" w:styleId="Footnoot">
    <w:name w:val="Footnoot"/>
    <w:basedOn w:val="FootnoteText"/>
    <w:link w:val="FootnootChar"/>
    <w:qFormat/>
    <w:rsid w:val="006419DE"/>
    <w:pPr>
      <w:ind w:firstLine="0"/>
    </w:pPr>
    <w:rPr>
      <w:rFonts w:ascii="Times New Roman" w:eastAsia="Calibri" w:hAnsi="Times New Roman" w:cs="Arial"/>
      <w:color w:val="000000"/>
    </w:rPr>
  </w:style>
  <w:style w:type="character" w:customStyle="1" w:styleId="FootnootChar">
    <w:name w:val="Footnoot Char"/>
    <w:link w:val="Footnoot"/>
    <w:rsid w:val="006419DE"/>
    <w:rPr>
      <w:rFonts w:ascii="Times New Roman" w:eastAsia="Calibri" w:hAnsi="Times New Roman" w:cs="Arial"/>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540">
      <w:bodyDiv w:val="1"/>
      <w:marLeft w:val="0"/>
      <w:marRight w:val="0"/>
      <w:marTop w:val="0"/>
      <w:marBottom w:val="0"/>
      <w:divBdr>
        <w:top w:val="none" w:sz="0" w:space="0" w:color="auto"/>
        <w:left w:val="none" w:sz="0" w:space="0" w:color="auto"/>
        <w:bottom w:val="none" w:sz="0" w:space="0" w:color="auto"/>
        <w:right w:val="none" w:sz="0" w:space="0" w:color="auto"/>
      </w:divBdr>
    </w:div>
    <w:div w:id="21632375">
      <w:bodyDiv w:val="1"/>
      <w:marLeft w:val="0"/>
      <w:marRight w:val="0"/>
      <w:marTop w:val="0"/>
      <w:marBottom w:val="0"/>
      <w:divBdr>
        <w:top w:val="none" w:sz="0" w:space="0" w:color="auto"/>
        <w:left w:val="none" w:sz="0" w:space="0" w:color="auto"/>
        <w:bottom w:val="none" w:sz="0" w:space="0" w:color="auto"/>
        <w:right w:val="none" w:sz="0" w:space="0" w:color="auto"/>
      </w:divBdr>
    </w:div>
    <w:div w:id="27460730">
      <w:bodyDiv w:val="1"/>
      <w:marLeft w:val="0"/>
      <w:marRight w:val="0"/>
      <w:marTop w:val="0"/>
      <w:marBottom w:val="0"/>
      <w:divBdr>
        <w:top w:val="none" w:sz="0" w:space="0" w:color="auto"/>
        <w:left w:val="none" w:sz="0" w:space="0" w:color="auto"/>
        <w:bottom w:val="none" w:sz="0" w:space="0" w:color="auto"/>
        <w:right w:val="none" w:sz="0" w:space="0" w:color="auto"/>
      </w:divBdr>
    </w:div>
    <w:div w:id="47845270">
      <w:bodyDiv w:val="1"/>
      <w:marLeft w:val="0"/>
      <w:marRight w:val="0"/>
      <w:marTop w:val="0"/>
      <w:marBottom w:val="0"/>
      <w:divBdr>
        <w:top w:val="none" w:sz="0" w:space="0" w:color="auto"/>
        <w:left w:val="none" w:sz="0" w:space="0" w:color="auto"/>
        <w:bottom w:val="none" w:sz="0" w:space="0" w:color="auto"/>
        <w:right w:val="none" w:sz="0" w:space="0" w:color="auto"/>
      </w:divBdr>
    </w:div>
    <w:div w:id="48844538">
      <w:bodyDiv w:val="1"/>
      <w:marLeft w:val="0"/>
      <w:marRight w:val="0"/>
      <w:marTop w:val="0"/>
      <w:marBottom w:val="0"/>
      <w:divBdr>
        <w:top w:val="none" w:sz="0" w:space="0" w:color="auto"/>
        <w:left w:val="none" w:sz="0" w:space="0" w:color="auto"/>
        <w:bottom w:val="none" w:sz="0" w:space="0" w:color="auto"/>
        <w:right w:val="none" w:sz="0" w:space="0" w:color="auto"/>
      </w:divBdr>
    </w:div>
    <w:div w:id="79984881">
      <w:bodyDiv w:val="1"/>
      <w:marLeft w:val="0"/>
      <w:marRight w:val="0"/>
      <w:marTop w:val="0"/>
      <w:marBottom w:val="0"/>
      <w:divBdr>
        <w:top w:val="none" w:sz="0" w:space="0" w:color="auto"/>
        <w:left w:val="none" w:sz="0" w:space="0" w:color="auto"/>
        <w:bottom w:val="none" w:sz="0" w:space="0" w:color="auto"/>
        <w:right w:val="none" w:sz="0" w:space="0" w:color="auto"/>
      </w:divBdr>
    </w:div>
    <w:div w:id="82068667">
      <w:bodyDiv w:val="1"/>
      <w:marLeft w:val="0"/>
      <w:marRight w:val="0"/>
      <w:marTop w:val="0"/>
      <w:marBottom w:val="0"/>
      <w:divBdr>
        <w:top w:val="none" w:sz="0" w:space="0" w:color="auto"/>
        <w:left w:val="none" w:sz="0" w:space="0" w:color="auto"/>
        <w:bottom w:val="none" w:sz="0" w:space="0" w:color="auto"/>
        <w:right w:val="none" w:sz="0" w:space="0" w:color="auto"/>
      </w:divBdr>
    </w:div>
    <w:div w:id="119299842">
      <w:bodyDiv w:val="1"/>
      <w:marLeft w:val="0"/>
      <w:marRight w:val="0"/>
      <w:marTop w:val="0"/>
      <w:marBottom w:val="0"/>
      <w:divBdr>
        <w:top w:val="none" w:sz="0" w:space="0" w:color="auto"/>
        <w:left w:val="none" w:sz="0" w:space="0" w:color="auto"/>
        <w:bottom w:val="none" w:sz="0" w:space="0" w:color="auto"/>
        <w:right w:val="none" w:sz="0" w:space="0" w:color="auto"/>
      </w:divBdr>
    </w:div>
    <w:div w:id="125246361">
      <w:bodyDiv w:val="1"/>
      <w:marLeft w:val="0"/>
      <w:marRight w:val="0"/>
      <w:marTop w:val="0"/>
      <w:marBottom w:val="0"/>
      <w:divBdr>
        <w:top w:val="none" w:sz="0" w:space="0" w:color="auto"/>
        <w:left w:val="none" w:sz="0" w:space="0" w:color="auto"/>
        <w:bottom w:val="none" w:sz="0" w:space="0" w:color="auto"/>
        <w:right w:val="none" w:sz="0" w:space="0" w:color="auto"/>
      </w:divBdr>
    </w:div>
    <w:div w:id="153231182">
      <w:bodyDiv w:val="1"/>
      <w:marLeft w:val="0"/>
      <w:marRight w:val="0"/>
      <w:marTop w:val="0"/>
      <w:marBottom w:val="0"/>
      <w:divBdr>
        <w:top w:val="none" w:sz="0" w:space="0" w:color="auto"/>
        <w:left w:val="none" w:sz="0" w:space="0" w:color="auto"/>
        <w:bottom w:val="none" w:sz="0" w:space="0" w:color="auto"/>
        <w:right w:val="none" w:sz="0" w:space="0" w:color="auto"/>
      </w:divBdr>
    </w:div>
    <w:div w:id="157696357">
      <w:bodyDiv w:val="1"/>
      <w:marLeft w:val="0"/>
      <w:marRight w:val="0"/>
      <w:marTop w:val="0"/>
      <w:marBottom w:val="0"/>
      <w:divBdr>
        <w:top w:val="none" w:sz="0" w:space="0" w:color="auto"/>
        <w:left w:val="none" w:sz="0" w:space="0" w:color="auto"/>
        <w:bottom w:val="none" w:sz="0" w:space="0" w:color="auto"/>
        <w:right w:val="none" w:sz="0" w:space="0" w:color="auto"/>
      </w:divBdr>
    </w:div>
    <w:div w:id="166602938">
      <w:bodyDiv w:val="1"/>
      <w:marLeft w:val="0"/>
      <w:marRight w:val="0"/>
      <w:marTop w:val="0"/>
      <w:marBottom w:val="0"/>
      <w:divBdr>
        <w:top w:val="none" w:sz="0" w:space="0" w:color="auto"/>
        <w:left w:val="none" w:sz="0" w:space="0" w:color="auto"/>
        <w:bottom w:val="none" w:sz="0" w:space="0" w:color="auto"/>
        <w:right w:val="none" w:sz="0" w:space="0" w:color="auto"/>
      </w:divBdr>
    </w:div>
    <w:div w:id="170461952">
      <w:bodyDiv w:val="1"/>
      <w:marLeft w:val="0"/>
      <w:marRight w:val="0"/>
      <w:marTop w:val="0"/>
      <w:marBottom w:val="0"/>
      <w:divBdr>
        <w:top w:val="none" w:sz="0" w:space="0" w:color="auto"/>
        <w:left w:val="none" w:sz="0" w:space="0" w:color="auto"/>
        <w:bottom w:val="none" w:sz="0" w:space="0" w:color="auto"/>
        <w:right w:val="none" w:sz="0" w:space="0" w:color="auto"/>
      </w:divBdr>
    </w:div>
    <w:div w:id="176384581">
      <w:bodyDiv w:val="1"/>
      <w:marLeft w:val="0"/>
      <w:marRight w:val="0"/>
      <w:marTop w:val="0"/>
      <w:marBottom w:val="0"/>
      <w:divBdr>
        <w:top w:val="none" w:sz="0" w:space="0" w:color="auto"/>
        <w:left w:val="none" w:sz="0" w:space="0" w:color="auto"/>
        <w:bottom w:val="none" w:sz="0" w:space="0" w:color="auto"/>
        <w:right w:val="none" w:sz="0" w:space="0" w:color="auto"/>
      </w:divBdr>
    </w:div>
    <w:div w:id="193427396">
      <w:bodyDiv w:val="1"/>
      <w:marLeft w:val="0"/>
      <w:marRight w:val="0"/>
      <w:marTop w:val="0"/>
      <w:marBottom w:val="0"/>
      <w:divBdr>
        <w:top w:val="none" w:sz="0" w:space="0" w:color="auto"/>
        <w:left w:val="none" w:sz="0" w:space="0" w:color="auto"/>
        <w:bottom w:val="none" w:sz="0" w:space="0" w:color="auto"/>
        <w:right w:val="none" w:sz="0" w:space="0" w:color="auto"/>
      </w:divBdr>
    </w:div>
    <w:div w:id="213124902">
      <w:bodyDiv w:val="1"/>
      <w:marLeft w:val="0"/>
      <w:marRight w:val="0"/>
      <w:marTop w:val="0"/>
      <w:marBottom w:val="0"/>
      <w:divBdr>
        <w:top w:val="none" w:sz="0" w:space="0" w:color="auto"/>
        <w:left w:val="none" w:sz="0" w:space="0" w:color="auto"/>
        <w:bottom w:val="none" w:sz="0" w:space="0" w:color="auto"/>
        <w:right w:val="none" w:sz="0" w:space="0" w:color="auto"/>
      </w:divBdr>
    </w:div>
    <w:div w:id="228687311">
      <w:bodyDiv w:val="1"/>
      <w:marLeft w:val="0"/>
      <w:marRight w:val="0"/>
      <w:marTop w:val="0"/>
      <w:marBottom w:val="0"/>
      <w:divBdr>
        <w:top w:val="none" w:sz="0" w:space="0" w:color="auto"/>
        <w:left w:val="none" w:sz="0" w:space="0" w:color="auto"/>
        <w:bottom w:val="none" w:sz="0" w:space="0" w:color="auto"/>
        <w:right w:val="none" w:sz="0" w:space="0" w:color="auto"/>
      </w:divBdr>
    </w:div>
    <w:div w:id="229924192">
      <w:bodyDiv w:val="1"/>
      <w:marLeft w:val="0"/>
      <w:marRight w:val="0"/>
      <w:marTop w:val="0"/>
      <w:marBottom w:val="0"/>
      <w:divBdr>
        <w:top w:val="none" w:sz="0" w:space="0" w:color="auto"/>
        <w:left w:val="none" w:sz="0" w:space="0" w:color="auto"/>
        <w:bottom w:val="none" w:sz="0" w:space="0" w:color="auto"/>
        <w:right w:val="none" w:sz="0" w:space="0" w:color="auto"/>
      </w:divBdr>
    </w:div>
    <w:div w:id="243957657">
      <w:bodyDiv w:val="1"/>
      <w:marLeft w:val="0"/>
      <w:marRight w:val="0"/>
      <w:marTop w:val="0"/>
      <w:marBottom w:val="0"/>
      <w:divBdr>
        <w:top w:val="none" w:sz="0" w:space="0" w:color="auto"/>
        <w:left w:val="none" w:sz="0" w:space="0" w:color="auto"/>
        <w:bottom w:val="none" w:sz="0" w:space="0" w:color="auto"/>
        <w:right w:val="none" w:sz="0" w:space="0" w:color="auto"/>
      </w:divBdr>
    </w:div>
    <w:div w:id="266472985">
      <w:bodyDiv w:val="1"/>
      <w:marLeft w:val="0"/>
      <w:marRight w:val="0"/>
      <w:marTop w:val="0"/>
      <w:marBottom w:val="0"/>
      <w:divBdr>
        <w:top w:val="none" w:sz="0" w:space="0" w:color="auto"/>
        <w:left w:val="none" w:sz="0" w:space="0" w:color="auto"/>
        <w:bottom w:val="none" w:sz="0" w:space="0" w:color="auto"/>
        <w:right w:val="none" w:sz="0" w:space="0" w:color="auto"/>
      </w:divBdr>
    </w:div>
    <w:div w:id="278145498">
      <w:bodyDiv w:val="1"/>
      <w:marLeft w:val="0"/>
      <w:marRight w:val="0"/>
      <w:marTop w:val="0"/>
      <w:marBottom w:val="0"/>
      <w:divBdr>
        <w:top w:val="none" w:sz="0" w:space="0" w:color="auto"/>
        <w:left w:val="none" w:sz="0" w:space="0" w:color="auto"/>
        <w:bottom w:val="none" w:sz="0" w:space="0" w:color="auto"/>
        <w:right w:val="none" w:sz="0" w:space="0" w:color="auto"/>
      </w:divBdr>
    </w:div>
    <w:div w:id="297804106">
      <w:bodyDiv w:val="1"/>
      <w:marLeft w:val="0"/>
      <w:marRight w:val="0"/>
      <w:marTop w:val="0"/>
      <w:marBottom w:val="0"/>
      <w:divBdr>
        <w:top w:val="none" w:sz="0" w:space="0" w:color="auto"/>
        <w:left w:val="none" w:sz="0" w:space="0" w:color="auto"/>
        <w:bottom w:val="none" w:sz="0" w:space="0" w:color="auto"/>
        <w:right w:val="none" w:sz="0" w:space="0" w:color="auto"/>
      </w:divBdr>
    </w:div>
    <w:div w:id="348024153">
      <w:bodyDiv w:val="1"/>
      <w:marLeft w:val="0"/>
      <w:marRight w:val="0"/>
      <w:marTop w:val="0"/>
      <w:marBottom w:val="0"/>
      <w:divBdr>
        <w:top w:val="none" w:sz="0" w:space="0" w:color="auto"/>
        <w:left w:val="none" w:sz="0" w:space="0" w:color="auto"/>
        <w:bottom w:val="none" w:sz="0" w:space="0" w:color="auto"/>
        <w:right w:val="none" w:sz="0" w:space="0" w:color="auto"/>
      </w:divBdr>
    </w:div>
    <w:div w:id="349725953">
      <w:bodyDiv w:val="1"/>
      <w:marLeft w:val="0"/>
      <w:marRight w:val="0"/>
      <w:marTop w:val="0"/>
      <w:marBottom w:val="0"/>
      <w:divBdr>
        <w:top w:val="none" w:sz="0" w:space="0" w:color="auto"/>
        <w:left w:val="none" w:sz="0" w:space="0" w:color="auto"/>
        <w:bottom w:val="none" w:sz="0" w:space="0" w:color="auto"/>
        <w:right w:val="none" w:sz="0" w:space="0" w:color="auto"/>
      </w:divBdr>
    </w:div>
    <w:div w:id="371076617">
      <w:bodyDiv w:val="1"/>
      <w:marLeft w:val="0"/>
      <w:marRight w:val="0"/>
      <w:marTop w:val="0"/>
      <w:marBottom w:val="0"/>
      <w:divBdr>
        <w:top w:val="none" w:sz="0" w:space="0" w:color="auto"/>
        <w:left w:val="none" w:sz="0" w:space="0" w:color="auto"/>
        <w:bottom w:val="none" w:sz="0" w:space="0" w:color="auto"/>
        <w:right w:val="none" w:sz="0" w:space="0" w:color="auto"/>
      </w:divBdr>
    </w:div>
    <w:div w:id="379089737">
      <w:bodyDiv w:val="1"/>
      <w:marLeft w:val="0"/>
      <w:marRight w:val="0"/>
      <w:marTop w:val="0"/>
      <w:marBottom w:val="0"/>
      <w:divBdr>
        <w:top w:val="none" w:sz="0" w:space="0" w:color="auto"/>
        <w:left w:val="none" w:sz="0" w:space="0" w:color="auto"/>
        <w:bottom w:val="none" w:sz="0" w:space="0" w:color="auto"/>
        <w:right w:val="none" w:sz="0" w:space="0" w:color="auto"/>
      </w:divBdr>
    </w:div>
    <w:div w:id="403456504">
      <w:bodyDiv w:val="1"/>
      <w:marLeft w:val="0"/>
      <w:marRight w:val="0"/>
      <w:marTop w:val="0"/>
      <w:marBottom w:val="0"/>
      <w:divBdr>
        <w:top w:val="none" w:sz="0" w:space="0" w:color="auto"/>
        <w:left w:val="none" w:sz="0" w:space="0" w:color="auto"/>
        <w:bottom w:val="none" w:sz="0" w:space="0" w:color="auto"/>
        <w:right w:val="none" w:sz="0" w:space="0" w:color="auto"/>
      </w:divBdr>
    </w:div>
    <w:div w:id="415833753">
      <w:bodyDiv w:val="1"/>
      <w:marLeft w:val="0"/>
      <w:marRight w:val="0"/>
      <w:marTop w:val="0"/>
      <w:marBottom w:val="0"/>
      <w:divBdr>
        <w:top w:val="none" w:sz="0" w:space="0" w:color="auto"/>
        <w:left w:val="none" w:sz="0" w:space="0" w:color="auto"/>
        <w:bottom w:val="none" w:sz="0" w:space="0" w:color="auto"/>
        <w:right w:val="none" w:sz="0" w:space="0" w:color="auto"/>
      </w:divBdr>
    </w:div>
    <w:div w:id="426460011">
      <w:bodyDiv w:val="1"/>
      <w:marLeft w:val="0"/>
      <w:marRight w:val="0"/>
      <w:marTop w:val="0"/>
      <w:marBottom w:val="0"/>
      <w:divBdr>
        <w:top w:val="none" w:sz="0" w:space="0" w:color="auto"/>
        <w:left w:val="none" w:sz="0" w:space="0" w:color="auto"/>
        <w:bottom w:val="none" w:sz="0" w:space="0" w:color="auto"/>
        <w:right w:val="none" w:sz="0" w:space="0" w:color="auto"/>
      </w:divBdr>
    </w:div>
    <w:div w:id="450176517">
      <w:bodyDiv w:val="1"/>
      <w:marLeft w:val="0"/>
      <w:marRight w:val="0"/>
      <w:marTop w:val="0"/>
      <w:marBottom w:val="0"/>
      <w:divBdr>
        <w:top w:val="none" w:sz="0" w:space="0" w:color="auto"/>
        <w:left w:val="none" w:sz="0" w:space="0" w:color="auto"/>
        <w:bottom w:val="none" w:sz="0" w:space="0" w:color="auto"/>
        <w:right w:val="none" w:sz="0" w:space="0" w:color="auto"/>
      </w:divBdr>
    </w:div>
    <w:div w:id="463625578">
      <w:bodyDiv w:val="1"/>
      <w:marLeft w:val="0"/>
      <w:marRight w:val="0"/>
      <w:marTop w:val="0"/>
      <w:marBottom w:val="0"/>
      <w:divBdr>
        <w:top w:val="none" w:sz="0" w:space="0" w:color="auto"/>
        <w:left w:val="none" w:sz="0" w:space="0" w:color="auto"/>
        <w:bottom w:val="none" w:sz="0" w:space="0" w:color="auto"/>
        <w:right w:val="none" w:sz="0" w:space="0" w:color="auto"/>
      </w:divBdr>
    </w:div>
    <w:div w:id="464547251">
      <w:bodyDiv w:val="1"/>
      <w:marLeft w:val="0"/>
      <w:marRight w:val="0"/>
      <w:marTop w:val="0"/>
      <w:marBottom w:val="0"/>
      <w:divBdr>
        <w:top w:val="none" w:sz="0" w:space="0" w:color="auto"/>
        <w:left w:val="none" w:sz="0" w:space="0" w:color="auto"/>
        <w:bottom w:val="none" w:sz="0" w:space="0" w:color="auto"/>
        <w:right w:val="none" w:sz="0" w:space="0" w:color="auto"/>
      </w:divBdr>
    </w:div>
    <w:div w:id="494613378">
      <w:bodyDiv w:val="1"/>
      <w:marLeft w:val="0"/>
      <w:marRight w:val="0"/>
      <w:marTop w:val="0"/>
      <w:marBottom w:val="0"/>
      <w:divBdr>
        <w:top w:val="none" w:sz="0" w:space="0" w:color="auto"/>
        <w:left w:val="none" w:sz="0" w:space="0" w:color="auto"/>
        <w:bottom w:val="none" w:sz="0" w:space="0" w:color="auto"/>
        <w:right w:val="none" w:sz="0" w:space="0" w:color="auto"/>
      </w:divBdr>
    </w:div>
    <w:div w:id="528185160">
      <w:bodyDiv w:val="1"/>
      <w:marLeft w:val="0"/>
      <w:marRight w:val="0"/>
      <w:marTop w:val="0"/>
      <w:marBottom w:val="0"/>
      <w:divBdr>
        <w:top w:val="none" w:sz="0" w:space="0" w:color="auto"/>
        <w:left w:val="none" w:sz="0" w:space="0" w:color="auto"/>
        <w:bottom w:val="none" w:sz="0" w:space="0" w:color="auto"/>
        <w:right w:val="none" w:sz="0" w:space="0" w:color="auto"/>
      </w:divBdr>
    </w:div>
    <w:div w:id="542903902">
      <w:bodyDiv w:val="1"/>
      <w:marLeft w:val="0"/>
      <w:marRight w:val="0"/>
      <w:marTop w:val="0"/>
      <w:marBottom w:val="0"/>
      <w:divBdr>
        <w:top w:val="none" w:sz="0" w:space="0" w:color="auto"/>
        <w:left w:val="none" w:sz="0" w:space="0" w:color="auto"/>
        <w:bottom w:val="none" w:sz="0" w:space="0" w:color="auto"/>
        <w:right w:val="none" w:sz="0" w:space="0" w:color="auto"/>
      </w:divBdr>
    </w:div>
    <w:div w:id="543257380">
      <w:bodyDiv w:val="1"/>
      <w:marLeft w:val="0"/>
      <w:marRight w:val="0"/>
      <w:marTop w:val="0"/>
      <w:marBottom w:val="0"/>
      <w:divBdr>
        <w:top w:val="none" w:sz="0" w:space="0" w:color="auto"/>
        <w:left w:val="none" w:sz="0" w:space="0" w:color="auto"/>
        <w:bottom w:val="none" w:sz="0" w:space="0" w:color="auto"/>
        <w:right w:val="none" w:sz="0" w:space="0" w:color="auto"/>
      </w:divBdr>
    </w:div>
    <w:div w:id="551699735">
      <w:bodyDiv w:val="1"/>
      <w:marLeft w:val="0"/>
      <w:marRight w:val="0"/>
      <w:marTop w:val="0"/>
      <w:marBottom w:val="0"/>
      <w:divBdr>
        <w:top w:val="none" w:sz="0" w:space="0" w:color="auto"/>
        <w:left w:val="none" w:sz="0" w:space="0" w:color="auto"/>
        <w:bottom w:val="none" w:sz="0" w:space="0" w:color="auto"/>
        <w:right w:val="none" w:sz="0" w:space="0" w:color="auto"/>
      </w:divBdr>
    </w:div>
    <w:div w:id="553392687">
      <w:bodyDiv w:val="1"/>
      <w:marLeft w:val="0"/>
      <w:marRight w:val="0"/>
      <w:marTop w:val="0"/>
      <w:marBottom w:val="0"/>
      <w:divBdr>
        <w:top w:val="none" w:sz="0" w:space="0" w:color="auto"/>
        <w:left w:val="none" w:sz="0" w:space="0" w:color="auto"/>
        <w:bottom w:val="none" w:sz="0" w:space="0" w:color="auto"/>
        <w:right w:val="none" w:sz="0" w:space="0" w:color="auto"/>
      </w:divBdr>
    </w:div>
    <w:div w:id="606695022">
      <w:bodyDiv w:val="1"/>
      <w:marLeft w:val="0"/>
      <w:marRight w:val="0"/>
      <w:marTop w:val="0"/>
      <w:marBottom w:val="0"/>
      <w:divBdr>
        <w:top w:val="none" w:sz="0" w:space="0" w:color="auto"/>
        <w:left w:val="none" w:sz="0" w:space="0" w:color="auto"/>
        <w:bottom w:val="none" w:sz="0" w:space="0" w:color="auto"/>
        <w:right w:val="none" w:sz="0" w:space="0" w:color="auto"/>
      </w:divBdr>
    </w:div>
    <w:div w:id="615796891">
      <w:bodyDiv w:val="1"/>
      <w:marLeft w:val="0"/>
      <w:marRight w:val="0"/>
      <w:marTop w:val="0"/>
      <w:marBottom w:val="0"/>
      <w:divBdr>
        <w:top w:val="none" w:sz="0" w:space="0" w:color="auto"/>
        <w:left w:val="none" w:sz="0" w:space="0" w:color="auto"/>
        <w:bottom w:val="none" w:sz="0" w:space="0" w:color="auto"/>
        <w:right w:val="none" w:sz="0" w:space="0" w:color="auto"/>
      </w:divBdr>
    </w:div>
    <w:div w:id="625506426">
      <w:bodyDiv w:val="1"/>
      <w:marLeft w:val="0"/>
      <w:marRight w:val="0"/>
      <w:marTop w:val="0"/>
      <w:marBottom w:val="0"/>
      <w:divBdr>
        <w:top w:val="none" w:sz="0" w:space="0" w:color="auto"/>
        <w:left w:val="none" w:sz="0" w:space="0" w:color="auto"/>
        <w:bottom w:val="none" w:sz="0" w:space="0" w:color="auto"/>
        <w:right w:val="none" w:sz="0" w:space="0" w:color="auto"/>
      </w:divBdr>
    </w:div>
    <w:div w:id="627974168">
      <w:bodyDiv w:val="1"/>
      <w:marLeft w:val="0"/>
      <w:marRight w:val="0"/>
      <w:marTop w:val="0"/>
      <w:marBottom w:val="0"/>
      <w:divBdr>
        <w:top w:val="none" w:sz="0" w:space="0" w:color="auto"/>
        <w:left w:val="none" w:sz="0" w:space="0" w:color="auto"/>
        <w:bottom w:val="none" w:sz="0" w:space="0" w:color="auto"/>
        <w:right w:val="none" w:sz="0" w:space="0" w:color="auto"/>
      </w:divBdr>
    </w:div>
    <w:div w:id="639501231">
      <w:bodyDiv w:val="1"/>
      <w:marLeft w:val="0"/>
      <w:marRight w:val="0"/>
      <w:marTop w:val="0"/>
      <w:marBottom w:val="0"/>
      <w:divBdr>
        <w:top w:val="none" w:sz="0" w:space="0" w:color="auto"/>
        <w:left w:val="none" w:sz="0" w:space="0" w:color="auto"/>
        <w:bottom w:val="none" w:sz="0" w:space="0" w:color="auto"/>
        <w:right w:val="none" w:sz="0" w:space="0" w:color="auto"/>
      </w:divBdr>
    </w:div>
    <w:div w:id="671034868">
      <w:bodyDiv w:val="1"/>
      <w:marLeft w:val="0"/>
      <w:marRight w:val="0"/>
      <w:marTop w:val="0"/>
      <w:marBottom w:val="0"/>
      <w:divBdr>
        <w:top w:val="none" w:sz="0" w:space="0" w:color="auto"/>
        <w:left w:val="none" w:sz="0" w:space="0" w:color="auto"/>
        <w:bottom w:val="none" w:sz="0" w:space="0" w:color="auto"/>
        <w:right w:val="none" w:sz="0" w:space="0" w:color="auto"/>
      </w:divBdr>
    </w:div>
    <w:div w:id="678967479">
      <w:bodyDiv w:val="1"/>
      <w:marLeft w:val="0"/>
      <w:marRight w:val="0"/>
      <w:marTop w:val="0"/>
      <w:marBottom w:val="0"/>
      <w:divBdr>
        <w:top w:val="none" w:sz="0" w:space="0" w:color="auto"/>
        <w:left w:val="none" w:sz="0" w:space="0" w:color="auto"/>
        <w:bottom w:val="none" w:sz="0" w:space="0" w:color="auto"/>
        <w:right w:val="none" w:sz="0" w:space="0" w:color="auto"/>
      </w:divBdr>
    </w:div>
    <w:div w:id="691539224">
      <w:bodyDiv w:val="1"/>
      <w:marLeft w:val="0"/>
      <w:marRight w:val="0"/>
      <w:marTop w:val="0"/>
      <w:marBottom w:val="0"/>
      <w:divBdr>
        <w:top w:val="none" w:sz="0" w:space="0" w:color="auto"/>
        <w:left w:val="none" w:sz="0" w:space="0" w:color="auto"/>
        <w:bottom w:val="none" w:sz="0" w:space="0" w:color="auto"/>
        <w:right w:val="none" w:sz="0" w:space="0" w:color="auto"/>
      </w:divBdr>
    </w:div>
    <w:div w:id="698817717">
      <w:bodyDiv w:val="1"/>
      <w:marLeft w:val="0"/>
      <w:marRight w:val="0"/>
      <w:marTop w:val="0"/>
      <w:marBottom w:val="0"/>
      <w:divBdr>
        <w:top w:val="none" w:sz="0" w:space="0" w:color="auto"/>
        <w:left w:val="none" w:sz="0" w:space="0" w:color="auto"/>
        <w:bottom w:val="none" w:sz="0" w:space="0" w:color="auto"/>
        <w:right w:val="none" w:sz="0" w:space="0" w:color="auto"/>
      </w:divBdr>
    </w:div>
    <w:div w:id="701243761">
      <w:bodyDiv w:val="1"/>
      <w:marLeft w:val="0"/>
      <w:marRight w:val="0"/>
      <w:marTop w:val="0"/>
      <w:marBottom w:val="0"/>
      <w:divBdr>
        <w:top w:val="none" w:sz="0" w:space="0" w:color="auto"/>
        <w:left w:val="none" w:sz="0" w:space="0" w:color="auto"/>
        <w:bottom w:val="none" w:sz="0" w:space="0" w:color="auto"/>
        <w:right w:val="none" w:sz="0" w:space="0" w:color="auto"/>
      </w:divBdr>
    </w:div>
    <w:div w:id="707417384">
      <w:bodyDiv w:val="1"/>
      <w:marLeft w:val="0"/>
      <w:marRight w:val="0"/>
      <w:marTop w:val="0"/>
      <w:marBottom w:val="0"/>
      <w:divBdr>
        <w:top w:val="none" w:sz="0" w:space="0" w:color="auto"/>
        <w:left w:val="none" w:sz="0" w:space="0" w:color="auto"/>
        <w:bottom w:val="none" w:sz="0" w:space="0" w:color="auto"/>
        <w:right w:val="none" w:sz="0" w:space="0" w:color="auto"/>
      </w:divBdr>
    </w:div>
    <w:div w:id="761991969">
      <w:bodyDiv w:val="1"/>
      <w:marLeft w:val="0"/>
      <w:marRight w:val="0"/>
      <w:marTop w:val="0"/>
      <w:marBottom w:val="0"/>
      <w:divBdr>
        <w:top w:val="none" w:sz="0" w:space="0" w:color="auto"/>
        <w:left w:val="none" w:sz="0" w:space="0" w:color="auto"/>
        <w:bottom w:val="none" w:sz="0" w:space="0" w:color="auto"/>
        <w:right w:val="none" w:sz="0" w:space="0" w:color="auto"/>
      </w:divBdr>
    </w:div>
    <w:div w:id="788813869">
      <w:bodyDiv w:val="1"/>
      <w:marLeft w:val="0"/>
      <w:marRight w:val="0"/>
      <w:marTop w:val="0"/>
      <w:marBottom w:val="0"/>
      <w:divBdr>
        <w:top w:val="none" w:sz="0" w:space="0" w:color="auto"/>
        <w:left w:val="none" w:sz="0" w:space="0" w:color="auto"/>
        <w:bottom w:val="none" w:sz="0" w:space="0" w:color="auto"/>
        <w:right w:val="none" w:sz="0" w:space="0" w:color="auto"/>
      </w:divBdr>
    </w:div>
    <w:div w:id="827359154">
      <w:bodyDiv w:val="1"/>
      <w:marLeft w:val="0"/>
      <w:marRight w:val="0"/>
      <w:marTop w:val="0"/>
      <w:marBottom w:val="0"/>
      <w:divBdr>
        <w:top w:val="none" w:sz="0" w:space="0" w:color="auto"/>
        <w:left w:val="none" w:sz="0" w:space="0" w:color="auto"/>
        <w:bottom w:val="none" w:sz="0" w:space="0" w:color="auto"/>
        <w:right w:val="none" w:sz="0" w:space="0" w:color="auto"/>
      </w:divBdr>
    </w:div>
    <w:div w:id="835926753">
      <w:bodyDiv w:val="1"/>
      <w:marLeft w:val="0"/>
      <w:marRight w:val="0"/>
      <w:marTop w:val="0"/>
      <w:marBottom w:val="0"/>
      <w:divBdr>
        <w:top w:val="none" w:sz="0" w:space="0" w:color="auto"/>
        <w:left w:val="none" w:sz="0" w:space="0" w:color="auto"/>
        <w:bottom w:val="none" w:sz="0" w:space="0" w:color="auto"/>
        <w:right w:val="none" w:sz="0" w:space="0" w:color="auto"/>
      </w:divBdr>
    </w:div>
    <w:div w:id="858935238">
      <w:bodyDiv w:val="1"/>
      <w:marLeft w:val="0"/>
      <w:marRight w:val="0"/>
      <w:marTop w:val="0"/>
      <w:marBottom w:val="0"/>
      <w:divBdr>
        <w:top w:val="none" w:sz="0" w:space="0" w:color="auto"/>
        <w:left w:val="none" w:sz="0" w:space="0" w:color="auto"/>
        <w:bottom w:val="none" w:sz="0" w:space="0" w:color="auto"/>
        <w:right w:val="none" w:sz="0" w:space="0" w:color="auto"/>
      </w:divBdr>
    </w:div>
    <w:div w:id="861741446">
      <w:bodyDiv w:val="1"/>
      <w:marLeft w:val="0"/>
      <w:marRight w:val="0"/>
      <w:marTop w:val="0"/>
      <w:marBottom w:val="0"/>
      <w:divBdr>
        <w:top w:val="none" w:sz="0" w:space="0" w:color="auto"/>
        <w:left w:val="none" w:sz="0" w:space="0" w:color="auto"/>
        <w:bottom w:val="none" w:sz="0" w:space="0" w:color="auto"/>
        <w:right w:val="none" w:sz="0" w:space="0" w:color="auto"/>
      </w:divBdr>
    </w:div>
    <w:div w:id="931160688">
      <w:bodyDiv w:val="1"/>
      <w:marLeft w:val="0"/>
      <w:marRight w:val="0"/>
      <w:marTop w:val="0"/>
      <w:marBottom w:val="0"/>
      <w:divBdr>
        <w:top w:val="none" w:sz="0" w:space="0" w:color="auto"/>
        <w:left w:val="none" w:sz="0" w:space="0" w:color="auto"/>
        <w:bottom w:val="none" w:sz="0" w:space="0" w:color="auto"/>
        <w:right w:val="none" w:sz="0" w:space="0" w:color="auto"/>
      </w:divBdr>
    </w:div>
    <w:div w:id="941844184">
      <w:bodyDiv w:val="1"/>
      <w:marLeft w:val="0"/>
      <w:marRight w:val="0"/>
      <w:marTop w:val="0"/>
      <w:marBottom w:val="0"/>
      <w:divBdr>
        <w:top w:val="none" w:sz="0" w:space="0" w:color="auto"/>
        <w:left w:val="none" w:sz="0" w:space="0" w:color="auto"/>
        <w:bottom w:val="none" w:sz="0" w:space="0" w:color="auto"/>
        <w:right w:val="none" w:sz="0" w:space="0" w:color="auto"/>
      </w:divBdr>
    </w:div>
    <w:div w:id="948466049">
      <w:bodyDiv w:val="1"/>
      <w:marLeft w:val="0"/>
      <w:marRight w:val="0"/>
      <w:marTop w:val="0"/>
      <w:marBottom w:val="0"/>
      <w:divBdr>
        <w:top w:val="none" w:sz="0" w:space="0" w:color="auto"/>
        <w:left w:val="none" w:sz="0" w:space="0" w:color="auto"/>
        <w:bottom w:val="none" w:sz="0" w:space="0" w:color="auto"/>
        <w:right w:val="none" w:sz="0" w:space="0" w:color="auto"/>
      </w:divBdr>
    </w:div>
    <w:div w:id="963772951">
      <w:bodyDiv w:val="1"/>
      <w:marLeft w:val="0"/>
      <w:marRight w:val="0"/>
      <w:marTop w:val="0"/>
      <w:marBottom w:val="0"/>
      <w:divBdr>
        <w:top w:val="none" w:sz="0" w:space="0" w:color="auto"/>
        <w:left w:val="none" w:sz="0" w:space="0" w:color="auto"/>
        <w:bottom w:val="none" w:sz="0" w:space="0" w:color="auto"/>
        <w:right w:val="none" w:sz="0" w:space="0" w:color="auto"/>
      </w:divBdr>
    </w:div>
    <w:div w:id="963804570">
      <w:bodyDiv w:val="1"/>
      <w:marLeft w:val="0"/>
      <w:marRight w:val="0"/>
      <w:marTop w:val="0"/>
      <w:marBottom w:val="0"/>
      <w:divBdr>
        <w:top w:val="none" w:sz="0" w:space="0" w:color="auto"/>
        <w:left w:val="none" w:sz="0" w:space="0" w:color="auto"/>
        <w:bottom w:val="none" w:sz="0" w:space="0" w:color="auto"/>
        <w:right w:val="none" w:sz="0" w:space="0" w:color="auto"/>
      </w:divBdr>
    </w:div>
    <w:div w:id="991568309">
      <w:bodyDiv w:val="1"/>
      <w:marLeft w:val="0"/>
      <w:marRight w:val="0"/>
      <w:marTop w:val="0"/>
      <w:marBottom w:val="0"/>
      <w:divBdr>
        <w:top w:val="none" w:sz="0" w:space="0" w:color="auto"/>
        <w:left w:val="none" w:sz="0" w:space="0" w:color="auto"/>
        <w:bottom w:val="none" w:sz="0" w:space="0" w:color="auto"/>
        <w:right w:val="none" w:sz="0" w:space="0" w:color="auto"/>
      </w:divBdr>
    </w:div>
    <w:div w:id="1021250181">
      <w:bodyDiv w:val="1"/>
      <w:marLeft w:val="0"/>
      <w:marRight w:val="0"/>
      <w:marTop w:val="0"/>
      <w:marBottom w:val="0"/>
      <w:divBdr>
        <w:top w:val="none" w:sz="0" w:space="0" w:color="auto"/>
        <w:left w:val="none" w:sz="0" w:space="0" w:color="auto"/>
        <w:bottom w:val="none" w:sz="0" w:space="0" w:color="auto"/>
        <w:right w:val="none" w:sz="0" w:space="0" w:color="auto"/>
      </w:divBdr>
    </w:div>
    <w:div w:id="1024407619">
      <w:bodyDiv w:val="1"/>
      <w:marLeft w:val="0"/>
      <w:marRight w:val="0"/>
      <w:marTop w:val="0"/>
      <w:marBottom w:val="0"/>
      <w:divBdr>
        <w:top w:val="none" w:sz="0" w:space="0" w:color="auto"/>
        <w:left w:val="none" w:sz="0" w:space="0" w:color="auto"/>
        <w:bottom w:val="none" w:sz="0" w:space="0" w:color="auto"/>
        <w:right w:val="none" w:sz="0" w:space="0" w:color="auto"/>
      </w:divBdr>
    </w:div>
    <w:div w:id="1051924806">
      <w:bodyDiv w:val="1"/>
      <w:marLeft w:val="0"/>
      <w:marRight w:val="0"/>
      <w:marTop w:val="0"/>
      <w:marBottom w:val="0"/>
      <w:divBdr>
        <w:top w:val="none" w:sz="0" w:space="0" w:color="auto"/>
        <w:left w:val="none" w:sz="0" w:space="0" w:color="auto"/>
        <w:bottom w:val="none" w:sz="0" w:space="0" w:color="auto"/>
        <w:right w:val="none" w:sz="0" w:space="0" w:color="auto"/>
      </w:divBdr>
    </w:div>
    <w:div w:id="1062941940">
      <w:bodyDiv w:val="1"/>
      <w:marLeft w:val="0"/>
      <w:marRight w:val="0"/>
      <w:marTop w:val="0"/>
      <w:marBottom w:val="0"/>
      <w:divBdr>
        <w:top w:val="none" w:sz="0" w:space="0" w:color="auto"/>
        <w:left w:val="none" w:sz="0" w:space="0" w:color="auto"/>
        <w:bottom w:val="none" w:sz="0" w:space="0" w:color="auto"/>
        <w:right w:val="none" w:sz="0" w:space="0" w:color="auto"/>
      </w:divBdr>
    </w:div>
    <w:div w:id="1079979691">
      <w:bodyDiv w:val="1"/>
      <w:marLeft w:val="0"/>
      <w:marRight w:val="0"/>
      <w:marTop w:val="0"/>
      <w:marBottom w:val="0"/>
      <w:divBdr>
        <w:top w:val="none" w:sz="0" w:space="0" w:color="auto"/>
        <w:left w:val="none" w:sz="0" w:space="0" w:color="auto"/>
        <w:bottom w:val="none" w:sz="0" w:space="0" w:color="auto"/>
        <w:right w:val="none" w:sz="0" w:space="0" w:color="auto"/>
      </w:divBdr>
    </w:div>
    <w:div w:id="1102797658">
      <w:bodyDiv w:val="1"/>
      <w:marLeft w:val="0"/>
      <w:marRight w:val="0"/>
      <w:marTop w:val="0"/>
      <w:marBottom w:val="0"/>
      <w:divBdr>
        <w:top w:val="none" w:sz="0" w:space="0" w:color="auto"/>
        <w:left w:val="none" w:sz="0" w:space="0" w:color="auto"/>
        <w:bottom w:val="none" w:sz="0" w:space="0" w:color="auto"/>
        <w:right w:val="none" w:sz="0" w:space="0" w:color="auto"/>
      </w:divBdr>
    </w:div>
    <w:div w:id="1180044302">
      <w:bodyDiv w:val="1"/>
      <w:marLeft w:val="0"/>
      <w:marRight w:val="0"/>
      <w:marTop w:val="0"/>
      <w:marBottom w:val="0"/>
      <w:divBdr>
        <w:top w:val="none" w:sz="0" w:space="0" w:color="auto"/>
        <w:left w:val="none" w:sz="0" w:space="0" w:color="auto"/>
        <w:bottom w:val="none" w:sz="0" w:space="0" w:color="auto"/>
        <w:right w:val="none" w:sz="0" w:space="0" w:color="auto"/>
      </w:divBdr>
    </w:div>
    <w:div w:id="1203320716">
      <w:bodyDiv w:val="1"/>
      <w:marLeft w:val="0"/>
      <w:marRight w:val="0"/>
      <w:marTop w:val="0"/>
      <w:marBottom w:val="0"/>
      <w:divBdr>
        <w:top w:val="none" w:sz="0" w:space="0" w:color="auto"/>
        <w:left w:val="none" w:sz="0" w:space="0" w:color="auto"/>
        <w:bottom w:val="none" w:sz="0" w:space="0" w:color="auto"/>
        <w:right w:val="none" w:sz="0" w:space="0" w:color="auto"/>
      </w:divBdr>
    </w:div>
    <w:div w:id="1225798152">
      <w:bodyDiv w:val="1"/>
      <w:marLeft w:val="0"/>
      <w:marRight w:val="0"/>
      <w:marTop w:val="0"/>
      <w:marBottom w:val="0"/>
      <w:divBdr>
        <w:top w:val="none" w:sz="0" w:space="0" w:color="auto"/>
        <w:left w:val="none" w:sz="0" w:space="0" w:color="auto"/>
        <w:bottom w:val="none" w:sz="0" w:space="0" w:color="auto"/>
        <w:right w:val="none" w:sz="0" w:space="0" w:color="auto"/>
      </w:divBdr>
    </w:div>
    <w:div w:id="1236479579">
      <w:bodyDiv w:val="1"/>
      <w:marLeft w:val="0"/>
      <w:marRight w:val="0"/>
      <w:marTop w:val="0"/>
      <w:marBottom w:val="0"/>
      <w:divBdr>
        <w:top w:val="none" w:sz="0" w:space="0" w:color="auto"/>
        <w:left w:val="none" w:sz="0" w:space="0" w:color="auto"/>
        <w:bottom w:val="none" w:sz="0" w:space="0" w:color="auto"/>
        <w:right w:val="none" w:sz="0" w:space="0" w:color="auto"/>
      </w:divBdr>
    </w:div>
    <w:div w:id="1260989128">
      <w:bodyDiv w:val="1"/>
      <w:marLeft w:val="0"/>
      <w:marRight w:val="0"/>
      <w:marTop w:val="0"/>
      <w:marBottom w:val="0"/>
      <w:divBdr>
        <w:top w:val="none" w:sz="0" w:space="0" w:color="auto"/>
        <w:left w:val="none" w:sz="0" w:space="0" w:color="auto"/>
        <w:bottom w:val="none" w:sz="0" w:space="0" w:color="auto"/>
        <w:right w:val="none" w:sz="0" w:space="0" w:color="auto"/>
      </w:divBdr>
    </w:div>
    <w:div w:id="1306426993">
      <w:bodyDiv w:val="1"/>
      <w:marLeft w:val="0"/>
      <w:marRight w:val="0"/>
      <w:marTop w:val="0"/>
      <w:marBottom w:val="0"/>
      <w:divBdr>
        <w:top w:val="none" w:sz="0" w:space="0" w:color="auto"/>
        <w:left w:val="none" w:sz="0" w:space="0" w:color="auto"/>
        <w:bottom w:val="none" w:sz="0" w:space="0" w:color="auto"/>
        <w:right w:val="none" w:sz="0" w:space="0" w:color="auto"/>
      </w:divBdr>
    </w:div>
    <w:div w:id="1318655290">
      <w:bodyDiv w:val="1"/>
      <w:marLeft w:val="0"/>
      <w:marRight w:val="0"/>
      <w:marTop w:val="0"/>
      <w:marBottom w:val="0"/>
      <w:divBdr>
        <w:top w:val="none" w:sz="0" w:space="0" w:color="auto"/>
        <w:left w:val="none" w:sz="0" w:space="0" w:color="auto"/>
        <w:bottom w:val="none" w:sz="0" w:space="0" w:color="auto"/>
        <w:right w:val="none" w:sz="0" w:space="0" w:color="auto"/>
      </w:divBdr>
    </w:div>
    <w:div w:id="1321687908">
      <w:bodyDiv w:val="1"/>
      <w:marLeft w:val="0"/>
      <w:marRight w:val="0"/>
      <w:marTop w:val="0"/>
      <w:marBottom w:val="0"/>
      <w:divBdr>
        <w:top w:val="none" w:sz="0" w:space="0" w:color="auto"/>
        <w:left w:val="none" w:sz="0" w:space="0" w:color="auto"/>
        <w:bottom w:val="none" w:sz="0" w:space="0" w:color="auto"/>
        <w:right w:val="none" w:sz="0" w:space="0" w:color="auto"/>
      </w:divBdr>
    </w:div>
    <w:div w:id="1322853051">
      <w:bodyDiv w:val="1"/>
      <w:marLeft w:val="0"/>
      <w:marRight w:val="0"/>
      <w:marTop w:val="0"/>
      <w:marBottom w:val="0"/>
      <w:divBdr>
        <w:top w:val="none" w:sz="0" w:space="0" w:color="auto"/>
        <w:left w:val="none" w:sz="0" w:space="0" w:color="auto"/>
        <w:bottom w:val="none" w:sz="0" w:space="0" w:color="auto"/>
        <w:right w:val="none" w:sz="0" w:space="0" w:color="auto"/>
      </w:divBdr>
    </w:div>
    <w:div w:id="1330256167">
      <w:bodyDiv w:val="1"/>
      <w:marLeft w:val="0"/>
      <w:marRight w:val="0"/>
      <w:marTop w:val="0"/>
      <w:marBottom w:val="0"/>
      <w:divBdr>
        <w:top w:val="none" w:sz="0" w:space="0" w:color="auto"/>
        <w:left w:val="none" w:sz="0" w:space="0" w:color="auto"/>
        <w:bottom w:val="none" w:sz="0" w:space="0" w:color="auto"/>
        <w:right w:val="none" w:sz="0" w:space="0" w:color="auto"/>
      </w:divBdr>
    </w:div>
    <w:div w:id="1354918599">
      <w:bodyDiv w:val="1"/>
      <w:marLeft w:val="0"/>
      <w:marRight w:val="0"/>
      <w:marTop w:val="0"/>
      <w:marBottom w:val="0"/>
      <w:divBdr>
        <w:top w:val="none" w:sz="0" w:space="0" w:color="auto"/>
        <w:left w:val="none" w:sz="0" w:space="0" w:color="auto"/>
        <w:bottom w:val="none" w:sz="0" w:space="0" w:color="auto"/>
        <w:right w:val="none" w:sz="0" w:space="0" w:color="auto"/>
      </w:divBdr>
    </w:div>
    <w:div w:id="1359237718">
      <w:bodyDiv w:val="1"/>
      <w:marLeft w:val="0"/>
      <w:marRight w:val="0"/>
      <w:marTop w:val="0"/>
      <w:marBottom w:val="0"/>
      <w:divBdr>
        <w:top w:val="none" w:sz="0" w:space="0" w:color="auto"/>
        <w:left w:val="none" w:sz="0" w:space="0" w:color="auto"/>
        <w:bottom w:val="none" w:sz="0" w:space="0" w:color="auto"/>
        <w:right w:val="none" w:sz="0" w:space="0" w:color="auto"/>
      </w:divBdr>
    </w:div>
    <w:div w:id="1377774050">
      <w:bodyDiv w:val="1"/>
      <w:marLeft w:val="0"/>
      <w:marRight w:val="0"/>
      <w:marTop w:val="0"/>
      <w:marBottom w:val="0"/>
      <w:divBdr>
        <w:top w:val="none" w:sz="0" w:space="0" w:color="auto"/>
        <w:left w:val="none" w:sz="0" w:space="0" w:color="auto"/>
        <w:bottom w:val="none" w:sz="0" w:space="0" w:color="auto"/>
        <w:right w:val="none" w:sz="0" w:space="0" w:color="auto"/>
      </w:divBdr>
    </w:div>
    <w:div w:id="1391805389">
      <w:bodyDiv w:val="1"/>
      <w:marLeft w:val="0"/>
      <w:marRight w:val="0"/>
      <w:marTop w:val="0"/>
      <w:marBottom w:val="0"/>
      <w:divBdr>
        <w:top w:val="none" w:sz="0" w:space="0" w:color="auto"/>
        <w:left w:val="none" w:sz="0" w:space="0" w:color="auto"/>
        <w:bottom w:val="none" w:sz="0" w:space="0" w:color="auto"/>
        <w:right w:val="none" w:sz="0" w:space="0" w:color="auto"/>
      </w:divBdr>
    </w:div>
    <w:div w:id="1524324881">
      <w:bodyDiv w:val="1"/>
      <w:marLeft w:val="0"/>
      <w:marRight w:val="0"/>
      <w:marTop w:val="0"/>
      <w:marBottom w:val="0"/>
      <w:divBdr>
        <w:top w:val="none" w:sz="0" w:space="0" w:color="auto"/>
        <w:left w:val="none" w:sz="0" w:space="0" w:color="auto"/>
        <w:bottom w:val="none" w:sz="0" w:space="0" w:color="auto"/>
        <w:right w:val="none" w:sz="0" w:space="0" w:color="auto"/>
      </w:divBdr>
    </w:div>
    <w:div w:id="1558013803">
      <w:bodyDiv w:val="1"/>
      <w:marLeft w:val="0"/>
      <w:marRight w:val="0"/>
      <w:marTop w:val="0"/>
      <w:marBottom w:val="0"/>
      <w:divBdr>
        <w:top w:val="none" w:sz="0" w:space="0" w:color="auto"/>
        <w:left w:val="none" w:sz="0" w:space="0" w:color="auto"/>
        <w:bottom w:val="none" w:sz="0" w:space="0" w:color="auto"/>
        <w:right w:val="none" w:sz="0" w:space="0" w:color="auto"/>
      </w:divBdr>
    </w:div>
    <w:div w:id="1558586965">
      <w:bodyDiv w:val="1"/>
      <w:marLeft w:val="0"/>
      <w:marRight w:val="0"/>
      <w:marTop w:val="0"/>
      <w:marBottom w:val="0"/>
      <w:divBdr>
        <w:top w:val="none" w:sz="0" w:space="0" w:color="auto"/>
        <w:left w:val="none" w:sz="0" w:space="0" w:color="auto"/>
        <w:bottom w:val="none" w:sz="0" w:space="0" w:color="auto"/>
        <w:right w:val="none" w:sz="0" w:space="0" w:color="auto"/>
      </w:divBdr>
    </w:div>
    <w:div w:id="1597012244">
      <w:bodyDiv w:val="1"/>
      <w:marLeft w:val="0"/>
      <w:marRight w:val="0"/>
      <w:marTop w:val="0"/>
      <w:marBottom w:val="0"/>
      <w:divBdr>
        <w:top w:val="none" w:sz="0" w:space="0" w:color="auto"/>
        <w:left w:val="none" w:sz="0" w:space="0" w:color="auto"/>
        <w:bottom w:val="none" w:sz="0" w:space="0" w:color="auto"/>
        <w:right w:val="none" w:sz="0" w:space="0" w:color="auto"/>
      </w:divBdr>
    </w:div>
    <w:div w:id="1597977450">
      <w:bodyDiv w:val="1"/>
      <w:marLeft w:val="0"/>
      <w:marRight w:val="0"/>
      <w:marTop w:val="0"/>
      <w:marBottom w:val="0"/>
      <w:divBdr>
        <w:top w:val="none" w:sz="0" w:space="0" w:color="auto"/>
        <w:left w:val="none" w:sz="0" w:space="0" w:color="auto"/>
        <w:bottom w:val="none" w:sz="0" w:space="0" w:color="auto"/>
        <w:right w:val="none" w:sz="0" w:space="0" w:color="auto"/>
      </w:divBdr>
    </w:div>
    <w:div w:id="1600989229">
      <w:bodyDiv w:val="1"/>
      <w:marLeft w:val="0"/>
      <w:marRight w:val="0"/>
      <w:marTop w:val="0"/>
      <w:marBottom w:val="0"/>
      <w:divBdr>
        <w:top w:val="none" w:sz="0" w:space="0" w:color="auto"/>
        <w:left w:val="none" w:sz="0" w:space="0" w:color="auto"/>
        <w:bottom w:val="none" w:sz="0" w:space="0" w:color="auto"/>
        <w:right w:val="none" w:sz="0" w:space="0" w:color="auto"/>
      </w:divBdr>
    </w:div>
    <w:div w:id="1604410591">
      <w:bodyDiv w:val="1"/>
      <w:marLeft w:val="0"/>
      <w:marRight w:val="0"/>
      <w:marTop w:val="0"/>
      <w:marBottom w:val="0"/>
      <w:divBdr>
        <w:top w:val="none" w:sz="0" w:space="0" w:color="auto"/>
        <w:left w:val="none" w:sz="0" w:space="0" w:color="auto"/>
        <w:bottom w:val="none" w:sz="0" w:space="0" w:color="auto"/>
        <w:right w:val="none" w:sz="0" w:space="0" w:color="auto"/>
      </w:divBdr>
    </w:div>
    <w:div w:id="1647277039">
      <w:bodyDiv w:val="1"/>
      <w:marLeft w:val="0"/>
      <w:marRight w:val="0"/>
      <w:marTop w:val="0"/>
      <w:marBottom w:val="0"/>
      <w:divBdr>
        <w:top w:val="none" w:sz="0" w:space="0" w:color="auto"/>
        <w:left w:val="none" w:sz="0" w:space="0" w:color="auto"/>
        <w:bottom w:val="none" w:sz="0" w:space="0" w:color="auto"/>
        <w:right w:val="none" w:sz="0" w:space="0" w:color="auto"/>
      </w:divBdr>
    </w:div>
    <w:div w:id="1648239698">
      <w:bodyDiv w:val="1"/>
      <w:marLeft w:val="0"/>
      <w:marRight w:val="0"/>
      <w:marTop w:val="0"/>
      <w:marBottom w:val="0"/>
      <w:divBdr>
        <w:top w:val="none" w:sz="0" w:space="0" w:color="auto"/>
        <w:left w:val="none" w:sz="0" w:space="0" w:color="auto"/>
        <w:bottom w:val="none" w:sz="0" w:space="0" w:color="auto"/>
        <w:right w:val="none" w:sz="0" w:space="0" w:color="auto"/>
      </w:divBdr>
    </w:div>
    <w:div w:id="1697850950">
      <w:bodyDiv w:val="1"/>
      <w:marLeft w:val="0"/>
      <w:marRight w:val="0"/>
      <w:marTop w:val="0"/>
      <w:marBottom w:val="0"/>
      <w:divBdr>
        <w:top w:val="none" w:sz="0" w:space="0" w:color="auto"/>
        <w:left w:val="none" w:sz="0" w:space="0" w:color="auto"/>
        <w:bottom w:val="none" w:sz="0" w:space="0" w:color="auto"/>
        <w:right w:val="none" w:sz="0" w:space="0" w:color="auto"/>
      </w:divBdr>
    </w:div>
    <w:div w:id="1722047849">
      <w:bodyDiv w:val="1"/>
      <w:marLeft w:val="0"/>
      <w:marRight w:val="0"/>
      <w:marTop w:val="0"/>
      <w:marBottom w:val="0"/>
      <w:divBdr>
        <w:top w:val="none" w:sz="0" w:space="0" w:color="auto"/>
        <w:left w:val="none" w:sz="0" w:space="0" w:color="auto"/>
        <w:bottom w:val="none" w:sz="0" w:space="0" w:color="auto"/>
        <w:right w:val="none" w:sz="0" w:space="0" w:color="auto"/>
      </w:divBdr>
    </w:div>
    <w:div w:id="1744176643">
      <w:bodyDiv w:val="1"/>
      <w:marLeft w:val="0"/>
      <w:marRight w:val="0"/>
      <w:marTop w:val="0"/>
      <w:marBottom w:val="0"/>
      <w:divBdr>
        <w:top w:val="none" w:sz="0" w:space="0" w:color="auto"/>
        <w:left w:val="none" w:sz="0" w:space="0" w:color="auto"/>
        <w:bottom w:val="none" w:sz="0" w:space="0" w:color="auto"/>
        <w:right w:val="none" w:sz="0" w:space="0" w:color="auto"/>
      </w:divBdr>
    </w:div>
    <w:div w:id="1770159984">
      <w:bodyDiv w:val="1"/>
      <w:marLeft w:val="0"/>
      <w:marRight w:val="0"/>
      <w:marTop w:val="0"/>
      <w:marBottom w:val="0"/>
      <w:divBdr>
        <w:top w:val="none" w:sz="0" w:space="0" w:color="auto"/>
        <w:left w:val="none" w:sz="0" w:space="0" w:color="auto"/>
        <w:bottom w:val="none" w:sz="0" w:space="0" w:color="auto"/>
        <w:right w:val="none" w:sz="0" w:space="0" w:color="auto"/>
      </w:divBdr>
    </w:div>
    <w:div w:id="1779786496">
      <w:bodyDiv w:val="1"/>
      <w:marLeft w:val="0"/>
      <w:marRight w:val="0"/>
      <w:marTop w:val="0"/>
      <w:marBottom w:val="0"/>
      <w:divBdr>
        <w:top w:val="none" w:sz="0" w:space="0" w:color="auto"/>
        <w:left w:val="none" w:sz="0" w:space="0" w:color="auto"/>
        <w:bottom w:val="none" w:sz="0" w:space="0" w:color="auto"/>
        <w:right w:val="none" w:sz="0" w:space="0" w:color="auto"/>
      </w:divBdr>
    </w:div>
    <w:div w:id="1789399141">
      <w:bodyDiv w:val="1"/>
      <w:marLeft w:val="0"/>
      <w:marRight w:val="0"/>
      <w:marTop w:val="0"/>
      <w:marBottom w:val="0"/>
      <w:divBdr>
        <w:top w:val="none" w:sz="0" w:space="0" w:color="auto"/>
        <w:left w:val="none" w:sz="0" w:space="0" w:color="auto"/>
        <w:bottom w:val="none" w:sz="0" w:space="0" w:color="auto"/>
        <w:right w:val="none" w:sz="0" w:space="0" w:color="auto"/>
      </w:divBdr>
    </w:div>
    <w:div w:id="1791515613">
      <w:bodyDiv w:val="1"/>
      <w:marLeft w:val="0"/>
      <w:marRight w:val="0"/>
      <w:marTop w:val="0"/>
      <w:marBottom w:val="0"/>
      <w:divBdr>
        <w:top w:val="none" w:sz="0" w:space="0" w:color="auto"/>
        <w:left w:val="none" w:sz="0" w:space="0" w:color="auto"/>
        <w:bottom w:val="none" w:sz="0" w:space="0" w:color="auto"/>
        <w:right w:val="none" w:sz="0" w:space="0" w:color="auto"/>
      </w:divBdr>
    </w:div>
    <w:div w:id="1791588937">
      <w:bodyDiv w:val="1"/>
      <w:marLeft w:val="0"/>
      <w:marRight w:val="0"/>
      <w:marTop w:val="0"/>
      <w:marBottom w:val="0"/>
      <w:divBdr>
        <w:top w:val="none" w:sz="0" w:space="0" w:color="auto"/>
        <w:left w:val="none" w:sz="0" w:space="0" w:color="auto"/>
        <w:bottom w:val="none" w:sz="0" w:space="0" w:color="auto"/>
        <w:right w:val="none" w:sz="0" w:space="0" w:color="auto"/>
      </w:divBdr>
    </w:div>
    <w:div w:id="1904755418">
      <w:bodyDiv w:val="1"/>
      <w:marLeft w:val="0"/>
      <w:marRight w:val="0"/>
      <w:marTop w:val="0"/>
      <w:marBottom w:val="0"/>
      <w:divBdr>
        <w:top w:val="none" w:sz="0" w:space="0" w:color="auto"/>
        <w:left w:val="none" w:sz="0" w:space="0" w:color="auto"/>
        <w:bottom w:val="none" w:sz="0" w:space="0" w:color="auto"/>
        <w:right w:val="none" w:sz="0" w:space="0" w:color="auto"/>
      </w:divBdr>
    </w:div>
    <w:div w:id="1921212977">
      <w:bodyDiv w:val="1"/>
      <w:marLeft w:val="0"/>
      <w:marRight w:val="0"/>
      <w:marTop w:val="0"/>
      <w:marBottom w:val="0"/>
      <w:divBdr>
        <w:top w:val="none" w:sz="0" w:space="0" w:color="auto"/>
        <w:left w:val="none" w:sz="0" w:space="0" w:color="auto"/>
        <w:bottom w:val="none" w:sz="0" w:space="0" w:color="auto"/>
        <w:right w:val="none" w:sz="0" w:space="0" w:color="auto"/>
      </w:divBdr>
    </w:div>
    <w:div w:id="1932591623">
      <w:bodyDiv w:val="1"/>
      <w:marLeft w:val="0"/>
      <w:marRight w:val="0"/>
      <w:marTop w:val="0"/>
      <w:marBottom w:val="0"/>
      <w:divBdr>
        <w:top w:val="none" w:sz="0" w:space="0" w:color="auto"/>
        <w:left w:val="none" w:sz="0" w:space="0" w:color="auto"/>
        <w:bottom w:val="none" w:sz="0" w:space="0" w:color="auto"/>
        <w:right w:val="none" w:sz="0" w:space="0" w:color="auto"/>
      </w:divBdr>
    </w:div>
    <w:div w:id="1932885704">
      <w:bodyDiv w:val="1"/>
      <w:marLeft w:val="0"/>
      <w:marRight w:val="0"/>
      <w:marTop w:val="0"/>
      <w:marBottom w:val="0"/>
      <w:divBdr>
        <w:top w:val="none" w:sz="0" w:space="0" w:color="auto"/>
        <w:left w:val="none" w:sz="0" w:space="0" w:color="auto"/>
        <w:bottom w:val="none" w:sz="0" w:space="0" w:color="auto"/>
        <w:right w:val="none" w:sz="0" w:space="0" w:color="auto"/>
      </w:divBdr>
    </w:div>
    <w:div w:id="1937057201">
      <w:bodyDiv w:val="1"/>
      <w:marLeft w:val="0"/>
      <w:marRight w:val="0"/>
      <w:marTop w:val="0"/>
      <w:marBottom w:val="0"/>
      <w:divBdr>
        <w:top w:val="none" w:sz="0" w:space="0" w:color="auto"/>
        <w:left w:val="none" w:sz="0" w:space="0" w:color="auto"/>
        <w:bottom w:val="none" w:sz="0" w:space="0" w:color="auto"/>
        <w:right w:val="none" w:sz="0" w:space="0" w:color="auto"/>
      </w:divBdr>
    </w:div>
    <w:div w:id="1945071557">
      <w:bodyDiv w:val="1"/>
      <w:marLeft w:val="0"/>
      <w:marRight w:val="0"/>
      <w:marTop w:val="0"/>
      <w:marBottom w:val="0"/>
      <w:divBdr>
        <w:top w:val="none" w:sz="0" w:space="0" w:color="auto"/>
        <w:left w:val="none" w:sz="0" w:space="0" w:color="auto"/>
        <w:bottom w:val="none" w:sz="0" w:space="0" w:color="auto"/>
        <w:right w:val="none" w:sz="0" w:space="0" w:color="auto"/>
      </w:divBdr>
    </w:div>
    <w:div w:id="1969317889">
      <w:bodyDiv w:val="1"/>
      <w:marLeft w:val="0"/>
      <w:marRight w:val="0"/>
      <w:marTop w:val="0"/>
      <w:marBottom w:val="0"/>
      <w:divBdr>
        <w:top w:val="none" w:sz="0" w:space="0" w:color="auto"/>
        <w:left w:val="none" w:sz="0" w:space="0" w:color="auto"/>
        <w:bottom w:val="none" w:sz="0" w:space="0" w:color="auto"/>
        <w:right w:val="none" w:sz="0" w:space="0" w:color="auto"/>
      </w:divBdr>
    </w:div>
    <w:div w:id="1992903898">
      <w:bodyDiv w:val="1"/>
      <w:marLeft w:val="0"/>
      <w:marRight w:val="0"/>
      <w:marTop w:val="0"/>
      <w:marBottom w:val="0"/>
      <w:divBdr>
        <w:top w:val="none" w:sz="0" w:space="0" w:color="auto"/>
        <w:left w:val="none" w:sz="0" w:space="0" w:color="auto"/>
        <w:bottom w:val="none" w:sz="0" w:space="0" w:color="auto"/>
        <w:right w:val="none" w:sz="0" w:space="0" w:color="auto"/>
      </w:divBdr>
    </w:div>
    <w:div w:id="1994525276">
      <w:bodyDiv w:val="1"/>
      <w:marLeft w:val="0"/>
      <w:marRight w:val="0"/>
      <w:marTop w:val="0"/>
      <w:marBottom w:val="0"/>
      <w:divBdr>
        <w:top w:val="none" w:sz="0" w:space="0" w:color="auto"/>
        <w:left w:val="none" w:sz="0" w:space="0" w:color="auto"/>
        <w:bottom w:val="none" w:sz="0" w:space="0" w:color="auto"/>
        <w:right w:val="none" w:sz="0" w:space="0" w:color="auto"/>
      </w:divBdr>
    </w:div>
    <w:div w:id="2021198485">
      <w:bodyDiv w:val="1"/>
      <w:marLeft w:val="0"/>
      <w:marRight w:val="0"/>
      <w:marTop w:val="0"/>
      <w:marBottom w:val="0"/>
      <w:divBdr>
        <w:top w:val="none" w:sz="0" w:space="0" w:color="auto"/>
        <w:left w:val="none" w:sz="0" w:space="0" w:color="auto"/>
        <w:bottom w:val="none" w:sz="0" w:space="0" w:color="auto"/>
        <w:right w:val="none" w:sz="0" w:space="0" w:color="auto"/>
      </w:divBdr>
    </w:div>
    <w:div w:id="2038389620">
      <w:bodyDiv w:val="1"/>
      <w:marLeft w:val="0"/>
      <w:marRight w:val="0"/>
      <w:marTop w:val="0"/>
      <w:marBottom w:val="0"/>
      <w:divBdr>
        <w:top w:val="none" w:sz="0" w:space="0" w:color="auto"/>
        <w:left w:val="none" w:sz="0" w:space="0" w:color="auto"/>
        <w:bottom w:val="none" w:sz="0" w:space="0" w:color="auto"/>
        <w:right w:val="none" w:sz="0" w:space="0" w:color="auto"/>
      </w:divBdr>
    </w:div>
    <w:div w:id="2132630522">
      <w:bodyDiv w:val="1"/>
      <w:marLeft w:val="0"/>
      <w:marRight w:val="0"/>
      <w:marTop w:val="0"/>
      <w:marBottom w:val="0"/>
      <w:divBdr>
        <w:top w:val="none" w:sz="0" w:space="0" w:color="auto"/>
        <w:left w:val="none" w:sz="0" w:space="0" w:color="auto"/>
        <w:bottom w:val="none" w:sz="0" w:space="0" w:color="auto"/>
        <w:right w:val="none" w:sz="0" w:space="0" w:color="auto"/>
      </w:divBdr>
    </w:div>
    <w:div w:id="21336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'LabourShare Trend'!$O$3</c:f>
              <c:strCache>
                <c:ptCount val="1"/>
                <c:pt idx="0">
                  <c:v>Compensation of Employee/Total Factor Income</c:v>
                </c:pt>
              </c:strCache>
            </c:strRef>
          </c:tx>
          <c:spPr>
            <a:ln w="19058" cap="rnd">
              <a:solidFill>
                <a:schemeClr val="tx1"/>
              </a:solidFill>
              <a:round/>
            </a:ln>
            <a:effectLst/>
          </c:spPr>
          <c:marker>
            <c:symbol val="none"/>
          </c:marker>
          <c:dPt>
            <c:idx val="14"/>
            <c:bubble3D val="0"/>
            <c:spPr>
              <a:ln w="19058" cap="rnd">
                <a:solidFill>
                  <a:schemeClr val="tx1"/>
                </a:solidFill>
                <a:round/>
              </a:ln>
              <a:effectLst/>
            </c:spPr>
            <c:extLst>
              <c:ext xmlns:c16="http://schemas.microsoft.com/office/drawing/2014/chart" uri="{C3380CC4-5D6E-409C-BE32-E72D297353CC}">
                <c16:uniqueId val="{00000001-F791-4308-B06B-8155781C2D75}"/>
              </c:ext>
            </c:extLst>
          </c:dPt>
          <c:cat>
            <c:numRef>
              <c:f>'LabourShare Trend'!$N$4:$N$33</c:f>
              <c:numCache>
                <c:formatCode>General</c:formatCode>
                <c:ptCount val="3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numCache>
            </c:numRef>
          </c:cat>
          <c:val>
            <c:numRef>
              <c:f>'LabourShare Trend'!$O$4:$O$33</c:f>
              <c:numCache>
                <c:formatCode>0.00</c:formatCode>
                <c:ptCount val="30"/>
                <c:pt idx="0">
                  <c:v>0.54899999999999993</c:v>
                </c:pt>
                <c:pt idx="1">
                  <c:v>0.55799999999999994</c:v>
                </c:pt>
                <c:pt idx="2">
                  <c:v>0.55600000000000005</c:v>
                </c:pt>
                <c:pt idx="3">
                  <c:v>0.54600000000000004</c:v>
                </c:pt>
                <c:pt idx="4">
                  <c:v>0.54200000000000004</c:v>
                </c:pt>
                <c:pt idx="5">
                  <c:v>0.54700000000000004</c:v>
                </c:pt>
                <c:pt idx="6">
                  <c:v>0.55000000000000004</c:v>
                </c:pt>
                <c:pt idx="7">
                  <c:v>0.56000000000000005</c:v>
                </c:pt>
                <c:pt idx="8">
                  <c:v>0.55000000000000004</c:v>
                </c:pt>
                <c:pt idx="9">
                  <c:v>0.55600000000000005</c:v>
                </c:pt>
                <c:pt idx="10">
                  <c:v>0.55000000000000004</c:v>
                </c:pt>
                <c:pt idx="11">
                  <c:v>0.55500000000000005</c:v>
                </c:pt>
                <c:pt idx="12">
                  <c:v>0.54500000000000004</c:v>
                </c:pt>
                <c:pt idx="13">
                  <c:v>0.54700000000000004</c:v>
                </c:pt>
                <c:pt idx="14">
                  <c:v>0.54299999999999993</c:v>
                </c:pt>
                <c:pt idx="15">
                  <c:v>0.54200000000000004</c:v>
                </c:pt>
                <c:pt idx="16">
                  <c:v>0.53700000000000003</c:v>
                </c:pt>
                <c:pt idx="17">
                  <c:v>0.53700000000000003</c:v>
                </c:pt>
                <c:pt idx="18">
                  <c:v>0.53900000000000003</c:v>
                </c:pt>
                <c:pt idx="19">
                  <c:v>0.51800000000000002</c:v>
                </c:pt>
                <c:pt idx="20">
                  <c:v>0.52400000000000002</c:v>
                </c:pt>
                <c:pt idx="21">
                  <c:v>0.52300000000000002</c:v>
                </c:pt>
                <c:pt idx="22">
                  <c:v>0.52600000000000002</c:v>
                </c:pt>
                <c:pt idx="23">
                  <c:v>0.53299999999999992</c:v>
                </c:pt>
                <c:pt idx="24">
                  <c:v>0.53200000000000003</c:v>
                </c:pt>
                <c:pt idx="25">
                  <c:v>0.53799999999999992</c:v>
                </c:pt>
                <c:pt idx="26">
                  <c:v>0.54600000000000004</c:v>
                </c:pt>
                <c:pt idx="27">
                  <c:v>0.52700000000000002</c:v>
                </c:pt>
                <c:pt idx="28">
                  <c:v>0.52700000000000002</c:v>
                </c:pt>
                <c:pt idx="29">
                  <c:v>0.52300000000000002</c:v>
                </c:pt>
              </c:numCache>
            </c:numRef>
          </c:val>
          <c:smooth val="0"/>
          <c:extLst>
            <c:ext xmlns:c16="http://schemas.microsoft.com/office/drawing/2014/chart" uri="{C3380CC4-5D6E-409C-BE32-E72D297353CC}">
              <c16:uniqueId val="{00000002-F791-4308-B06B-8155781C2D75}"/>
            </c:ext>
          </c:extLst>
        </c:ser>
        <c:ser>
          <c:idx val="1"/>
          <c:order val="1"/>
          <c:tx>
            <c:strRef>
              <c:f>'LabourShare Trend'!$P$3</c:f>
              <c:strCache>
                <c:ptCount val="1"/>
                <c:pt idx="0">
                  <c:v>Aggreagte Labour share (Author's Calculation)</c:v>
                </c:pt>
              </c:strCache>
            </c:strRef>
          </c:tx>
          <c:spPr>
            <a:ln w="19058" cap="rnd">
              <a:solidFill>
                <a:schemeClr val="tx1"/>
              </a:solidFill>
              <a:prstDash val="dash"/>
              <a:round/>
            </a:ln>
            <a:effectLst/>
          </c:spPr>
          <c:marker>
            <c:symbol val="none"/>
          </c:marker>
          <c:dPt>
            <c:idx val="14"/>
            <c:bubble3D val="0"/>
            <c:extLst>
              <c:ext xmlns:c16="http://schemas.microsoft.com/office/drawing/2014/chart" uri="{C3380CC4-5D6E-409C-BE32-E72D297353CC}">
                <c16:uniqueId val="{00000003-F791-4308-B06B-8155781C2D75}"/>
              </c:ext>
            </c:extLst>
          </c:dPt>
          <c:cat>
            <c:numRef>
              <c:f>'LabourShare Trend'!$N$4:$N$33</c:f>
              <c:numCache>
                <c:formatCode>General</c:formatCode>
                <c:ptCount val="30"/>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numCache>
            </c:numRef>
          </c:cat>
          <c:val>
            <c:numRef>
              <c:f>'LabourShare Trend'!$P$4:$P$33</c:f>
              <c:numCache>
                <c:formatCode>General</c:formatCode>
                <c:ptCount val="30"/>
                <c:pt idx="14" formatCode="0.00">
                  <c:v>0.42599748382819402</c:v>
                </c:pt>
                <c:pt idx="15" formatCode="0.00">
                  <c:v>0.34677769176711098</c:v>
                </c:pt>
                <c:pt idx="16" formatCode="0.00">
                  <c:v>0.33872816632320701</c:v>
                </c:pt>
                <c:pt idx="17" formatCode="0.00">
                  <c:v>0.32916957447581302</c:v>
                </c:pt>
                <c:pt idx="18" formatCode="0.00">
                  <c:v>0.35141160546849998</c:v>
                </c:pt>
                <c:pt idx="19" formatCode="0.00">
                  <c:v>0.39109150714847801</c:v>
                </c:pt>
                <c:pt idx="20" formatCode="0.00">
                  <c:v>0.37978151049013398</c:v>
                </c:pt>
                <c:pt idx="21" formatCode="0.00">
                  <c:v>0.371851742885837</c:v>
                </c:pt>
                <c:pt idx="22" formatCode="0.00">
                  <c:v>0.42554727296226103</c:v>
                </c:pt>
                <c:pt idx="23" formatCode="0.00">
                  <c:v>0.43113951905238701</c:v>
                </c:pt>
                <c:pt idx="24" formatCode="0.00">
                  <c:v>0.38960767185334499</c:v>
                </c:pt>
                <c:pt idx="25" formatCode="0.00">
                  <c:v>0.40853208191500101</c:v>
                </c:pt>
                <c:pt idx="26" formatCode="0.00">
                  <c:v>0.42970571040014499</c:v>
                </c:pt>
                <c:pt idx="27" formatCode="0.00">
                  <c:v>0.38449867812692601</c:v>
                </c:pt>
                <c:pt idx="28" formatCode="0.00">
                  <c:v>0.38912203699521603</c:v>
                </c:pt>
                <c:pt idx="29" formatCode="0.00">
                  <c:v>0.39125768259874799</c:v>
                </c:pt>
              </c:numCache>
            </c:numRef>
          </c:val>
          <c:smooth val="0"/>
          <c:extLst>
            <c:ext xmlns:c16="http://schemas.microsoft.com/office/drawing/2014/chart" uri="{C3380CC4-5D6E-409C-BE32-E72D297353CC}">
              <c16:uniqueId val="{00000004-F791-4308-B06B-8155781C2D75}"/>
            </c:ext>
          </c:extLst>
        </c:ser>
        <c:dLbls>
          <c:showLegendKey val="0"/>
          <c:showVal val="0"/>
          <c:showCatName val="0"/>
          <c:showSerName val="0"/>
          <c:showPercent val="0"/>
          <c:showBubbleSize val="0"/>
        </c:dLbls>
        <c:hiLowLines>
          <c:spPr>
            <a:ln w="9529" cap="flat" cmpd="sng" algn="ctr">
              <a:solidFill>
                <a:schemeClr val="tx1">
                  <a:lumMod val="75000"/>
                  <a:lumOff val="25000"/>
                  <a:alpha val="50000"/>
                </a:schemeClr>
              </a:solidFill>
              <a:prstDash val="sysDash"/>
              <a:round/>
            </a:ln>
            <a:effectLst/>
          </c:spPr>
        </c:hiLowLines>
        <c:smooth val="0"/>
        <c:axId val="1268735023"/>
        <c:axId val="1"/>
      </c:lineChart>
      <c:catAx>
        <c:axId val="1268735023"/>
        <c:scaling>
          <c:orientation val="minMax"/>
        </c:scaling>
        <c:delete val="0"/>
        <c:axPos val="b"/>
        <c:numFmt formatCode="General" sourceLinked="1"/>
        <c:majorTickMark val="none"/>
        <c:minorTickMark val="none"/>
        <c:tickLblPos val="nextTo"/>
        <c:spPr>
          <a:noFill/>
          <a:ln w="9529"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max val="0.60000000000000009"/>
          <c:min val="0.30000000000000004"/>
        </c:scaling>
        <c:delete val="0"/>
        <c:axPos val="l"/>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8735023"/>
        <c:crosses val="autoZero"/>
        <c:crossBetween val="between"/>
      </c:valAx>
      <c:spPr>
        <a:noFill/>
        <a:ln w="25411">
          <a:noFill/>
        </a:ln>
      </c:spPr>
    </c:plotArea>
    <c:legend>
      <c:legendPos val="b"/>
      <c:layout>
        <c:manualLayout>
          <c:xMode val="edge"/>
          <c:yMode val="edge"/>
          <c:x val="2.6072324292796732E-2"/>
          <c:y val="0.88578597855990893"/>
          <c:w val="0.93717138135510836"/>
          <c:h val="9.6298263921829053E-2"/>
        </c:manualLayout>
      </c:layout>
      <c:overlay val="0"/>
      <c:spPr>
        <a:noFill/>
        <a:ln w="25411">
          <a:noFill/>
        </a:ln>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lgn="just">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574F-D96D-4E1A-9970-C05A3BBC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45465</Words>
  <Characters>259154</Characters>
  <Application>Microsoft Office Word</Application>
  <DocSecurity>0</DocSecurity>
  <Lines>2159</Lines>
  <Paragraphs>608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304011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 Raheem, Jahan</dc:creator>
  <cp:lastModifiedBy>Geua Boe-Gibson</cp:lastModifiedBy>
  <cp:revision>2</cp:revision>
  <cp:lastPrinted>2023-04-18T06:58:00Z</cp:lastPrinted>
  <dcterms:created xsi:type="dcterms:W3CDTF">2023-04-18T12:53:00Z</dcterms:created>
  <dcterms:modified xsi:type="dcterms:W3CDTF">2023-04-18T12:53:00Z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http://csl.mendeley.com/styles/28319301/apa-2</vt:lpwstr>
  </property>
  <property fmtid="{D5CDD505-2E9C-101B-9397-08002B2CF9AE}" pid="5" name="Mendeley Recent Style Name 1_1">
    <vt:lpwstr>American Psychological Association 7th edition - roya taherifar</vt:lpwstr>
  </property>
  <property fmtid="{D5CDD505-2E9C-101B-9397-08002B2CF9AE}" pid="6" name="Mendeley Recent Style Id 2_1">
    <vt:lpwstr>http://csl.mendeley.com/styles/28319301/ILR-Review-Roya</vt:lpwstr>
  </property>
  <property fmtid="{D5CDD505-2E9C-101B-9397-08002B2CF9AE}" pid="7" name="Mendeley Recent Style Name 2_1">
    <vt:lpwstr>American Sociological Association 6th edition - roya taherifar</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http://csl.mendeley.com/styles/28319301/ILR-Review-Roya-2</vt:lpwstr>
  </property>
  <property fmtid="{D5CDD505-2E9C-101B-9397-08002B2CF9AE}" pid="15" name="Mendeley Recent Style Name 6_1">
    <vt:lpwstr>ILR Review Roya - roya taherifar</vt:lpwstr>
  </property>
  <property fmtid="{D5CDD505-2E9C-101B-9397-08002B2CF9AE}" pid="16" name="Mendeley Recent Style Id 7_1">
    <vt:lpwstr>https://csl.mendeley.com/styles/28319301/JournalofEconomicInequality-Roya</vt:lpwstr>
  </property>
  <property fmtid="{D5CDD505-2E9C-101B-9397-08002B2CF9AE}" pid="17" name="Mendeley Recent Style Name 7_1">
    <vt:lpwstr>Journal of economic inequality - roya taherifar</vt:lpwstr>
  </property>
  <property fmtid="{D5CDD505-2E9C-101B-9397-08002B2CF9AE}" pid="18" name="Mendeley Recent Style Id 8_1">
    <vt:lpwstr>http://csl.mendeley.com/styles/28319301/JournalofEconomicInequality-Roya-2</vt:lpwstr>
  </property>
  <property fmtid="{D5CDD505-2E9C-101B-9397-08002B2CF9AE}" pid="19" name="Mendeley Recent Style Name 8_1">
    <vt:lpwstr>Journal of economic inequality - roya taherifar2</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06c19f74-e79d-33f1-b52a-00948d72c771</vt:lpwstr>
  </property>
  <property fmtid="{D5CDD505-2E9C-101B-9397-08002B2CF9AE}" pid="24" name="Mendeley Citation Style_1">
    <vt:lpwstr>http://csl.mendeley.com/styles/28319301/apa-2</vt:lpwstr>
  </property>
</Properties>
</file>