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E3000" w14:textId="77777777" w:rsidR="00E11860" w:rsidRDefault="00E11860" w:rsidP="00E11860">
      <w:pPr>
        <w:spacing w:after="0" w:line="300" w:lineRule="auto"/>
        <w:rPr>
          <w:rFonts w:eastAsia="Times New Roman"/>
          <w:b/>
          <w:bCs/>
          <w:sz w:val="28"/>
          <w:lang w:val="en-US"/>
        </w:rPr>
      </w:pPr>
    </w:p>
    <w:p w14:paraId="2B3461F8" w14:textId="77777777" w:rsidR="00E11860" w:rsidRDefault="00E11860" w:rsidP="00E11860">
      <w:pPr>
        <w:pStyle w:val="PlainText"/>
        <w:tabs>
          <w:tab w:val="left" w:pos="284"/>
        </w:tabs>
        <w:jc w:val="center"/>
        <w:rPr>
          <w:rFonts w:ascii="Times New Roman" w:hAnsi="Times New Roman"/>
          <w:b/>
          <w:sz w:val="28"/>
        </w:rPr>
      </w:pPr>
    </w:p>
    <w:p w14:paraId="139F2536" w14:textId="77777777" w:rsidR="00E11860" w:rsidRDefault="00E11860" w:rsidP="00E11860">
      <w:pPr>
        <w:pStyle w:val="PlainText"/>
        <w:tabs>
          <w:tab w:val="left" w:pos="28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UNIVERSITY OF WAIKATO</w:t>
      </w:r>
    </w:p>
    <w:p w14:paraId="5B635258" w14:textId="77777777" w:rsidR="00E11860" w:rsidRDefault="00E11860" w:rsidP="00E11860">
      <w:pPr>
        <w:pStyle w:val="PlainText"/>
        <w:tabs>
          <w:tab w:val="left" w:pos="284"/>
        </w:tabs>
        <w:jc w:val="center"/>
        <w:rPr>
          <w:rFonts w:ascii="Times New Roman" w:hAnsi="Times New Roman"/>
          <w:b/>
          <w:sz w:val="28"/>
        </w:rPr>
      </w:pPr>
    </w:p>
    <w:p w14:paraId="0C5AEFFC" w14:textId="77777777" w:rsidR="00E11860" w:rsidRDefault="00E11860" w:rsidP="00E11860">
      <w:pPr>
        <w:pStyle w:val="PlainText"/>
        <w:tabs>
          <w:tab w:val="left" w:pos="28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Hamilton</w:t>
      </w:r>
    </w:p>
    <w:p w14:paraId="17B54D3F" w14:textId="77777777" w:rsidR="00E11860" w:rsidRDefault="00E11860" w:rsidP="00E11860">
      <w:pPr>
        <w:pStyle w:val="PlainText"/>
        <w:tabs>
          <w:tab w:val="left" w:pos="28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New Zealand</w:t>
      </w:r>
    </w:p>
    <w:p w14:paraId="2161344B" w14:textId="77777777" w:rsidR="00E11860" w:rsidRDefault="00E11860" w:rsidP="00E11860">
      <w:pPr>
        <w:pStyle w:val="PlainText"/>
        <w:tabs>
          <w:tab w:val="left" w:pos="284"/>
        </w:tabs>
        <w:jc w:val="center"/>
        <w:rPr>
          <w:rFonts w:ascii="Times New Roman" w:hAnsi="Times New Roman"/>
          <w:b/>
          <w:sz w:val="28"/>
        </w:rPr>
      </w:pPr>
    </w:p>
    <w:p w14:paraId="291FE2E3" w14:textId="77777777" w:rsidR="00E11860" w:rsidRDefault="00E11860" w:rsidP="00E11860">
      <w:pPr>
        <w:pStyle w:val="PlainText"/>
        <w:tabs>
          <w:tab w:val="left" w:pos="284"/>
        </w:tabs>
        <w:jc w:val="center"/>
        <w:rPr>
          <w:rFonts w:ascii="Times New Roman" w:hAnsi="Times New Roman"/>
          <w:b/>
          <w:sz w:val="28"/>
        </w:rPr>
      </w:pPr>
    </w:p>
    <w:p w14:paraId="5F32DC7A" w14:textId="7958E7E6" w:rsidR="00E11860" w:rsidRDefault="00E11860" w:rsidP="00E11860">
      <w:pPr>
        <w:tabs>
          <w:tab w:val="left" w:pos="713"/>
          <w:tab w:val="center" w:pos="4513"/>
        </w:tabs>
        <w:spacing w:after="24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C0F5A">
        <w:rPr>
          <w:rFonts w:cs="Arial"/>
          <w:b/>
          <w:bCs/>
          <w:sz w:val="12"/>
          <w:szCs w:val="12"/>
        </w:rPr>
        <w:br/>
      </w:r>
    </w:p>
    <w:p w14:paraId="5CE25476" w14:textId="311FC750" w:rsidR="00E11860" w:rsidRPr="009540F8" w:rsidRDefault="00E11860" w:rsidP="009540F8">
      <w:pPr>
        <w:pStyle w:val="PlainText"/>
        <w:pBdr>
          <w:top w:val="thinThickSmallGap" w:sz="24" w:space="3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40F8">
        <w:rPr>
          <w:rFonts w:ascii="Times New Roman" w:hAnsi="Times New Roman"/>
          <w:b/>
          <w:bCs/>
          <w:sz w:val="28"/>
          <w:szCs w:val="28"/>
        </w:rPr>
        <w:t xml:space="preserve">Cumulative Excess Deaths in New Zealand in the COVID-19 Era: </w:t>
      </w:r>
      <w:r w:rsidRPr="009540F8">
        <w:rPr>
          <w:rFonts w:ascii="Times New Roman" w:hAnsi="Times New Roman"/>
          <w:b/>
          <w:bCs/>
          <w:sz w:val="28"/>
          <w:szCs w:val="28"/>
        </w:rPr>
        <w:br/>
        <w:t>Biases from Ignoring Changes in Population Growth Rates</w:t>
      </w:r>
      <w:r w:rsidRPr="009540F8">
        <w:rPr>
          <w:rFonts w:ascii="Times New Roman" w:hAnsi="Times New Roman"/>
          <w:b/>
          <w:bCs/>
          <w:sz w:val="28"/>
          <w:szCs w:val="28"/>
        </w:rPr>
        <w:br/>
        <w:t xml:space="preserve"> </w:t>
      </w:r>
    </w:p>
    <w:p w14:paraId="71CF2189" w14:textId="77777777" w:rsidR="00E11860" w:rsidRDefault="00E11860" w:rsidP="009540F8">
      <w:pPr>
        <w:pStyle w:val="PlainText"/>
        <w:pBdr>
          <w:top w:val="thinThickSmallGap" w:sz="24" w:space="3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John Gibson </w:t>
      </w:r>
    </w:p>
    <w:p w14:paraId="32466979" w14:textId="77777777" w:rsidR="00E11860" w:rsidRDefault="00E11860" w:rsidP="009540F8">
      <w:pPr>
        <w:pStyle w:val="PlainText"/>
        <w:pBdr>
          <w:top w:val="thinThickSmallGap" w:sz="24" w:space="3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60" w:lineRule="auto"/>
        <w:jc w:val="center"/>
        <w:rPr>
          <w:rFonts w:ascii="Times New Roman" w:hAnsi="Times New Roman"/>
          <w:b/>
          <w:sz w:val="8"/>
        </w:rPr>
      </w:pPr>
    </w:p>
    <w:p w14:paraId="52492597" w14:textId="77777777" w:rsidR="00E11860" w:rsidRDefault="00E11860" w:rsidP="00E11860">
      <w:pPr>
        <w:pStyle w:val="PlainText"/>
        <w:tabs>
          <w:tab w:val="left" w:pos="284"/>
        </w:tabs>
        <w:rPr>
          <w:rFonts w:ascii="Times New Roman" w:hAnsi="Times New Roman"/>
          <w:b/>
          <w:sz w:val="28"/>
        </w:rPr>
      </w:pPr>
    </w:p>
    <w:p w14:paraId="5B33FB81" w14:textId="77777777" w:rsidR="00E11860" w:rsidRDefault="00E11860" w:rsidP="00E11860">
      <w:pPr>
        <w:pStyle w:val="PlainText"/>
        <w:tabs>
          <w:tab w:val="left" w:pos="284"/>
        </w:tabs>
        <w:rPr>
          <w:rFonts w:ascii="Times New Roman" w:hAnsi="Times New Roman"/>
          <w:b/>
          <w:sz w:val="28"/>
        </w:rPr>
      </w:pPr>
    </w:p>
    <w:p w14:paraId="7444620C" w14:textId="7D9A2B78" w:rsidR="00E11860" w:rsidRDefault="00E11860" w:rsidP="00E11860">
      <w:pPr>
        <w:pStyle w:val="PlainText"/>
        <w:tabs>
          <w:tab w:val="left" w:pos="284"/>
        </w:tabs>
        <w:spacing w:before="100" w:line="36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Working Paper in Economics 2/23</w:t>
      </w:r>
    </w:p>
    <w:p w14:paraId="7E724C8F" w14:textId="5ADE8D5E" w:rsidR="00E11860" w:rsidRDefault="00E11860" w:rsidP="00E11860">
      <w:pPr>
        <w:pStyle w:val="PlainText"/>
        <w:tabs>
          <w:tab w:val="left" w:pos="284"/>
        </w:tabs>
        <w:spacing w:before="10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April 2023</w:t>
      </w:r>
    </w:p>
    <w:p w14:paraId="01F000DD" w14:textId="77777777" w:rsidR="00E11860" w:rsidRDefault="00E11860" w:rsidP="00E11860">
      <w:pPr>
        <w:spacing w:after="0" w:line="276" w:lineRule="auto"/>
        <w:jc w:val="center"/>
        <w:rPr>
          <w:sz w:val="32"/>
          <w:szCs w:val="32"/>
        </w:rPr>
      </w:pPr>
    </w:p>
    <w:p w14:paraId="6F5DDBF3" w14:textId="77777777" w:rsidR="00E11860" w:rsidRDefault="00E11860" w:rsidP="00E11860">
      <w:pPr>
        <w:spacing w:after="0" w:line="276" w:lineRule="auto"/>
        <w:jc w:val="center"/>
        <w:rPr>
          <w:sz w:val="32"/>
          <w:szCs w:val="32"/>
        </w:rPr>
      </w:pPr>
    </w:p>
    <w:p w14:paraId="7ECBE5EC" w14:textId="77777777" w:rsidR="00E11860" w:rsidRDefault="00E11860" w:rsidP="00E11860">
      <w:pPr>
        <w:spacing w:after="0" w:line="276" w:lineRule="auto"/>
        <w:jc w:val="center"/>
        <w:rPr>
          <w:sz w:val="32"/>
          <w:szCs w:val="32"/>
        </w:rPr>
      </w:pPr>
    </w:p>
    <w:p w14:paraId="1A9BA03B" w14:textId="77777777" w:rsidR="00E11860" w:rsidRDefault="00E11860" w:rsidP="00E11860">
      <w:pPr>
        <w:spacing w:after="0" w:line="276" w:lineRule="auto"/>
        <w:jc w:val="center"/>
        <w:rPr>
          <w:sz w:val="32"/>
          <w:szCs w:val="32"/>
        </w:rPr>
      </w:pPr>
    </w:p>
    <w:p w14:paraId="5F5EB459" w14:textId="77777777" w:rsidR="00E11860" w:rsidRDefault="00E11860" w:rsidP="00E11860">
      <w:pPr>
        <w:spacing w:after="0" w:line="276" w:lineRule="auto"/>
        <w:jc w:val="center"/>
        <w:rPr>
          <w:sz w:val="32"/>
          <w:szCs w:val="32"/>
        </w:rPr>
      </w:pPr>
    </w:p>
    <w:p w14:paraId="4F39AE05" w14:textId="77777777" w:rsidR="00E11860" w:rsidRPr="005B2FFB" w:rsidRDefault="00E11860" w:rsidP="00E11860">
      <w:pPr>
        <w:spacing w:after="0" w:line="276" w:lineRule="auto"/>
        <w:jc w:val="center"/>
        <w:rPr>
          <w:b/>
          <w:bCs/>
          <w:sz w:val="12"/>
          <w:szCs w:val="12"/>
        </w:rPr>
      </w:pPr>
      <w:r>
        <w:rPr>
          <w:sz w:val="32"/>
          <w:szCs w:val="32"/>
        </w:rPr>
        <w:br/>
      </w:r>
    </w:p>
    <w:p w14:paraId="72D5E109" w14:textId="77777777" w:rsidR="00E11860" w:rsidRPr="0076045F" w:rsidRDefault="00E11860" w:rsidP="00E11860">
      <w:pPr>
        <w:pStyle w:val="CM4"/>
        <w:spacing w:before="60" w:line="240" w:lineRule="auto"/>
        <w:jc w:val="center"/>
      </w:pPr>
      <w:r w:rsidRPr="0076045F">
        <w:rPr>
          <w:b/>
          <w:bCs/>
        </w:rPr>
        <w:t>John Gibson</w:t>
      </w:r>
    </w:p>
    <w:p w14:paraId="122713B4" w14:textId="77777777" w:rsidR="00E11860" w:rsidRDefault="00E11860" w:rsidP="00E11860">
      <w:pPr>
        <w:pStyle w:val="CM23"/>
        <w:spacing w:after="0"/>
        <w:jc w:val="center"/>
      </w:pPr>
      <w:r w:rsidRPr="0076045F">
        <w:t xml:space="preserve">School of Accounting, Finance </w:t>
      </w:r>
    </w:p>
    <w:p w14:paraId="002B9691" w14:textId="77777777" w:rsidR="00E11860" w:rsidRPr="0076045F" w:rsidRDefault="00E11860" w:rsidP="00E11860">
      <w:pPr>
        <w:pStyle w:val="CM23"/>
        <w:spacing w:after="0"/>
        <w:jc w:val="center"/>
      </w:pPr>
      <w:r>
        <w:t xml:space="preserve">and </w:t>
      </w:r>
      <w:r w:rsidRPr="0076045F">
        <w:t>Economics</w:t>
      </w:r>
    </w:p>
    <w:p w14:paraId="233BF8AB" w14:textId="77777777" w:rsidR="00E11860" w:rsidRPr="0076045F" w:rsidRDefault="00E11860" w:rsidP="00E11860">
      <w:pPr>
        <w:pStyle w:val="CM23"/>
        <w:spacing w:after="0"/>
        <w:jc w:val="center"/>
      </w:pPr>
      <w:r w:rsidRPr="0076045F">
        <w:t>University of Waikato</w:t>
      </w:r>
    </w:p>
    <w:p w14:paraId="4EBF703E" w14:textId="77777777" w:rsidR="00E11860" w:rsidRPr="0076045F" w:rsidRDefault="00E11860" w:rsidP="00E11860">
      <w:pPr>
        <w:pStyle w:val="CM23"/>
        <w:spacing w:after="0"/>
        <w:jc w:val="center"/>
      </w:pPr>
      <w:r w:rsidRPr="0076045F">
        <w:t>Private Bag 3105</w:t>
      </w:r>
    </w:p>
    <w:p w14:paraId="2141E4A0" w14:textId="77777777" w:rsidR="00E11860" w:rsidRPr="0076045F" w:rsidRDefault="00E11860" w:rsidP="00E11860">
      <w:pPr>
        <w:pStyle w:val="CM23"/>
        <w:spacing w:after="0"/>
        <w:jc w:val="center"/>
      </w:pPr>
      <w:r w:rsidRPr="0076045F">
        <w:t>Hamilton, 3240</w:t>
      </w:r>
    </w:p>
    <w:p w14:paraId="77EC8964" w14:textId="77777777" w:rsidR="00E11860" w:rsidRPr="0076045F" w:rsidRDefault="00E11860" w:rsidP="00E11860">
      <w:pPr>
        <w:pStyle w:val="CM23"/>
        <w:spacing w:after="0"/>
        <w:jc w:val="center"/>
      </w:pPr>
      <w:r w:rsidRPr="0076045F">
        <w:t xml:space="preserve">New Zealand </w:t>
      </w:r>
    </w:p>
    <w:p w14:paraId="485FB52B" w14:textId="77777777" w:rsidR="00E11860" w:rsidRPr="00CD094B" w:rsidRDefault="00E11860" w:rsidP="00E11860">
      <w:pPr>
        <w:pStyle w:val="Default"/>
        <w:rPr>
          <w:sz w:val="12"/>
          <w:szCs w:val="12"/>
        </w:rPr>
      </w:pPr>
    </w:p>
    <w:p w14:paraId="1AB60592" w14:textId="77777777" w:rsidR="00E11860" w:rsidRPr="0076045F" w:rsidRDefault="00E11860" w:rsidP="00E11860">
      <w:pPr>
        <w:pStyle w:val="Default"/>
        <w:jc w:val="center"/>
      </w:pPr>
      <w:r w:rsidRPr="0076045F">
        <w:t>Tel: +64 (7) 838 4289</w:t>
      </w:r>
    </w:p>
    <w:p w14:paraId="77ED91B0" w14:textId="77777777" w:rsidR="00D51016" w:rsidRDefault="00E11860" w:rsidP="00E11860">
      <w:pPr>
        <w:pStyle w:val="CM3"/>
        <w:jc w:val="center"/>
        <w:rPr>
          <w:bCs/>
        </w:rPr>
        <w:sectPr w:rsidR="00D51016" w:rsidSect="00D51016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76045F">
        <w:rPr>
          <w:bCs/>
        </w:rPr>
        <w:t>Email: jkgibson@waikato.ac.nz</w:t>
      </w:r>
    </w:p>
    <w:p w14:paraId="6CF635F2" w14:textId="61C200AC" w:rsidR="00ED166F" w:rsidRDefault="00ED166F" w:rsidP="00E1186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Abstract</w:t>
      </w:r>
    </w:p>
    <w:p w14:paraId="179E2CFA" w14:textId="77777777" w:rsidR="00E11860" w:rsidRPr="00E11860" w:rsidRDefault="00E11860" w:rsidP="00E1186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BBC62F" w14:textId="135866FE" w:rsidR="00C45DA3" w:rsidRDefault="00C45DA3" w:rsidP="00875004">
      <w:pPr>
        <w:tabs>
          <w:tab w:val="left" w:pos="713"/>
          <w:tab w:val="center" w:pos="4513"/>
        </w:tabs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Accurate data on health and </w:t>
      </w:r>
      <w:r w:rsidR="00C30763">
        <w:rPr>
          <w:rFonts w:asciiTheme="majorBidi" w:hAnsiTheme="majorBidi" w:cstheme="majorBidi"/>
          <w:sz w:val="24"/>
          <w:szCs w:val="24"/>
          <w:lang w:val="en-GB"/>
        </w:rPr>
        <w:t>economic outcomes are needed to evaluate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policy responses to COVID-19. </w:t>
      </w:r>
      <w:r w:rsidR="00C30763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potentially comprehensive health indicator is excess deaths, which shows the gap between all-cause deaths and deaths to be expected under normal circumstances. </w:t>
      </w:r>
      <w:r w:rsidR="00C30763">
        <w:rPr>
          <w:rFonts w:asciiTheme="majorBidi" w:hAnsiTheme="majorBidi" w:cstheme="majorBidi"/>
          <w:sz w:val="24"/>
          <w:szCs w:val="24"/>
          <w:lang w:val="en-GB"/>
        </w:rPr>
        <w:t xml:space="preserve">New Zealand’s </w:t>
      </w:r>
      <w:r>
        <w:rPr>
          <w:rFonts w:ascii="Times New Roman" w:hAnsi="Times New Roman" w:cs="Times New Roman"/>
          <w:sz w:val="24"/>
          <w:szCs w:val="24"/>
        </w:rPr>
        <w:t>public health community has seized upon a</w:t>
      </w:r>
      <w:r w:rsidR="00F2339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excess deaths </w:t>
      </w:r>
      <w:r w:rsidR="00C30763">
        <w:rPr>
          <w:rFonts w:ascii="Times New Roman" w:hAnsi="Times New Roman" w:cs="Times New Roman"/>
          <w:sz w:val="24"/>
          <w:szCs w:val="24"/>
        </w:rPr>
        <w:t xml:space="preserve">series </w:t>
      </w:r>
      <w:r>
        <w:rPr>
          <w:rFonts w:ascii="Times New Roman" w:hAnsi="Times New Roman" w:cs="Times New Roman"/>
          <w:sz w:val="24"/>
          <w:szCs w:val="24"/>
        </w:rPr>
        <w:t xml:space="preserve">that seemingly shows negative cumulative excess mortality in the first three years of COVID-19—in other words, fewer deaths than expected.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3E0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his 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a flawed </w:t>
      </w:r>
      <w:r w:rsidRPr="003E0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measure because it ignores changes in population growth.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There was a rapid rise in deaths in New Zealand in the 2015-19 period, due to immigration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-driven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population growth rates 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two percent per annum. 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 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rowth came almost to a standstill 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after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border 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closed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March 2020 so methods of extrapolating from the past to 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predict future deaths, to </w:t>
      </w:r>
      <w:r w:rsidR="00AB5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ascertain if actual deaths exceed the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projection, must take account of this sharp change in population growth rates. Rather than New Zealand being unique, in having negative cumulative excess deaths in the COVID-19 era, as claimed by public health</w:t>
      </w:r>
      <w:r w:rsidR="00AB5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commentators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cumulative deaths </w:t>
      </w:r>
      <w:r w:rsidR="00AB5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 about four percent above expected deaths once population changes are accounted for. Several developed countries had better </w:t>
      </w:r>
      <w:r w:rsidR="00AB5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outcomes according to </w:t>
      </w:r>
      <w:r w:rsidR="00C3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 indicator.</w:t>
      </w:r>
    </w:p>
    <w:p w14:paraId="5E530FE6" w14:textId="77777777" w:rsidR="00C45DA3" w:rsidRPr="00C45DA3" w:rsidRDefault="00C45DA3" w:rsidP="00C45DA3">
      <w:pPr>
        <w:tabs>
          <w:tab w:val="left" w:pos="713"/>
          <w:tab w:val="center" w:pos="4513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</w:p>
    <w:p w14:paraId="54CCBB67" w14:textId="77777777" w:rsidR="00ED166F" w:rsidRPr="00ED166F" w:rsidRDefault="00ED166F" w:rsidP="00ED166F">
      <w:pPr>
        <w:tabs>
          <w:tab w:val="left" w:pos="713"/>
          <w:tab w:val="center" w:pos="4513"/>
        </w:tabs>
        <w:spacing w:after="120"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14:paraId="5B50DB1C" w14:textId="3D2BB91D" w:rsidR="00E11860" w:rsidRDefault="00ED166F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D166F">
        <w:rPr>
          <w:rFonts w:asciiTheme="majorBidi" w:hAnsiTheme="majorBidi" w:cstheme="majorBidi"/>
          <w:b/>
          <w:sz w:val="24"/>
          <w:szCs w:val="24"/>
          <w:lang w:val="en-US"/>
        </w:rPr>
        <w:t>JEL Codes</w:t>
      </w:r>
    </w:p>
    <w:p w14:paraId="60C698CA" w14:textId="77777777" w:rsidR="00F07B84" w:rsidRDefault="00ED166F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F22 </w:t>
      </w:r>
    </w:p>
    <w:p w14:paraId="136BDDF5" w14:textId="2FA4CFDA" w:rsidR="00ED166F" w:rsidRPr="00ED166F" w:rsidRDefault="00ED166F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D166F">
        <w:rPr>
          <w:rFonts w:asciiTheme="majorBidi" w:hAnsiTheme="majorBidi" w:cstheme="majorBidi"/>
          <w:sz w:val="24"/>
          <w:szCs w:val="24"/>
          <w:lang w:val="en-US"/>
        </w:rPr>
        <w:t>I18</w:t>
      </w:r>
    </w:p>
    <w:p w14:paraId="70F9E0A3" w14:textId="77777777" w:rsidR="00E11860" w:rsidRDefault="00E11860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56E0FF00" w14:textId="51695697" w:rsidR="00E11860" w:rsidRDefault="00ED166F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D166F">
        <w:rPr>
          <w:rFonts w:asciiTheme="majorBidi" w:hAnsiTheme="majorBidi" w:cstheme="majorBidi"/>
          <w:b/>
          <w:sz w:val="24"/>
          <w:szCs w:val="24"/>
          <w:lang w:val="en-US"/>
        </w:rPr>
        <w:t>Keywords</w:t>
      </w:r>
    </w:p>
    <w:p w14:paraId="13BC047A" w14:textId="512BBC84" w:rsidR="00E11860" w:rsidRDefault="00ED166F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D166F">
        <w:rPr>
          <w:rFonts w:asciiTheme="majorBidi" w:hAnsiTheme="majorBidi" w:cstheme="majorBidi"/>
          <w:sz w:val="24"/>
          <w:szCs w:val="24"/>
          <w:lang w:val="en-US"/>
        </w:rPr>
        <w:t>COVID-19</w:t>
      </w:r>
    </w:p>
    <w:p w14:paraId="5F21E14B" w14:textId="77777777" w:rsidR="00E11860" w:rsidRDefault="00ED166F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D166F">
        <w:rPr>
          <w:rFonts w:asciiTheme="majorBidi" w:hAnsiTheme="majorBidi" w:cstheme="majorBidi"/>
          <w:sz w:val="24"/>
          <w:szCs w:val="24"/>
          <w:lang w:val="en-US"/>
        </w:rPr>
        <w:t>excess deaths</w:t>
      </w:r>
    </w:p>
    <w:p w14:paraId="7CA8F486" w14:textId="77777777" w:rsidR="00E11860" w:rsidRDefault="00ED166F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D166F">
        <w:rPr>
          <w:rFonts w:asciiTheme="majorBidi" w:hAnsiTheme="majorBidi" w:cstheme="majorBidi"/>
          <w:sz w:val="24"/>
          <w:szCs w:val="24"/>
          <w:lang w:val="en-US"/>
        </w:rPr>
        <w:t>migration</w:t>
      </w:r>
    </w:p>
    <w:p w14:paraId="6B7F3D21" w14:textId="77777777" w:rsidR="00E11860" w:rsidRDefault="00ED166F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D166F">
        <w:rPr>
          <w:rFonts w:asciiTheme="majorBidi" w:hAnsiTheme="majorBidi" w:cstheme="majorBidi"/>
          <w:sz w:val="24"/>
          <w:szCs w:val="24"/>
          <w:lang w:val="en-US"/>
        </w:rPr>
        <w:t>population growth</w:t>
      </w:r>
    </w:p>
    <w:p w14:paraId="19FB2114" w14:textId="15EBEFBE" w:rsidR="00ED166F" w:rsidRPr="00ED166F" w:rsidRDefault="00ED166F" w:rsidP="00E11860">
      <w:pPr>
        <w:tabs>
          <w:tab w:val="left" w:pos="713"/>
          <w:tab w:val="center" w:pos="4513"/>
        </w:tabs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D166F">
        <w:rPr>
          <w:rFonts w:asciiTheme="majorBidi" w:hAnsiTheme="majorBidi" w:cstheme="majorBidi"/>
          <w:sz w:val="24"/>
          <w:szCs w:val="24"/>
          <w:lang w:val="en-US"/>
        </w:rPr>
        <w:t>New Zealand</w:t>
      </w:r>
    </w:p>
    <w:p w14:paraId="6F5D923E" w14:textId="774AB365" w:rsidR="00FC1D23" w:rsidRPr="00FC1D23" w:rsidRDefault="00FC1D23" w:rsidP="00FC1D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Introduction</w:t>
      </w:r>
    </w:p>
    <w:p w14:paraId="1DE8AE63" w14:textId="0FD4BCD9" w:rsidR="00291091" w:rsidRDefault="003E201D" w:rsidP="00875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Evaluation of New Zealand’s policy response to COVID-19, which involved border closures, lockdowns, mask </w:t>
      </w:r>
      <w:r w:rsidR="00226A5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vaccine mandates and </w:t>
      </w:r>
      <w:r w:rsidR="00226A50">
        <w:rPr>
          <w:rFonts w:ascii="Times New Roman" w:hAnsi="Times New Roman" w:cs="Times New Roman"/>
          <w:sz w:val="24"/>
          <w:szCs w:val="24"/>
        </w:rPr>
        <w:t>costly</w:t>
      </w:r>
      <w:r>
        <w:rPr>
          <w:rFonts w:ascii="Times New Roman" w:hAnsi="Times New Roman" w:cs="Times New Roman"/>
          <w:sz w:val="24"/>
          <w:szCs w:val="24"/>
        </w:rPr>
        <w:t xml:space="preserve"> monetary and fiscal stimuli, </w:t>
      </w:r>
      <w:r w:rsidR="00226A50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>s accurate health and economic</w:t>
      </w:r>
      <w:r w:rsidR="00C94DB5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. The notion of “excess deaths”—the gap between all-cause deaths and the deaths to be expected under normal circumstances—is a </w:t>
      </w:r>
      <w:r w:rsidR="00C94DB5">
        <w:rPr>
          <w:rFonts w:ascii="Times New Roman" w:hAnsi="Times New Roman" w:cs="Times New Roman"/>
          <w:sz w:val="24"/>
          <w:szCs w:val="24"/>
        </w:rPr>
        <w:t xml:space="preserve">comprehensive </w:t>
      </w:r>
      <w:r>
        <w:rPr>
          <w:rFonts w:ascii="Times New Roman" w:hAnsi="Times New Roman" w:cs="Times New Roman"/>
          <w:sz w:val="24"/>
          <w:szCs w:val="24"/>
        </w:rPr>
        <w:t xml:space="preserve">health indicator. If interventions reduce some deaths but increase others, excess deaths show </w:t>
      </w:r>
      <w:r w:rsidR="001E317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net effect.</w:t>
      </w:r>
      <w:r w:rsidR="00291091">
        <w:rPr>
          <w:rFonts w:ascii="Times New Roman" w:hAnsi="Times New Roman" w:cs="Times New Roman"/>
          <w:sz w:val="24"/>
          <w:szCs w:val="24"/>
        </w:rPr>
        <w:t xml:space="preserve"> </w:t>
      </w:r>
      <w:r w:rsidR="00EA454F">
        <w:rPr>
          <w:rFonts w:ascii="Times New Roman" w:hAnsi="Times New Roman" w:cs="Times New Roman"/>
          <w:sz w:val="24"/>
          <w:szCs w:val="24"/>
        </w:rPr>
        <w:t>However, t</w:t>
      </w:r>
      <w:r w:rsidR="00291091">
        <w:rPr>
          <w:rFonts w:ascii="Times New Roman" w:hAnsi="Times New Roman" w:cs="Times New Roman"/>
          <w:sz w:val="24"/>
          <w:szCs w:val="24"/>
        </w:rPr>
        <w:t xml:space="preserve">here is no consensus on how </w:t>
      </w:r>
      <w:r w:rsidR="00226A50">
        <w:rPr>
          <w:rFonts w:ascii="Times New Roman" w:hAnsi="Times New Roman" w:cs="Times New Roman"/>
          <w:sz w:val="24"/>
          <w:szCs w:val="24"/>
        </w:rPr>
        <w:t xml:space="preserve">to estimate </w:t>
      </w:r>
      <w:r w:rsidR="00291091">
        <w:rPr>
          <w:rFonts w:ascii="Times New Roman" w:hAnsi="Times New Roman" w:cs="Times New Roman"/>
          <w:sz w:val="24"/>
          <w:szCs w:val="24"/>
        </w:rPr>
        <w:t xml:space="preserve">expected deaths; some studies use a simple mean of deaths in a prior 5-year period, others extrapolate from that prior period using a time trend, </w:t>
      </w:r>
      <w:r w:rsidR="008E4F6D">
        <w:rPr>
          <w:rFonts w:ascii="Times New Roman" w:hAnsi="Times New Roman" w:cs="Times New Roman"/>
          <w:sz w:val="24"/>
          <w:szCs w:val="24"/>
        </w:rPr>
        <w:t xml:space="preserve">some allow </w:t>
      </w:r>
      <w:r w:rsidR="00291091">
        <w:rPr>
          <w:rFonts w:ascii="Times New Roman" w:hAnsi="Times New Roman" w:cs="Times New Roman"/>
          <w:sz w:val="24"/>
          <w:szCs w:val="24"/>
        </w:rPr>
        <w:t>for population</w:t>
      </w:r>
      <w:r w:rsidR="007F6E48">
        <w:rPr>
          <w:rFonts w:ascii="Times New Roman" w:hAnsi="Times New Roman" w:cs="Times New Roman"/>
          <w:sz w:val="24"/>
          <w:szCs w:val="24"/>
        </w:rPr>
        <w:t xml:space="preserve"> changes</w:t>
      </w:r>
      <w:r w:rsidR="00291091">
        <w:rPr>
          <w:rFonts w:ascii="Times New Roman" w:hAnsi="Times New Roman" w:cs="Times New Roman"/>
          <w:sz w:val="24"/>
          <w:szCs w:val="24"/>
        </w:rPr>
        <w:t>, while others base analys</w:t>
      </w:r>
      <w:r w:rsidR="00226A50">
        <w:rPr>
          <w:rFonts w:ascii="Times New Roman" w:hAnsi="Times New Roman" w:cs="Times New Roman"/>
          <w:sz w:val="24"/>
          <w:szCs w:val="24"/>
        </w:rPr>
        <w:t>e</w:t>
      </w:r>
      <w:r w:rsidR="00291091">
        <w:rPr>
          <w:rFonts w:ascii="Times New Roman" w:hAnsi="Times New Roman" w:cs="Times New Roman"/>
          <w:sz w:val="24"/>
          <w:szCs w:val="24"/>
        </w:rPr>
        <w:t xml:space="preserve">s on death rates (so population changes </w:t>
      </w:r>
      <w:r w:rsidR="00BB4CCF">
        <w:rPr>
          <w:rFonts w:ascii="Times New Roman" w:hAnsi="Times New Roman" w:cs="Times New Roman"/>
          <w:sz w:val="24"/>
          <w:szCs w:val="24"/>
        </w:rPr>
        <w:t xml:space="preserve">are </w:t>
      </w:r>
      <w:r w:rsidR="008E4F6D">
        <w:rPr>
          <w:rFonts w:ascii="Times New Roman" w:hAnsi="Times New Roman" w:cs="Times New Roman"/>
          <w:sz w:val="24"/>
          <w:szCs w:val="24"/>
        </w:rPr>
        <w:t xml:space="preserve">eventually </w:t>
      </w:r>
      <w:r w:rsidR="00291091">
        <w:rPr>
          <w:rFonts w:ascii="Times New Roman" w:hAnsi="Times New Roman" w:cs="Times New Roman"/>
          <w:sz w:val="24"/>
          <w:szCs w:val="24"/>
        </w:rPr>
        <w:t>need</w:t>
      </w:r>
      <w:r w:rsidR="00BB4CCF">
        <w:rPr>
          <w:rFonts w:ascii="Times New Roman" w:hAnsi="Times New Roman" w:cs="Times New Roman"/>
          <w:sz w:val="24"/>
          <w:szCs w:val="24"/>
        </w:rPr>
        <w:t>ed</w:t>
      </w:r>
      <w:r w:rsidR="00291091">
        <w:rPr>
          <w:rFonts w:ascii="Times New Roman" w:hAnsi="Times New Roman" w:cs="Times New Roman"/>
          <w:sz w:val="24"/>
          <w:szCs w:val="24"/>
        </w:rPr>
        <w:t xml:space="preserve"> to convert </w:t>
      </w:r>
      <w:r w:rsidR="00BB4CCF">
        <w:rPr>
          <w:rFonts w:ascii="Times New Roman" w:hAnsi="Times New Roman" w:cs="Times New Roman"/>
          <w:sz w:val="24"/>
          <w:szCs w:val="24"/>
        </w:rPr>
        <w:t xml:space="preserve">back </w:t>
      </w:r>
      <w:r w:rsidR="00291091">
        <w:rPr>
          <w:rFonts w:ascii="Times New Roman" w:hAnsi="Times New Roman" w:cs="Times New Roman"/>
          <w:sz w:val="24"/>
          <w:szCs w:val="24"/>
        </w:rPr>
        <w:t>into death numbers)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08410D" w14:textId="18F2E930" w:rsidR="003E201D" w:rsidRDefault="00291091" w:rsidP="008750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Zealand public health </w:t>
      </w:r>
      <w:r w:rsidR="00212F94">
        <w:rPr>
          <w:rFonts w:ascii="Times New Roman" w:hAnsi="Times New Roman" w:cs="Times New Roman"/>
          <w:sz w:val="24"/>
          <w:szCs w:val="24"/>
        </w:rPr>
        <w:t xml:space="preserve">figures </w:t>
      </w:r>
      <w:r w:rsidR="003E201D">
        <w:rPr>
          <w:rFonts w:ascii="Times New Roman" w:hAnsi="Times New Roman" w:cs="Times New Roman"/>
          <w:sz w:val="24"/>
          <w:szCs w:val="24"/>
        </w:rPr>
        <w:t xml:space="preserve">have seized upon a particular measure of excess deaths </w:t>
      </w:r>
      <w:r w:rsidR="001E690A">
        <w:rPr>
          <w:rFonts w:ascii="Times New Roman" w:hAnsi="Times New Roman" w:cs="Times New Roman"/>
          <w:sz w:val="24"/>
          <w:szCs w:val="24"/>
        </w:rPr>
        <w:t xml:space="preserve">that </w:t>
      </w:r>
      <w:r w:rsidR="00360C1A">
        <w:rPr>
          <w:rFonts w:ascii="Times New Roman" w:hAnsi="Times New Roman" w:cs="Times New Roman"/>
          <w:sz w:val="24"/>
          <w:szCs w:val="24"/>
        </w:rPr>
        <w:t>seem</w:t>
      </w:r>
      <w:r w:rsidR="00F059CB">
        <w:rPr>
          <w:rFonts w:ascii="Times New Roman" w:hAnsi="Times New Roman" w:cs="Times New Roman"/>
          <w:sz w:val="24"/>
          <w:szCs w:val="24"/>
        </w:rPr>
        <w:t>ing</w:t>
      </w:r>
      <w:r w:rsidR="009162B5">
        <w:rPr>
          <w:rFonts w:ascii="Times New Roman" w:hAnsi="Times New Roman" w:cs="Times New Roman"/>
          <w:sz w:val="24"/>
          <w:szCs w:val="24"/>
        </w:rPr>
        <w:t>ly</w:t>
      </w:r>
      <w:r w:rsidR="00F059CB">
        <w:rPr>
          <w:rFonts w:ascii="Times New Roman" w:hAnsi="Times New Roman" w:cs="Times New Roman"/>
          <w:sz w:val="24"/>
          <w:szCs w:val="24"/>
        </w:rPr>
        <w:t xml:space="preserve"> </w:t>
      </w:r>
      <w:r w:rsidR="00B667B6">
        <w:rPr>
          <w:rFonts w:ascii="Times New Roman" w:hAnsi="Times New Roman" w:cs="Times New Roman"/>
          <w:sz w:val="24"/>
          <w:szCs w:val="24"/>
        </w:rPr>
        <w:t>show</w:t>
      </w:r>
      <w:r w:rsidR="001E690A">
        <w:rPr>
          <w:rFonts w:ascii="Times New Roman" w:hAnsi="Times New Roman" w:cs="Times New Roman"/>
          <w:sz w:val="24"/>
          <w:szCs w:val="24"/>
        </w:rPr>
        <w:t>s</w:t>
      </w:r>
      <w:r w:rsidR="00B667B6">
        <w:rPr>
          <w:rFonts w:ascii="Times New Roman" w:hAnsi="Times New Roman" w:cs="Times New Roman"/>
          <w:sz w:val="24"/>
          <w:szCs w:val="24"/>
        </w:rPr>
        <w:t xml:space="preserve"> </w:t>
      </w:r>
      <w:r w:rsidR="00182DA2">
        <w:rPr>
          <w:rFonts w:ascii="Times New Roman" w:hAnsi="Times New Roman" w:cs="Times New Roman"/>
          <w:sz w:val="24"/>
          <w:szCs w:val="24"/>
        </w:rPr>
        <w:t xml:space="preserve">negative cumulative excess mortality </w:t>
      </w:r>
      <w:r w:rsidR="00125599">
        <w:rPr>
          <w:rFonts w:ascii="Times New Roman" w:hAnsi="Times New Roman" w:cs="Times New Roman"/>
          <w:sz w:val="24"/>
          <w:szCs w:val="24"/>
        </w:rPr>
        <w:t xml:space="preserve">in </w:t>
      </w:r>
      <w:r w:rsidR="00B667B6">
        <w:rPr>
          <w:rFonts w:ascii="Times New Roman" w:hAnsi="Times New Roman" w:cs="Times New Roman"/>
          <w:sz w:val="24"/>
          <w:szCs w:val="24"/>
        </w:rPr>
        <w:t>the first three years of COVID-19</w:t>
      </w:r>
      <w:r w:rsidR="002C1AAD">
        <w:rPr>
          <w:rFonts w:ascii="Times New Roman" w:hAnsi="Times New Roman" w:cs="Times New Roman"/>
          <w:sz w:val="24"/>
          <w:szCs w:val="24"/>
        </w:rPr>
        <w:t>—in other words, fewer deaths than expected.</w:t>
      </w:r>
      <w:r w:rsidR="00CA3002">
        <w:rPr>
          <w:rFonts w:ascii="Times New Roman" w:hAnsi="Times New Roman" w:cs="Times New Roman"/>
          <w:sz w:val="24"/>
          <w:szCs w:val="24"/>
        </w:rPr>
        <w:t xml:space="preserve"> </w:t>
      </w:r>
      <w:r w:rsidR="00BD6AEE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E201D8">
        <w:rPr>
          <w:rFonts w:ascii="Times New Roman" w:hAnsi="Times New Roman" w:cs="Times New Roman"/>
          <w:sz w:val="24"/>
          <w:szCs w:val="24"/>
        </w:rPr>
        <w:t>when</w:t>
      </w:r>
      <w:r w:rsidR="001E690A">
        <w:rPr>
          <w:rFonts w:ascii="Times New Roman" w:hAnsi="Times New Roman" w:cs="Times New Roman"/>
          <w:sz w:val="24"/>
          <w:szCs w:val="24"/>
        </w:rPr>
        <w:t xml:space="preserve"> </w:t>
      </w:r>
      <w:r w:rsidR="00BD6AEE">
        <w:rPr>
          <w:rFonts w:ascii="Times New Roman" w:hAnsi="Times New Roman" w:cs="Times New Roman"/>
          <w:sz w:val="24"/>
          <w:szCs w:val="24"/>
        </w:rPr>
        <w:t>i</w:t>
      </w:r>
      <w:r w:rsidR="00F024DD">
        <w:rPr>
          <w:rFonts w:ascii="Times New Roman" w:hAnsi="Times New Roman" w:cs="Times New Roman"/>
          <w:sz w:val="24"/>
          <w:szCs w:val="24"/>
        </w:rPr>
        <w:t>nterview</w:t>
      </w:r>
      <w:r w:rsidR="00E201D8">
        <w:rPr>
          <w:rFonts w:ascii="Times New Roman" w:hAnsi="Times New Roman" w:cs="Times New Roman"/>
          <w:sz w:val="24"/>
          <w:szCs w:val="24"/>
        </w:rPr>
        <w:t>ed</w:t>
      </w:r>
      <w:r w:rsidR="00A93842">
        <w:rPr>
          <w:rFonts w:ascii="Times New Roman" w:hAnsi="Times New Roman" w:cs="Times New Roman"/>
          <w:sz w:val="24"/>
          <w:szCs w:val="24"/>
        </w:rPr>
        <w:t xml:space="preserve"> </w:t>
      </w:r>
      <w:r w:rsidR="0067346C">
        <w:rPr>
          <w:rFonts w:ascii="Times New Roman" w:hAnsi="Times New Roman" w:cs="Times New Roman"/>
          <w:sz w:val="24"/>
          <w:szCs w:val="24"/>
        </w:rPr>
        <w:t xml:space="preserve">on </w:t>
      </w:r>
      <w:r w:rsidR="00A93842">
        <w:rPr>
          <w:rFonts w:ascii="Times New Roman" w:hAnsi="Times New Roman" w:cs="Times New Roman"/>
          <w:sz w:val="24"/>
          <w:szCs w:val="24"/>
        </w:rPr>
        <w:t xml:space="preserve">the third anniversary of the first lockdown, </w:t>
      </w:r>
      <w:r w:rsidR="008E3AE3">
        <w:rPr>
          <w:rFonts w:ascii="Times New Roman" w:hAnsi="Times New Roman" w:cs="Times New Roman"/>
          <w:sz w:val="24"/>
          <w:szCs w:val="24"/>
        </w:rPr>
        <w:t xml:space="preserve">former director-general of health </w:t>
      </w:r>
      <w:r w:rsidR="00A93842">
        <w:rPr>
          <w:rFonts w:ascii="Times New Roman" w:hAnsi="Times New Roman" w:cs="Times New Roman"/>
          <w:sz w:val="24"/>
          <w:szCs w:val="24"/>
        </w:rPr>
        <w:t>Sir Ashley Bloomfield</w:t>
      </w:r>
      <w:r w:rsidR="008E3AE3">
        <w:rPr>
          <w:rFonts w:ascii="Times New Roman" w:hAnsi="Times New Roman" w:cs="Times New Roman"/>
          <w:sz w:val="24"/>
          <w:szCs w:val="24"/>
        </w:rPr>
        <w:t xml:space="preserve"> </w:t>
      </w:r>
      <w:r w:rsidR="00340441">
        <w:rPr>
          <w:rFonts w:ascii="Times New Roman" w:hAnsi="Times New Roman" w:cs="Times New Roman"/>
          <w:sz w:val="24"/>
          <w:szCs w:val="24"/>
        </w:rPr>
        <w:t>said he was greatly satisfied that</w:t>
      </w:r>
      <w:r w:rsidR="00FA7DB2">
        <w:rPr>
          <w:rFonts w:ascii="Times New Roman" w:hAnsi="Times New Roman" w:cs="Times New Roman"/>
          <w:sz w:val="24"/>
          <w:szCs w:val="24"/>
        </w:rPr>
        <w:t>,</w:t>
      </w:r>
      <w:r w:rsidR="00340441">
        <w:rPr>
          <w:rFonts w:ascii="Times New Roman" w:hAnsi="Times New Roman" w:cs="Times New Roman"/>
          <w:sz w:val="24"/>
          <w:szCs w:val="24"/>
        </w:rPr>
        <w:t xml:space="preserve"> three years on</w:t>
      </w:r>
      <w:r w:rsidR="00FA7DB2">
        <w:rPr>
          <w:rFonts w:ascii="Times New Roman" w:hAnsi="Times New Roman" w:cs="Times New Roman"/>
          <w:sz w:val="24"/>
          <w:szCs w:val="24"/>
        </w:rPr>
        <w:t>,</w:t>
      </w:r>
      <w:r w:rsidR="00340441">
        <w:rPr>
          <w:rFonts w:ascii="Times New Roman" w:hAnsi="Times New Roman" w:cs="Times New Roman"/>
          <w:sz w:val="24"/>
          <w:szCs w:val="24"/>
        </w:rPr>
        <w:t xml:space="preserve"> </w:t>
      </w:r>
      <w:r w:rsidR="00FA7DB2">
        <w:rPr>
          <w:rFonts w:ascii="Times New Roman" w:hAnsi="Times New Roman" w:cs="Times New Roman"/>
          <w:sz w:val="24"/>
          <w:szCs w:val="24"/>
        </w:rPr>
        <w:t>New Zealand still had negative excess mortality</w:t>
      </w:r>
      <w:r w:rsidR="00FA7FDA">
        <w:rPr>
          <w:rFonts w:ascii="Times New Roman" w:hAnsi="Times New Roman" w:cs="Times New Roman"/>
          <w:sz w:val="24"/>
          <w:szCs w:val="24"/>
        </w:rPr>
        <w:t xml:space="preserve">. </w:t>
      </w:r>
      <w:r w:rsidR="00AD4FBB">
        <w:rPr>
          <w:rFonts w:ascii="Times New Roman" w:hAnsi="Times New Roman" w:cs="Times New Roman"/>
          <w:sz w:val="24"/>
          <w:szCs w:val="24"/>
        </w:rPr>
        <w:t>H</w:t>
      </w:r>
      <w:r w:rsidR="00FE76E8">
        <w:rPr>
          <w:rFonts w:ascii="Times New Roman" w:hAnsi="Times New Roman" w:cs="Times New Roman"/>
          <w:sz w:val="24"/>
          <w:szCs w:val="24"/>
        </w:rPr>
        <w:t>e</w:t>
      </w:r>
      <w:r w:rsidR="00AD4FBB">
        <w:rPr>
          <w:rFonts w:ascii="Times New Roman" w:hAnsi="Times New Roman" w:cs="Times New Roman"/>
          <w:sz w:val="24"/>
          <w:szCs w:val="24"/>
        </w:rPr>
        <w:t xml:space="preserve"> </w:t>
      </w:r>
      <w:r w:rsidR="00DC2A32">
        <w:rPr>
          <w:rFonts w:ascii="Times New Roman" w:hAnsi="Times New Roman" w:cs="Times New Roman"/>
          <w:sz w:val="24"/>
          <w:szCs w:val="24"/>
        </w:rPr>
        <w:t>argu</w:t>
      </w:r>
      <w:r w:rsidR="00857BC4">
        <w:rPr>
          <w:rFonts w:ascii="Times New Roman" w:hAnsi="Times New Roman" w:cs="Times New Roman"/>
          <w:sz w:val="24"/>
          <w:szCs w:val="24"/>
        </w:rPr>
        <w:t>ed,</w:t>
      </w:r>
      <w:r w:rsidR="00FA7FDA">
        <w:rPr>
          <w:rFonts w:ascii="Times New Roman" w:hAnsi="Times New Roman" w:cs="Times New Roman"/>
          <w:sz w:val="24"/>
          <w:szCs w:val="24"/>
        </w:rPr>
        <w:t xml:space="preserve"> “we had less deaths than you would have predicted based on </w:t>
      </w:r>
      <w:r w:rsidR="00331819">
        <w:rPr>
          <w:rFonts w:ascii="Times New Roman" w:hAnsi="Times New Roman" w:cs="Times New Roman"/>
          <w:sz w:val="24"/>
          <w:szCs w:val="24"/>
        </w:rPr>
        <w:t xml:space="preserve">the </w:t>
      </w:r>
      <w:r w:rsidR="00FA7FDA">
        <w:rPr>
          <w:rFonts w:ascii="Times New Roman" w:hAnsi="Times New Roman" w:cs="Times New Roman"/>
          <w:sz w:val="24"/>
          <w:szCs w:val="24"/>
        </w:rPr>
        <w:t xml:space="preserve">previous years </w:t>
      </w:r>
      <w:r w:rsidR="00DC2A32">
        <w:rPr>
          <w:rFonts w:ascii="Times New Roman" w:hAnsi="Times New Roman" w:cs="Times New Roman"/>
          <w:sz w:val="24"/>
          <w:szCs w:val="24"/>
        </w:rPr>
        <w:t xml:space="preserve">… [which] … </w:t>
      </w:r>
      <w:r w:rsidR="00272F32">
        <w:rPr>
          <w:rFonts w:ascii="Times New Roman" w:hAnsi="Times New Roman" w:cs="Times New Roman"/>
          <w:sz w:val="24"/>
          <w:szCs w:val="24"/>
        </w:rPr>
        <w:t>is unique, virtually unique around the world” (</w:t>
      </w:r>
      <w:r w:rsidR="00EA5F07">
        <w:rPr>
          <w:rFonts w:ascii="Times New Roman" w:hAnsi="Times New Roman" w:cs="Times New Roman"/>
          <w:sz w:val="24"/>
          <w:szCs w:val="24"/>
        </w:rPr>
        <w:t>Olley, 2023).</w:t>
      </w:r>
      <w:r w:rsidR="00111F58">
        <w:rPr>
          <w:rFonts w:ascii="Times New Roman" w:hAnsi="Times New Roman" w:cs="Times New Roman"/>
          <w:sz w:val="24"/>
          <w:szCs w:val="24"/>
        </w:rPr>
        <w:t xml:space="preserve"> </w:t>
      </w:r>
      <w:r w:rsidR="0034502C">
        <w:rPr>
          <w:rFonts w:ascii="Times New Roman" w:hAnsi="Times New Roman" w:cs="Times New Roman"/>
          <w:sz w:val="24"/>
          <w:szCs w:val="24"/>
        </w:rPr>
        <w:t xml:space="preserve">Likewise, </w:t>
      </w:r>
      <w:r w:rsidR="005212D4">
        <w:rPr>
          <w:rFonts w:ascii="Times New Roman" w:hAnsi="Times New Roman" w:cs="Times New Roman"/>
          <w:sz w:val="24"/>
          <w:szCs w:val="24"/>
        </w:rPr>
        <w:t xml:space="preserve">Summers et al (2022) </w:t>
      </w:r>
      <w:r w:rsidR="00420679">
        <w:rPr>
          <w:rFonts w:ascii="Times New Roman" w:hAnsi="Times New Roman" w:cs="Times New Roman"/>
          <w:sz w:val="24"/>
          <w:szCs w:val="24"/>
        </w:rPr>
        <w:t xml:space="preserve">claimed that although </w:t>
      </w:r>
      <w:r w:rsidR="00420679" w:rsidRPr="00420679">
        <w:rPr>
          <w:rFonts w:ascii="Times New Roman" w:hAnsi="Times New Roman" w:cs="Times New Roman"/>
          <w:sz w:val="24"/>
          <w:szCs w:val="24"/>
        </w:rPr>
        <w:t xml:space="preserve">Australia, Taiwan, and Japan all had periods of negative excess deaths at some point </w:t>
      </w:r>
      <w:r w:rsidR="00FD0459">
        <w:rPr>
          <w:rFonts w:ascii="Times New Roman" w:hAnsi="Times New Roman" w:cs="Times New Roman"/>
          <w:sz w:val="24"/>
          <w:szCs w:val="24"/>
        </w:rPr>
        <w:t xml:space="preserve">in the COVID-19 era, </w:t>
      </w:r>
      <w:r w:rsidR="008F29E1">
        <w:rPr>
          <w:rFonts w:ascii="Times New Roman" w:hAnsi="Times New Roman" w:cs="Times New Roman"/>
          <w:sz w:val="24"/>
          <w:szCs w:val="24"/>
        </w:rPr>
        <w:t>only New Zealand maintained negative excess mortality</w:t>
      </w:r>
      <w:r w:rsidR="009C61DB">
        <w:rPr>
          <w:rFonts w:ascii="Times New Roman" w:hAnsi="Times New Roman" w:cs="Times New Roman"/>
          <w:sz w:val="24"/>
          <w:szCs w:val="24"/>
        </w:rPr>
        <w:t xml:space="preserve"> throughout</w:t>
      </w:r>
      <w:r w:rsidR="008F29E1">
        <w:rPr>
          <w:rFonts w:ascii="Times New Roman" w:hAnsi="Times New Roman" w:cs="Times New Roman"/>
          <w:sz w:val="24"/>
          <w:szCs w:val="24"/>
        </w:rPr>
        <w:t xml:space="preserve">. </w:t>
      </w:r>
      <w:r w:rsidR="00111F58">
        <w:rPr>
          <w:rFonts w:ascii="Times New Roman" w:hAnsi="Times New Roman" w:cs="Times New Roman"/>
          <w:sz w:val="24"/>
          <w:szCs w:val="24"/>
        </w:rPr>
        <w:t>The particular measure</w:t>
      </w:r>
      <w:r w:rsidR="00BE5537">
        <w:rPr>
          <w:rFonts w:ascii="Times New Roman" w:hAnsi="Times New Roman" w:cs="Times New Roman"/>
          <w:sz w:val="24"/>
          <w:szCs w:val="24"/>
        </w:rPr>
        <w:t xml:space="preserve"> </w:t>
      </w:r>
      <w:r w:rsidR="00E8272A">
        <w:rPr>
          <w:rFonts w:ascii="Times New Roman" w:hAnsi="Times New Roman" w:cs="Times New Roman"/>
          <w:sz w:val="24"/>
          <w:szCs w:val="24"/>
        </w:rPr>
        <w:t xml:space="preserve">that </w:t>
      </w:r>
      <w:r w:rsidR="00FD0048">
        <w:rPr>
          <w:rFonts w:ascii="Times New Roman" w:hAnsi="Times New Roman" w:cs="Times New Roman"/>
          <w:sz w:val="24"/>
          <w:szCs w:val="24"/>
        </w:rPr>
        <w:t>underpin</w:t>
      </w:r>
      <w:r w:rsidR="00E8272A">
        <w:rPr>
          <w:rFonts w:ascii="Times New Roman" w:hAnsi="Times New Roman" w:cs="Times New Roman"/>
          <w:sz w:val="24"/>
          <w:szCs w:val="24"/>
        </w:rPr>
        <w:t>s</w:t>
      </w:r>
      <w:r w:rsidR="00FD0048">
        <w:rPr>
          <w:rFonts w:ascii="Times New Roman" w:hAnsi="Times New Roman" w:cs="Times New Roman"/>
          <w:sz w:val="24"/>
          <w:szCs w:val="24"/>
        </w:rPr>
        <w:t xml:space="preserve"> these claims </w:t>
      </w:r>
      <w:r w:rsidR="00BE5537">
        <w:rPr>
          <w:rFonts w:ascii="Times New Roman" w:hAnsi="Times New Roman" w:cs="Times New Roman"/>
          <w:sz w:val="24"/>
          <w:szCs w:val="24"/>
        </w:rPr>
        <w:t xml:space="preserve">is one of several </w:t>
      </w:r>
      <w:r w:rsidR="00C9727C">
        <w:rPr>
          <w:rFonts w:ascii="Times New Roman" w:hAnsi="Times New Roman" w:cs="Times New Roman"/>
          <w:sz w:val="24"/>
          <w:szCs w:val="24"/>
        </w:rPr>
        <w:t xml:space="preserve">available </w:t>
      </w:r>
      <w:r w:rsidR="005D7546">
        <w:rPr>
          <w:rFonts w:ascii="Times New Roman" w:hAnsi="Times New Roman" w:cs="Times New Roman"/>
          <w:sz w:val="24"/>
          <w:szCs w:val="24"/>
        </w:rPr>
        <w:t>from</w:t>
      </w:r>
      <w:r w:rsidR="00BE5537">
        <w:rPr>
          <w:rFonts w:ascii="Times New Roman" w:hAnsi="Times New Roman" w:cs="Times New Roman"/>
          <w:sz w:val="24"/>
          <w:szCs w:val="24"/>
        </w:rPr>
        <w:t xml:space="preserve"> Our World in Data</w:t>
      </w:r>
      <w:r w:rsidR="005D7546">
        <w:rPr>
          <w:rFonts w:ascii="Times New Roman" w:hAnsi="Times New Roman" w:cs="Times New Roman"/>
          <w:sz w:val="24"/>
          <w:szCs w:val="24"/>
        </w:rPr>
        <w:t>:</w:t>
      </w:r>
      <w:r w:rsidR="00BE5537">
        <w:rPr>
          <w:rFonts w:ascii="Times New Roman" w:hAnsi="Times New Roman" w:cs="Times New Roman"/>
          <w:sz w:val="24"/>
          <w:szCs w:val="24"/>
        </w:rPr>
        <w:t xml:space="preserve"> </w:t>
      </w:r>
      <w:r w:rsidR="00DD30E2">
        <w:rPr>
          <w:rFonts w:ascii="Times New Roman" w:hAnsi="Times New Roman" w:cs="Times New Roman"/>
          <w:sz w:val="24"/>
          <w:szCs w:val="24"/>
        </w:rPr>
        <w:t>“</w:t>
      </w:r>
      <w:r w:rsidR="008D60D2">
        <w:rPr>
          <w:rFonts w:ascii="Times New Roman" w:hAnsi="Times New Roman" w:cs="Times New Roman"/>
          <w:sz w:val="24"/>
          <w:szCs w:val="24"/>
        </w:rPr>
        <w:t>Excess mortality: Cumulative deaths from all causes compared to projection based on previous years”</w:t>
      </w:r>
      <w:r w:rsidR="00FD0048">
        <w:rPr>
          <w:rFonts w:ascii="Times New Roman" w:hAnsi="Times New Roman" w:cs="Times New Roman"/>
          <w:sz w:val="24"/>
          <w:szCs w:val="24"/>
        </w:rPr>
        <w:t xml:space="preserve"> </w:t>
      </w:r>
      <w:r w:rsidR="005D7546">
        <w:rPr>
          <w:rFonts w:ascii="Times New Roman" w:hAnsi="Times New Roman" w:cs="Times New Roman"/>
          <w:sz w:val="24"/>
          <w:szCs w:val="24"/>
        </w:rPr>
        <w:t>which</w:t>
      </w:r>
      <w:r w:rsidR="00FD0048">
        <w:rPr>
          <w:rFonts w:ascii="Times New Roman" w:hAnsi="Times New Roman" w:cs="Times New Roman"/>
          <w:sz w:val="24"/>
          <w:szCs w:val="24"/>
        </w:rPr>
        <w:t xml:space="preserve"> is based on </w:t>
      </w:r>
      <w:r w:rsidR="006D5333">
        <w:rPr>
          <w:rFonts w:ascii="Times New Roman" w:hAnsi="Times New Roman" w:cs="Times New Roman"/>
          <w:sz w:val="24"/>
          <w:szCs w:val="24"/>
        </w:rPr>
        <w:t xml:space="preserve">estimates </w:t>
      </w:r>
      <w:r w:rsidR="007019F9">
        <w:rPr>
          <w:rFonts w:ascii="Times New Roman" w:hAnsi="Times New Roman" w:cs="Times New Roman"/>
          <w:sz w:val="24"/>
          <w:szCs w:val="24"/>
        </w:rPr>
        <w:t xml:space="preserve">originally made </w:t>
      </w:r>
      <w:r w:rsidR="006D5333">
        <w:rPr>
          <w:rFonts w:ascii="Times New Roman" w:hAnsi="Times New Roman" w:cs="Times New Roman"/>
          <w:sz w:val="24"/>
          <w:szCs w:val="24"/>
        </w:rPr>
        <w:t xml:space="preserve">by </w:t>
      </w:r>
      <w:r w:rsidR="00950A44">
        <w:rPr>
          <w:rFonts w:ascii="Times New Roman" w:hAnsi="Times New Roman" w:cs="Times New Roman"/>
          <w:sz w:val="24"/>
          <w:szCs w:val="24"/>
        </w:rPr>
        <w:t xml:space="preserve">Karlinsky and Kobak </w:t>
      </w:r>
      <w:r w:rsidR="004C213F">
        <w:rPr>
          <w:rFonts w:ascii="Times New Roman" w:hAnsi="Times New Roman" w:cs="Times New Roman"/>
          <w:sz w:val="24"/>
          <w:szCs w:val="24"/>
        </w:rPr>
        <w:t>[</w:t>
      </w:r>
      <w:r w:rsidR="00FE76E8">
        <w:rPr>
          <w:rFonts w:ascii="Times New Roman" w:hAnsi="Times New Roman" w:cs="Times New Roman"/>
          <w:sz w:val="24"/>
          <w:szCs w:val="24"/>
        </w:rPr>
        <w:t xml:space="preserve">hereafter, </w:t>
      </w:r>
      <w:r w:rsidR="004C213F">
        <w:rPr>
          <w:rFonts w:ascii="Times New Roman" w:hAnsi="Times New Roman" w:cs="Times New Roman"/>
          <w:sz w:val="24"/>
          <w:szCs w:val="24"/>
        </w:rPr>
        <w:t xml:space="preserve">K&amp;K] </w:t>
      </w:r>
      <w:r w:rsidR="00950A44">
        <w:rPr>
          <w:rFonts w:ascii="Times New Roman" w:hAnsi="Times New Roman" w:cs="Times New Roman"/>
          <w:sz w:val="24"/>
          <w:szCs w:val="24"/>
        </w:rPr>
        <w:t>(2021).</w:t>
      </w:r>
      <w:r w:rsidR="009E45E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7224F69B" w14:textId="340E3CE8" w:rsidR="00FC1D23" w:rsidRPr="00FC1D23" w:rsidRDefault="00FC1D23" w:rsidP="00FC1D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D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II.</w:t>
      </w:r>
      <w:r w:rsidRPr="00FC1D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Evidence on the Bias from </w:t>
      </w:r>
      <w:r w:rsidRPr="00FC1D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Ignoring Changes in Population Growth Rates</w:t>
      </w:r>
    </w:p>
    <w:p w14:paraId="0292CB7B" w14:textId="2040D480" w:rsidR="00F570CA" w:rsidRDefault="00DC57F4" w:rsidP="008750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3E0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his measure is badly flawed for the New Zealand context because it ignores changes in population growth.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3E09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xpected deaths are simply an extrapolation from 2015 to 2019, when deaths were rising by 2.05% per year, due largely to (migration-driven) population increases of 1.94% per year.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Specifically, K</w:t>
      </w:r>
      <w:r w:rsidR="007A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&amp;K use a regression to </w:t>
      </w:r>
      <w:r w:rsidR="00025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forecast expected deaths after 2019:</w:t>
      </w:r>
    </w:p>
    <w:p w14:paraId="766FA479" w14:textId="1410C33B" w:rsidR="00DC57F4" w:rsidRDefault="002B06A5" w:rsidP="00F570CA">
      <w:pPr>
        <w:spacing w:after="0" w:line="360" w:lineRule="auto"/>
        <w:ind w:firstLine="72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w,T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w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+β∙T+ε</m:t>
        </m:r>
      </m:oMath>
      <w:r w:rsidR="0079067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9067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9067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9067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ab/>
        <w:t>(1)</w:t>
      </w:r>
    </w:p>
    <w:p w14:paraId="14CAEACF" w14:textId="6B39626F" w:rsidR="00E83BDB" w:rsidRDefault="004A571A" w:rsidP="00875004">
      <w:pPr>
        <w:spacing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w,T</m:t>
            </m:r>
          </m:sub>
        </m:sSub>
      </m:oMath>
      <w:r w:rsidR="009D47B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is deaths in week </w:t>
      </w:r>
      <w:r w:rsidR="009D47BF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</w:t>
      </w:r>
      <w:r w:rsidR="009D47B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of year </w:t>
      </w:r>
      <w:r w:rsidR="009D47BF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</w:t>
      </w:r>
      <w:r w:rsidR="009D47B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from 2015 to 2019,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w</m:t>
            </m:r>
          </m:sub>
        </m:sSub>
      </m:oMath>
      <w:r w:rsidR="001C37E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is a set of </w:t>
      </w:r>
      <w:r w:rsidR="003A00C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fixed effects for each week of the year, </w:t>
      </w:r>
      <w:r w:rsidR="003A00C3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</w:t>
      </w:r>
      <w:r w:rsidR="003A00C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is a linear time trend </w:t>
      </w:r>
      <w:r w:rsidR="00EE671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(2015=1, </w:t>
      </w:r>
      <w:r w:rsidR="00F0196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2016=2 and so on) and </w:t>
      </w:r>
      <m:oMath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ε</m:t>
        </m:r>
      </m:oMath>
      <w:r w:rsidR="00F0196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is a random </w:t>
      </w:r>
      <w:r w:rsidR="00F0196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lastRenderedPageBreak/>
        <w:t>error.</w:t>
      </w:r>
      <w:r w:rsidR="00154D6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There is no control for population in this regression</w:t>
      </w:r>
      <w:r w:rsidR="000951B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so whatever was the growth rate in population between 2015 and 2019 is implicitly projected forward into the future.</w:t>
      </w:r>
    </w:p>
    <w:p w14:paraId="74481E56" w14:textId="3D39C887" w:rsidR="00AE7D57" w:rsidRDefault="002079C9" w:rsidP="00875004">
      <w:pPr>
        <w:spacing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ab/>
        <w:t>The flaw in this procedure can be seen in Figure 1, show</w:t>
      </w:r>
      <w:r w:rsidR="00ED6C3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ing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New Zealand</w:t>
      </w:r>
      <w:r w:rsidR="00ED6C3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’s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resid</w:t>
      </w:r>
      <w:r w:rsidR="00ED6C3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ent population</w:t>
      </w:r>
      <w:r w:rsidR="00DF543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each quarter from the beginning of 2015</w:t>
      </w:r>
      <w:r w:rsidR="0036330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until the end of 2022</w:t>
      </w:r>
      <w:r w:rsidR="004406C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D4028">
        <w:rPr>
          <w:rStyle w:val="FootnoteReference"/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footnoteReference w:id="2"/>
      </w:r>
      <w:r w:rsidR="004406C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59B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population growth rate fell sharply from March 2020 </w:t>
      </w:r>
      <w:r w:rsidR="001846B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after </w:t>
      </w:r>
      <w:r w:rsidR="00B259B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closing the border</w:t>
      </w:r>
      <w:r w:rsidR="006A0239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; instead of 1.9% </w:t>
      </w:r>
      <w:r w:rsidR="001846B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per annum </w:t>
      </w:r>
      <w:r w:rsidR="008E40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1846B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growth</w:t>
      </w:r>
      <w:r w:rsidR="00AE7D5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40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rate</w:t>
      </w:r>
      <w:r w:rsidR="00AE7D5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fell to just 0.3% per annum.</w:t>
      </w:r>
      <w:r w:rsidR="008E40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3B2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8E40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end of 2022 the </w:t>
      </w:r>
      <w:r w:rsidR="003A7D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K&amp;K approach </w:t>
      </w:r>
      <w:r w:rsidR="003B3B2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assumes </w:t>
      </w:r>
      <w:r w:rsidR="003A7D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an 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extrapolated population </w:t>
      </w:r>
      <w:r w:rsidR="003A7DA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that 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is </w:t>
      </w:r>
      <w:r w:rsidR="009C3CA9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over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0.</w:t>
      </w:r>
      <w:r w:rsidR="009C3CA9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million above </w:t>
      </w:r>
      <w:r w:rsidR="007731C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New Zealand’s 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actual</w:t>
      </w:r>
      <w:r w:rsidR="007731C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population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then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731C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Using 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the average death rate in 2022, th</w:t>
      </w:r>
      <w:r w:rsidR="003B3B2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exaggerated population 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yields 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F07DB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290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more </w:t>
      </w:r>
      <w:r w:rsidR="007731C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expected</w:t>
      </w:r>
      <w:r w:rsidR="007731C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3B2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deaths </w:t>
      </w:r>
      <w:r w:rsidR="00A145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that year 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than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actual population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would 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warrant</w:t>
      </w:r>
      <w:r w:rsidR="004C5CD8" w:rsidRPr="004C5CD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30E0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This error </w:t>
      </w:r>
      <w:r w:rsidR="00A145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grows</w:t>
      </w:r>
      <w:r w:rsidR="00730E0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over time: </w:t>
      </w:r>
      <w:r w:rsidR="001226C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at</w:t>
      </w:r>
      <w:r w:rsidR="00730E0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the end of 2021</w:t>
      </w:r>
      <w:r w:rsidR="001226C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the K&amp;K </w:t>
      </w:r>
      <w:r w:rsidR="00E20DA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assumed trend population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wa</w:t>
      </w:r>
      <w:r w:rsidR="00E20DA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 0.11 million above actual population, 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overstating </w:t>
      </w:r>
      <w:r w:rsidR="00C74B9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expected deaths </w:t>
      </w:r>
      <w:r w:rsidR="0075358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that year </w:t>
      </w:r>
      <w:r w:rsidR="00C74B9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by 850 </w:t>
      </w:r>
      <w:r w:rsidR="000D13D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while at the end of 2020 the overstatement of population (expected deaths) was only 0.03 million (240).</w:t>
      </w:r>
      <w:r w:rsidR="007742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76E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For the claims about </w:t>
      </w:r>
      <w:r w:rsidR="002551E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cumulative excess mortality, these errors </w:t>
      </w:r>
      <w:r w:rsidR="00DE0D1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accumulate </w:t>
      </w:r>
      <w:r w:rsidR="002551E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over time.</w:t>
      </w:r>
    </w:p>
    <w:p w14:paraId="1F2CC203" w14:textId="7E53BAA3" w:rsidR="00BC0C8F" w:rsidRPr="00BC0C8F" w:rsidRDefault="00BC0C8F" w:rsidP="00BC0C8F">
      <w:pPr>
        <w:spacing w:line="360" w:lineRule="auto"/>
        <w:jc w:val="center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BC0C8F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Figure 1: </w:t>
      </w:r>
      <w:r w:rsidRPr="00BC0C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N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ew </w:t>
      </w:r>
      <w:r w:rsidRPr="00BC0C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Z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ealand</w:t>
      </w:r>
      <w:r w:rsidRPr="00BC0C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Resident Population: Actual and K&amp;K Assumed Trend</w:t>
      </w:r>
    </w:p>
    <w:p w14:paraId="32FA6D0E" w14:textId="5C9EFFBF" w:rsidR="007A5EA7" w:rsidRDefault="00D01A91" w:rsidP="00B15863">
      <w:pPr>
        <w:spacing w:line="36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A0733" wp14:editId="23A6A166">
                <wp:simplePos x="0" y="0"/>
                <wp:positionH relativeFrom="column">
                  <wp:posOffset>3926206</wp:posOffset>
                </wp:positionH>
                <wp:positionV relativeFrom="paragraph">
                  <wp:posOffset>1354455</wp:posOffset>
                </wp:positionV>
                <wp:extent cx="1295400" cy="203200"/>
                <wp:effectExtent l="19050" t="38100" r="19050" b="444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8869">
                          <a:off x="0" y="0"/>
                          <a:ext cx="12954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1D5BC" w14:textId="75E952D3" w:rsidR="00D01A91" w:rsidRPr="00B15863" w:rsidRDefault="00D01A91" w:rsidP="00D01A91">
                            <w:r>
                              <w:rPr>
                                <w:i/>
                                <w:iCs/>
                              </w:rPr>
                              <w:t>g</w:t>
                            </w:r>
                            <w:r>
                              <w:t xml:space="preserve"> = 0.34% per annum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5A07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9.15pt;margin-top:106.65pt;width:102pt;height:16pt;rotation:-18692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" fillcolor="white [3201]" stroked="f" strokeweight=".5pt">
                <v:textbox inset="0,0,0,0">
                  <w:txbxContent>
                    <w:p w14:paraId="0BA1D5BC" w14:textId="75E952D3" w:rsidR="00D01A91" w:rsidRPr="00B15863" w:rsidRDefault="00D01A91" w:rsidP="00D01A91">
                      <w:r>
                        <w:rPr>
                          <w:i/>
                          <w:iCs/>
                        </w:rPr>
                        <w:t>g</w:t>
                      </w:r>
                      <w:r>
                        <w:t xml:space="preserve"> = 0.34% per annum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FD89C" wp14:editId="36A7E8B6">
                <wp:simplePos x="0" y="0"/>
                <wp:positionH relativeFrom="column">
                  <wp:posOffset>4461828</wp:posOffset>
                </wp:positionH>
                <wp:positionV relativeFrom="paragraph">
                  <wp:posOffset>465772</wp:posOffset>
                </wp:positionV>
                <wp:extent cx="212240" cy="1432329"/>
                <wp:effectExtent l="0" t="38418" r="16193" b="92392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27234">
                          <a:off x="0" y="0"/>
                          <a:ext cx="212240" cy="1432329"/>
                        </a:xfrm>
                        <a:prstGeom prst="rightBrace">
                          <a:avLst>
                            <a:gd name="adj1" fmla="val 8333"/>
                            <a:gd name="adj2" fmla="val 4997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4446A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351.35pt;margin-top:36.65pt;width:16.7pt;height:112.8pt;rotation:570953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" adj="267,10795" strokecolor="red" strokeweight=".5pt">
                <v:stroke joinstyle="miter"/>
              </v:shape>
            </w:pict>
          </mc:Fallback>
        </mc:AlternateContent>
      </w:r>
      <w:r w:rsidR="00B15863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CF627" wp14:editId="72B663D2">
                <wp:simplePos x="0" y="0"/>
                <wp:positionH relativeFrom="column">
                  <wp:posOffset>1468120</wp:posOffset>
                </wp:positionH>
                <wp:positionV relativeFrom="paragraph">
                  <wp:posOffset>1127760</wp:posOffset>
                </wp:positionV>
                <wp:extent cx="1295400" cy="203200"/>
                <wp:effectExtent l="0" t="304800" r="0" b="311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7520">
                          <a:off x="0" y="0"/>
                          <a:ext cx="12954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91752" w14:textId="353E75E2" w:rsidR="00B15863" w:rsidRPr="00B15863" w:rsidRDefault="00B15863">
                            <w:r>
                              <w:rPr>
                                <w:i/>
                                <w:iCs/>
                              </w:rPr>
                              <w:t>g</w:t>
                            </w:r>
                            <w:r>
                              <w:t xml:space="preserve"> = 1.94% per annum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CCF627" id="Text Box 3" o:spid="_x0000_s1027" type="#_x0000_t202" style="position:absolute;left:0;text-align:left;margin-left:115.6pt;margin-top:88.8pt;width:102pt;height:16pt;rotation:-185956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" fillcolor="white [3201]" stroked="f" strokeweight=".5pt">
                <v:textbox inset="0,0,0,0">
                  <w:txbxContent>
                    <w:p w14:paraId="4F091752" w14:textId="353E75E2" w:rsidR="00B15863" w:rsidRPr="00B15863" w:rsidRDefault="00B15863">
                      <w:r>
                        <w:rPr>
                          <w:i/>
                          <w:iCs/>
                        </w:rPr>
                        <w:t>g</w:t>
                      </w:r>
                      <w:r>
                        <w:t xml:space="preserve"> = 1.94% per annum</w:t>
                      </w:r>
                    </w:p>
                  </w:txbxContent>
                </v:textbox>
              </v:shape>
            </w:pict>
          </mc:Fallback>
        </mc:AlternateContent>
      </w:r>
      <w:r w:rsidR="00B15863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8264B" wp14:editId="11388627">
                <wp:simplePos x="0" y="0"/>
                <wp:positionH relativeFrom="column">
                  <wp:posOffset>2145347</wp:posOffset>
                </wp:positionH>
                <wp:positionV relativeFrom="paragraph">
                  <wp:posOffset>14923</wp:posOffset>
                </wp:positionV>
                <wp:extent cx="253390" cy="2966836"/>
                <wp:effectExtent l="0" t="556577" r="0" b="675958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91222">
                          <a:off x="0" y="0"/>
                          <a:ext cx="253390" cy="2966836"/>
                        </a:xfrm>
                        <a:prstGeom prst="rightBrace">
                          <a:avLst>
                            <a:gd name="adj1" fmla="val 8333"/>
                            <a:gd name="adj2" fmla="val 4997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1CACBD" id="Right Brace 5" o:spid="_x0000_s1026" type="#_x0000_t88" style="position:absolute;margin-left:168.9pt;margin-top:1.2pt;width:19.95pt;height:233.6pt;rotation:-765545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" adj="154,10795" strokecolor="#4472c4 [3204]" strokeweight=".5pt">
                <v:stroke joinstyle="miter"/>
              </v:shape>
            </w:pict>
          </mc:Fallback>
        </mc:AlternateContent>
      </w:r>
      <w:r w:rsidR="00B15863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C8B8B" wp14:editId="6A7D2A4F">
                <wp:simplePos x="0" y="0"/>
                <wp:positionH relativeFrom="column">
                  <wp:posOffset>3337560</wp:posOffset>
                </wp:positionH>
                <wp:positionV relativeFrom="paragraph">
                  <wp:posOffset>221615</wp:posOffset>
                </wp:positionV>
                <wp:extent cx="873760" cy="203200"/>
                <wp:effectExtent l="0" t="0" r="254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6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C172F" w14:textId="77777777" w:rsidR="00B15863" w:rsidRDefault="00B15863" w:rsidP="00B15863">
                            <w:r>
                              <w:t>Border closure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0C8B8B" id="Text Box 4" o:spid="_x0000_s1028" type="#_x0000_t202" style="position:absolute;left:0;text-align:left;margin-left:262.8pt;margin-top:17.45pt;width:68.8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" fillcolor="white [3201]" stroked="f" strokeweight=".5pt">
                <v:textbox inset="0,0,0,0">
                  <w:txbxContent>
                    <w:p w14:paraId="378C172F" w14:textId="77777777" w:rsidR="00B15863" w:rsidRDefault="00B15863" w:rsidP="00B15863">
                      <w:r>
                        <w:t>Border closure</w:t>
                      </w:r>
                    </w:p>
                  </w:txbxContent>
                </v:textbox>
              </v:shape>
            </w:pict>
          </mc:Fallback>
        </mc:AlternateContent>
      </w:r>
      <w:r w:rsidR="00B1586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34096" wp14:editId="36E1AF1A">
                <wp:simplePos x="0" y="0"/>
                <wp:positionH relativeFrom="column">
                  <wp:posOffset>3774440</wp:posOffset>
                </wp:positionH>
                <wp:positionV relativeFrom="paragraph">
                  <wp:posOffset>396240</wp:posOffset>
                </wp:positionV>
                <wp:extent cx="5080" cy="2037080"/>
                <wp:effectExtent l="0" t="0" r="33020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370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42675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2pt,31.2pt" to="297.6pt,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" strokecolor="black [3213]">
                <v:stroke dashstyle="dash" joinstyle="miter"/>
              </v:line>
            </w:pict>
          </mc:Fallback>
        </mc:AlternateContent>
      </w:r>
      <w:r w:rsidR="00B15863">
        <w:rPr>
          <w:noProof/>
          <w:lang w:eastAsia="zh-CN"/>
        </w:rPr>
        <w:drawing>
          <wp:inline distT="0" distB="0" distL="0" distR="0" wp14:anchorId="73FF9A7D" wp14:editId="58633E30">
            <wp:extent cx="5257800" cy="3307080"/>
            <wp:effectExtent l="0" t="0" r="0" b="76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87406E" w14:textId="06D001EC" w:rsidR="00860705" w:rsidRPr="009F7B82" w:rsidRDefault="00860705" w:rsidP="00875004">
      <w:pPr>
        <w:spacing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7A5EA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clear </w:t>
      </w:r>
      <w:r w:rsidR="000E2D49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way to show the flaw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in the K&amp;K approach is to supplement equation </w:t>
      </w:r>
      <w:r w:rsidR="007A5EA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(1) with a population variable. </w:t>
      </w:r>
      <w:r w:rsidR="00831EC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eaths data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for this test are from the Short-Term Mortality Fluctuations (STMF) </w:t>
      </w:r>
      <w:r w:rsidR="009F7B82" w:rsidRPr="00880E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</w:rPr>
        <w:t>database (</w:t>
      </w:r>
      <w:r w:rsidR="004952B4" w:rsidRPr="00880E3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Németh et al, 2012</w:t>
      </w:r>
      <w:r w:rsidR="009F7B82" w:rsidRPr="00880E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4952B4" w:rsidRPr="00880E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which </w:t>
      </w:r>
      <w:r w:rsidR="004952B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is also the 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source </w:t>
      </w:r>
      <w:r w:rsidR="004952B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K&amp;K 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use </w:t>
      </w:r>
      <w:r w:rsidR="004952B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for New Zealand.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6BF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FB6BF0" w:rsidRPr="00FB6BF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</w:t>
      </w:r>
      <w:r w:rsidR="00FB6BF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-test for excluding the Statistics New Zealand quarterly resident population estimates </w:t>
      </w:r>
      <w:r w:rsidR="00FB6BF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from equation (1) is </w:t>
      </w:r>
      <w:r w:rsidR="004A748F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</w:t>
      </w:r>
      <w:r w:rsidR="004A748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1,363</w:t>
      </w:r>
      <w:r w:rsidR="00F363D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="003308A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77.4</w:t>
      </w:r>
      <w:r w:rsidR="004A748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A748F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</w:t>
      </w:r>
      <w:r w:rsidR="00F363D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&lt;0.00</w:t>
      </w:r>
      <w:r w:rsidR="003308A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4A748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opulation estimates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can also be derived 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from </w:t>
      </w:r>
      <w:r w:rsidR="004A748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death totals and death rates in </w:t>
      </w:r>
      <w:r w:rsidR="004A748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STMF</w:t>
      </w:r>
      <w:r w:rsidR="00F363D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database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; to enable </w:t>
      </w:r>
      <w:r w:rsidR="004A748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comparison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with 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other countries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as well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. The </w:t>
      </w:r>
      <w:r w:rsidR="009F7B82" w:rsidRPr="00F363DF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-test for excluding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this 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population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series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52B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when predicting New Zealand deaths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952B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is </w:t>
      </w:r>
      <w:r w:rsidR="009F7B82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1,363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=74.9 (</w:t>
      </w:r>
      <w:r w:rsidR="009F7B82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</w:t>
      </w:r>
      <w:r w:rsidR="009F7B8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&lt;0.001)</w:t>
      </w:r>
      <w:r w:rsidR="004A748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 O</w:t>
      </w:r>
      <w:r w:rsidR="004952B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nly two out of 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4952B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36 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STMF </w:t>
      </w:r>
      <w:r w:rsidR="004952B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countries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have larger effects from excluding population estimates</w:t>
      </w:r>
      <w:r w:rsidR="0024435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A748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In other words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, New Zealand is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 country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where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K&amp;K approach of projecting deaths into the futur</w:t>
      </w:r>
      <w:r w:rsidR="00F363D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e with no adjustment for changes in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population is least applicable</w:t>
      </w:r>
      <w:r w:rsidR="004A748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despite the appetite of local public health figures for using this method</w:t>
      </w:r>
      <w:r w:rsidR="0009761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9B9B66" w14:textId="4711B555" w:rsidR="002551E0" w:rsidRDefault="00F2297C" w:rsidP="00875004">
      <w:pPr>
        <w:spacing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Another way to show that </w:t>
      </w:r>
      <w:r w:rsidR="0093484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population growth </w:t>
      </w:r>
      <w:r w:rsidR="00FE76E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drove the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rising deaths in the 2015-19 period </w:t>
      </w:r>
      <w:r w:rsidR="009F5D7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is to re-estimate equation (1) using death </w:t>
      </w:r>
      <w:r w:rsidR="009F5D7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rates</w:t>
      </w:r>
      <w:r w:rsidR="009F5D7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as the dependent variable. </w:t>
      </w:r>
      <w:r w:rsidR="00CE342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Unlike the clear trend of deaths increasing by </w:t>
      </w:r>
      <w:r w:rsidR="00CF341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2.1% per annum (</w:t>
      </w:r>
      <w:r w:rsidR="005F6D8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680 </w:t>
      </w:r>
      <w:r w:rsidR="006256F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extra deaths 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each </w:t>
      </w:r>
      <w:r w:rsidR="005F6D8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year </w:t>
      </w:r>
      <w:r w:rsidR="006256F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with a </w:t>
      </w:r>
      <w:r w:rsidR="005F6D8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linear </w:t>
      </w:r>
      <w:r w:rsidR="006256F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specification)</w:t>
      </w:r>
      <w:r w:rsidR="002B27B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363D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all-ages </w:t>
      </w:r>
      <w:r w:rsidR="002B27B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death rates </w:t>
      </w:r>
      <w:r w:rsidR="00F363D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for New Zealand </w:t>
      </w:r>
      <w:r w:rsidR="002B27B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showed no trend increase.</w:t>
      </w:r>
      <w:r w:rsidR="00EF3FAE">
        <w:rPr>
          <w:rStyle w:val="FootnoteReference"/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footnoteReference w:id="3"/>
      </w:r>
      <w:r w:rsidR="00EF3FA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The reason 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for static </w:t>
      </w:r>
      <w:r w:rsidR="00EF3FA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overall death rates, even 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as 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population 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shifted</w:t>
      </w:r>
      <w:r w:rsidR="00EF3FA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into </w:t>
      </w:r>
      <w:r w:rsidR="003F6E2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lder</w:t>
      </w:r>
      <w:r w:rsidR="00EF3FA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groups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with high mortality risk </w:t>
      </w:r>
      <w:r w:rsidR="00EF3FA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(the 65 years and above share rose from 18.5% in 2015 to 19.5% in 2019), is that death rates </w:t>
      </w:r>
      <w:r w:rsidR="00EF3FAE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within</w:t>
      </w:r>
      <w:r w:rsidR="00EF3FA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some </w:t>
      </w:r>
      <w:r w:rsidR="00EF3FA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age groups 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fell </w:t>
      </w:r>
      <w:r w:rsidR="00EF3FA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quite sharply. 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For example, death rates for </w:t>
      </w:r>
      <w:r w:rsidR="003365F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65-74 year olds 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fell 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1.2% per annum (</w:t>
      </w:r>
      <w:r w:rsidR="00C7781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&lt;0.002) and for </w:t>
      </w:r>
      <w:r w:rsidR="003365F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75-84 year olds </w:t>
      </w:r>
      <w:r w:rsidR="003365F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fell 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by 1.9% per annum (</w:t>
      </w:r>
      <w:r w:rsidR="00C7781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&lt;0.001) 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from 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2015-19. Simply attributing rising numbers of deaths in New Zealand to an aging population is 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incorrect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because it ignores 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these 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within- and between-age group effects</w:t>
      </w:r>
      <w:r w:rsidR="00880E3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that were tending to offset each other</w:t>
      </w:r>
      <w:r w:rsidR="00C7781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134257B" w14:textId="7B2D6BCB" w:rsidR="00FC1D23" w:rsidRPr="00FC1D23" w:rsidRDefault="00FC1D23" w:rsidP="00FC1D23">
      <w:pPr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D2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III.</w:t>
      </w:r>
      <w:r w:rsidRPr="00FC1D2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>Policy Implications</w:t>
      </w:r>
    </w:p>
    <w:p w14:paraId="531F910A" w14:textId="0D03025F" w:rsidR="008829AC" w:rsidRDefault="00880E3F" w:rsidP="00875004">
      <w:pPr>
        <w:spacing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flawed K&amp;K measure of excess deaths that ignores population changes may skew policy discussion in at least two ways. First, complacency about </w:t>
      </w:r>
      <w:r w:rsidR="00AB6D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increased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deaths </w:t>
      </w:r>
      <w:r w:rsidR="00AB6D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may occur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because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some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of the rise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may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seem ‘expected’ due to using a population projection that is too high. For example, 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New Zealand recorded 364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0 more deaths in 2022 than in 2021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— a rise of 10.4%—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Statistics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New Zealand attributed 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rise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to COVID-19 and population aging (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Gabel and Knox, 2023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C524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Yet 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net </w:t>
      </w:r>
      <w:r w:rsidR="00DC524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DC524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of aging 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are </w:t>
      </w:r>
      <w:r w:rsidR="00DC524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more 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complex, as seen</w:t>
      </w:r>
      <w:r w:rsidR="00DC524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above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, and aging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did 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not drive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29A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rising deaths in 2015-19</w:t>
      </w:r>
      <w:r w:rsidR="00DC524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Notably, the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exaggerated popula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tion under the K&amp;K approach (as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seen 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in Figure 1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80CF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6D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equates to 1290 more </w:t>
      </w:r>
      <w:r w:rsidR="003F6E2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annual </w:t>
      </w:r>
      <w:r w:rsidR="00AB6D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deaths than actual population would imply in 2022</w:t>
      </w:r>
      <w:r w:rsidR="003F6E2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; an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6D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error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equivalent to </w:t>
      </w:r>
      <w:r w:rsidR="00AB6D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more than one-third </w:t>
      </w:r>
      <w:r w:rsidR="00AB573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 w:rsidR="00AB6D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9771E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actual </w:t>
      </w:r>
      <w:r w:rsidR="00AB6D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year-on-year increase.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0D7F4EB" w14:textId="4051F70C" w:rsidR="003B5203" w:rsidRDefault="008829AC" w:rsidP="00875004">
      <w:pPr>
        <w:spacing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The attribution of the extra deaths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in 2022 to COVID-19 also cannot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not be the full story given that f</w:t>
      </w:r>
      <w:r w:rsidR="009771E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ewer than 2700 deaths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have been </w:t>
      </w:r>
      <w:r w:rsidR="009771E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attributed to COVID-19</w:t>
      </w:r>
      <w:r w:rsidR="00AB6D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over the entire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lastRenderedPageBreak/>
        <w:t>three-year</w:t>
      </w:r>
      <w:r w:rsidR="009771E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COVID-era</w:t>
      </w:r>
      <w:r w:rsidR="00C62B2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62B2B">
        <w:rPr>
          <w:rStyle w:val="FootnoteReference"/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footnoteReference w:id="4"/>
      </w:r>
      <w:r w:rsidR="00C62B2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Thus, </w:t>
      </w:r>
      <w:r w:rsidR="00BD601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in </w:t>
      </w:r>
      <w:r w:rsidR="00C62B2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2022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approximately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1000 extra deaths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are likely to be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from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causes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other than COVID-19</w:t>
      </w:r>
      <w:r w:rsidR="00BD601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but there seems to be little questioning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about these non-COVID deaths.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Instead, public health figures are able to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rely on the upwardly biased K&amp;K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population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projections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to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buttress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claim</w:t>
      </w:r>
      <w:r w:rsidR="00BD601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that </w:t>
      </w:r>
      <w:r w:rsidR="00BD601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much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what was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actually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an </w:t>
      </w:r>
      <w:r w:rsidR="00BD601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unprecedented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rise </w:t>
      </w:r>
      <w:r w:rsidR="00BD601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deaths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in 2022 </w:t>
      </w:r>
      <w:r w:rsidR="00BD601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on the contrary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D601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to be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expected, so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really </w:t>
      </w:r>
      <w:r w:rsidR="003B520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there is nothing to see here.</w:t>
      </w:r>
    </w:p>
    <w:p w14:paraId="38F485C8" w14:textId="477EC02B" w:rsidR="00BD601A" w:rsidRDefault="00BD601A" w:rsidP="00875004">
      <w:pPr>
        <w:spacing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second way 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that use of the K&amp;K excess deaths measure may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distort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local policy discussion is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when 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comparisons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are made to 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other countries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; usually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such comparisons</w:t>
      </w:r>
      <w:r w:rsidR="00046F6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can help to 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prompt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reflecti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ve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critique of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local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policy responses</w:t>
      </w:r>
      <w:r w:rsidR="00046F6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Yet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046F6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laims by public health figures of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our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unique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negative cumulative excess mortality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experience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are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likely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suppress 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such critique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046F6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lead to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more of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self-satisfied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“didn’t we do well” </w:t>
      </w:r>
      <w:r w:rsidR="00DC2A3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perspective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. This theme 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runs through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the interview with Sir Ashley Bloomfield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seemingly 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oblivious</w:t>
      </w:r>
      <w:r w:rsidR="00146E0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to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research-based literature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that 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find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lockdowns had little to no effect on mortality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(Herby et al, 2022)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he argue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: “Lockdowns were an important tool in the overall response and …we…know that if we are in a similar situation in the future…it is a tool that we can deploy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40D6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People in other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countries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can 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clearly see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ir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cumulative 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excess death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toll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and may ask sharper questions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of what was gained (and what </w:t>
      </w:r>
      <w:r w:rsidR="006D2646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was 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lost) by using lockdowns and other novel interventions.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In contrast, s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uch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questions are barely raised in New Zealand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and this may partly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be 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because a misleading statistic is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helping 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to lull the population into a false sense that our policy response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was spot-on (e.g. according to Radio New Zealand ‘New Zealand got it right’ (Olley, 2023</w:t>
      </w:r>
      <w:r w:rsidR="00AB573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E51C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F24B7B5" w14:textId="0B35AAA6" w:rsidR="006E51CC" w:rsidRDefault="0000675C" w:rsidP="00875004">
      <w:pPr>
        <w:spacing w:after="10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To show the difference made b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y failing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to account for population changes, Figure 2 shows p-scores for cumulative exces</w:t>
      </w:r>
      <w:r w:rsidR="00602F8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 mortality from 2020-22 (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the p-score is the percentage by which actual deaths exceeds expected deaths</w:t>
      </w:r>
      <w:r w:rsidR="00602F8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. The data are for the 36 countries in the STMF database with deaths data for 2015-22. In panel (a) excess mortality is based on the K&amp;K approach, with a time trend that ignores changes in population growth rates. In line with claims by public health figures, New Zealand </w:t>
      </w:r>
      <w:r w:rsidR="00602F8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seems to be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one of just two countries 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with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negative cumulative excess mortality (Luxembourg is the other).</w:t>
      </w:r>
      <w:r w:rsidR="00602F8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Yet 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once </w:t>
      </w:r>
      <w:r w:rsidR="00602F8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4138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lower rate of population growth from March 2020 is allowed for in panel (b) it is apparent that there is no negative cumulative excess mortality in New Zealand.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Instead, we are amongst a group of four countries with cumulative p-scores just below four percent.</w:t>
      </w:r>
      <w:r w:rsidR="009B5C11">
        <w:rPr>
          <w:rStyle w:val="FootnoteReference"/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footnoteReference w:id="5"/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There is another group of six countries (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Luxembourg, Canada, the Netherlands, Iceland, Israel and Australia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) with even lower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lastRenderedPageBreak/>
        <w:t>(negative for some)</w:t>
      </w:r>
      <w:r w:rsidR="00FF7FE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cumulative p-scores.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While the New Zealand cumulative p-score is certainly better than middling, given the median for the countries in Figure 2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s 8.6%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there does not seem to be anything particularly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remarkable about this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excess deaths </w:t>
      </w:r>
      <w:r w:rsidR="009B5C1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outcomes for New Zealand despite</w:t>
      </w:r>
      <w:r w:rsidR="00713F5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a large amount of local commentary that suggests otherwise.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I</w:t>
      </w:r>
      <w:r w:rsidR="00713F5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 should be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especially </w:t>
      </w:r>
      <w:r w:rsidR="00713F5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apparent that </w:t>
      </w:r>
      <w:r w:rsidR="004138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claims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that </w:t>
      </w:r>
      <w:r w:rsidR="004138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New Zealand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had</w:t>
      </w:r>
      <w:r w:rsidR="004138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uniquely negative </w:t>
      </w:r>
      <w:r w:rsidR="009C5A9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cumulative </w:t>
      </w:r>
      <w:r w:rsidR="004138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excess </w:t>
      </w:r>
      <w:r w:rsidR="00DB2F12">
        <w:rPr>
          <w:rFonts w:ascii="Times New Roman" w:hAnsi="Times New Roman" w:cs="Times New Roman"/>
          <w:b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CE3FD6" wp14:editId="5BABED56">
                <wp:simplePos x="0" y="0"/>
                <wp:positionH relativeFrom="column">
                  <wp:posOffset>5203372</wp:posOffset>
                </wp:positionH>
                <wp:positionV relativeFrom="paragraph">
                  <wp:posOffset>3842658</wp:posOffset>
                </wp:positionV>
                <wp:extent cx="87086" cy="734786"/>
                <wp:effectExtent l="38100" t="19050" r="84455" b="463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86" cy="73478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6CE0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09.7pt;margin-top:302.55pt;width:6.85pt;height:5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" strokecolor="black [3213]" strokeweight="3pt">
                <v:stroke endarrow="block" joinstyle="miter"/>
              </v:shape>
            </w:pict>
          </mc:Fallback>
        </mc:AlternateContent>
      </w:r>
      <w:r w:rsidR="004138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deaths </w:t>
      </w:r>
      <w:r w:rsidR="00DB2F12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during the first three years of the COVID-19 era </w:t>
      </w:r>
      <w:r w:rsidR="004138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lack </w:t>
      </w:r>
      <w:r w:rsidR="00713F5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firm </w:t>
      </w:r>
      <w:r w:rsidR="0041383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foundation.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13F5C" w14:paraId="7EB0F464" w14:textId="77777777" w:rsidTr="00713F5C">
        <w:tc>
          <w:tcPr>
            <w:tcW w:w="9016" w:type="dxa"/>
          </w:tcPr>
          <w:p w14:paraId="0243D0E1" w14:textId="1A6C9AC3" w:rsidR="00713F5C" w:rsidRPr="009C5A9B" w:rsidRDefault="00713F5C" w:rsidP="00136255">
            <w:pPr>
              <w:spacing w:after="14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C5A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Figure 2:</w:t>
            </w:r>
            <w:r w:rsidR="009C5A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Cumulative p-scores, With and Without, Population A</w:t>
            </w:r>
            <w:r w:rsidR="009C5A9B" w:rsidRPr="009C5A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djustment</w:t>
            </w:r>
          </w:p>
        </w:tc>
      </w:tr>
      <w:tr w:rsidR="00713F5C" w14:paraId="4642D903" w14:textId="77777777" w:rsidTr="00713F5C">
        <w:tc>
          <w:tcPr>
            <w:tcW w:w="9016" w:type="dxa"/>
          </w:tcPr>
          <w:p w14:paraId="659CAA6C" w14:textId="738DAF57" w:rsidR="00713F5C" w:rsidRDefault="00DB2F12" w:rsidP="009C5A9B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2F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6DC1BEC" wp14:editId="0A8C743F">
                      <wp:simplePos x="0" y="0"/>
                      <wp:positionH relativeFrom="column">
                        <wp:posOffset>4649379</wp:posOffset>
                      </wp:positionH>
                      <wp:positionV relativeFrom="paragraph">
                        <wp:posOffset>1768656</wp:posOffset>
                      </wp:positionV>
                      <wp:extent cx="843643" cy="1404620"/>
                      <wp:effectExtent l="0" t="0" r="13970" b="1079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64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0E969" w14:textId="1766BC1A" w:rsidR="00DB2F12" w:rsidRDefault="00DB2F12" w:rsidP="00DB2F12">
                                  <w:pPr>
                                    <w:spacing w:after="0" w:line="240" w:lineRule="auto"/>
                                  </w:pPr>
                                  <w:r>
                                    <w:t>New Zealand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DC1BEC" id="Text Box 2" o:spid="_x0000_s1029" type="#_x0000_t202" style="position:absolute;left:0;text-align:left;margin-left:366.1pt;margin-top:139.25pt;width:66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" filled="f" stroked="f">
                      <v:textbox style="mso-fit-shape-to-text:t" inset="0,0,0,0">
                        <w:txbxContent>
                          <w:p w14:paraId="30F0E969" w14:textId="1766BC1A" w:rsidR="00DB2F12" w:rsidRDefault="00DB2F12" w:rsidP="00DB2F12">
                            <w:pPr>
                              <w:spacing w:after="0" w:line="240" w:lineRule="auto"/>
                            </w:pPr>
                            <w:r>
                              <w:t>New Zealand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F5C" w:rsidRPr="00713F5C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zh-CN"/>
              </w:rPr>
              <w:drawing>
                <wp:inline distT="0" distB="0" distL="0" distR="0" wp14:anchorId="197E2F46" wp14:editId="5379E702">
                  <wp:extent cx="5486400" cy="3456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4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F5C" w14:paraId="5188F574" w14:textId="77777777" w:rsidTr="00713F5C">
        <w:tc>
          <w:tcPr>
            <w:tcW w:w="9016" w:type="dxa"/>
          </w:tcPr>
          <w:p w14:paraId="0D8C1186" w14:textId="77777777" w:rsidR="00713F5C" w:rsidRPr="00146E0D" w:rsidRDefault="00713F5C" w:rsidP="00713F5C">
            <w:pPr>
              <w:rPr>
                <w:rFonts w:ascii="Times New Roman" w:eastAsiaTheme="minorEastAsia" w:hAnsi="Times New Roman" w:cs="Times New Roman"/>
                <w:color w:val="000000"/>
                <w:sz w:val="8"/>
                <w:szCs w:val="8"/>
                <w:shd w:val="clear" w:color="auto" w:fill="FFFFFF"/>
              </w:rPr>
            </w:pPr>
          </w:p>
        </w:tc>
      </w:tr>
      <w:tr w:rsidR="00713F5C" w14:paraId="614D38D7" w14:textId="77777777" w:rsidTr="00713F5C">
        <w:tc>
          <w:tcPr>
            <w:tcW w:w="9016" w:type="dxa"/>
          </w:tcPr>
          <w:p w14:paraId="0E3D50B0" w14:textId="7C834E9E" w:rsidR="00713F5C" w:rsidRDefault="00DB2F12" w:rsidP="009C5A9B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CCA4AC" wp14:editId="2ABCE67B">
                      <wp:simplePos x="0" y="0"/>
                      <wp:positionH relativeFrom="column">
                        <wp:posOffset>4574176</wp:posOffset>
                      </wp:positionH>
                      <wp:positionV relativeFrom="paragraph">
                        <wp:posOffset>2086611</wp:posOffset>
                      </wp:positionV>
                      <wp:extent cx="45719" cy="183696"/>
                      <wp:effectExtent l="76200" t="19050" r="69215" b="4508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83696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2A4591" id="Straight Arrow Connector 12" o:spid="_x0000_s1026" type="#_x0000_t32" style="position:absolute;margin-left:360.15pt;margin-top:164.3pt;width:3.6pt;height:14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Pr="00DB2F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C573900" wp14:editId="37C4B5B6">
                      <wp:simplePos x="0" y="0"/>
                      <wp:positionH relativeFrom="column">
                        <wp:posOffset>4263390</wp:posOffset>
                      </wp:positionH>
                      <wp:positionV relativeFrom="paragraph">
                        <wp:posOffset>1914616</wp:posOffset>
                      </wp:positionV>
                      <wp:extent cx="843643" cy="1404620"/>
                      <wp:effectExtent l="0" t="0" r="13970" b="1079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64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6C562" w14:textId="77777777" w:rsidR="00DB2F12" w:rsidRDefault="00DB2F12" w:rsidP="00DB2F12">
                                  <w:pPr>
                                    <w:spacing w:after="0" w:line="240" w:lineRule="auto"/>
                                  </w:pPr>
                                  <w:r>
                                    <w:t>New Zealand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573900" id="_x0000_s1030" type="#_x0000_t202" style="position:absolute;left:0;text-align:left;margin-left:335.7pt;margin-top:150.75pt;width:66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" filled="f" stroked="f">
                      <v:textbox style="mso-fit-shape-to-text:t" inset="0,0,0,0">
                        <w:txbxContent>
                          <w:p w14:paraId="5FE6C562" w14:textId="77777777" w:rsidR="00DB2F12" w:rsidRDefault="00DB2F12" w:rsidP="00DB2F12">
                            <w:pPr>
                              <w:spacing w:after="0" w:line="240" w:lineRule="auto"/>
                            </w:pPr>
                            <w:r>
                              <w:t>New Zealand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A9B" w:rsidRPr="009C5A9B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zh-CN"/>
              </w:rPr>
              <w:drawing>
                <wp:inline distT="0" distB="0" distL="0" distR="0" wp14:anchorId="59C1F06C" wp14:editId="7323406F">
                  <wp:extent cx="5508000" cy="332640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0" cy="332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E92B6" w14:textId="3E454030" w:rsidR="00EA5F07" w:rsidRDefault="00EA5F07" w:rsidP="00EA5F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4FC0D37" w14:textId="0DDFA3E2" w:rsidR="00080CFF" w:rsidRDefault="00080CFF" w:rsidP="00080CFF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26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Gabel, J., &amp; Knox, C. (2023). New Zealand records biggest increase in registered deaths in 100 years. </w:t>
      </w:r>
      <w:r w:rsidRPr="006D26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New Zealand Herald</w:t>
      </w:r>
      <w:r w:rsidRPr="006D2646">
        <w:rPr>
          <w:rFonts w:ascii="Times New Roman" w:hAnsi="Times New Roman" w:cs="Times New Roman"/>
          <w:sz w:val="24"/>
          <w:szCs w:val="24"/>
          <w:shd w:val="clear" w:color="auto" w:fill="FFFFFF"/>
        </w:rPr>
        <w:t>, 20 February.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2" w:history="1">
        <w:r w:rsidRPr="00E335A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https://www.nzherald.co.nz/nz/new-zealand-records-biggest-increase-in-registered-deaths-in-100-years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79EBF49" w14:textId="24EB6A9B" w:rsidR="00A40D6E" w:rsidRPr="00080CFF" w:rsidRDefault="00A40D6E" w:rsidP="00A40D6E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2646">
        <w:rPr>
          <w:rFonts w:ascii="Times New Roman" w:hAnsi="Times New Roman" w:cs="Times New Roman"/>
          <w:sz w:val="24"/>
          <w:szCs w:val="24"/>
          <w:shd w:val="clear" w:color="auto" w:fill="FFFFFF"/>
        </w:rPr>
        <w:t>Herby, J., Jonung, L., &amp; Hanke, S. H. (2022). A literature review and meta-analysis of the effects of lockdowns on COVID-19 mortality. </w:t>
      </w:r>
      <w:r w:rsidRPr="006D26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Studies in Applied Economics</w:t>
      </w:r>
      <w:r w:rsidRPr="006D2646">
        <w:rPr>
          <w:rFonts w:ascii="Times New Roman" w:hAnsi="Times New Roman" w:cs="Times New Roman"/>
          <w:sz w:val="24"/>
          <w:szCs w:val="24"/>
          <w:shd w:val="clear" w:color="auto" w:fill="FFFFFF"/>
        </w:rPr>
        <w:t>, (SAE 2022: 210).</w:t>
      </w:r>
    </w:p>
    <w:p w14:paraId="510A0632" w14:textId="6CB694BB" w:rsidR="00B23A61" w:rsidRPr="006E51CC" w:rsidRDefault="00387846" w:rsidP="009E6CFF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E5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Karlinsky, A., &amp; Kobak, D. (2021). Tracking excess mortality across countries during the COVID-19 pandemic with the World Mortality Dataset. </w:t>
      </w:r>
      <w:r w:rsidRPr="006E5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Elife</w:t>
      </w:r>
      <w:r w:rsidRPr="006E5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6E5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10</w:t>
      </w:r>
      <w:r w:rsidRPr="006E5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e69336.</w:t>
      </w:r>
    </w:p>
    <w:p w14:paraId="653C5C0A" w14:textId="36E99B6E" w:rsidR="004952B4" w:rsidRPr="006E51CC" w:rsidRDefault="004952B4" w:rsidP="009E6CFF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C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Németh, L., Jdanov, D., &amp; Shkolnikov, V. (2021). An open-sourced, web-based application to analyse weekly excess mortality based on the Short-term Mortality Fluctuations data series. </w:t>
      </w:r>
      <w:r w:rsidRPr="006E51C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PloS One</w:t>
      </w:r>
      <w:r w:rsidRPr="006E51C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6E51C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16</w:t>
      </w:r>
      <w:r w:rsidRPr="006E51C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(2), e0246663.</w:t>
      </w:r>
    </w:p>
    <w:p w14:paraId="7C8D3714" w14:textId="5315262A" w:rsidR="00EA5F07" w:rsidRDefault="00EA5F07" w:rsidP="00BB57C2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Olley, S</w:t>
      </w:r>
      <w:r w:rsidR="009E6CFF">
        <w:rPr>
          <w:rFonts w:ascii="Times New Roman" w:hAnsi="Times New Roman" w:cs="Times New Roman"/>
          <w:sz w:val="24"/>
          <w:szCs w:val="24"/>
        </w:rPr>
        <w:t>. (2023)</w:t>
      </w:r>
      <w:r w:rsidR="00340151">
        <w:rPr>
          <w:rFonts w:ascii="Times New Roman" w:hAnsi="Times New Roman" w:cs="Times New Roman"/>
          <w:sz w:val="24"/>
          <w:szCs w:val="24"/>
        </w:rPr>
        <w:t xml:space="preserve">. </w:t>
      </w:r>
      <w:r w:rsidR="009E6CFF">
        <w:rPr>
          <w:rFonts w:ascii="Times New Roman" w:hAnsi="Times New Roman" w:cs="Times New Roman"/>
          <w:sz w:val="24"/>
          <w:szCs w:val="24"/>
        </w:rPr>
        <w:t>Negative excess mortality sign NZ got it right with Covid-19 response – Sir Ashley Bloomfield</w:t>
      </w:r>
      <w:r w:rsidR="00340151">
        <w:rPr>
          <w:rFonts w:ascii="Times New Roman" w:hAnsi="Times New Roman" w:cs="Times New Roman"/>
          <w:sz w:val="24"/>
          <w:szCs w:val="24"/>
        </w:rPr>
        <w:t>.</w:t>
      </w:r>
      <w:r w:rsidR="009E6CFF">
        <w:rPr>
          <w:rFonts w:ascii="Times New Roman" w:hAnsi="Times New Roman" w:cs="Times New Roman"/>
          <w:sz w:val="24"/>
          <w:szCs w:val="24"/>
        </w:rPr>
        <w:t xml:space="preserve"> </w:t>
      </w:r>
      <w:r w:rsidR="000C60ED" w:rsidRPr="00340151">
        <w:rPr>
          <w:rFonts w:ascii="Times New Roman" w:hAnsi="Times New Roman" w:cs="Times New Roman"/>
          <w:i/>
          <w:iCs/>
          <w:sz w:val="24"/>
          <w:szCs w:val="24"/>
        </w:rPr>
        <w:t>Radio New Zealand</w:t>
      </w:r>
      <w:r w:rsidR="000C60ED">
        <w:rPr>
          <w:rFonts w:ascii="Times New Roman" w:hAnsi="Times New Roman" w:cs="Times New Roman"/>
          <w:sz w:val="24"/>
          <w:szCs w:val="24"/>
        </w:rPr>
        <w:t>, 25 March.</w:t>
      </w:r>
      <w:r w:rsidR="00B12A9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BB57C2" w:rsidRPr="0035767B">
          <w:rPr>
            <w:rStyle w:val="Hyperlink"/>
            <w:rFonts w:ascii="Times New Roman" w:hAnsi="Times New Roman" w:cs="Times New Roman"/>
            <w:sz w:val="24"/>
            <w:szCs w:val="24"/>
          </w:rPr>
          <w:t>https://www.rnz.co.nz/news/national/486666/negative-excess-mortality-sign-nz-got-it-right-with-covid-19-response-sir-ashley-bloomfield</w:t>
        </w:r>
      </w:hyperlink>
      <w:r w:rsidR="00BB5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46D58" w14:textId="7E3574C2" w:rsidR="000C1CD7" w:rsidRPr="00992402" w:rsidRDefault="00263F2D" w:rsidP="00BB57C2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Summers, J., Wilson, N., </w:t>
      </w:r>
      <w:r w:rsidR="000C1CD7">
        <w:rPr>
          <w:rFonts w:ascii="Times New Roman" w:hAnsi="Times New Roman" w:cs="Times New Roman"/>
          <w:sz w:val="24"/>
          <w:szCs w:val="24"/>
        </w:rPr>
        <w:t xml:space="preserve">Barnard, L., Bennett, J., Kvalsvig, A., &amp; Baker, M. (2021). </w:t>
      </w:r>
      <w:r w:rsidR="000C1CD7" w:rsidRPr="000C1CD7">
        <w:rPr>
          <w:rFonts w:ascii="Times New Roman" w:hAnsi="Times New Roman" w:cs="Times New Roman"/>
          <w:sz w:val="24"/>
          <w:szCs w:val="24"/>
        </w:rPr>
        <w:t>The Covid-19 experience in Aotearoa New Zealand and other comparable high-income jurisdictions and implications for managing the next pandemic phase</w:t>
      </w:r>
      <w:r w:rsidR="00950921">
        <w:rPr>
          <w:rFonts w:ascii="Times New Roman" w:hAnsi="Times New Roman" w:cs="Times New Roman"/>
          <w:sz w:val="24"/>
          <w:szCs w:val="24"/>
        </w:rPr>
        <w:t xml:space="preserve">. </w:t>
      </w:r>
      <w:r w:rsidR="00950921">
        <w:rPr>
          <w:rFonts w:ascii="Times New Roman" w:hAnsi="Times New Roman" w:cs="Times New Roman"/>
          <w:i/>
          <w:iCs/>
          <w:sz w:val="24"/>
          <w:szCs w:val="24"/>
        </w:rPr>
        <w:t>The Briefing</w:t>
      </w:r>
      <w:r w:rsidR="00950921">
        <w:rPr>
          <w:rFonts w:ascii="Times New Roman" w:hAnsi="Times New Roman" w:cs="Times New Roman"/>
          <w:sz w:val="24"/>
          <w:szCs w:val="24"/>
        </w:rPr>
        <w:t xml:space="preserve">, Public Health Communication Centre. </w:t>
      </w:r>
      <w:hyperlink r:id="rId14" w:history="1">
        <w:r w:rsidR="00BB57C2" w:rsidRPr="0035767B">
          <w:rPr>
            <w:rStyle w:val="Hyperlink"/>
            <w:rFonts w:ascii="Times New Roman" w:hAnsi="Times New Roman" w:cs="Times New Roman"/>
            <w:sz w:val="24"/>
            <w:szCs w:val="24"/>
          </w:rPr>
          <w:t>https://www.phcc.org.nz/briefing/covid-19-experience-aotearoa-new-zealand-and-other-comparable-high-income-jurisdictions</w:t>
        </w:r>
      </w:hyperlink>
      <w:r w:rsidR="00BB57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C1CD7" w:rsidRPr="00992402" w:rsidSect="00D51016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B9E7A" w14:textId="77777777" w:rsidR="00476AAE" w:rsidRDefault="00476AAE" w:rsidP="001D4028">
      <w:pPr>
        <w:spacing w:after="0" w:line="240" w:lineRule="auto"/>
      </w:pPr>
      <w:r>
        <w:separator/>
      </w:r>
    </w:p>
  </w:endnote>
  <w:endnote w:type="continuationSeparator" w:id="0">
    <w:p w14:paraId="50297994" w14:textId="77777777" w:rsidR="00476AAE" w:rsidRDefault="00476AAE" w:rsidP="001D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250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ED69D" w14:textId="6A970E87" w:rsidR="00D51016" w:rsidRDefault="00D510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5F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B915AD7" w14:textId="77777777" w:rsidR="00D51016" w:rsidRDefault="00D5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7C947" w14:textId="77777777" w:rsidR="00476AAE" w:rsidRDefault="00476AAE" w:rsidP="001D4028">
      <w:pPr>
        <w:spacing w:after="0" w:line="240" w:lineRule="auto"/>
      </w:pPr>
      <w:r>
        <w:separator/>
      </w:r>
    </w:p>
  </w:footnote>
  <w:footnote w:type="continuationSeparator" w:id="0">
    <w:p w14:paraId="0923FA79" w14:textId="77777777" w:rsidR="00476AAE" w:rsidRDefault="00476AAE" w:rsidP="001D4028">
      <w:pPr>
        <w:spacing w:after="0" w:line="240" w:lineRule="auto"/>
      </w:pPr>
      <w:r>
        <w:continuationSeparator/>
      </w:r>
    </w:p>
  </w:footnote>
  <w:footnote w:id="1">
    <w:p w14:paraId="268961FA" w14:textId="52D566DB" w:rsidR="009E45E5" w:rsidRPr="009E45E5" w:rsidRDefault="009E45E5">
      <w:pPr>
        <w:pStyle w:val="FootnoteText"/>
        <w:rPr>
          <w:rFonts w:ascii="Times New Roman" w:hAnsi="Times New Roman" w:cs="Times New Roman"/>
        </w:rPr>
      </w:pPr>
      <w:r w:rsidRPr="009E45E5">
        <w:rPr>
          <w:rStyle w:val="FootnoteReference"/>
          <w:rFonts w:ascii="Times New Roman" w:hAnsi="Times New Roman" w:cs="Times New Roman"/>
        </w:rPr>
        <w:footnoteRef/>
      </w:r>
      <w:r w:rsidRPr="009E45E5">
        <w:rPr>
          <w:rFonts w:ascii="Times New Roman" w:hAnsi="Times New Roman" w:cs="Times New Roman"/>
        </w:rPr>
        <w:t xml:space="preserve"> Data are available here: </w:t>
      </w:r>
      <w:hyperlink r:id="rId1" w:history="1">
        <w:r w:rsidR="00BB57C2" w:rsidRPr="0035767B">
          <w:rPr>
            <w:rStyle w:val="Hyperlink"/>
            <w:rFonts w:ascii="Times New Roman" w:hAnsi="Times New Roman" w:cs="Times New Roman"/>
          </w:rPr>
          <w:t>https://ourworldindata.org/excess-mortality-covid</w:t>
        </w:r>
      </w:hyperlink>
      <w:r w:rsidR="00BB57C2">
        <w:rPr>
          <w:rFonts w:ascii="Times New Roman" w:hAnsi="Times New Roman" w:cs="Times New Roman"/>
        </w:rPr>
        <w:t xml:space="preserve"> </w:t>
      </w:r>
    </w:p>
  </w:footnote>
  <w:footnote w:id="2">
    <w:p w14:paraId="743C2CB2" w14:textId="6154F1BD" w:rsidR="001D4028" w:rsidRPr="001D4028" w:rsidRDefault="001D4028">
      <w:pPr>
        <w:pStyle w:val="FootnoteText"/>
        <w:rPr>
          <w:rFonts w:ascii="Times New Roman" w:hAnsi="Times New Roman" w:cs="Times New Roman"/>
        </w:rPr>
      </w:pPr>
      <w:r w:rsidRPr="001D4028">
        <w:rPr>
          <w:rStyle w:val="FootnoteReference"/>
          <w:rFonts w:ascii="Times New Roman" w:hAnsi="Times New Roman" w:cs="Times New Roman"/>
        </w:rPr>
        <w:footnoteRef/>
      </w:r>
      <w:r w:rsidRPr="001D4028">
        <w:rPr>
          <w:rFonts w:ascii="Times New Roman" w:hAnsi="Times New Roman" w:cs="Times New Roman"/>
        </w:rPr>
        <w:t xml:space="preserve"> Data are available from:</w:t>
      </w:r>
      <w:r w:rsidR="00057F35">
        <w:rPr>
          <w:rFonts w:ascii="Times New Roman" w:hAnsi="Times New Roman" w:cs="Times New Roman"/>
        </w:rPr>
        <w:t xml:space="preserve"> </w:t>
      </w:r>
      <w:hyperlink r:id="rId2" w:history="1">
        <w:r w:rsidR="002C71E0" w:rsidRPr="0070711A">
          <w:rPr>
            <w:rStyle w:val="Hyperlink"/>
            <w:rFonts w:ascii="Times New Roman" w:hAnsi="Times New Roman" w:cs="Times New Roman"/>
          </w:rPr>
          <w:t>https://www.stats.govt.nz/topics/population</w:t>
        </w:r>
      </w:hyperlink>
      <w:r w:rsidR="002C71E0">
        <w:rPr>
          <w:rFonts w:ascii="Times New Roman" w:hAnsi="Times New Roman" w:cs="Times New Roman"/>
        </w:rPr>
        <w:t xml:space="preserve"> </w:t>
      </w:r>
    </w:p>
  </w:footnote>
  <w:footnote w:id="3">
    <w:p w14:paraId="7F460FAD" w14:textId="19D4E73B" w:rsidR="00EF3FAE" w:rsidRPr="001A74FF" w:rsidRDefault="00EF3FAE" w:rsidP="001A74FF">
      <w:pPr>
        <w:pStyle w:val="FootnoteText"/>
        <w:rPr>
          <w:rFonts w:asciiTheme="majorBidi" w:hAnsiTheme="majorBidi" w:cstheme="majorBidi"/>
        </w:rPr>
      </w:pPr>
      <w:r w:rsidRPr="00EF3FAE">
        <w:rPr>
          <w:rStyle w:val="FootnoteReference"/>
          <w:rFonts w:asciiTheme="majorBidi" w:hAnsiTheme="majorBidi" w:cstheme="majorBidi"/>
        </w:rPr>
        <w:footnoteRef/>
      </w:r>
      <w:r w:rsidRPr="00EF3FAE">
        <w:rPr>
          <w:rFonts w:asciiTheme="majorBidi" w:hAnsiTheme="majorBidi" w:cstheme="majorBidi"/>
        </w:rPr>
        <w:t xml:space="preserve"> The coefficient</w:t>
      </w:r>
      <w:r>
        <w:rPr>
          <w:rFonts w:asciiTheme="majorBidi" w:hAnsiTheme="majorBidi" w:cstheme="majorBidi"/>
        </w:rPr>
        <w:t xml:space="preserve"> when regressing New Zealand’s log death rates on a time trend </w:t>
      </w:r>
      <w:r w:rsidR="00A40D6E">
        <w:rPr>
          <w:rFonts w:asciiTheme="majorBidi" w:hAnsiTheme="majorBidi" w:cstheme="majorBidi"/>
        </w:rPr>
        <w:t xml:space="preserve">(and weekly dummies) </w:t>
      </w:r>
      <w:r>
        <w:rPr>
          <w:rFonts w:asciiTheme="majorBidi" w:hAnsiTheme="majorBidi" w:cstheme="majorBidi"/>
        </w:rPr>
        <w:t xml:space="preserve">is 0.001 </w:t>
      </w:r>
      <w:r w:rsidR="001A74FF">
        <w:rPr>
          <w:rFonts w:asciiTheme="majorBidi" w:hAnsiTheme="majorBidi" w:cstheme="majorBidi"/>
        </w:rPr>
        <w:t xml:space="preserve">with </w:t>
      </w:r>
      <w:r>
        <w:rPr>
          <w:rFonts w:asciiTheme="majorBidi" w:hAnsiTheme="majorBidi" w:cstheme="majorBidi"/>
        </w:rPr>
        <w:t xml:space="preserve">the </w:t>
      </w:r>
      <w:r w:rsidR="00A40D6E">
        <w:rPr>
          <w:rFonts w:asciiTheme="majorBidi" w:hAnsiTheme="majorBidi" w:cstheme="majorBidi"/>
        </w:rPr>
        <w:t xml:space="preserve">null </w:t>
      </w:r>
      <w:r>
        <w:rPr>
          <w:rFonts w:asciiTheme="majorBidi" w:hAnsiTheme="majorBidi" w:cstheme="majorBidi"/>
        </w:rPr>
        <w:t xml:space="preserve">hypothesis </w:t>
      </w:r>
      <w:r w:rsidR="00A40D6E">
        <w:rPr>
          <w:rFonts w:asciiTheme="majorBidi" w:hAnsiTheme="majorBidi" w:cstheme="majorBidi"/>
        </w:rPr>
        <w:t xml:space="preserve">that </w:t>
      </w:r>
      <w:r>
        <w:rPr>
          <w:rFonts w:asciiTheme="majorBidi" w:hAnsiTheme="majorBidi" w:cstheme="majorBidi"/>
        </w:rPr>
        <w:t>this equals zero not rejected (</w:t>
      </w:r>
      <w:r>
        <w:rPr>
          <w:rFonts w:asciiTheme="majorBidi" w:hAnsiTheme="majorBidi" w:cstheme="majorBidi"/>
          <w:i/>
          <w:iCs/>
        </w:rPr>
        <w:t>p</w:t>
      </w:r>
      <w:r>
        <w:rPr>
          <w:rFonts w:asciiTheme="majorBidi" w:hAnsiTheme="majorBidi" w:cstheme="majorBidi"/>
        </w:rPr>
        <w:t>&lt;0.57). In contrast</w:t>
      </w:r>
      <w:r w:rsidR="001A74FF">
        <w:rPr>
          <w:rFonts w:asciiTheme="majorBidi" w:hAnsiTheme="majorBidi" w:cstheme="majorBidi"/>
        </w:rPr>
        <w:t xml:space="preserve">, the time trend </w:t>
      </w:r>
      <w:r w:rsidR="00A40D6E">
        <w:rPr>
          <w:rFonts w:asciiTheme="majorBidi" w:hAnsiTheme="majorBidi" w:cstheme="majorBidi"/>
        </w:rPr>
        <w:t xml:space="preserve">in the regression </w:t>
      </w:r>
      <w:r w:rsidR="001A74FF">
        <w:rPr>
          <w:rFonts w:asciiTheme="majorBidi" w:hAnsiTheme="majorBidi" w:cstheme="majorBidi"/>
        </w:rPr>
        <w:t>for deaths is statistically significantly greater than zero (</w:t>
      </w:r>
      <w:r w:rsidR="001A74FF">
        <w:rPr>
          <w:rFonts w:asciiTheme="majorBidi" w:hAnsiTheme="majorBidi" w:cstheme="majorBidi"/>
          <w:i/>
          <w:iCs/>
        </w:rPr>
        <w:t>p</w:t>
      </w:r>
      <w:r w:rsidR="001A74FF">
        <w:rPr>
          <w:rFonts w:asciiTheme="majorBidi" w:hAnsiTheme="majorBidi" w:cstheme="majorBidi"/>
        </w:rPr>
        <w:t>&lt;0.00</w:t>
      </w:r>
      <w:r w:rsidR="00FF7FE1">
        <w:rPr>
          <w:rFonts w:asciiTheme="majorBidi" w:hAnsiTheme="majorBidi" w:cstheme="majorBidi"/>
        </w:rPr>
        <w:t>1</w:t>
      </w:r>
      <w:r w:rsidR="001A74FF">
        <w:rPr>
          <w:rFonts w:asciiTheme="majorBidi" w:hAnsiTheme="majorBidi" w:cstheme="majorBidi"/>
        </w:rPr>
        <w:t>).</w:t>
      </w:r>
    </w:p>
  </w:footnote>
  <w:footnote w:id="4">
    <w:p w14:paraId="24768CA7" w14:textId="355E8924" w:rsidR="00C62B2B" w:rsidRPr="00C62B2B" w:rsidRDefault="00C62B2B">
      <w:pPr>
        <w:pStyle w:val="FootnoteText"/>
        <w:rPr>
          <w:rFonts w:asciiTheme="majorBidi" w:hAnsiTheme="majorBidi" w:cstheme="majorBidi"/>
        </w:rPr>
      </w:pPr>
      <w:r w:rsidRPr="00C62B2B">
        <w:rPr>
          <w:rStyle w:val="FootnoteReference"/>
          <w:rFonts w:asciiTheme="majorBidi" w:hAnsiTheme="majorBidi" w:cstheme="majorBidi"/>
        </w:rPr>
        <w:footnoteRef/>
      </w:r>
      <w:r w:rsidRPr="00C62B2B">
        <w:rPr>
          <w:rFonts w:asciiTheme="majorBidi" w:hAnsiTheme="majorBidi" w:cstheme="majorBidi"/>
        </w:rPr>
        <w:t xml:space="preserve"> </w:t>
      </w:r>
      <w:hyperlink r:id="rId3" w:anchor="covid-19-data-portal" w:history="1">
        <w:r w:rsidRPr="00E335AA">
          <w:rPr>
            <w:rStyle w:val="Hyperlink"/>
            <w:rFonts w:asciiTheme="majorBidi" w:hAnsiTheme="majorBidi" w:cstheme="majorBidi"/>
          </w:rPr>
          <w:t>https://covid19.govt.nz/news-and-data/covid-19-data-and-statistics/#covid-19-data-portal</w:t>
        </w:r>
      </w:hyperlink>
      <w:r>
        <w:rPr>
          <w:rFonts w:asciiTheme="majorBidi" w:hAnsiTheme="majorBidi" w:cstheme="majorBidi"/>
        </w:rPr>
        <w:t xml:space="preserve"> </w:t>
      </w:r>
    </w:p>
  </w:footnote>
  <w:footnote w:id="5">
    <w:p w14:paraId="6CCFFE2F" w14:textId="59134DA8" w:rsidR="009B5C11" w:rsidRPr="009B5C11" w:rsidRDefault="009B5C11" w:rsidP="009B5C11">
      <w:pPr>
        <w:pStyle w:val="FootnoteText"/>
        <w:rPr>
          <w:rFonts w:ascii="Times New Roman" w:hAnsi="Times New Roman" w:cs="Times New Roman"/>
          <w:lang w:val="en-US"/>
        </w:rPr>
      </w:pPr>
      <w:r w:rsidRPr="009B5C11">
        <w:rPr>
          <w:rStyle w:val="FootnoteReference"/>
          <w:rFonts w:ascii="Times New Roman" w:hAnsi="Times New Roman" w:cs="Times New Roman"/>
        </w:rPr>
        <w:footnoteRef/>
      </w:r>
      <w:r w:rsidRPr="009B5C11"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hd w:val="clear" w:color="auto" w:fill="FFFFFF"/>
        </w:rPr>
        <w:t>For</w:t>
      </w:r>
      <w:r w:rsidRPr="009B5C11">
        <w:rPr>
          <w:rFonts w:ascii="Times New Roman" w:eastAsiaTheme="minorEastAsia" w:hAnsi="Times New Roman" w:cs="Times New Roman"/>
          <w:color w:val="000000"/>
          <w:shd w:val="clear" w:color="auto" w:fill="FFFFFF"/>
        </w:rPr>
        <w:t xml:space="preserve"> the three-year period, New Zealand’s deaths were about 3.5% higher than expected (effectively spreading the 10.4% rise in deaths in 2022 over three years, given that 2020 and 2021 did not have excess deaths).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B377" w14:textId="10819B0A" w:rsidR="00413835" w:rsidRDefault="00413835" w:rsidP="00413835">
    <w:pPr>
      <w:pStyle w:val="Header"/>
      <w:tabs>
        <w:tab w:val="clear" w:pos="4513"/>
        <w:tab w:val="clear" w:pos="9026"/>
        <w:tab w:val="left" w:pos="7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1D"/>
    <w:rsid w:val="0000675C"/>
    <w:rsid w:val="000143DE"/>
    <w:rsid w:val="00025BC1"/>
    <w:rsid w:val="000314E3"/>
    <w:rsid w:val="00046F6B"/>
    <w:rsid w:val="00057F35"/>
    <w:rsid w:val="00080CFF"/>
    <w:rsid w:val="000951BA"/>
    <w:rsid w:val="00095998"/>
    <w:rsid w:val="00097617"/>
    <w:rsid w:val="000B5EA2"/>
    <w:rsid w:val="000C1CD7"/>
    <w:rsid w:val="000C3004"/>
    <w:rsid w:val="000C60ED"/>
    <w:rsid w:val="000D13D5"/>
    <w:rsid w:val="000D7B2B"/>
    <w:rsid w:val="000E1C47"/>
    <w:rsid w:val="000E2D49"/>
    <w:rsid w:val="000E5B7E"/>
    <w:rsid w:val="00111F58"/>
    <w:rsid w:val="001226CF"/>
    <w:rsid w:val="00125599"/>
    <w:rsid w:val="00136255"/>
    <w:rsid w:val="00146E0D"/>
    <w:rsid w:val="00154D67"/>
    <w:rsid w:val="00182DA2"/>
    <w:rsid w:val="001846BA"/>
    <w:rsid w:val="001A74FF"/>
    <w:rsid w:val="001C37EF"/>
    <w:rsid w:val="001C7681"/>
    <w:rsid w:val="001D4028"/>
    <w:rsid w:val="001E317B"/>
    <w:rsid w:val="001E67D4"/>
    <w:rsid w:val="001E690A"/>
    <w:rsid w:val="001F2F11"/>
    <w:rsid w:val="002079C9"/>
    <w:rsid w:val="00212F94"/>
    <w:rsid w:val="00226A50"/>
    <w:rsid w:val="00233AAB"/>
    <w:rsid w:val="0024435E"/>
    <w:rsid w:val="002551E0"/>
    <w:rsid w:val="00263F2D"/>
    <w:rsid w:val="00272F32"/>
    <w:rsid w:val="00291091"/>
    <w:rsid w:val="002B06A5"/>
    <w:rsid w:val="002B27B2"/>
    <w:rsid w:val="002C1AAD"/>
    <w:rsid w:val="002C71E0"/>
    <w:rsid w:val="002D3DDD"/>
    <w:rsid w:val="002E0AD5"/>
    <w:rsid w:val="003308A5"/>
    <w:rsid w:val="00331819"/>
    <w:rsid w:val="003365FA"/>
    <w:rsid w:val="00340151"/>
    <w:rsid w:val="00340441"/>
    <w:rsid w:val="0034502C"/>
    <w:rsid w:val="00360C1A"/>
    <w:rsid w:val="0036330A"/>
    <w:rsid w:val="00370C22"/>
    <w:rsid w:val="0038350D"/>
    <w:rsid w:val="00387846"/>
    <w:rsid w:val="003A00C3"/>
    <w:rsid w:val="003A1CAA"/>
    <w:rsid w:val="003A29D0"/>
    <w:rsid w:val="003A7DAA"/>
    <w:rsid w:val="003B3B2C"/>
    <w:rsid w:val="003B5203"/>
    <w:rsid w:val="003E0976"/>
    <w:rsid w:val="003E201D"/>
    <w:rsid w:val="003F6E2F"/>
    <w:rsid w:val="0040111D"/>
    <w:rsid w:val="004017C4"/>
    <w:rsid w:val="00401844"/>
    <w:rsid w:val="00413835"/>
    <w:rsid w:val="00420679"/>
    <w:rsid w:val="004406C4"/>
    <w:rsid w:val="00476AAE"/>
    <w:rsid w:val="004952B4"/>
    <w:rsid w:val="004A571A"/>
    <w:rsid w:val="004A748F"/>
    <w:rsid w:val="004B2B93"/>
    <w:rsid w:val="004B56A2"/>
    <w:rsid w:val="004C213F"/>
    <w:rsid w:val="004C5CD8"/>
    <w:rsid w:val="00514361"/>
    <w:rsid w:val="005212D4"/>
    <w:rsid w:val="005C57D7"/>
    <w:rsid w:val="005D7546"/>
    <w:rsid w:val="005F6D84"/>
    <w:rsid w:val="00602F80"/>
    <w:rsid w:val="006256F7"/>
    <w:rsid w:val="00633E67"/>
    <w:rsid w:val="006670B3"/>
    <w:rsid w:val="0067346C"/>
    <w:rsid w:val="006A0239"/>
    <w:rsid w:val="006A2641"/>
    <w:rsid w:val="006A6969"/>
    <w:rsid w:val="006D2646"/>
    <w:rsid w:val="006D5333"/>
    <w:rsid w:val="006E51CC"/>
    <w:rsid w:val="007019F9"/>
    <w:rsid w:val="00713F5C"/>
    <w:rsid w:val="00714510"/>
    <w:rsid w:val="00722DA5"/>
    <w:rsid w:val="00730E07"/>
    <w:rsid w:val="00743309"/>
    <w:rsid w:val="00753584"/>
    <w:rsid w:val="007731C1"/>
    <w:rsid w:val="0077429B"/>
    <w:rsid w:val="00790677"/>
    <w:rsid w:val="00791D11"/>
    <w:rsid w:val="007A4350"/>
    <w:rsid w:val="007A5EA7"/>
    <w:rsid w:val="007C4C0D"/>
    <w:rsid w:val="007D3DA0"/>
    <w:rsid w:val="007F6E48"/>
    <w:rsid w:val="00831EC8"/>
    <w:rsid w:val="00857BC4"/>
    <w:rsid w:val="00860705"/>
    <w:rsid w:val="00866487"/>
    <w:rsid w:val="00875004"/>
    <w:rsid w:val="00880E3F"/>
    <w:rsid w:val="008829AC"/>
    <w:rsid w:val="008D60D2"/>
    <w:rsid w:val="008E3AE3"/>
    <w:rsid w:val="008E4035"/>
    <w:rsid w:val="008E4F6D"/>
    <w:rsid w:val="008F29E1"/>
    <w:rsid w:val="0091103C"/>
    <w:rsid w:val="009162B5"/>
    <w:rsid w:val="00934845"/>
    <w:rsid w:val="00950921"/>
    <w:rsid w:val="00950A44"/>
    <w:rsid w:val="009540F8"/>
    <w:rsid w:val="009771E3"/>
    <w:rsid w:val="00992402"/>
    <w:rsid w:val="009B2236"/>
    <w:rsid w:val="009B5C11"/>
    <w:rsid w:val="009C3CA9"/>
    <w:rsid w:val="009C5A9B"/>
    <w:rsid w:val="009C61DB"/>
    <w:rsid w:val="009D47BF"/>
    <w:rsid w:val="009E45E5"/>
    <w:rsid w:val="009E6CFF"/>
    <w:rsid w:val="009F5D76"/>
    <w:rsid w:val="009F7B82"/>
    <w:rsid w:val="00A12918"/>
    <w:rsid w:val="00A14515"/>
    <w:rsid w:val="00A40D6E"/>
    <w:rsid w:val="00A84DC0"/>
    <w:rsid w:val="00A93842"/>
    <w:rsid w:val="00AB573D"/>
    <w:rsid w:val="00AB6D4D"/>
    <w:rsid w:val="00AD4FBB"/>
    <w:rsid w:val="00AE7D57"/>
    <w:rsid w:val="00B05CD5"/>
    <w:rsid w:val="00B12A9A"/>
    <w:rsid w:val="00B15863"/>
    <w:rsid w:val="00B23A61"/>
    <w:rsid w:val="00B259BC"/>
    <w:rsid w:val="00B43BB4"/>
    <w:rsid w:val="00B66521"/>
    <w:rsid w:val="00B667B6"/>
    <w:rsid w:val="00BA0D9B"/>
    <w:rsid w:val="00BA7FAD"/>
    <w:rsid w:val="00BB4CCF"/>
    <w:rsid w:val="00BB57C2"/>
    <w:rsid w:val="00BC0C8F"/>
    <w:rsid w:val="00BD187D"/>
    <w:rsid w:val="00BD601A"/>
    <w:rsid w:val="00BD6AEE"/>
    <w:rsid w:val="00BE5537"/>
    <w:rsid w:val="00C30763"/>
    <w:rsid w:val="00C45DA3"/>
    <w:rsid w:val="00C45E41"/>
    <w:rsid w:val="00C62B2B"/>
    <w:rsid w:val="00C67B6B"/>
    <w:rsid w:val="00C74B91"/>
    <w:rsid w:val="00C77815"/>
    <w:rsid w:val="00C77CAE"/>
    <w:rsid w:val="00C94DB5"/>
    <w:rsid w:val="00C9727C"/>
    <w:rsid w:val="00CA2B86"/>
    <w:rsid w:val="00CA3002"/>
    <w:rsid w:val="00CE342D"/>
    <w:rsid w:val="00CF0605"/>
    <w:rsid w:val="00CF341F"/>
    <w:rsid w:val="00D01A91"/>
    <w:rsid w:val="00D51016"/>
    <w:rsid w:val="00D82000"/>
    <w:rsid w:val="00D84A03"/>
    <w:rsid w:val="00DB2F12"/>
    <w:rsid w:val="00DC2A32"/>
    <w:rsid w:val="00DC5242"/>
    <w:rsid w:val="00DC57F4"/>
    <w:rsid w:val="00DD30E2"/>
    <w:rsid w:val="00DE0D1A"/>
    <w:rsid w:val="00DF2D3F"/>
    <w:rsid w:val="00DF543A"/>
    <w:rsid w:val="00E11860"/>
    <w:rsid w:val="00E201D8"/>
    <w:rsid w:val="00E20DAF"/>
    <w:rsid w:val="00E27EC0"/>
    <w:rsid w:val="00E348DB"/>
    <w:rsid w:val="00E565AF"/>
    <w:rsid w:val="00E8272A"/>
    <w:rsid w:val="00E83BDB"/>
    <w:rsid w:val="00EA454F"/>
    <w:rsid w:val="00EA5F07"/>
    <w:rsid w:val="00ED166F"/>
    <w:rsid w:val="00ED6C37"/>
    <w:rsid w:val="00EE671B"/>
    <w:rsid w:val="00EE7E4F"/>
    <w:rsid w:val="00EF3FAE"/>
    <w:rsid w:val="00F01963"/>
    <w:rsid w:val="00F024DD"/>
    <w:rsid w:val="00F03268"/>
    <w:rsid w:val="00F059CB"/>
    <w:rsid w:val="00F07B84"/>
    <w:rsid w:val="00F07DB3"/>
    <w:rsid w:val="00F2297C"/>
    <w:rsid w:val="00F23398"/>
    <w:rsid w:val="00F363DF"/>
    <w:rsid w:val="00F446A2"/>
    <w:rsid w:val="00F570CA"/>
    <w:rsid w:val="00F63ED7"/>
    <w:rsid w:val="00F82003"/>
    <w:rsid w:val="00F83961"/>
    <w:rsid w:val="00F855B9"/>
    <w:rsid w:val="00FA7DB2"/>
    <w:rsid w:val="00FA7FDA"/>
    <w:rsid w:val="00FB6BF0"/>
    <w:rsid w:val="00FC1D23"/>
    <w:rsid w:val="00FD0048"/>
    <w:rsid w:val="00FD0459"/>
    <w:rsid w:val="00FE76E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8B4D"/>
  <w15:chartTrackingRefBased/>
  <w15:docId w15:val="{DFD8D529-8285-4E27-B9FD-552294B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A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A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06A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0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0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02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C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3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835"/>
  </w:style>
  <w:style w:type="paragraph" w:styleId="Footer">
    <w:name w:val="footer"/>
    <w:basedOn w:val="Normal"/>
    <w:link w:val="FooterChar"/>
    <w:uiPriority w:val="99"/>
    <w:unhideWhenUsed/>
    <w:rsid w:val="00413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35"/>
  </w:style>
  <w:style w:type="paragraph" w:styleId="ListParagraph">
    <w:name w:val="List Paragraph"/>
    <w:basedOn w:val="Normal"/>
    <w:uiPriority w:val="34"/>
    <w:qFormat/>
    <w:rsid w:val="00FC1D23"/>
    <w:pPr>
      <w:ind w:left="720"/>
      <w:contextualSpacing/>
    </w:pPr>
  </w:style>
  <w:style w:type="table" w:styleId="TableGrid">
    <w:name w:val="Table Grid"/>
    <w:basedOn w:val="TableNormal"/>
    <w:uiPriority w:val="39"/>
    <w:rsid w:val="0071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11860"/>
    <w:pPr>
      <w:spacing w:after="0" w:line="240" w:lineRule="auto"/>
    </w:pPr>
    <w:rPr>
      <w:rFonts w:ascii="Consolas" w:hAnsi="Consolas" w:cs="Times New Roman"/>
      <w:kern w:val="0"/>
      <w:sz w:val="21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E11860"/>
    <w:rPr>
      <w:rFonts w:ascii="Consolas" w:hAnsi="Consolas" w:cs="Times New Roman"/>
      <w:kern w:val="0"/>
      <w:sz w:val="21"/>
      <w:szCs w:val="21"/>
      <w14:ligatures w14:val="none"/>
    </w:rPr>
  </w:style>
  <w:style w:type="paragraph" w:customStyle="1" w:styleId="Default">
    <w:name w:val="Default"/>
    <w:rsid w:val="00E118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NZ"/>
      <w14:ligatures w14:val="none"/>
    </w:rPr>
  </w:style>
  <w:style w:type="paragraph" w:customStyle="1" w:styleId="CM3">
    <w:name w:val="CM3"/>
    <w:basedOn w:val="Default"/>
    <w:next w:val="Default"/>
    <w:rsid w:val="00E11860"/>
    <w:pPr>
      <w:widowControl w:val="0"/>
    </w:pPr>
    <w:rPr>
      <w:color w:val="auto"/>
      <w:lang w:val="en-US" w:eastAsia="en-US"/>
    </w:rPr>
  </w:style>
  <w:style w:type="paragraph" w:customStyle="1" w:styleId="CM4">
    <w:name w:val="CM4"/>
    <w:basedOn w:val="Default"/>
    <w:next w:val="Default"/>
    <w:rsid w:val="00E11860"/>
    <w:pPr>
      <w:widowControl w:val="0"/>
      <w:spacing w:line="253" w:lineRule="atLeast"/>
    </w:pPr>
    <w:rPr>
      <w:color w:val="auto"/>
      <w:lang w:val="en-US" w:eastAsia="en-US"/>
    </w:rPr>
  </w:style>
  <w:style w:type="paragraph" w:customStyle="1" w:styleId="CM23">
    <w:name w:val="CM23"/>
    <w:basedOn w:val="Default"/>
    <w:next w:val="Default"/>
    <w:rsid w:val="00E11860"/>
    <w:pPr>
      <w:widowControl w:val="0"/>
      <w:spacing w:after="233"/>
    </w:pPr>
    <w:rPr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nz.co.nz/news/national/486666/negative-excess-mortality-sign-nz-got-it-right-with-covid-19-response-sir-ashley-bloomfiel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nzherald.co.nz/nz/new-zealand-records-biggest-increase-in-registered-deaths-in-100-yea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s://www.phcc.org.nz/briefing/covid-19-experience-aotearoa-new-zealand-and-other-comparable-high-income-jurisdictions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vid19.govt.nz/news-and-data/covid-19-data-and-statistics/" TargetMode="External"/><Relationship Id="rId2" Type="http://schemas.openxmlformats.org/officeDocument/2006/relationships/hyperlink" Target="https://www.stats.govt.nz/topics/population" TargetMode="External"/><Relationship Id="rId1" Type="http://schemas.openxmlformats.org/officeDocument/2006/relationships/hyperlink" Target="https://ourworldindata.org/excess-mortality-covid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urrent\NZStudies\Excess_mortality\Figure_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Chart!$B$1</c:f>
              <c:strCache>
                <c:ptCount val="1"/>
                <c:pt idx="0">
                  <c:v>Pre-COVID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Chart!$A$2:$A$33</c:f>
              <c:numCache>
                <c:formatCode>mmm\-yy</c:formatCode>
                <c:ptCount val="32"/>
                <c:pt idx="0">
                  <c:v>42064</c:v>
                </c:pt>
                <c:pt idx="1">
                  <c:v>42156</c:v>
                </c:pt>
                <c:pt idx="2">
                  <c:v>42248</c:v>
                </c:pt>
                <c:pt idx="3">
                  <c:v>42339</c:v>
                </c:pt>
                <c:pt idx="4">
                  <c:v>42430</c:v>
                </c:pt>
                <c:pt idx="5">
                  <c:v>42522</c:v>
                </c:pt>
                <c:pt idx="6">
                  <c:v>42614</c:v>
                </c:pt>
                <c:pt idx="7">
                  <c:v>42705</c:v>
                </c:pt>
                <c:pt idx="8">
                  <c:v>42795</c:v>
                </c:pt>
                <c:pt idx="9">
                  <c:v>42887</c:v>
                </c:pt>
                <c:pt idx="10">
                  <c:v>42979</c:v>
                </c:pt>
                <c:pt idx="11">
                  <c:v>43070</c:v>
                </c:pt>
                <c:pt idx="12">
                  <c:v>43160</c:v>
                </c:pt>
                <c:pt idx="13">
                  <c:v>43252</c:v>
                </c:pt>
                <c:pt idx="14">
                  <c:v>43344</c:v>
                </c:pt>
                <c:pt idx="15">
                  <c:v>43435</c:v>
                </c:pt>
                <c:pt idx="16">
                  <c:v>43525</c:v>
                </c:pt>
                <c:pt idx="17">
                  <c:v>43617</c:v>
                </c:pt>
                <c:pt idx="18">
                  <c:v>43709</c:v>
                </c:pt>
                <c:pt idx="19">
                  <c:v>43800</c:v>
                </c:pt>
                <c:pt idx="20">
                  <c:v>43891</c:v>
                </c:pt>
                <c:pt idx="21">
                  <c:v>43983</c:v>
                </c:pt>
                <c:pt idx="22">
                  <c:v>44075</c:v>
                </c:pt>
                <c:pt idx="23">
                  <c:v>44166</c:v>
                </c:pt>
                <c:pt idx="24">
                  <c:v>44256</c:v>
                </c:pt>
                <c:pt idx="25">
                  <c:v>44348</c:v>
                </c:pt>
                <c:pt idx="26">
                  <c:v>44440</c:v>
                </c:pt>
                <c:pt idx="27">
                  <c:v>44531</c:v>
                </c:pt>
                <c:pt idx="28">
                  <c:v>44621</c:v>
                </c:pt>
                <c:pt idx="29">
                  <c:v>44713</c:v>
                </c:pt>
                <c:pt idx="30">
                  <c:v>44805</c:v>
                </c:pt>
                <c:pt idx="31">
                  <c:v>44896</c:v>
                </c:pt>
              </c:numCache>
            </c:numRef>
          </c:cat>
          <c:val>
            <c:numRef>
              <c:f>Chart!$B$2:$B$33</c:f>
              <c:numCache>
                <c:formatCode>0.000</c:formatCode>
                <c:ptCount val="32"/>
                <c:pt idx="0">
                  <c:v>4.5918999999999999</c:v>
                </c:pt>
                <c:pt idx="1">
                  <c:v>4.6093999999999999</c:v>
                </c:pt>
                <c:pt idx="2">
                  <c:v>4.6363000000000003</c:v>
                </c:pt>
                <c:pt idx="3">
                  <c:v>4.6637000000000004</c:v>
                </c:pt>
                <c:pt idx="4">
                  <c:v>4.6950000000000003</c:v>
                </c:pt>
                <c:pt idx="5">
                  <c:v>4.7141000000000002</c:v>
                </c:pt>
                <c:pt idx="6">
                  <c:v>4.7412000000000001</c:v>
                </c:pt>
                <c:pt idx="7">
                  <c:v>4.7675999999999998</c:v>
                </c:pt>
                <c:pt idx="8">
                  <c:v>4.7967000000000004</c:v>
                </c:pt>
                <c:pt idx="9">
                  <c:v>4.8136000000000001</c:v>
                </c:pt>
                <c:pt idx="10">
                  <c:v>4.8362999999999996</c:v>
                </c:pt>
                <c:pt idx="11">
                  <c:v>4.8594999999999997</c:v>
                </c:pt>
                <c:pt idx="12">
                  <c:v>4.8860999999999999</c:v>
                </c:pt>
                <c:pt idx="13">
                  <c:v>4.9005999999999998</c:v>
                </c:pt>
                <c:pt idx="14">
                  <c:v>4.9212999999999996</c:v>
                </c:pt>
                <c:pt idx="15">
                  <c:v>4.9412000000000003</c:v>
                </c:pt>
                <c:pt idx="16">
                  <c:v>4.9653</c:v>
                </c:pt>
                <c:pt idx="17">
                  <c:v>4.9791999999999996</c:v>
                </c:pt>
                <c:pt idx="18">
                  <c:v>5.0068999999999999</c:v>
                </c:pt>
                <c:pt idx="19">
                  <c:v>5.0404</c:v>
                </c:pt>
                <c:pt idx="20">
                  <c:v>5.0827999999999998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12-43A7-8E46-BF302F398D4C}"/>
            </c:ext>
          </c:extLst>
        </c:ser>
        <c:ser>
          <c:idx val="1"/>
          <c:order val="1"/>
          <c:tx>
            <c:strRef>
              <c:f>Chart!$C$1</c:f>
              <c:strCache>
                <c:ptCount val="1"/>
                <c:pt idx="0">
                  <c:v>K&amp;K_assumed_trend</c:v>
                </c:pt>
              </c:strCache>
            </c:strRef>
          </c:tx>
          <c:spPr>
            <a:ln w="28575" cap="rnd">
              <a:solidFill>
                <a:srgbClr val="0070C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Chart!$A$2:$A$33</c:f>
              <c:numCache>
                <c:formatCode>mmm\-yy</c:formatCode>
                <c:ptCount val="32"/>
                <c:pt idx="0">
                  <c:v>42064</c:v>
                </c:pt>
                <c:pt idx="1">
                  <c:v>42156</c:v>
                </c:pt>
                <c:pt idx="2">
                  <c:v>42248</c:v>
                </c:pt>
                <c:pt idx="3">
                  <c:v>42339</c:v>
                </c:pt>
                <c:pt idx="4">
                  <c:v>42430</c:v>
                </c:pt>
                <c:pt idx="5">
                  <c:v>42522</c:v>
                </c:pt>
                <c:pt idx="6">
                  <c:v>42614</c:v>
                </c:pt>
                <c:pt idx="7">
                  <c:v>42705</c:v>
                </c:pt>
                <c:pt idx="8">
                  <c:v>42795</c:v>
                </c:pt>
                <c:pt idx="9">
                  <c:v>42887</c:v>
                </c:pt>
                <c:pt idx="10">
                  <c:v>42979</c:v>
                </c:pt>
                <c:pt idx="11">
                  <c:v>43070</c:v>
                </c:pt>
                <c:pt idx="12">
                  <c:v>43160</c:v>
                </c:pt>
                <c:pt idx="13">
                  <c:v>43252</c:v>
                </c:pt>
                <c:pt idx="14">
                  <c:v>43344</c:v>
                </c:pt>
                <c:pt idx="15">
                  <c:v>43435</c:v>
                </c:pt>
                <c:pt idx="16">
                  <c:v>43525</c:v>
                </c:pt>
                <c:pt idx="17">
                  <c:v>43617</c:v>
                </c:pt>
                <c:pt idx="18">
                  <c:v>43709</c:v>
                </c:pt>
                <c:pt idx="19">
                  <c:v>43800</c:v>
                </c:pt>
                <c:pt idx="20">
                  <c:v>43891</c:v>
                </c:pt>
                <c:pt idx="21">
                  <c:v>43983</c:v>
                </c:pt>
                <c:pt idx="22">
                  <c:v>44075</c:v>
                </c:pt>
                <c:pt idx="23">
                  <c:v>44166</c:v>
                </c:pt>
                <c:pt idx="24">
                  <c:v>44256</c:v>
                </c:pt>
                <c:pt idx="25">
                  <c:v>44348</c:v>
                </c:pt>
                <c:pt idx="26">
                  <c:v>44440</c:v>
                </c:pt>
                <c:pt idx="27">
                  <c:v>44531</c:v>
                </c:pt>
                <c:pt idx="28">
                  <c:v>44621</c:v>
                </c:pt>
                <c:pt idx="29">
                  <c:v>44713</c:v>
                </c:pt>
                <c:pt idx="30">
                  <c:v>44805</c:v>
                </c:pt>
                <c:pt idx="31">
                  <c:v>44896</c:v>
                </c:pt>
              </c:numCache>
            </c:numRef>
          </c:cat>
          <c:val>
            <c:numRef>
              <c:f>Chart!$C$2:$C$33</c:f>
              <c:numCache>
                <c:formatCode>General</c:formatCode>
                <c:ptCount val="32"/>
                <c:pt idx="20" formatCode="0.000">
                  <c:v>5.0827999999999998</c:v>
                </c:pt>
                <c:pt idx="21" formatCode="0.000">
                  <c:v>5.0845469999999997</c:v>
                </c:pt>
                <c:pt idx="22" formatCode="0.000">
                  <c:v>5.1095670000000002</c:v>
                </c:pt>
                <c:pt idx="23" formatCode="0.000">
                  <c:v>5.1356469999999996</c:v>
                </c:pt>
                <c:pt idx="24" formatCode="0.000">
                  <c:v>5.1643280000000003</c:v>
                </c:pt>
                <c:pt idx="25" formatCode="0.000">
                  <c:v>5.1782690000000002</c:v>
                </c:pt>
                <c:pt idx="26" formatCode="0.000">
                  <c:v>5.2032889999999998</c:v>
                </c:pt>
                <c:pt idx="27" formatCode="0.000">
                  <c:v>5.2293690000000002</c:v>
                </c:pt>
                <c:pt idx="28" formatCode="0.000">
                  <c:v>5.2580499999999999</c:v>
                </c:pt>
                <c:pt idx="29" formatCode="0.000">
                  <c:v>5.2719909999999999</c:v>
                </c:pt>
                <c:pt idx="30" formatCode="0.000">
                  <c:v>5.2970110000000004</c:v>
                </c:pt>
                <c:pt idx="31" formatCode="0.000">
                  <c:v>5.3230909999999998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12-43A7-8E46-BF302F398D4C}"/>
            </c:ext>
          </c:extLst>
        </c:ser>
        <c:ser>
          <c:idx val="2"/>
          <c:order val="2"/>
          <c:tx>
            <c:strRef>
              <c:f>Chart!$D$1</c:f>
              <c:strCache>
                <c:ptCount val="1"/>
                <c:pt idx="0">
                  <c:v>Actual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Chart!$A$2:$A$33</c:f>
              <c:numCache>
                <c:formatCode>mmm\-yy</c:formatCode>
                <c:ptCount val="32"/>
                <c:pt idx="0">
                  <c:v>42064</c:v>
                </c:pt>
                <c:pt idx="1">
                  <c:v>42156</c:v>
                </c:pt>
                <c:pt idx="2">
                  <c:v>42248</c:v>
                </c:pt>
                <c:pt idx="3">
                  <c:v>42339</c:v>
                </c:pt>
                <c:pt idx="4">
                  <c:v>42430</c:v>
                </c:pt>
                <c:pt idx="5">
                  <c:v>42522</c:v>
                </c:pt>
                <c:pt idx="6">
                  <c:v>42614</c:v>
                </c:pt>
                <c:pt idx="7">
                  <c:v>42705</c:v>
                </c:pt>
                <c:pt idx="8">
                  <c:v>42795</c:v>
                </c:pt>
                <c:pt idx="9">
                  <c:v>42887</c:v>
                </c:pt>
                <c:pt idx="10">
                  <c:v>42979</c:v>
                </c:pt>
                <c:pt idx="11">
                  <c:v>43070</c:v>
                </c:pt>
                <c:pt idx="12">
                  <c:v>43160</c:v>
                </c:pt>
                <c:pt idx="13">
                  <c:v>43252</c:v>
                </c:pt>
                <c:pt idx="14">
                  <c:v>43344</c:v>
                </c:pt>
                <c:pt idx="15">
                  <c:v>43435</c:v>
                </c:pt>
                <c:pt idx="16">
                  <c:v>43525</c:v>
                </c:pt>
                <c:pt idx="17">
                  <c:v>43617</c:v>
                </c:pt>
                <c:pt idx="18">
                  <c:v>43709</c:v>
                </c:pt>
                <c:pt idx="19">
                  <c:v>43800</c:v>
                </c:pt>
                <c:pt idx="20">
                  <c:v>43891</c:v>
                </c:pt>
                <c:pt idx="21">
                  <c:v>43983</c:v>
                </c:pt>
                <c:pt idx="22">
                  <c:v>44075</c:v>
                </c:pt>
                <c:pt idx="23">
                  <c:v>44166</c:v>
                </c:pt>
                <c:pt idx="24">
                  <c:v>44256</c:v>
                </c:pt>
                <c:pt idx="25">
                  <c:v>44348</c:v>
                </c:pt>
                <c:pt idx="26">
                  <c:v>44440</c:v>
                </c:pt>
                <c:pt idx="27">
                  <c:v>44531</c:v>
                </c:pt>
                <c:pt idx="28">
                  <c:v>44621</c:v>
                </c:pt>
                <c:pt idx="29">
                  <c:v>44713</c:v>
                </c:pt>
                <c:pt idx="30">
                  <c:v>44805</c:v>
                </c:pt>
                <c:pt idx="31">
                  <c:v>44896</c:v>
                </c:pt>
              </c:numCache>
            </c:numRef>
          </c:cat>
          <c:val>
            <c:numRef>
              <c:f>Chart!$D$2:$D$33</c:f>
              <c:numCache>
                <c:formatCode>General</c:formatCode>
                <c:ptCount val="32"/>
                <c:pt idx="20" formatCode="0.000">
                  <c:v>5.0827999999999998</c:v>
                </c:pt>
                <c:pt idx="21" formatCode="0.000">
                  <c:v>5.0902000000000003</c:v>
                </c:pt>
                <c:pt idx="22" formatCode="0.000">
                  <c:v>5.0987</c:v>
                </c:pt>
                <c:pt idx="23" formatCode="0.000">
                  <c:v>5.1036999999999999</c:v>
                </c:pt>
                <c:pt idx="24" formatCode="0.000">
                  <c:v>5.1078999999999999</c:v>
                </c:pt>
                <c:pt idx="25" formatCode="0.000">
                  <c:v>5.1113</c:v>
                </c:pt>
                <c:pt idx="26" formatCode="0.000">
                  <c:v>5.1150000000000002</c:v>
                </c:pt>
                <c:pt idx="27" formatCode="0.000">
                  <c:v>5.1163999999999996</c:v>
                </c:pt>
                <c:pt idx="28" formatCode="0.000">
                  <c:v>5.1162999999999998</c:v>
                </c:pt>
                <c:pt idx="29" formatCode="0.000">
                  <c:v>5.1191000000000004</c:v>
                </c:pt>
                <c:pt idx="30" formatCode="0.000">
                  <c:v>5.13</c:v>
                </c:pt>
                <c:pt idx="31" formatCode="0.000">
                  <c:v>5.1516000000000002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612-43A7-8E46-BF302F398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89659856"/>
        <c:axId val="1989653200"/>
      </c:lineChart>
      <c:dateAx>
        <c:axId val="198965985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9653200"/>
        <c:crosses val="autoZero"/>
        <c:auto val="1"/>
        <c:lblOffset val="100"/>
        <c:baseTimeUnit val="months"/>
        <c:majorUnit val="12"/>
        <c:majorTimeUnit val="months"/>
      </c:dateAx>
      <c:valAx>
        <c:axId val="1989653200"/>
        <c:scaling>
          <c:orientation val="minMax"/>
          <c:max val="5.4"/>
          <c:min val="4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 sz="1100" b="1"/>
                  <a:t>Millions</a:t>
                </a:r>
              </a:p>
            </c:rich>
          </c:tx>
          <c:layout>
            <c:manualLayout>
              <c:xMode val="edge"/>
              <c:yMode val="edge"/>
              <c:x val="1.8096542280041081E-2"/>
              <c:y val="0.365133289790389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965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E24-F46D-468C-AA23-BDD1A740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Gibson</dc:creator>
  <cp:keywords/>
  <dc:description/>
  <cp:lastModifiedBy>John Gibson</cp:lastModifiedBy>
  <cp:revision>2</cp:revision>
  <cp:lastPrinted>2023-04-15T14:18:00Z</cp:lastPrinted>
  <dcterms:created xsi:type="dcterms:W3CDTF">2023-04-15T22:46:00Z</dcterms:created>
  <dcterms:modified xsi:type="dcterms:W3CDTF">2023-04-15T22:46:00Z</dcterms:modified>
</cp:coreProperties>
</file>