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6603F1D7" w14:textId="08C62D06" w:rsidR="00EE3C91" w:rsidRDefault="00C87720" w:rsidP="00C8772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sidRPr="00C87720">
        <w:rPr>
          <w:rFonts w:asciiTheme="majorBidi" w:hAnsiTheme="majorBidi" w:cstheme="majorBidi"/>
          <w:b/>
          <w:sz w:val="28"/>
          <w:szCs w:val="28"/>
        </w:rPr>
        <w:t>The measurement of structural ageing – An axiomatic approach</w:t>
      </w:r>
    </w:p>
    <w:p w14:paraId="5B601C66" w14:textId="77777777" w:rsidR="004F0E6F" w:rsidRPr="00B24172" w:rsidRDefault="004F0E6F"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7F0A9414" w:rsidR="00F766D0" w:rsidRPr="00B24172" w:rsidRDefault="00F766D0" w:rsidP="004F0E6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Michael P. Cameron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6FE71786" w14:textId="77777777" w:rsidR="00F766D0" w:rsidRPr="00B24172" w:rsidRDefault="00F766D0" w:rsidP="00CC7ECC">
      <w:pPr>
        <w:pStyle w:val="PlainText"/>
        <w:tabs>
          <w:tab w:val="left" w:pos="284"/>
          <w:tab w:val="left" w:pos="426"/>
        </w:tabs>
        <w:spacing w:line="288" w:lineRule="auto"/>
        <w:rPr>
          <w:rFonts w:asciiTheme="majorBidi" w:hAnsiTheme="majorBidi" w:cstheme="majorBidi"/>
          <w:b/>
          <w:bCs/>
          <w:sz w:val="28"/>
        </w:rPr>
      </w:pPr>
    </w:p>
    <w:p w14:paraId="0F7E5C55" w14:textId="527991A5" w:rsidR="00F766D0" w:rsidRPr="00B24172" w:rsidRDefault="00F766D0" w:rsidP="00FB5EA5">
      <w:pPr>
        <w:pStyle w:val="PlainText"/>
        <w:tabs>
          <w:tab w:val="left" w:pos="284"/>
          <w:tab w:val="left" w:pos="426"/>
        </w:tabs>
        <w:spacing w:line="288" w:lineRule="auto"/>
        <w:jc w:val="center"/>
        <w:rPr>
          <w:rFonts w:asciiTheme="majorBidi" w:hAnsiTheme="majorBidi" w:cstheme="majorBidi"/>
          <w:b/>
          <w:bCs/>
          <w:sz w:val="28"/>
        </w:rPr>
      </w:pPr>
      <w:r w:rsidRPr="00AA545A">
        <w:rPr>
          <w:rFonts w:asciiTheme="majorBidi" w:hAnsiTheme="majorBidi" w:cstheme="majorBidi"/>
          <w:b/>
          <w:bCs/>
          <w:sz w:val="28"/>
        </w:rPr>
        <w:t xml:space="preserve">Working Paper in Economics </w:t>
      </w:r>
      <w:r w:rsidR="00AA545A" w:rsidRPr="00AA545A">
        <w:rPr>
          <w:rFonts w:asciiTheme="majorBidi" w:hAnsiTheme="majorBidi" w:cstheme="majorBidi"/>
          <w:b/>
          <w:bCs/>
          <w:sz w:val="28"/>
        </w:rPr>
        <w:t>4</w:t>
      </w:r>
      <w:r w:rsidR="00EE3C91" w:rsidRPr="00AA545A">
        <w:rPr>
          <w:rFonts w:asciiTheme="majorBidi" w:hAnsiTheme="majorBidi" w:cstheme="majorBidi"/>
          <w:b/>
          <w:bCs/>
          <w:sz w:val="28"/>
        </w:rPr>
        <w:t>/2</w:t>
      </w:r>
      <w:r w:rsidR="00FB5EA5" w:rsidRPr="00AA545A">
        <w:rPr>
          <w:rFonts w:asciiTheme="majorBidi" w:hAnsiTheme="majorBidi" w:cstheme="majorBidi"/>
          <w:b/>
          <w:bCs/>
          <w:sz w:val="28"/>
        </w:rPr>
        <w:t>2</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072B316D" w:rsidR="00F766D0" w:rsidRPr="00B24172" w:rsidRDefault="00C87720"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February</w:t>
      </w:r>
      <w:r w:rsidR="009C1A3D">
        <w:rPr>
          <w:rFonts w:asciiTheme="majorBidi" w:hAnsiTheme="majorBidi" w:cstheme="majorBidi"/>
          <w:sz w:val="28"/>
        </w:rPr>
        <w:t xml:space="preserve"> 202</w:t>
      </w:r>
      <w:r w:rsidR="00CC7ECC">
        <w:rPr>
          <w:rFonts w:asciiTheme="majorBidi" w:hAnsiTheme="majorBidi" w:cstheme="majorBidi"/>
          <w:sz w:val="28"/>
        </w:rPr>
        <w:t>2</w:t>
      </w:r>
    </w:p>
    <w:p w14:paraId="0A3D9C6C" w14:textId="77777777" w:rsidR="00F766D0" w:rsidRPr="00CC7ECC" w:rsidRDefault="00F766D0" w:rsidP="00BF2AB8">
      <w:pPr>
        <w:pStyle w:val="PlainText"/>
        <w:tabs>
          <w:tab w:val="left" w:pos="284"/>
          <w:tab w:val="left" w:pos="426"/>
        </w:tabs>
        <w:spacing w:line="288" w:lineRule="auto"/>
        <w:jc w:val="center"/>
        <w:rPr>
          <w:rFonts w:ascii="Times New Roman" w:hAnsi="Times New Roman" w:cs="Times New Roman"/>
          <w:sz w:val="28"/>
        </w:rPr>
      </w:pPr>
    </w:p>
    <w:p w14:paraId="1F7877E2"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EE3C91">
      <w:pPr>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EE3C91">
      <w:pPr>
        <w:jc w:val="center"/>
        <w:rPr>
          <w:rFonts w:eastAsia="SimSun"/>
          <w:i/>
          <w:lang w:val="en-GB"/>
        </w:rPr>
      </w:pPr>
      <w:r w:rsidRPr="00544F61">
        <w:rPr>
          <w:rFonts w:eastAsia="SimSun"/>
          <w:bCs/>
          <w:i/>
          <w:lang w:val="en-GB"/>
        </w:rPr>
        <w:t>and</w:t>
      </w:r>
    </w:p>
    <w:p w14:paraId="160D709F" w14:textId="6ECC5E03" w:rsidR="00EE3C91" w:rsidRPr="00544F61" w:rsidRDefault="00FB5EA5" w:rsidP="00FB5EA5">
      <w:pPr>
        <w:tabs>
          <w:tab w:val="left" w:pos="284"/>
        </w:tabs>
        <w:jc w:val="center"/>
        <w:rPr>
          <w:rFonts w:eastAsia="SimSun"/>
          <w:lang w:val="en-GB"/>
        </w:rPr>
      </w:pPr>
      <w:proofErr w:type="spellStart"/>
      <w:r>
        <w:rPr>
          <w:rFonts w:eastAsia="SimSun"/>
          <w:lang w:val="en-GB"/>
        </w:rPr>
        <w:t>Te</w:t>
      </w:r>
      <w:proofErr w:type="spellEnd"/>
      <w:r>
        <w:rPr>
          <w:rFonts w:eastAsia="SimSun"/>
          <w:lang w:val="en-GB"/>
        </w:rPr>
        <w:t xml:space="preserve"> </w:t>
      </w:r>
      <w:proofErr w:type="spellStart"/>
      <w:r>
        <w:rPr>
          <w:rFonts w:eastAsia="SimSun"/>
          <w:lang w:val="en-GB"/>
        </w:rPr>
        <w:t>Ngira</w:t>
      </w:r>
      <w:proofErr w:type="spellEnd"/>
      <w:r>
        <w:rPr>
          <w:rFonts w:eastAsia="SimSun"/>
          <w:lang w:val="en-GB"/>
        </w:rPr>
        <w:t xml:space="preserve"> – Institute for Population Research</w:t>
      </w:r>
    </w:p>
    <w:p w14:paraId="1CA63657"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50F48DAD"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F62D43">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66A43D5C" w14:textId="1A673740" w:rsidR="00B16018" w:rsidRDefault="00B16018" w:rsidP="00BF2AB8">
      <w:pPr>
        <w:spacing w:line="288" w:lineRule="auto"/>
        <w:jc w:val="center"/>
        <w:rPr>
          <w:b/>
          <w:bCs/>
        </w:rPr>
      </w:pPr>
    </w:p>
    <w:p w14:paraId="04BF4727" w14:textId="1F638B36" w:rsidR="004F0E6F" w:rsidRDefault="004F0E6F" w:rsidP="00BF2AB8">
      <w:pPr>
        <w:spacing w:line="288" w:lineRule="auto"/>
        <w:jc w:val="center"/>
        <w:rPr>
          <w:b/>
          <w:bCs/>
        </w:rPr>
      </w:pPr>
    </w:p>
    <w:p w14:paraId="48E05901" w14:textId="7DA62138" w:rsidR="004F0E6F" w:rsidRDefault="004F0E6F" w:rsidP="00BF2AB8">
      <w:pPr>
        <w:spacing w:line="288" w:lineRule="auto"/>
        <w:jc w:val="center"/>
        <w:rPr>
          <w:b/>
          <w:bCs/>
        </w:rPr>
      </w:pPr>
    </w:p>
    <w:p w14:paraId="69556D3C" w14:textId="1323B064" w:rsidR="004F0E6F" w:rsidRDefault="004F0E6F" w:rsidP="00BF2AB8">
      <w:pPr>
        <w:spacing w:line="288" w:lineRule="auto"/>
        <w:jc w:val="center"/>
        <w:rPr>
          <w:b/>
          <w:bCs/>
        </w:rPr>
      </w:pPr>
    </w:p>
    <w:p w14:paraId="5B32B84E" w14:textId="07865C15" w:rsidR="004F0E6F" w:rsidRDefault="004F0E6F" w:rsidP="00BF2AB8">
      <w:pPr>
        <w:spacing w:line="288" w:lineRule="auto"/>
        <w:jc w:val="center"/>
        <w:rPr>
          <w:b/>
          <w:bCs/>
        </w:rPr>
      </w:pPr>
    </w:p>
    <w:p w14:paraId="48873452" w14:textId="7F49CAFA" w:rsidR="004F0E6F" w:rsidRDefault="004F0E6F" w:rsidP="00BF2AB8">
      <w:pPr>
        <w:spacing w:line="288" w:lineRule="auto"/>
        <w:jc w:val="center"/>
        <w:rPr>
          <w:b/>
          <w:bCs/>
        </w:rPr>
      </w:pPr>
    </w:p>
    <w:p w14:paraId="4CFCC8C3" w14:textId="07F51684" w:rsidR="004F0E6F" w:rsidRDefault="004F0E6F" w:rsidP="00BF2AB8">
      <w:pPr>
        <w:spacing w:line="288" w:lineRule="auto"/>
        <w:jc w:val="center"/>
        <w:rPr>
          <w:b/>
          <w:bCs/>
        </w:rPr>
      </w:pPr>
    </w:p>
    <w:p w14:paraId="5E14AD22" w14:textId="77777777" w:rsidR="004F0E6F" w:rsidRPr="00B24172" w:rsidRDefault="004F0E6F" w:rsidP="00CC7ECC">
      <w:pPr>
        <w:spacing w:line="288" w:lineRule="auto"/>
        <w:rPr>
          <w:b/>
          <w:bCs/>
        </w:rPr>
      </w:pPr>
    </w:p>
    <w:p w14:paraId="11CF2A26" w14:textId="77777777" w:rsidR="00B16018" w:rsidRPr="00B24172" w:rsidRDefault="00B16018" w:rsidP="00BF2AB8">
      <w:pPr>
        <w:spacing w:line="288" w:lineRule="auto"/>
        <w:jc w:val="center"/>
        <w:rPr>
          <w:b/>
          <w:bCs/>
        </w:rPr>
      </w:pPr>
    </w:p>
    <w:p w14:paraId="2B21B470" w14:textId="77777777" w:rsidR="00C87720" w:rsidRDefault="00C87720" w:rsidP="007E596C">
      <w:pPr>
        <w:spacing w:line="288" w:lineRule="auto"/>
        <w:jc w:val="center"/>
        <w:rPr>
          <w:b/>
          <w:bCs/>
        </w:rPr>
      </w:pPr>
    </w:p>
    <w:p w14:paraId="2C87C9CA" w14:textId="77777777" w:rsidR="00C87720" w:rsidRDefault="00C87720" w:rsidP="007E596C">
      <w:pPr>
        <w:spacing w:line="288" w:lineRule="auto"/>
        <w:jc w:val="center"/>
        <w:rPr>
          <w:b/>
          <w:bCs/>
        </w:rPr>
      </w:pPr>
    </w:p>
    <w:p w14:paraId="021819D4" w14:textId="77777777" w:rsidR="00C87720" w:rsidRDefault="00C87720" w:rsidP="007E596C">
      <w:pPr>
        <w:spacing w:line="288" w:lineRule="auto"/>
        <w:jc w:val="center"/>
        <w:rPr>
          <w:b/>
          <w:bCs/>
        </w:rPr>
      </w:pPr>
    </w:p>
    <w:p w14:paraId="50C4D78F" w14:textId="77777777" w:rsidR="00C87720" w:rsidRDefault="00C87720" w:rsidP="007E596C">
      <w:pPr>
        <w:spacing w:line="288" w:lineRule="auto"/>
        <w:jc w:val="center"/>
        <w:rPr>
          <w:b/>
          <w:bCs/>
        </w:rPr>
      </w:pPr>
    </w:p>
    <w:p w14:paraId="54DE5A6A" w14:textId="77777777" w:rsidR="00C87720" w:rsidRDefault="00C87720" w:rsidP="007E596C">
      <w:pPr>
        <w:spacing w:line="288" w:lineRule="auto"/>
        <w:jc w:val="center"/>
        <w:rPr>
          <w:b/>
          <w:bCs/>
        </w:rPr>
      </w:pPr>
    </w:p>
    <w:p w14:paraId="69DBD64B" w14:textId="24D32FD2" w:rsidR="007E596C" w:rsidRPr="00B24172" w:rsidRDefault="003452AB" w:rsidP="007E596C">
      <w:pPr>
        <w:spacing w:line="288" w:lineRule="auto"/>
        <w:jc w:val="center"/>
        <w:rPr>
          <w:b/>
          <w:bCs/>
        </w:rPr>
      </w:pPr>
      <w:r w:rsidRPr="00B24172">
        <w:rPr>
          <w:b/>
          <w:bCs/>
        </w:rPr>
        <w:t>Abstract</w:t>
      </w:r>
    </w:p>
    <w:p w14:paraId="44421ED6" w14:textId="50CB4CC6" w:rsidR="007E596C" w:rsidRPr="002524AE" w:rsidRDefault="00C87720" w:rsidP="003342DE">
      <w:pPr>
        <w:spacing w:line="360" w:lineRule="auto"/>
        <w:jc w:val="both"/>
        <w:rPr>
          <w:lang w:val="mi-NZ"/>
        </w:rPr>
      </w:pPr>
      <w:r w:rsidRPr="00C87720">
        <w:rPr>
          <w:lang w:val="mi-NZ"/>
        </w:rPr>
        <w:t>The structural ageing of the population is one of the key global trends of the 21st Century. In this paper, we outline four axioms that, along with easy interpretability, we believe should underpin a theoretically valid measure of structural ageing: (1) population size invariance; (2) strong dominance; (3) weak dominance; and (4) age sensitivity. We then present a class of structural ageing indices that satisfy the axioms and are easily interpretable, with root-mean-squared-age (RMSA) as our preferred measure within the class. Using historical and cross-national data from the World Population Prospects, state-level data from the US Census Bureau, and local-authority-level data from New Zealand, we demonstrate that our preferred measure is correlated with conventional measures of structural ageing. Nevertheless, in each case there are large disparities in ranking for some countries, states, or local authorities between the different measures. These ranking disparities could be highly consequential for the allocation of resources, particularly between states or local areas within countries. Our proposed class of measures may help to avoid these disparities due to their axiomatically-consistent nature. Finally, we present considerations for future extensions of this important work, including the development of equivalent measures based on prospective age</w:t>
      </w:r>
      <w:r w:rsidR="007E596C">
        <w:rPr>
          <w:lang w:val="mi-NZ"/>
        </w:rPr>
        <w:t>.</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40342FBD" w14:textId="1160A405" w:rsidR="00F766D0" w:rsidRPr="00B24172" w:rsidRDefault="00F766D0" w:rsidP="00BF2AB8">
      <w:pPr>
        <w:spacing w:line="288" w:lineRule="auto"/>
        <w:jc w:val="center"/>
      </w:pPr>
      <w:r w:rsidRPr="00B24172">
        <w:rPr>
          <w:b/>
          <w:bCs/>
        </w:rPr>
        <w:t>Keywords</w:t>
      </w:r>
    </w:p>
    <w:p w14:paraId="586881F3" w14:textId="77777777" w:rsidR="00C87720" w:rsidRDefault="00C87720" w:rsidP="00BF2AB8">
      <w:pPr>
        <w:spacing w:line="288" w:lineRule="auto"/>
        <w:jc w:val="center"/>
      </w:pPr>
      <w:r>
        <w:t>Population ageing</w:t>
      </w:r>
    </w:p>
    <w:p w14:paraId="69F7284C" w14:textId="77777777" w:rsidR="00C87720" w:rsidRDefault="00C87720" w:rsidP="00BF2AB8">
      <w:pPr>
        <w:spacing w:line="288" w:lineRule="auto"/>
        <w:jc w:val="center"/>
      </w:pPr>
      <w:r>
        <w:t>Structural ageing</w:t>
      </w:r>
    </w:p>
    <w:p w14:paraId="5337ACC4" w14:textId="6BA31205" w:rsidR="00E15A67" w:rsidRPr="00B24172" w:rsidRDefault="00C87720" w:rsidP="00BF2AB8">
      <w:pPr>
        <w:spacing w:line="288" w:lineRule="auto"/>
        <w:jc w:val="center"/>
      </w:pPr>
      <w:r w:rsidRPr="00C87720">
        <w:t>Measurement</w:t>
      </w:r>
    </w:p>
    <w:p w14:paraId="2484A117" w14:textId="77777777" w:rsidR="00ED7A65" w:rsidRPr="00B24172" w:rsidRDefault="00ED7A65" w:rsidP="00BF2AB8">
      <w:pPr>
        <w:spacing w:line="288" w:lineRule="auto"/>
        <w:jc w:val="center"/>
      </w:pPr>
    </w:p>
    <w:p w14:paraId="7768562B" w14:textId="77777777" w:rsidR="00F766D0" w:rsidRPr="00EE3C91" w:rsidRDefault="00E15A67" w:rsidP="00BF2AB8">
      <w:pPr>
        <w:spacing w:line="288" w:lineRule="auto"/>
        <w:jc w:val="center"/>
        <w:rPr>
          <w:lang w:val="en-NZ"/>
        </w:rPr>
      </w:pPr>
      <w:r w:rsidRPr="00EE3C91">
        <w:rPr>
          <w:b/>
          <w:bCs/>
          <w:lang w:val="en-NZ"/>
        </w:rPr>
        <w:t>JEL Classification</w:t>
      </w:r>
    </w:p>
    <w:p w14:paraId="121B89F1" w14:textId="5B08468D" w:rsidR="00E15A67" w:rsidRPr="00EE3C91" w:rsidRDefault="00C87720" w:rsidP="00BF2AB8">
      <w:pPr>
        <w:spacing w:line="288" w:lineRule="auto"/>
        <w:jc w:val="center"/>
        <w:rPr>
          <w:lang w:val="en-NZ"/>
        </w:rPr>
      </w:pPr>
      <w:r>
        <w:rPr>
          <w:lang w:val="en-NZ"/>
        </w:rPr>
        <w:t>C46; J10; J11</w:t>
      </w:r>
    </w:p>
    <w:p w14:paraId="174F7F26" w14:textId="3170F832" w:rsidR="00F766D0" w:rsidRDefault="00F766D0" w:rsidP="00BF2AB8">
      <w:pPr>
        <w:spacing w:line="288" w:lineRule="auto"/>
        <w:jc w:val="center"/>
        <w:rPr>
          <w:lang w:val="en-NZ"/>
        </w:rPr>
      </w:pPr>
    </w:p>
    <w:p w14:paraId="55EE6D61" w14:textId="77777777" w:rsidR="00EE3C91" w:rsidRPr="00EE3C91" w:rsidRDefault="00EE3C91" w:rsidP="00BF2AB8">
      <w:pPr>
        <w:spacing w:line="288" w:lineRule="auto"/>
        <w:jc w:val="center"/>
        <w:rPr>
          <w:lang w:val="en-NZ"/>
        </w:rPr>
      </w:pPr>
    </w:p>
    <w:p w14:paraId="0D140E28" w14:textId="119A1718" w:rsidR="00EE3C91" w:rsidRPr="00B24172" w:rsidRDefault="00EE3C91" w:rsidP="00EE3C91">
      <w:pPr>
        <w:spacing w:line="288" w:lineRule="auto"/>
        <w:jc w:val="center"/>
        <w:rPr>
          <w:b/>
          <w:bCs/>
        </w:rPr>
      </w:pPr>
      <w:r>
        <w:rPr>
          <w:b/>
          <w:bCs/>
        </w:rPr>
        <w:t>Acknowledgements</w:t>
      </w:r>
    </w:p>
    <w:p w14:paraId="7B358AC8" w14:textId="46367F83" w:rsidR="00F766D0" w:rsidRPr="00EE3C91" w:rsidRDefault="00F766D0" w:rsidP="00BF2AB8">
      <w:pPr>
        <w:spacing w:line="288" w:lineRule="auto"/>
        <w:jc w:val="center"/>
        <w:rPr>
          <w:lang w:val="en-NZ"/>
        </w:rPr>
      </w:pPr>
    </w:p>
    <w:p w14:paraId="33C6A147" w14:textId="461C349C" w:rsidR="00F766D0" w:rsidRPr="00EE3C91" w:rsidRDefault="00C87720" w:rsidP="00C87720">
      <w:pPr>
        <w:spacing w:line="288" w:lineRule="auto"/>
        <w:jc w:val="both"/>
        <w:rPr>
          <w:lang w:val="en-NZ"/>
        </w:rPr>
      </w:pPr>
      <w:r w:rsidRPr="00C87720">
        <w:rPr>
          <w:rFonts w:asciiTheme="majorBidi" w:hAnsiTheme="majorBidi" w:cstheme="majorBidi"/>
        </w:rPr>
        <w:t xml:space="preserve">This study was partially supported by New Zealand Royal Society Marsden Fund </w:t>
      </w:r>
      <w:proofErr w:type="spellStart"/>
      <w:r w:rsidRPr="00C87720">
        <w:rPr>
          <w:rFonts w:asciiTheme="majorBidi" w:hAnsiTheme="majorBidi" w:cstheme="majorBidi"/>
        </w:rPr>
        <w:t>programme</w:t>
      </w:r>
      <w:proofErr w:type="spellEnd"/>
      <w:r w:rsidRPr="00C87720">
        <w:rPr>
          <w:rFonts w:asciiTheme="majorBidi" w:hAnsiTheme="majorBidi" w:cstheme="majorBidi"/>
        </w:rPr>
        <w:t xml:space="preserve"> </w:t>
      </w:r>
      <w:r w:rsidRPr="00C87720">
        <w:rPr>
          <w:rFonts w:asciiTheme="majorBidi" w:hAnsiTheme="majorBidi" w:cstheme="majorBidi"/>
          <w:i/>
          <w:iCs/>
        </w:rPr>
        <w:t xml:space="preserve">Tai </w:t>
      </w:r>
      <w:proofErr w:type="spellStart"/>
      <w:r w:rsidRPr="00C87720">
        <w:rPr>
          <w:rFonts w:asciiTheme="majorBidi" w:hAnsiTheme="majorBidi" w:cstheme="majorBidi"/>
          <w:i/>
          <w:iCs/>
        </w:rPr>
        <w:t>Timu</w:t>
      </w:r>
      <w:proofErr w:type="spellEnd"/>
      <w:r w:rsidRPr="00C87720">
        <w:rPr>
          <w:rFonts w:asciiTheme="majorBidi" w:hAnsiTheme="majorBidi" w:cstheme="majorBidi"/>
          <w:i/>
          <w:iCs/>
        </w:rPr>
        <w:t xml:space="preserve"> </w:t>
      </w:r>
      <w:proofErr w:type="spellStart"/>
      <w:r w:rsidRPr="00C87720">
        <w:rPr>
          <w:rFonts w:asciiTheme="majorBidi" w:hAnsiTheme="majorBidi" w:cstheme="majorBidi"/>
          <w:i/>
          <w:iCs/>
        </w:rPr>
        <w:t>Tangata</w:t>
      </w:r>
      <w:proofErr w:type="spellEnd"/>
      <w:r w:rsidRPr="00C87720">
        <w:rPr>
          <w:rFonts w:asciiTheme="majorBidi" w:hAnsiTheme="majorBidi" w:cstheme="majorBidi"/>
          <w:i/>
          <w:iCs/>
        </w:rPr>
        <w:t xml:space="preserve">: </w:t>
      </w:r>
      <w:proofErr w:type="spellStart"/>
      <w:r w:rsidRPr="00C87720">
        <w:rPr>
          <w:rFonts w:asciiTheme="majorBidi" w:hAnsiTheme="majorBidi" w:cstheme="majorBidi"/>
          <w:i/>
          <w:iCs/>
        </w:rPr>
        <w:t>Taihoa</w:t>
      </w:r>
      <w:proofErr w:type="spellEnd"/>
      <w:r w:rsidRPr="00C87720">
        <w:rPr>
          <w:rFonts w:asciiTheme="majorBidi" w:hAnsiTheme="majorBidi" w:cstheme="majorBidi"/>
          <w:i/>
          <w:iCs/>
        </w:rPr>
        <w:t xml:space="preserve"> e? The subnational mechanisms of the ending of population growth. Towards a theory of depopulation</w:t>
      </w:r>
      <w:r w:rsidRPr="00C87720">
        <w:rPr>
          <w:rFonts w:asciiTheme="majorBidi" w:hAnsiTheme="majorBidi" w:cstheme="majorBidi"/>
        </w:rPr>
        <w:t xml:space="preserve"> (Contract MAU-1308). </w:t>
      </w:r>
      <w:r>
        <w:rPr>
          <w:rFonts w:asciiTheme="majorBidi" w:hAnsiTheme="majorBidi" w:cstheme="majorBidi"/>
        </w:rPr>
        <w:t>I am</w:t>
      </w:r>
      <w:r w:rsidRPr="00C87720">
        <w:rPr>
          <w:rFonts w:asciiTheme="majorBidi" w:hAnsiTheme="majorBidi" w:cstheme="majorBidi"/>
        </w:rPr>
        <w:t xml:space="preserve"> grateful for comments and suggestions from participants at the XXVIII IUSSP International Population Conference, Cape Town, 29 October-4 November 2017. </w:t>
      </w:r>
      <w:r>
        <w:rPr>
          <w:rFonts w:asciiTheme="majorBidi" w:hAnsiTheme="majorBidi" w:cstheme="majorBidi"/>
        </w:rPr>
        <w:t>I</w:t>
      </w:r>
      <w:r w:rsidRPr="00C87720">
        <w:rPr>
          <w:rFonts w:asciiTheme="majorBidi" w:hAnsiTheme="majorBidi" w:cstheme="majorBidi"/>
        </w:rPr>
        <w:t xml:space="preserve"> also thank Gemma Piercy-Cameron, Dave </w:t>
      </w:r>
      <w:proofErr w:type="spellStart"/>
      <w:r w:rsidRPr="00C87720">
        <w:rPr>
          <w:rFonts w:asciiTheme="majorBidi" w:hAnsiTheme="majorBidi" w:cstheme="majorBidi"/>
        </w:rPr>
        <w:t>Maré</w:t>
      </w:r>
      <w:proofErr w:type="spellEnd"/>
      <w:r w:rsidRPr="00C87720">
        <w:rPr>
          <w:rFonts w:asciiTheme="majorBidi" w:hAnsiTheme="majorBidi" w:cstheme="majorBidi"/>
        </w:rPr>
        <w:t xml:space="preserve">, Natalie Jackson, Bill Cochrane, Jacques </w:t>
      </w:r>
      <w:proofErr w:type="spellStart"/>
      <w:r w:rsidRPr="00C87720">
        <w:rPr>
          <w:rFonts w:asciiTheme="majorBidi" w:hAnsiTheme="majorBidi" w:cstheme="majorBidi"/>
        </w:rPr>
        <w:t>Poot</w:t>
      </w:r>
      <w:proofErr w:type="spellEnd"/>
      <w:r w:rsidRPr="00C87720">
        <w:rPr>
          <w:rFonts w:asciiTheme="majorBidi" w:hAnsiTheme="majorBidi" w:cstheme="majorBidi"/>
        </w:rPr>
        <w:t xml:space="preserve">, and Jeroen </w:t>
      </w:r>
      <w:proofErr w:type="spellStart"/>
      <w:r w:rsidRPr="00C87720">
        <w:rPr>
          <w:rFonts w:asciiTheme="majorBidi" w:hAnsiTheme="majorBidi" w:cstheme="majorBidi"/>
        </w:rPr>
        <w:t>Spijker</w:t>
      </w:r>
      <w:proofErr w:type="spellEnd"/>
      <w:r w:rsidRPr="00C87720">
        <w:rPr>
          <w:rFonts w:asciiTheme="majorBidi" w:hAnsiTheme="majorBidi" w:cstheme="majorBidi"/>
        </w:rPr>
        <w:t xml:space="preserve"> for their insights and suggestions, and Liam Bullen for excellent research assistance</w:t>
      </w:r>
      <w:r w:rsidR="00891805">
        <w:rPr>
          <w:rFonts w:asciiTheme="majorBidi" w:hAnsiTheme="majorBidi" w:cstheme="majorBidi"/>
        </w:rPr>
        <w:t xml:space="preserve">. </w:t>
      </w:r>
    </w:p>
    <w:p w14:paraId="3AD1EFB3" w14:textId="583C2622" w:rsidR="00DF4C6C" w:rsidRPr="00EE3C91" w:rsidRDefault="00DF4C6C" w:rsidP="00BF2AB8">
      <w:pPr>
        <w:spacing w:line="288" w:lineRule="auto"/>
        <w:jc w:val="center"/>
        <w:rPr>
          <w:lang w:val="en-NZ"/>
        </w:rPr>
      </w:pPr>
    </w:p>
    <w:p w14:paraId="13A99173" w14:textId="54AA7022" w:rsidR="00DF4C6C" w:rsidRPr="00EE3C91" w:rsidRDefault="00DF4C6C" w:rsidP="00AB5A35">
      <w:pPr>
        <w:spacing w:line="288" w:lineRule="auto"/>
        <w:jc w:val="center"/>
        <w:rPr>
          <w:lang w:val="en-NZ"/>
        </w:rPr>
      </w:pPr>
    </w:p>
    <w:bookmarkEnd w:id="0"/>
    <w:p w14:paraId="52BC228A" w14:textId="77777777" w:rsidR="007E596C" w:rsidRPr="007D243F" w:rsidRDefault="007E596C" w:rsidP="009646BF">
      <w:pPr>
        <w:pStyle w:val="ListParagraph"/>
        <w:numPr>
          <w:ilvl w:val="0"/>
          <w:numId w:val="1"/>
        </w:numPr>
        <w:spacing w:after="160" w:line="480" w:lineRule="auto"/>
        <w:ind w:left="57" w:firstLine="0"/>
        <w:rPr>
          <w:b/>
          <w:bCs/>
          <w:lang w:val="mi-NZ"/>
        </w:rPr>
      </w:pPr>
      <w:r w:rsidRPr="007D243F">
        <w:rPr>
          <w:b/>
          <w:bCs/>
          <w:lang w:val="mi-NZ"/>
        </w:rPr>
        <w:t>Introduction</w:t>
      </w:r>
    </w:p>
    <w:p w14:paraId="1685F605" w14:textId="64B5AB1C" w:rsidR="007E596C" w:rsidRDefault="008A1514" w:rsidP="008F03D5">
      <w:pPr>
        <w:spacing w:line="24" w:lineRule="atLeast"/>
        <w:jc w:val="both"/>
        <w:rPr>
          <w:lang w:val="mi-NZ"/>
        </w:rPr>
      </w:pPr>
      <w:r w:rsidRPr="008A1514">
        <w:rPr>
          <w:lang w:val="mi-NZ"/>
        </w:rPr>
        <w:t>The phenomenon of population ageing has gained substantially in importance over recent decades. For the most part, this is because of a growing recognition that future populations will include an increasing share of older people, raising potentially important resource implications for national and local governments alike (Lutz et al., 2008b). The 2015 World Population Ageing report noted that “Population ageing—the increasing share of older persons in the population—is poised to become one of the most significant social transformations of the twenty-first century, with implications for nearly all sectors of society, including labour and financial markets, the demand for goods and services, such as housing, transportation and social protection, as well as family structures and intergenerational ties” (UN DESA, 2015, p.1). The corresponding 2019 World Population Ageing report notes that “Population ageing is one of the four “mega-trends” that characterize the global population of today—population growth, population ageing, urbanization and international migration. Each of these mega-trends will continue to have substantial and lasting impacts on sustainable development in the decades to come” (UN DESA, 2019, p.1). It is clear that better understanding of population ageing is critical for policy and other decision-makers</w:t>
      </w:r>
      <w:r>
        <w:rPr>
          <w:lang w:val="mi-NZ"/>
        </w:rPr>
        <w:t>.</w:t>
      </w:r>
      <w:r w:rsidR="007E596C" w:rsidRPr="00E6351E">
        <w:rPr>
          <w:lang w:val="mi-NZ"/>
        </w:rPr>
        <w:t xml:space="preserve"> </w:t>
      </w:r>
    </w:p>
    <w:p w14:paraId="734D91D4" w14:textId="77777777" w:rsidR="001F207C" w:rsidRPr="00E6351E" w:rsidRDefault="001F207C" w:rsidP="008F03D5">
      <w:pPr>
        <w:spacing w:line="24" w:lineRule="atLeast"/>
        <w:jc w:val="both"/>
        <w:rPr>
          <w:lang w:val="mi-NZ"/>
        </w:rPr>
      </w:pPr>
    </w:p>
    <w:p w14:paraId="2C3BCC93" w14:textId="0C5029E3" w:rsidR="007E596C" w:rsidRDefault="008A1514" w:rsidP="008F03D5">
      <w:pPr>
        <w:spacing w:line="24" w:lineRule="atLeast"/>
        <w:ind w:firstLine="360"/>
        <w:jc w:val="both"/>
        <w:rPr>
          <w:lang w:val="mi-NZ"/>
        </w:rPr>
      </w:pPr>
      <w:r w:rsidRPr="008A1514">
        <w:rPr>
          <w:lang w:val="mi-NZ"/>
        </w:rPr>
        <w:t>The importance and implications of population ageing for policy are widely recognised. Most developed countries, and many developing countries, have adopted some form of ‘healthy ageing’ policies in order to reduce the burden on public infrastructure, including health, housing, and social security (World Health Organization, 2003). In order to plan for future changes in population ageing though, policy makers and planners must have an understanding of the trajectories of future population change. In order to target resources appropriately, they must know how and where population ageing is likely to be felt most acutely. Optimal planning and resource allocation require careful measurement of population ageing at both the national and subnational levels</w:t>
      </w:r>
      <w:r w:rsidR="007E596C">
        <w:rPr>
          <w:lang w:val="mi-NZ"/>
        </w:rPr>
        <w:t>.</w:t>
      </w:r>
    </w:p>
    <w:p w14:paraId="16B66C45" w14:textId="77777777" w:rsidR="001F207C" w:rsidRDefault="001F207C" w:rsidP="008F03D5">
      <w:pPr>
        <w:spacing w:line="24" w:lineRule="atLeast"/>
        <w:ind w:firstLine="360"/>
        <w:jc w:val="both"/>
        <w:rPr>
          <w:lang w:val="mi-NZ"/>
        </w:rPr>
      </w:pPr>
    </w:p>
    <w:p w14:paraId="6F539D82" w14:textId="11E396BE" w:rsidR="008A1514" w:rsidRDefault="008A1514" w:rsidP="008F03D5">
      <w:pPr>
        <w:spacing w:line="24" w:lineRule="atLeast"/>
        <w:ind w:firstLine="360"/>
        <w:jc w:val="both"/>
        <w:rPr>
          <w:lang w:val="mi-NZ"/>
        </w:rPr>
      </w:pPr>
      <w:r w:rsidRPr="008A1514">
        <w:rPr>
          <w:lang w:val="mi-NZ"/>
        </w:rPr>
        <w:t>When considering the implications and measurement of population ageing, it is useful to draw a distinction between numerical ageing and structural ageing (Jackson, 2007). Numerical ageing refers to an absolute increase in the number of older people. The primary cause of numerical ageing is increasing longevity – longer lives mean that people survive longer in old age, increasing the numbers of older people over time. Over longer time scales, birth rates and cohort size at birth also contribute to numerical ageing. As larger cohorts age, the numbers of older people increase, as can most readily be seen by the ‘Baby Boomer’ cohorts born in Western developed countries after World War II. In contrast, structural ageing refers to changes in the age distribution of the population, whereby older people constitute a larger proportion of the total population. Structural ageing arises due to a combination of numerical ageing alongside declining fertility rates, which reduces the size of subsequent age cohorts in the younger age groups.</w:t>
      </w:r>
    </w:p>
    <w:p w14:paraId="631AB942" w14:textId="77777777" w:rsidR="008A1514" w:rsidRPr="008A1514" w:rsidRDefault="008A1514" w:rsidP="008F03D5">
      <w:pPr>
        <w:spacing w:line="24" w:lineRule="atLeast"/>
        <w:ind w:firstLine="360"/>
        <w:jc w:val="both"/>
        <w:rPr>
          <w:lang w:val="mi-NZ"/>
        </w:rPr>
      </w:pPr>
    </w:p>
    <w:p w14:paraId="75CE8207" w14:textId="3C717870" w:rsidR="008A1514" w:rsidRDefault="008A1514" w:rsidP="008F03D5">
      <w:pPr>
        <w:spacing w:line="24" w:lineRule="atLeast"/>
        <w:ind w:firstLine="360"/>
        <w:jc w:val="both"/>
        <w:rPr>
          <w:lang w:val="mi-NZ"/>
        </w:rPr>
      </w:pPr>
      <w:r w:rsidRPr="008A1514">
        <w:rPr>
          <w:lang w:val="mi-NZ"/>
        </w:rPr>
        <w:t xml:space="preserve">Although the phenomenon of population ageing is often described in terms of the population getting older in aggregate, there is nothing in theory that makes this process inevitable. The increasing population ageing that we observe in all countries today is a consequence of underlying sociodemographic changes that have occurred over decadal time scales, including increasing life expectancy at birth and decreasing fertility. If these processes were to reverse, the trend in population ageing could do so as well. Indeed, a limited example of this is readily apparent in terms of ‘age structural transitions’ (Pool et al. 2006), whereby </w:t>
      </w:r>
      <w:r w:rsidRPr="008A1514">
        <w:rPr>
          <w:lang w:val="mi-NZ"/>
        </w:rPr>
        <w:lastRenderedPageBreak/>
        <w:t>waves of birth cohorts of various sizes ripple through the age structure. For example, the Baby Boom of the 1950s created an ‘echo’ in terms of larger birth cohort sizes in the 1970s (Morgan, 1998). As Easterlin (1980) noted, differences in cohort sizes can be highly consequential.</w:t>
      </w:r>
    </w:p>
    <w:p w14:paraId="682636EE" w14:textId="77777777" w:rsidR="008A1514" w:rsidRPr="008A1514" w:rsidRDefault="008A1514" w:rsidP="008F03D5">
      <w:pPr>
        <w:spacing w:line="24" w:lineRule="atLeast"/>
        <w:ind w:firstLine="360"/>
        <w:jc w:val="both"/>
        <w:rPr>
          <w:lang w:val="mi-NZ"/>
        </w:rPr>
      </w:pPr>
    </w:p>
    <w:p w14:paraId="0E5F45D9" w14:textId="3CE6307B" w:rsidR="008A1514" w:rsidRDefault="008A1514" w:rsidP="008F03D5">
      <w:pPr>
        <w:spacing w:line="24" w:lineRule="atLeast"/>
        <w:ind w:firstLine="360"/>
        <w:jc w:val="both"/>
        <w:rPr>
          <w:lang w:val="mi-NZ"/>
        </w:rPr>
      </w:pPr>
      <w:r w:rsidRPr="008A1514">
        <w:rPr>
          <w:lang w:val="mi-NZ"/>
        </w:rPr>
        <w:t>Despite the critical nature of population ageing, we believe that insufficient attention has been paid to the measurement of structural ageing. In part, this situation arises because the extant measures of structural ageing are intuitively easy to understand and have been widely used for generations. However, these widely-used measures have substantial deficiencies that could in theory lead to incorrect inferences about relative rankings of locations in terms of structural ageing, or in changes in structural ageing over time.</w:t>
      </w:r>
    </w:p>
    <w:p w14:paraId="65DEB3BA" w14:textId="77777777" w:rsidR="008A1514" w:rsidRPr="008A1514" w:rsidRDefault="008A1514" w:rsidP="008F03D5">
      <w:pPr>
        <w:spacing w:line="24" w:lineRule="atLeast"/>
        <w:ind w:firstLine="360"/>
        <w:jc w:val="both"/>
        <w:rPr>
          <w:lang w:val="mi-NZ"/>
        </w:rPr>
      </w:pPr>
    </w:p>
    <w:p w14:paraId="780760AF" w14:textId="42732558" w:rsidR="008A1514" w:rsidRDefault="008A1514" w:rsidP="008F03D5">
      <w:pPr>
        <w:spacing w:line="24" w:lineRule="atLeast"/>
        <w:ind w:firstLine="360"/>
        <w:jc w:val="both"/>
        <w:rPr>
          <w:lang w:val="mi-NZ"/>
        </w:rPr>
      </w:pPr>
      <w:r w:rsidRPr="008A1514">
        <w:rPr>
          <w:lang w:val="mi-NZ"/>
        </w:rPr>
        <w:t>In this paper, we outline several straightforward axioms that we believe should underlie a theoretically valid measure of structural ageing. Using these axioms, we first show that the extant measures of structural ageing, including the mean age, median age, proportion of the population aged 65 years and over (or 85 years and over), the child-elder ratio, and the old-age dependency ratio, fail to satisfy one or more of the axioms we propose. The measure that comes closest to satisfying the axioms is the mean age, which may be a suitable measure depending on whether one believes that the measure of structural ageing should be differentially sensitive to different parts of the age distribution. We then propose a class of structural ageing indices that satisfy our proposed axioms, of which the mean age is a special case. We focus attention on one example within the broader class of indices, being the root-mean-squared-age (RMSA). In addition to satisfying each of the axioms, the class of indices we propose are readily interpretable, being of a scale similar to the median age or mean age (noting again that the mean age is a special case of our class of indices).</w:t>
      </w:r>
    </w:p>
    <w:p w14:paraId="566C7629" w14:textId="77777777" w:rsidR="008A1514" w:rsidRPr="008A1514" w:rsidRDefault="008A1514" w:rsidP="008F03D5">
      <w:pPr>
        <w:spacing w:line="24" w:lineRule="atLeast"/>
        <w:ind w:firstLine="360"/>
        <w:jc w:val="both"/>
        <w:rPr>
          <w:lang w:val="mi-NZ"/>
        </w:rPr>
      </w:pPr>
    </w:p>
    <w:p w14:paraId="4E150505" w14:textId="44F63F93" w:rsidR="008A1514" w:rsidRDefault="008A1514" w:rsidP="008F03D5">
      <w:pPr>
        <w:spacing w:line="24" w:lineRule="atLeast"/>
        <w:ind w:firstLine="360"/>
        <w:jc w:val="both"/>
        <w:rPr>
          <w:lang w:val="mi-NZ"/>
        </w:rPr>
      </w:pPr>
      <w:r w:rsidRPr="008A1514">
        <w:rPr>
          <w:lang w:val="mi-NZ"/>
        </w:rPr>
        <w:t>We then go on to demonstrate, using RMSA as our preferred measure from within the class of axiomatically-consistent measures, the high degree of correlation between the various measures of structural ageing, including the RMSA measure. Specifically, we calculate correlations and rank correlations using: (1) national-level population estimates and projections from the United Nations World Population Prospects, covering the period from 1950 to 2100; (2) U.S. state-level population estimates, covering the period from 1980 to 2018; and (3) district-level population estimates and projections for territorial authorities in New Zealand, covering the period from 1996 to 2048. In all cases, the correlations and rank correlations between the measures are high. While this might provide some comfort that using the extant measures would not bias decision-making, there remain examples where comparisons across countries, states, or districts may lead to incorrect inferences being drawn.</w:t>
      </w:r>
    </w:p>
    <w:p w14:paraId="35F1B1CF" w14:textId="77777777" w:rsidR="008A1514" w:rsidRPr="008A1514" w:rsidRDefault="008A1514" w:rsidP="008A1514">
      <w:pPr>
        <w:spacing w:line="24" w:lineRule="atLeast"/>
        <w:ind w:firstLine="360"/>
        <w:rPr>
          <w:lang w:val="mi-NZ"/>
        </w:rPr>
      </w:pPr>
    </w:p>
    <w:p w14:paraId="0D23E412" w14:textId="176E7CF1" w:rsidR="007E596C" w:rsidRDefault="008A1514" w:rsidP="008A1514">
      <w:pPr>
        <w:spacing w:line="24" w:lineRule="atLeast"/>
        <w:ind w:firstLine="360"/>
        <w:jc w:val="both"/>
        <w:rPr>
          <w:lang w:val="mi-NZ"/>
        </w:rPr>
      </w:pPr>
      <w:r w:rsidRPr="008A1514">
        <w:rPr>
          <w:lang w:val="mi-NZ"/>
        </w:rPr>
        <w:t>The remainder of this paper proceeds as follows. The next section presents and discusses our proposed axioms for the theoretically valid measurement of structural ageing, and proposes an axiomatically-consistent class of indices of structural ageing. We then briefly outline the data and methods we use for comparing measures of structural ageing, before presenting and discussing our results. The final section discusses the implications of the results, and considers future directions for research on the measurement of structural ageing</w:t>
      </w:r>
      <w:r w:rsidR="007E596C">
        <w:rPr>
          <w:lang w:val="mi-NZ"/>
        </w:rPr>
        <w:t>.</w:t>
      </w:r>
    </w:p>
    <w:p w14:paraId="092E57F5" w14:textId="77777777" w:rsidR="00AB5A35" w:rsidRDefault="00AB5A35" w:rsidP="001F207C">
      <w:pPr>
        <w:spacing w:line="24" w:lineRule="atLeast"/>
        <w:ind w:firstLine="360"/>
        <w:jc w:val="both"/>
        <w:rPr>
          <w:lang w:val="mi-NZ"/>
        </w:rPr>
      </w:pPr>
    </w:p>
    <w:p w14:paraId="34F130A6" w14:textId="106AC960" w:rsidR="008A1514" w:rsidRDefault="008A1514" w:rsidP="003342DE">
      <w:pPr>
        <w:spacing w:line="24" w:lineRule="atLeast"/>
        <w:jc w:val="both"/>
        <w:rPr>
          <w:lang w:val="mi-NZ"/>
        </w:rPr>
      </w:pPr>
      <w:r>
        <w:rPr>
          <w:lang w:val="mi-NZ"/>
        </w:rPr>
        <w:br w:type="page"/>
      </w:r>
    </w:p>
    <w:p w14:paraId="6BBC0F82" w14:textId="77777777" w:rsidR="007E596C" w:rsidRPr="0075088E" w:rsidRDefault="007E596C" w:rsidP="003342DE">
      <w:pPr>
        <w:spacing w:line="24" w:lineRule="atLeast"/>
        <w:jc w:val="both"/>
        <w:rPr>
          <w:lang w:val="mi-NZ"/>
        </w:rPr>
      </w:pPr>
    </w:p>
    <w:p w14:paraId="23E42D4B" w14:textId="727F420F" w:rsidR="007E596C" w:rsidRDefault="008A1514" w:rsidP="00BA1FF4">
      <w:pPr>
        <w:pStyle w:val="ListParagraph"/>
        <w:numPr>
          <w:ilvl w:val="0"/>
          <w:numId w:val="1"/>
        </w:numPr>
        <w:spacing w:after="160" w:line="24" w:lineRule="atLeast"/>
        <w:ind w:hanging="720"/>
        <w:rPr>
          <w:b/>
          <w:bCs/>
          <w:lang w:val="mi-NZ"/>
        </w:rPr>
      </w:pPr>
      <w:r w:rsidRPr="008A1514">
        <w:rPr>
          <w:b/>
          <w:bCs/>
          <w:lang w:val="mi-NZ"/>
        </w:rPr>
        <w:t>An axiomatic approach to structural ageing</w:t>
      </w:r>
    </w:p>
    <w:p w14:paraId="1F1771A4" w14:textId="77777777" w:rsidR="00AB5A35" w:rsidRPr="007D243F" w:rsidRDefault="00AB5A35" w:rsidP="00AB5A35">
      <w:pPr>
        <w:pStyle w:val="ListParagraph"/>
        <w:spacing w:after="160" w:line="24" w:lineRule="atLeast"/>
        <w:ind w:left="360"/>
        <w:rPr>
          <w:b/>
          <w:bCs/>
          <w:lang w:val="mi-NZ"/>
        </w:rPr>
      </w:pPr>
    </w:p>
    <w:p w14:paraId="03AA59B0" w14:textId="19EA3A72" w:rsidR="007E596C" w:rsidRDefault="008A1514" w:rsidP="00AB5A35">
      <w:pPr>
        <w:spacing w:line="24" w:lineRule="atLeast"/>
        <w:jc w:val="both"/>
        <w:rPr>
          <w:lang w:val="mi-NZ"/>
        </w:rPr>
      </w:pPr>
      <w:r w:rsidRPr="008A1514">
        <w:rPr>
          <w:lang w:val="mi-NZ"/>
        </w:rPr>
        <w:t>The purpose of a summary measure of structural ageing is to capture within a single number the key characteristics of the age distribution of the population. In order to achieve this purpose, the measure must encode information from multiple points in the age distribution simultaneously. Moreover, it must encode this information in a way that ensures that changes at any point in the age distribution, and particularly at points in the upper tail of the age distribution, will be appropriately reflected in changes in the summary measure</w:t>
      </w:r>
      <w:r w:rsidR="007E596C">
        <w:rPr>
          <w:lang w:val="mi-NZ"/>
        </w:rPr>
        <w:t>.</w:t>
      </w:r>
    </w:p>
    <w:p w14:paraId="74D94C55" w14:textId="77777777" w:rsidR="001F207C" w:rsidRDefault="001F207C" w:rsidP="001F207C">
      <w:pPr>
        <w:spacing w:line="24" w:lineRule="atLeast"/>
        <w:ind w:firstLine="360"/>
        <w:jc w:val="both"/>
        <w:rPr>
          <w:lang w:val="mi-NZ"/>
        </w:rPr>
      </w:pPr>
    </w:p>
    <w:p w14:paraId="393F5455" w14:textId="127CDB78" w:rsidR="007E596C" w:rsidRDefault="008A1514" w:rsidP="008A1514">
      <w:pPr>
        <w:spacing w:line="24" w:lineRule="atLeast"/>
        <w:ind w:firstLine="360"/>
        <w:jc w:val="both"/>
        <w:rPr>
          <w:lang w:val="mi-NZ"/>
        </w:rPr>
      </w:pPr>
      <w:r w:rsidRPr="008A1514">
        <w:rPr>
          <w:lang w:val="mi-NZ"/>
        </w:rPr>
        <w:t>Inspired by the example of axiomatic approaches to the measurement of poverty (see Foster et al., 1984), we set out to propose a set of axioms that we believe will ensure that a summary measure of structural ageing will best represent the underlying age distribution, encoding information across the entire age distribution, with a particular focus on the upper tail of the distribution. Our approach is similar to that applied by Chu (1997), although they take a more literal mathematical interpretation of the three Foster-Greer-Thorbecke axioms than we do, whereas we interpret the axioms more naturally in the context of population ageing (see also Kurek, 2007; Nath and Islam, 2009). Specifically, we propose four axioms that are simple and intuitive: (1) population size invariance; (2) strong dominance; (3) weak dominance; and (4) age sensitivity. The first three axioms are arguably uncontroversial, whereas the preferred degree of age sensitivity of a summary measure may depend on the preferences of the decision-maker or the party undertaking the measurement</w:t>
      </w:r>
      <w:r>
        <w:rPr>
          <w:lang w:val="mi-NZ"/>
        </w:rPr>
        <w:t>.</w:t>
      </w:r>
    </w:p>
    <w:p w14:paraId="5AFC3ED1" w14:textId="22090514" w:rsidR="008A1514" w:rsidRDefault="008A1514" w:rsidP="008A1514">
      <w:pPr>
        <w:spacing w:line="24" w:lineRule="atLeast"/>
        <w:ind w:firstLine="360"/>
        <w:jc w:val="both"/>
        <w:rPr>
          <w:lang w:val="mi-NZ"/>
        </w:rPr>
      </w:pPr>
    </w:p>
    <w:p w14:paraId="4F1498F2" w14:textId="27F60B41" w:rsidR="008A1514" w:rsidRPr="008A1514" w:rsidRDefault="008A1514" w:rsidP="008A1514">
      <w:pPr>
        <w:spacing w:line="24" w:lineRule="atLeast"/>
        <w:ind w:left="720"/>
        <w:jc w:val="both"/>
      </w:pPr>
      <w:r w:rsidRPr="008A1514">
        <w:rPr>
          <w:i/>
          <w:iCs/>
        </w:rPr>
        <w:t>Axiom 1 (Population size invariance)</w:t>
      </w:r>
      <w:r w:rsidRPr="008A1514">
        <w:t>: The measure of structural ageing should not depend on the size of the population.</w:t>
      </w:r>
    </w:p>
    <w:p w14:paraId="23925F00" w14:textId="77777777" w:rsidR="001F207C" w:rsidRDefault="001F207C" w:rsidP="001F207C">
      <w:pPr>
        <w:spacing w:line="24" w:lineRule="atLeast"/>
        <w:ind w:firstLine="360"/>
        <w:jc w:val="both"/>
        <w:rPr>
          <w:lang w:val="mi-NZ"/>
        </w:rPr>
      </w:pPr>
    </w:p>
    <w:p w14:paraId="11771F55" w14:textId="3D5204CB" w:rsidR="007E596C" w:rsidRDefault="008A1514" w:rsidP="008A1514">
      <w:pPr>
        <w:spacing w:line="24" w:lineRule="atLeast"/>
        <w:ind w:firstLine="357"/>
        <w:jc w:val="both"/>
        <w:rPr>
          <w:rFonts w:eastAsiaTheme="minorEastAsia"/>
          <w:lang w:val="mi-NZ"/>
        </w:rPr>
      </w:pPr>
      <w:r w:rsidRPr="008A1514">
        <w:rPr>
          <w:rFonts w:eastAsiaTheme="minorEastAsia"/>
          <w:lang w:val="mi-NZ"/>
        </w:rPr>
        <w:t>As noted in the introduction section, structural ageing refers to changes in the age distribution of the population. Thus, the raw size of the population should not matter for a measure of structural ageing. For example, doubling the number of people of every age should leave a measure of structural ageing unchanged, because the proportion of the population at each and every age remains unchanged. However, such a change would lead to a substantial increase in measures of numerical ageing, as the absolute number of older people would increase</w:t>
      </w:r>
      <w:r>
        <w:rPr>
          <w:rFonts w:eastAsiaTheme="minorEastAsia"/>
          <w:lang w:val="mi-NZ"/>
        </w:rPr>
        <w:t>.</w:t>
      </w:r>
    </w:p>
    <w:p w14:paraId="0E8EC31B" w14:textId="23E5AFB8" w:rsidR="008A1514" w:rsidRDefault="008A1514" w:rsidP="008A1514">
      <w:pPr>
        <w:spacing w:line="24" w:lineRule="atLeast"/>
        <w:ind w:firstLine="357"/>
        <w:jc w:val="both"/>
        <w:rPr>
          <w:rFonts w:eastAsiaTheme="minorEastAsia"/>
          <w:lang w:val="mi-NZ"/>
        </w:rPr>
      </w:pPr>
    </w:p>
    <w:p w14:paraId="3D92F7AA" w14:textId="23A6DB4A" w:rsidR="008A1514" w:rsidRDefault="008A1514" w:rsidP="00E96F39">
      <w:pPr>
        <w:spacing w:line="24" w:lineRule="atLeast"/>
        <w:ind w:left="709"/>
        <w:jc w:val="both"/>
        <w:rPr>
          <w:rFonts w:eastAsiaTheme="minorEastAsia"/>
          <w:lang w:val="mi-NZ"/>
        </w:rPr>
      </w:pPr>
      <w:r w:rsidRPr="008A1514">
        <w:rPr>
          <w:rFonts w:eastAsiaTheme="minorEastAsia"/>
          <w:i/>
          <w:iCs/>
          <w:lang w:val="mi-NZ"/>
        </w:rPr>
        <w:t>Axiom 2 (Strong dominance)</w:t>
      </w:r>
      <w:r w:rsidRPr="008A1514">
        <w:rPr>
          <w:rFonts w:eastAsiaTheme="minorEastAsia"/>
          <w:lang w:val="mi-NZ"/>
        </w:rPr>
        <w:t xml:space="preserve">: Adding a small amount </w:t>
      </w:r>
      <w:r w:rsidR="00E96F39" w:rsidRPr="00E96F39">
        <w:rPr>
          <w:rFonts w:eastAsiaTheme="minorEastAsia"/>
          <w:i/>
          <w:iCs/>
          <w:lang w:val="mi-NZ"/>
        </w:rPr>
        <w:t>δ</w:t>
      </w:r>
      <w:r w:rsidRPr="008A1514">
        <w:rPr>
          <w:rFonts w:eastAsiaTheme="minorEastAsia"/>
          <w:lang w:val="mi-NZ"/>
        </w:rPr>
        <w:t xml:space="preserve"> to the age of every person in the population must increase the measure of structural ageing.</w:t>
      </w:r>
    </w:p>
    <w:p w14:paraId="0B72D14C" w14:textId="77777777" w:rsidR="0051697B" w:rsidRDefault="0051697B" w:rsidP="0051697B">
      <w:pPr>
        <w:spacing w:line="24" w:lineRule="atLeast"/>
        <w:ind w:firstLine="709"/>
        <w:jc w:val="both"/>
        <w:rPr>
          <w:rFonts w:eastAsiaTheme="minorEastAsia"/>
          <w:lang w:val="mi-NZ"/>
        </w:rPr>
      </w:pPr>
    </w:p>
    <w:p w14:paraId="04BB6C37" w14:textId="60DF6CAF" w:rsidR="007E596C" w:rsidRDefault="008A1514" w:rsidP="008A1514">
      <w:pPr>
        <w:spacing w:line="24" w:lineRule="atLeast"/>
        <w:ind w:firstLine="357"/>
        <w:jc w:val="both"/>
        <w:rPr>
          <w:lang w:val="mi-NZ"/>
        </w:rPr>
      </w:pPr>
      <w:r w:rsidRPr="008A1514">
        <w:rPr>
          <w:lang w:val="mi-NZ"/>
        </w:rPr>
        <w:t xml:space="preserve">This axiom captures the straightforward idea that if every person in the population is somewhat older, then the population in aggregate is older, the proportion of the population at older ages must be higher, and the measure of structural ageing must therefore increase. The cumulative density function representing the population age structure would shift everywhere to the right by the amount </w:t>
      </w:r>
      <w:r w:rsidRPr="00E96F39">
        <w:rPr>
          <w:i/>
          <w:iCs/>
          <w:lang w:val="mi-NZ"/>
        </w:rPr>
        <w:t>δ</w:t>
      </w:r>
      <w:r w:rsidRPr="008A1514">
        <w:rPr>
          <w:lang w:val="mi-NZ"/>
        </w:rPr>
        <w:t xml:space="preserve">. In comparing the distribution before and after the addition of </w:t>
      </w:r>
      <w:r w:rsidRPr="00E96F39">
        <w:rPr>
          <w:i/>
          <w:iCs/>
          <w:lang w:val="mi-NZ"/>
        </w:rPr>
        <w:t>δ</w:t>
      </w:r>
      <w:r w:rsidRPr="008A1514">
        <w:rPr>
          <w:lang w:val="mi-NZ"/>
        </w:rPr>
        <w:t>, it is obvious that the distribution after the addition will strictly dominate the distribution before the addition. Hence we refer to this axiom as strong dominance</w:t>
      </w:r>
      <w:r>
        <w:rPr>
          <w:lang w:val="mi-NZ"/>
        </w:rPr>
        <w:t>.</w:t>
      </w:r>
    </w:p>
    <w:p w14:paraId="7659503C" w14:textId="4E1A96E0" w:rsidR="008A1514" w:rsidRDefault="008A1514" w:rsidP="008A1514">
      <w:pPr>
        <w:spacing w:line="24" w:lineRule="atLeast"/>
        <w:ind w:firstLine="357"/>
        <w:jc w:val="both"/>
        <w:rPr>
          <w:lang w:val="mi-NZ"/>
        </w:rPr>
      </w:pPr>
    </w:p>
    <w:p w14:paraId="6D1AE025" w14:textId="354255AD" w:rsidR="008A1514" w:rsidRDefault="008A1514" w:rsidP="008A1514">
      <w:pPr>
        <w:spacing w:line="24" w:lineRule="atLeast"/>
        <w:ind w:left="709"/>
        <w:jc w:val="both"/>
        <w:rPr>
          <w:lang w:val="mi-NZ"/>
        </w:rPr>
      </w:pPr>
      <w:r w:rsidRPr="008A1514">
        <w:rPr>
          <w:i/>
          <w:iCs/>
          <w:lang w:val="mi-NZ"/>
        </w:rPr>
        <w:t>Axiom 3 (Weak dominance)</w:t>
      </w:r>
      <w:r w:rsidRPr="008A1514">
        <w:rPr>
          <w:lang w:val="mi-NZ"/>
        </w:rPr>
        <w:t xml:space="preserve">: Adding a small amount </w:t>
      </w:r>
      <w:r w:rsidRPr="00E96F39">
        <w:rPr>
          <w:i/>
          <w:iCs/>
          <w:lang w:val="mi-NZ"/>
        </w:rPr>
        <w:t>δ</w:t>
      </w:r>
      <w:r w:rsidRPr="008A1514">
        <w:rPr>
          <w:lang w:val="mi-NZ"/>
        </w:rPr>
        <w:t xml:space="preserve"> to the age of one person in the population, while holding the ages of every other person constant, must increase the measure of structural ageing.</w:t>
      </w:r>
    </w:p>
    <w:p w14:paraId="109E4D46" w14:textId="2F7F1866" w:rsidR="007E596C" w:rsidRDefault="008A1514" w:rsidP="008A1514">
      <w:pPr>
        <w:spacing w:line="24" w:lineRule="atLeast"/>
        <w:ind w:firstLine="357"/>
        <w:jc w:val="both"/>
        <w:rPr>
          <w:lang w:val="mi-NZ"/>
        </w:rPr>
      </w:pPr>
      <w:r w:rsidRPr="008A1514">
        <w:rPr>
          <w:lang w:val="mi-NZ"/>
        </w:rPr>
        <w:lastRenderedPageBreak/>
        <w:t xml:space="preserve">This axiom is a weaker form of the strong dominance axiom. However, it is also intuitive since comparing the two populations (before and after the addition of </w:t>
      </w:r>
      <w:r w:rsidRPr="00E96F39">
        <w:rPr>
          <w:i/>
          <w:iCs/>
          <w:lang w:val="mi-NZ"/>
        </w:rPr>
        <w:t>δ</w:t>
      </w:r>
      <w:r w:rsidRPr="008A1514">
        <w:rPr>
          <w:lang w:val="mi-NZ"/>
        </w:rPr>
        <w:t xml:space="preserve">, the ages of all people except one are the same, and one person is older. Thus, the population after the addition of δ is the older population. Again considering the cumulative density function, the distribution after the addition would shift to the right by the amount </w:t>
      </w:r>
      <w:r w:rsidRPr="00E96F39">
        <w:rPr>
          <w:i/>
          <w:iCs/>
          <w:lang w:val="mi-NZ"/>
        </w:rPr>
        <w:t>δ</w:t>
      </w:r>
      <w:r w:rsidRPr="008A1514">
        <w:rPr>
          <w:lang w:val="mi-NZ"/>
        </w:rPr>
        <w:t xml:space="preserve">, everywhere to the right of the original age of the person whose age </w:t>
      </w:r>
      <w:r w:rsidRPr="00E96F39">
        <w:rPr>
          <w:i/>
          <w:iCs/>
          <w:lang w:val="mi-NZ"/>
        </w:rPr>
        <w:t>δ</w:t>
      </w:r>
      <w:r w:rsidRPr="008A1514">
        <w:rPr>
          <w:lang w:val="mi-NZ"/>
        </w:rPr>
        <w:t xml:space="preserve"> was added to. In comparing the distribution before and after the addition of </w:t>
      </w:r>
      <w:r w:rsidRPr="00E96F39">
        <w:rPr>
          <w:i/>
          <w:iCs/>
          <w:lang w:val="mi-NZ"/>
        </w:rPr>
        <w:t>δ</w:t>
      </w:r>
      <w:r w:rsidRPr="008A1514">
        <w:rPr>
          <w:lang w:val="mi-NZ"/>
        </w:rPr>
        <w:t>, the distribution after the addition first order stochastically dominates the distribution before the addition. However, this is not strict dominance as is the case for Axiom 2, and hence we refer to this axiom as weak dominance</w:t>
      </w:r>
      <w:r>
        <w:rPr>
          <w:lang w:val="mi-NZ"/>
        </w:rPr>
        <w:t>.</w:t>
      </w:r>
    </w:p>
    <w:p w14:paraId="01963A54" w14:textId="4309E5E8" w:rsidR="0051697B" w:rsidRDefault="0051697B" w:rsidP="003342DE">
      <w:pPr>
        <w:spacing w:line="24" w:lineRule="atLeast"/>
        <w:jc w:val="both"/>
        <w:rPr>
          <w:rFonts w:eastAsiaTheme="minorEastAsia"/>
          <w:lang w:val="mi-NZ"/>
        </w:rPr>
      </w:pPr>
    </w:p>
    <w:p w14:paraId="6DC5CB72" w14:textId="0D254259" w:rsidR="008A1514" w:rsidRDefault="008A1514" w:rsidP="008A1514">
      <w:pPr>
        <w:spacing w:line="24" w:lineRule="atLeast"/>
        <w:ind w:left="720"/>
        <w:jc w:val="both"/>
        <w:rPr>
          <w:rFonts w:eastAsiaTheme="minorEastAsia"/>
          <w:lang w:val="mi-NZ"/>
        </w:rPr>
      </w:pPr>
      <w:r w:rsidRPr="008A1514">
        <w:rPr>
          <w:rFonts w:eastAsiaTheme="minorEastAsia"/>
          <w:i/>
          <w:iCs/>
          <w:lang w:val="mi-NZ"/>
        </w:rPr>
        <w:t>Axiom 4 (Age sensitivity)</w:t>
      </w:r>
      <w:r w:rsidRPr="008A1514">
        <w:rPr>
          <w:rFonts w:eastAsiaTheme="minorEastAsia"/>
          <w:lang w:val="mi-NZ"/>
        </w:rPr>
        <w:t xml:space="preserve">: Adding a small amount </w:t>
      </w:r>
      <w:r w:rsidRPr="00E96F39">
        <w:rPr>
          <w:rFonts w:eastAsiaTheme="minorEastAsia"/>
          <w:i/>
          <w:iCs/>
          <w:lang w:val="mi-NZ"/>
        </w:rPr>
        <w:t>δ</w:t>
      </w:r>
      <w:r w:rsidRPr="008A1514">
        <w:rPr>
          <w:rFonts w:eastAsiaTheme="minorEastAsia"/>
          <w:lang w:val="mi-NZ"/>
        </w:rPr>
        <w:t xml:space="preserve"> to the age of one person in the population, while holding the ages of every other person constant, must increase the measure of structural ageing by a greater amount, the older the age of the person whose age is added to.</w:t>
      </w:r>
    </w:p>
    <w:p w14:paraId="7247F2FA" w14:textId="77777777" w:rsidR="008A1514" w:rsidRDefault="008A1514" w:rsidP="003342DE">
      <w:pPr>
        <w:spacing w:line="24" w:lineRule="atLeast"/>
        <w:jc w:val="both"/>
        <w:rPr>
          <w:rFonts w:eastAsiaTheme="minorEastAsia"/>
          <w:lang w:val="mi-NZ"/>
        </w:rPr>
      </w:pPr>
    </w:p>
    <w:p w14:paraId="30164536" w14:textId="3B1A0C31" w:rsidR="008A1514" w:rsidRDefault="008A1514" w:rsidP="008F03D5">
      <w:pPr>
        <w:spacing w:line="24" w:lineRule="atLeast"/>
        <w:ind w:firstLine="357"/>
        <w:jc w:val="both"/>
        <w:rPr>
          <w:rFonts w:eastAsiaTheme="minorEastAsia"/>
          <w:lang w:val="mi-NZ"/>
        </w:rPr>
      </w:pPr>
      <w:r w:rsidRPr="008A1514">
        <w:rPr>
          <w:rFonts w:eastAsiaTheme="minorEastAsia"/>
          <w:lang w:val="mi-NZ"/>
        </w:rPr>
        <w:t>This axiom is based on the idea that there are important nonlinearities associated with ageing. As people age, an additional year may have a greater effect across various dimensions of health and wellbeing than the last. For example, there is evidence for concave relationships between age and life satisfaction (Di Tella et al., 2003; Blanchflower and Oswald, 2008; Cheng et al., 2017), age and negative emotions (Teachman, 2006), and age and cognition (Verhaeghen and Salthouse, 1997). If the effect of an additional year of age increases with age, then a theoretically valid measure of structural ageing should be more sensitive to changes in the upper tail of the age distribution. That is because changes in the upper tail of the distribution has a larger effect on outcomes of interest to end users. This axiom is the most arguable of the four, as it is a priori unclear the precise degree of age sensitivity that should be incorporated into the measure of structural ageing (this is a point that we will return to later). Also, not all outcomes of interest have concave relationships with age. For example, productivity may have a convex relationship (Oster and Hamermesh, 1998; Castellucci et al., 2011). However, in cases such as productivity, if the outcome is reframed as productivity decline, then the relationship is concave. Moreover, as Chu (1997) pointed out, Sen (1976) criticised poverty summary measures for their insensitivity to changes in the tail of the distribution, and a similar criticism applies here.</w:t>
      </w:r>
    </w:p>
    <w:p w14:paraId="7152828C" w14:textId="77777777" w:rsidR="008A1514" w:rsidRPr="008A1514" w:rsidRDefault="008A1514" w:rsidP="008A1514">
      <w:pPr>
        <w:spacing w:line="24" w:lineRule="atLeast"/>
        <w:ind w:firstLine="357"/>
        <w:rPr>
          <w:rFonts w:eastAsiaTheme="minorEastAsia"/>
          <w:lang w:val="mi-NZ"/>
        </w:rPr>
      </w:pPr>
    </w:p>
    <w:p w14:paraId="6169F258" w14:textId="151FB072" w:rsidR="008A1514" w:rsidRDefault="008A1514" w:rsidP="008F03D5">
      <w:pPr>
        <w:spacing w:line="24" w:lineRule="atLeast"/>
        <w:ind w:firstLine="357"/>
        <w:jc w:val="both"/>
        <w:rPr>
          <w:rFonts w:eastAsiaTheme="minorEastAsia"/>
          <w:lang w:val="mi-NZ"/>
        </w:rPr>
      </w:pPr>
      <w:r w:rsidRPr="008A1514">
        <w:rPr>
          <w:rFonts w:eastAsiaTheme="minorEastAsia"/>
          <w:lang w:val="mi-NZ"/>
        </w:rPr>
        <w:t>Along with the four axioms outlined above, we also note a fifth property that it is desirable for a measure of structural ageing to possess: easy interpretability. As noted in the introduction, the extant measures of structural ageing persist despite not conforming to all four axioms not necessarily because they are mathematically optimal, but because they are easy for end users to interpret. A measure such as the median age or the proportion of the population aged 65 years and over is readily understandable by policymakers, planners, and other decision-makers, and requires minimal levels of numeracy and statistical literacy to compare and interpret differences between populations and changes over time. A measure of structural ageing that is a bare number with no easy interpretation is likely to face significant challenges in take up by end users.</w:t>
      </w:r>
    </w:p>
    <w:p w14:paraId="7BC0B165" w14:textId="77777777" w:rsidR="008A1514" w:rsidRPr="008A1514" w:rsidRDefault="008A1514" w:rsidP="008A1514">
      <w:pPr>
        <w:spacing w:line="24" w:lineRule="atLeast"/>
        <w:ind w:firstLine="357"/>
        <w:rPr>
          <w:rFonts w:eastAsiaTheme="minorEastAsia"/>
          <w:lang w:val="mi-NZ"/>
        </w:rPr>
      </w:pPr>
    </w:p>
    <w:p w14:paraId="219E07A5" w14:textId="19328B13" w:rsidR="007E596C" w:rsidRDefault="008A1514" w:rsidP="008A1514">
      <w:pPr>
        <w:spacing w:line="24" w:lineRule="atLeast"/>
        <w:ind w:firstLine="357"/>
        <w:jc w:val="both"/>
        <w:rPr>
          <w:rFonts w:eastAsiaTheme="minorEastAsia"/>
          <w:lang w:val="mi-NZ"/>
        </w:rPr>
      </w:pPr>
      <w:r w:rsidRPr="008A1514">
        <w:rPr>
          <w:rFonts w:eastAsiaTheme="minorEastAsia"/>
          <w:lang w:val="mi-NZ"/>
        </w:rPr>
        <w:t>Demographers have developed a number of measures of structural ageing that are in wide use by end users (Gavrilov and Heuveline, 2003). The variety of measures have been comprehensively described elsewhere (Spijker, 2015), so we do not review them in deail here (although we return to some of the key alternative measures in the Discussion section). The most commonly applied structural ageing measures (which we will refer to as the ‘conventional’ measures) include:</w:t>
      </w:r>
    </w:p>
    <w:p w14:paraId="0737027C" w14:textId="77777777" w:rsidR="008A1514" w:rsidRDefault="008A1514" w:rsidP="009646BF">
      <w:pPr>
        <w:pStyle w:val="ListParagraph"/>
        <w:numPr>
          <w:ilvl w:val="0"/>
          <w:numId w:val="2"/>
        </w:numPr>
        <w:spacing w:line="24" w:lineRule="atLeast"/>
        <w:ind w:left="1560" w:hanging="486"/>
        <w:rPr>
          <w:rFonts w:eastAsiaTheme="minorEastAsia"/>
          <w:lang w:val="mi-NZ"/>
        </w:rPr>
      </w:pPr>
      <w:r w:rsidRPr="008A1514">
        <w:rPr>
          <w:rFonts w:eastAsiaTheme="minorEastAsia"/>
          <w:lang w:val="mi-NZ"/>
        </w:rPr>
        <w:lastRenderedPageBreak/>
        <w:t>Mean age – the average age of the population;</w:t>
      </w:r>
    </w:p>
    <w:p w14:paraId="31B3AC35" w14:textId="77777777" w:rsidR="008A1514" w:rsidRDefault="008A1514" w:rsidP="009646BF">
      <w:pPr>
        <w:pStyle w:val="ListParagraph"/>
        <w:numPr>
          <w:ilvl w:val="0"/>
          <w:numId w:val="2"/>
        </w:numPr>
        <w:spacing w:line="24" w:lineRule="atLeast"/>
        <w:ind w:left="1560" w:hanging="486"/>
        <w:rPr>
          <w:rFonts w:eastAsiaTheme="minorEastAsia"/>
          <w:lang w:val="mi-NZ"/>
        </w:rPr>
      </w:pPr>
      <w:r w:rsidRPr="008A1514">
        <w:rPr>
          <w:rFonts w:eastAsiaTheme="minorEastAsia"/>
          <w:lang w:val="mi-NZ"/>
        </w:rPr>
        <w:t>Median age – the age that divides the whole population in half, whereby half of the population is older, and half of the population is younger;</w:t>
      </w:r>
    </w:p>
    <w:p w14:paraId="5FFF1F59" w14:textId="77777777" w:rsidR="008A1514" w:rsidRDefault="008A1514" w:rsidP="009646BF">
      <w:pPr>
        <w:pStyle w:val="ListParagraph"/>
        <w:numPr>
          <w:ilvl w:val="0"/>
          <w:numId w:val="2"/>
        </w:numPr>
        <w:spacing w:line="24" w:lineRule="atLeast"/>
        <w:ind w:left="1560" w:hanging="486"/>
        <w:rPr>
          <w:rFonts w:eastAsiaTheme="minorEastAsia"/>
          <w:lang w:val="mi-NZ"/>
        </w:rPr>
      </w:pPr>
      <w:r w:rsidRPr="008A1514">
        <w:rPr>
          <w:rFonts w:eastAsiaTheme="minorEastAsia"/>
          <w:lang w:val="mi-NZ"/>
        </w:rPr>
        <w:t>Proportion of the population aged 65 years and over;</w:t>
      </w:r>
    </w:p>
    <w:p w14:paraId="398B017B" w14:textId="77777777" w:rsidR="008A1514" w:rsidRDefault="008A1514" w:rsidP="009646BF">
      <w:pPr>
        <w:pStyle w:val="ListParagraph"/>
        <w:numPr>
          <w:ilvl w:val="0"/>
          <w:numId w:val="2"/>
        </w:numPr>
        <w:spacing w:line="24" w:lineRule="atLeast"/>
        <w:ind w:left="1560" w:hanging="486"/>
        <w:rPr>
          <w:rFonts w:eastAsiaTheme="minorEastAsia"/>
          <w:lang w:val="mi-NZ"/>
        </w:rPr>
      </w:pPr>
      <w:r w:rsidRPr="008A1514">
        <w:rPr>
          <w:rFonts w:eastAsiaTheme="minorEastAsia"/>
          <w:lang w:val="mi-NZ"/>
        </w:rPr>
        <w:t>Proportion of the population aged 85 years and over;</w:t>
      </w:r>
    </w:p>
    <w:p w14:paraId="22B075A7" w14:textId="77777777" w:rsidR="008A1514" w:rsidRDefault="008A1514" w:rsidP="009646BF">
      <w:pPr>
        <w:pStyle w:val="ListParagraph"/>
        <w:numPr>
          <w:ilvl w:val="0"/>
          <w:numId w:val="2"/>
        </w:numPr>
        <w:spacing w:line="24" w:lineRule="atLeast"/>
        <w:ind w:left="1560" w:hanging="486"/>
        <w:jc w:val="both"/>
        <w:rPr>
          <w:rFonts w:eastAsiaTheme="minorEastAsia"/>
          <w:lang w:val="mi-NZ"/>
        </w:rPr>
      </w:pPr>
      <w:r w:rsidRPr="008A1514">
        <w:rPr>
          <w:rFonts w:eastAsiaTheme="minorEastAsia"/>
          <w:lang w:val="mi-NZ"/>
        </w:rPr>
        <w:t>Child-elder ratio – the ratio of the population aged 0-14 years to the population aged 60 years and over; and</w:t>
      </w:r>
    </w:p>
    <w:p w14:paraId="430E1F29" w14:textId="55AE81A5" w:rsidR="008A1514" w:rsidRPr="008A1514" w:rsidRDefault="008A1514" w:rsidP="009646BF">
      <w:pPr>
        <w:pStyle w:val="ListParagraph"/>
        <w:numPr>
          <w:ilvl w:val="0"/>
          <w:numId w:val="2"/>
        </w:numPr>
        <w:spacing w:line="24" w:lineRule="atLeast"/>
        <w:ind w:left="1560" w:hanging="486"/>
        <w:jc w:val="both"/>
        <w:rPr>
          <w:rFonts w:eastAsiaTheme="minorEastAsia"/>
          <w:lang w:val="mi-NZ"/>
        </w:rPr>
      </w:pPr>
      <w:r w:rsidRPr="008A1514">
        <w:rPr>
          <w:rFonts w:eastAsiaTheme="minorEastAsia"/>
          <w:lang w:val="mi-NZ"/>
        </w:rPr>
        <w:t>Old-age dependency ratio – the ratio of the population aged 65 years and over to the population aged 15 to 64 years.</w:t>
      </w:r>
    </w:p>
    <w:p w14:paraId="4499D91B" w14:textId="6289F6CA" w:rsidR="008A1514" w:rsidRDefault="008A1514" w:rsidP="0051697B">
      <w:pPr>
        <w:spacing w:line="24" w:lineRule="atLeast"/>
        <w:ind w:firstLine="720"/>
        <w:jc w:val="both"/>
        <w:rPr>
          <w:rFonts w:eastAsiaTheme="minorEastAsia"/>
          <w:lang w:val="mi-NZ"/>
        </w:rPr>
      </w:pPr>
    </w:p>
    <w:p w14:paraId="4250305D" w14:textId="255ABC64" w:rsidR="008A1514" w:rsidRDefault="008A1514" w:rsidP="008F03D5">
      <w:pPr>
        <w:spacing w:line="24" w:lineRule="atLeast"/>
        <w:ind w:firstLine="357"/>
        <w:jc w:val="both"/>
        <w:rPr>
          <w:rFonts w:eastAsiaTheme="minorEastAsia"/>
          <w:lang w:val="mi-NZ"/>
        </w:rPr>
      </w:pPr>
      <w:r w:rsidRPr="008A1514">
        <w:rPr>
          <w:rFonts w:eastAsiaTheme="minorEastAsia"/>
          <w:lang w:val="mi-NZ"/>
        </w:rPr>
        <w:t xml:space="preserve">The child-elder ratio and the old-age dependency ratio can of course be based on different population groups (as to which age groups constitute elders, children, or ‘old-age’), but we focus here on their most common applications. The position of those measures in relation to satisfying the axioms, as described below, does not depend on the specific age groups that are included in their calculation (which is in fact the case for all of the measures we consider). In terms of calculation of the measures, we note that it is conventional to treat age as a discrete measure (in completed years since birth), although any of the measures of structural ageing can easily be calculated based on continuous age. Although there are other measures of structural ageing that are increasingly finding favour among researchers, such as prospective age measures (Sanderson and Scherbov, 2007), we focus on those listed above and leave consideration of these newer measures to the concluding section. Similarly, we also note that many health researchers now favour the concept of ‘functional age’ or ‘biological age’ rather than chronological age (Guralnik and Melzer, 2002; Skirbekk et al., 2019). We leave consideration of functional age and biological age to the concluding section as well. </w:t>
      </w:r>
    </w:p>
    <w:p w14:paraId="24FA04CC" w14:textId="77777777" w:rsidR="008A1514" w:rsidRPr="008A1514" w:rsidRDefault="008A1514" w:rsidP="008A1514">
      <w:pPr>
        <w:spacing w:line="24" w:lineRule="atLeast"/>
        <w:ind w:firstLine="357"/>
        <w:rPr>
          <w:rFonts w:eastAsiaTheme="minorEastAsia"/>
          <w:lang w:val="mi-NZ"/>
        </w:rPr>
      </w:pPr>
    </w:p>
    <w:p w14:paraId="5A4BEBD9" w14:textId="250CDDA2" w:rsidR="008A1514" w:rsidRDefault="008A1514" w:rsidP="008F03D5">
      <w:pPr>
        <w:spacing w:line="24" w:lineRule="atLeast"/>
        <w:ind w:firstLine="357"/>
        <w:jc w:val="both"/>
        <w:rPr>
          <w:rFonts w:eastAsiaTheme="minorEastAsia"/>
          <w:lang w:val="mi-NZ"/>
        </w:rPr>
      </w:pPr>
      <w:r w:rsidRPr="008A1514">
        <w:rPr>
          <w:rFonts w:eastAsiaTheme="minorEastAsia"/>
          <w:lang w:val="mi-NZ"/>
        </w:rPr>
        <w:t>As an alternative to these conventional measures of structural ageing, we propose a general class of indices of structural ageing, which can be calculated as</w:t>
      </w:r>
      <w:r>
        <w:rPr>
          <w:rFonts w:eastAsiaTheme="minorEastAsia"/>
          <w:lang w:val="mi-NZ"/>
        </w:rPr>
        <w:t>:</w:t>
      </w:r>
    </w:p>
    <w:p w14:paraId="61CDA0E3" w14:textId="3C7DED42" w:rsidR="008A1514" w:rsidRDefault="008A1514" w:rsidP="0051697B">
      <w:pPr>
        <w:spacing w:line="24" w:lineRule="atLeast"/>
        <w:ind w:firstLine="720"/>
        <w:jc w:val="both"/>
        <w:rPr>
          <w:rFonts w:eastAsiaTheme="minorEastAsia"/>
          <w:lang w:val="mi-NZ"/>
        </w:rPr>
      </w:pPr>
    </w:p>
    <w:p w14:paraId="737B4E97" w14:textId="77777777" w:rsidR="008A1514" w:rsidRDefault="008A1514" w:rsidP="008A1514">
      <w:pPr>
        <w:spacing w:line="360" w:lineRule="auto"/>
        <w:jc w:val="both"/>
        <w:rPr>
          <w:rFonts w:asciiTheme="majorBidi" w:hAnsiTheme="majorBidi" w:cstheme="majorBidi"/>
          <w:lang w:val="en-NZ" w:eastAsia="zh-CN"/>
        </w:rPr>
      </w:pPr>
      <w:r>
        <w:rPr>
          <w:rFonts w:asciiTheme="majorBidi" w:hAnsiTheme="majorBidi" w:cstheme="majorBidi"/>
        </w:rPr>
        <w:tab/>
      </w:r>
      <m:oMath>
        <m:r>
          <w:rPr>
            <w:rFonts w:ascii="Cambria Math" w:hAnsi="Cambria Math" w:cstheme="majorBidi"/>
          </w:rPr>
          <m:t>A=</m:t>
        </m:r>
        <m:rad>
          <m:radPr>
            <m:ctrlPr>
              <w:rPr>
                <w:rFonts w:ascii="Cambria Math" w:hAnsi="Cambria Math" w:cstheme="majorBidi"/>
                <w:i/>
              </w:rPr>
            </m:ctrlPr>
          </m:radPr>
          <m:deg>
            <m:r>
              <w:rPr>
                <w:rFonts w:ascii="Cambria Math" w:hAnsi="Cambria Math" w:cstheme="majorBidi"/>
              </w:rPr>
              <m:t>α</m:t>
            </m:r>
          </m:deg>
          <m:e>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r>
                  <w:rPr>
                    <w:rFonts w:ascii="Cambria Math" w:hAnsi="Cambria Math" w:cstheme="majorBidi"/>
                  </w:rPr>
                  <m:t>.</m:t>
                </m:r>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i</m:t>
                            </m:r>
                          </m:sub>
                        </m:sSub>
                      </m:e>
                    </m:d>
                  </m:e>
                  <m:sup>
                    <m:r>
                      <w:rPr>
                        <w:rFonts w:ascii="Cambria Math" w:hAnsi="Cambria Math" w:cstheme="majorBidi"/>
                      </w:rPr>
                      <m:t>α</m:t>
                    </m:r>
                  </m:sup>
                </m:sSup>
              </m:e>
            </m:nary>
          </m:e>
        </m:rad>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14:paraId="4603E2CE" w14:textId="77777777" w:rsidR="008A1514" w:rsidRDefault="008A1514" w:rsidP="0051697B">
      <w:pPr>
        <w:spacing w:line="24" w:lineRule="atLeast"/>
        <w:ind w:firstLine="720"/>
        <w:jc w:val="both"/>
        <w:rPr>
          <w:rFonts w:eastAsiaTheme="minorEastAsia"/>
          <w:lang w:val="mi-NZ"/>
        </w:rPr>
      </w:pPr>
    </w:p>
    <w:p w14:paraId="50DAD829" w14:textId="6737B99C" w:rsidR="008A1514" w:rsidRPr="008A1514" w:rsidRDefault="008A1514" w:rsidP="008F03D5">
      <w:pPr>
        <w:jc w:val="both"/>
        <w:rPr>
          <w:lang w:val="en-NZ" w:eastAsia="zh-CN"/>
        </w:rPr>
      </w:pPr>
      <w:r w:rsidRPr="008A1514">
        <w:rPr>
          <w:rFonts w:eastAsiaTheme="minorEastAsia"/>
          <w:lang w:val="mi-NZ"/>
        </w:rPr>
        <w:t>where A is the index of structural ageing, n is the total population size, p_i is the proportion of the population in age group i, a_i is the age of age group i (in years), and α is a coefficient that captures the age-sensitivity of the index. An index of structural ageing calculated using Equation (1) is simply the uncentred α-th moment of the age distribution. By construction, this index satisfies all of the axioms described earlier in this section provided that α&gt;1. When α=1, the index is insensitive to age, and the formula returns the mean age. When α&gt;1, the index exhibits age sensitivity, and the larger the value of α, the greater the degree of age sensitivity.</w:t>
      </w:r>
      <w:r>
        <w:rPr>
          <w:rStyle w:val="FootnoteReference"/>
          <w:rFonts w:asciiTheme="majorBidi" w:hAnsiTheme="majorBidi" w:cstheme="majorBidi"/>
        </w:rPr>
        <w:footnoteReference w:id="1"/>
      </w:r>
      <w:r>
        <w:t xml:space="preserve"> </w:t>
      </w:r>
      <w:r w:rsidRPr="008A1514">
        <w:rPr>
          <w:rFonts w:eastAsiaTheme="minorEastAsia"/>
          <w:lang w:val="mi-NZ"/>
        </w:rPr>
        <w:t>In the absence of further research to establish and optimal value, our preferred value for α is 2, in which case the index is the uncentred second moment of the age distribution, which can be referred to as the root-mean-squared age (RMSA</w:t>
      </w:r>
      <w:r>
        <w:rPr>
          <w:rFonts w:eastAsiaTheme="minorEastAsia"/>
          <w:lang w:val="mi-NZ"/>
        </w:rPr>
        <w:t>):</w:t>
      </w:r>
    </w:p>
    <w:p w14:paraId="03118773" w14:textId="353EA1A2" w:rsidR="008A1514" w:rsidRDefault="008A1514" w:rsidP="0051697B">
      <w:pPr>
        <w:spacing w:line="24" w:lineRule="atLeast"/>
        <w:ind w:firstLine="720"/>
        <w:jc w:val="both"/>
        <w:rPr>
          <w:rFonts w:eastAsiaTheme="minorEastAsia"/>
          <w:lang w:val="mi-NZ"/>
        </w:rPr>
      </w:pPr>
    </w:p>
    <w:p w14:paraId="3ECB941A" w14:textId="171F30C8" w:rsidR="008A1514" w:rsidRPr="008A1514" w:rsidRDefault="008A1514" w:rsidP="0051697B">
      <w:pPr>
        <w:spacing w:line="24" w:lineRule="atLeast"/>
        <w:ind w:firstLine="720"/>
        <w:jc w:val="both"/>
        <w:rPr>
          <w:rFonts w:eastAsiaTheme="minorEastAsia"/>
          <w:lang w:val="mi-NZ"/>
        </w:rPr>
      </w:pPr>
      <m:oMath>
        <m:r>
          <w:rPr>
            <w:rFonts w:ascii="Cambria Math" w:hAnsi="Cambria Math" w:cstheme="majorBidi"/>
            <w:lang w:val="mi-NZ"/>
          </w:rPr>
          <m:t>RMSA= </m:t>
        </m:r>
        <m:rad>
          <m:radPr>
            <m:degHide m:val="1"/>
            <m:ctrlPr>
              <w:rPr>
                <w:rFonts w:ascii="Cambria Math" w:hAnsi="Cambria Math" w:cstheme="majorBidi"/>
                <w:i/>
                <w:iCs/>
              </w:rPr>
            </m:ctrlPr>
          </m:radPr>
          <m:deg/>
          <m:e>
            <m:nary>
              <m:naryPr>
                <m:chr m:val="∑"/>
                <m:ctrlPr>
                  <w:rPr>
                    <w:rFonts w:ascii="Cambria Math" w:hAnsi="Cambria Math" w:cstheme="majorBidi"/>
                    <w:i/>
                    <w:iCs/>
                  </w:rPr>
                </m:ctrlPr>
              </m:naryPr>
              <m:sub>
                <m:r>
                  <w:rPr>
                    <w:rFonts w:ascii="Cambria Math" w:hAnsi="Cambria Math" w:cstheme="majorBidi"/>
                    <w:lang w:val="mi-NZ"/>
                  </w:rPr>
                  <m:t>i=1</m:t>
                </m:r>
              </m:sub>
              <m:sup>
                <m:r>
                  <w:rPr>
                    <w:rFonts w:ascii="Cambria Math" w:hAnsi="Cambria Math" w:cstheme="majorBidi"/>
                    <w:lang w:val="mi-NZ"/>
                  </w:rPr>
                  <m:t>n</m:t>
                </m:r>
              </m:sup>
              <m:e>
                <m:sSup>
                  <m:sSupPr>
                    <m:ctrlPr>
                      <w:rPr>
                        <w:rFonts w:ascii="Cambria Math" w:hAnsi="Cambria Math" w:cstheme="majorBidi"/>
                        <w:i/>
                        <w:iCs/>
                      </w:rPr>
                    </m:ctrlPr>
                  </m:sSupPr>
                  <m:e>
                    <m:sSub>
                      <m:sSubPr>
                        <m:ctrlPr>
                          <w:rPr>
                            <w:rFonts w:ascii="Cambria Math" w:hAnsi="Cambria Math" w:cstheme="majorBidi"/>
                            <w:i/>
                            <w:iCs/>
                          </w:rPr>
                        </m:ctrlPr>
                      </m:sSubPr>
                      <m:e>
                        <m:r>
                          <w:rPr>
                            <w:rFonts w:ascii="Cambria Math" w:hAnsi="Cambria Math" w:cstheme="majorBidi"/>
                            <w:lang w:val="mi-NZ"/>
                          </w:rPr>
                          <m:t>p</m:t>
                        </m:r>
                      </m:e>
                      <m:sub>
                        <m:r>
                          <w:rPr>
                            <w:rFonts w:ascii="Cambria Math" w:hAnsi="Cambria Math" w:cstheme="majorBidi"/>
                            <w:lang w:val="mi-NZ"/>
                          </w:rPr>
                          <m:t>i</m:t>
                        </m:r>
                      </m:sub>
                    </m:sSub>
                    <m:r>
                      <w:rPr>
                        <w:rFonts w:ascii="Cambria Math" w:hAnsi="Cambria Math" w:cstheme="majorBidi"/>
                        <w:lang w:val="mi-NZ"/>
                      </w:rPr>
                      <m:t>.</m:t>
                    </m:r>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lang w:val="mi-NZ"/>
                              </w:rPr>
                              <m:t>a</m:t>
                            </m:r>
                          </m:e>
                          <m:sub>
                            <m:r>
                              <w:rPr>
                                <w:rFonts w:ascii="Cambria Math" w:hAnsi="Cambria Math" w:cstheme="majorBidi"/>
                                <w:lang w:val="mi-NZ"/>
                              </w:rPr>
                              <m:t>i</m:t>
                            </m:r>
                          </m:sub>
                        </m:sSub>
                      </m:e>
                    </m:d>
                  </m:e>
                  <m:sup>
                    <m:r>
                      <w:rPr>
                        <w:rFonts w:ascii="Cambria Math" w:hAnsi="Cambria Math" w:cstheme="majorBidi"/>
                        <w:lang w:val="mi-NZ"/>
                      </w:rPr>
                      <m:t>2</m:t>
                    </m:r>
                  </m:sup>
                </m:sSup>
              </m:e>
            </m:nary>
          </m:e>
        </m:rad>
      </m:oMath>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r>
      <w:r w:rsidRPr="008A1514">
        <w:rPr>
          <w:rFonts w:asciiTheme="majorBidi" w:hAnsiTheme="majorBidi" w:cstheme="majorBidi"/>
          <w:iCs/>
          <w:lang w:val="mi-NZ"/>
        </w:rPr>
        <w:tab/>
        <w:t>(2)</w:t>
      </w:r>
    </w:p>
    <w:p w14:paraId="32C4AEE0" w14:textId="7353FBF0" w:rsidR="008A1514" w:rsidRDefault="008A1514" w:rsidP="0051697B">
      <w:pPr>
        <w:spacing w:line="24" w:lineRule="atLeast"/>
        <w:ind w:firstLine="720"/>
        <w:jc w:val="both"/>
        <w:rPr>
          <w:rFonts w:eastAsiaTheme="minorEastAsia"/>
          <w:lang w:val="mi-NZ"/>
        </w:rPr>
      </w:pPr>
    </w:p>
    <w:p w14:paraId="32E79764" w14:textId="5570A393" w:rsidR="008A1514" w:rsidRDefault="008A1514" w:rsidP="008F03D5">
      <w:pPr>
        <w:spacing w:line="24" w:lineRule="atLeast"/>
        <w:ind w:firstLine="357"/>
        <w:jc w:val="both"/>
        <w:rPr>
          <w:rFonts w:eastAsiaTheme="minorEastAsia"/>
          <w:lang w:val="mi-NZ"/>
        </w:rPr>
      </w:pPr>
      <w:r w:rsidRPr="008A1514">
        <w:rPr>
          <w:rFonts w:eastAsiaTheme="minorEastAsia"/>
          <w:lang w:val="mi-NZ"/>
        </w:rPr>
        <w:t xml:space="preserve">The RMSA represents a balance between ensuring that the index exhibits age sensitivity while not overly ‘penalising’ populations with extreme age distributions. Alternative values of α may be appropriate in different contexts, and likely depend on the preferences of the </w:t>
      </w:r>
      <w:r w:rsidRPr="008A1514">
        <w:rPr>
          <w:rFonts w:eastAsiaTheme="minorEastAsia"/>
          <w:lang w:val="mi-NZ"/>
        </w:rPr>
        <w:lastRenderedPageBreak/>
        <w:t>particular decision-maker. We leave detailed consideration of the optimal value of α for future work.</w:t>
      </w:r>
    </w:p>
    <w:p w14:paraId="5D402953" w14:textId="77777777" w:rsidR="008A1514" w:rsidRPr="008A1514" w:rsidRDefault="008A1514" w:rsidP="008F03D5">
      <w:pPr>
        <w:spacing w:line="24" w:lineRule="atLeast"/>
        <w:ind w:firstLine="357"/>
        <w:jc w:val="both"/>
        <w:rPr>
          <w:rFonts w:eastAsiaTheme="minorEastAsia"/>
          <w:lang w:val="mi-NZ"/>
        </w:rPr>
      </w:pPr>
    </w:p>
    <w:p w14:paraId="5C1A951F" w14:textId="79A7AA32" w:rsidR="008A1514" w:rsidRDefault="008A1514" w:rsidP="008F03D5">
      <w:pPr>
        <w:spacing w:line="24" w:lineRule="atLeast"/>
        <w:ind w:firstLine="357"/>
        <w:jc w:val="both"/>
        <w:rPr>
          <w:rFonts w:eastAsiaTheme="minorEastAsia"/>
          <w:lang w:val="mi-NZ"/>
        </w:rPr>
      </w:pPr>
      <w:r w:rsidRPr="008A1514">
        <w:rPr>
          <w:rFonts w:eastAsiaTheme="minorEastAsia"/>
          <w:lang w:val="mi-NZ"/>
        </w:rPr>
        <w:t xml:space="preserve">Table 1 summarises whether each of the measures of structural ageing considered satisfies each of the axioms outlined earlier in this section. All measures satisfy the population size invariance axiom, and all measures satisfy the strong dominance axiom. In terms of the weak dominance axiom, most measures would only satisfy this axiom in a very restricted case. For example, the median age would only increase when δ was added to the age of a single person, if the result was that person would be moved from below the previous median age to above it (and even then, the median might not change if ages are measured in discrete whole years). Similarly, all of the measures that are based on proportions of the population with fixed age thresholds would only increase if the person were moved from below the threshold to above it. The only two measures that satisfy the weak dominance axiom are mean age and RMSA (both of which are cases of our class of structural ageing indices). Finally, RMSA is the only measure that satisfies the age sensitivity axiom. As noted above, mean age is not sensitive to age. All numerical ages are treated equally. In contrast, RMSA weights the calculation of the index by the numerical age, explicitly making the resulting index more sensitive to increases in the proportion of the population at more advanced ages. </w:t>
      </w:r>
    </w:p>
    <w:p w14:paraId="77F5190D" w14:textId="41F49629" w:rsidR="008A1514" w:rsidRDefault="008A1514" w:rsidP="0051697B">
      <w:pPr>
        <w:spacing w:line="24" w:lineRule="atLeast"/>
        <w:ind w:firstLine="720"/>
        <w:jc w:val="both"/>
        <w:rPr>
          <w:rFonts w:eastAsiaTheme="minorEastAsia"/>
          <w:lang w:val="mi-NZ"/>
        </w:rPr>
      </w:pPr>
    </w:p>
    <w:p w14:paraId="1B55E2EE" w14:textId="02532FAE" w:rsidR="008A1514" w:rsidRPr="00994234" w:rsidRDefault="008A1514" w:rsidP="008A1514">
      <w:pPr>
        <w:spacing w:line="360" w:lineRule="auto"/>
        <w:rPr>
          <w:b/>
          <w:bCs/>
          <w:lang w:val="mi-NZ"/>
        </w:rPr>
      </w:pPr>
      <w:r w:rsidRPr="00994234">
        <w:rPr>
          <w:b/>
          <w:bCs/>
          <w:lang w:val="mi-NZ"/>
        </w:rPr>
        <w:t xml:space="preserve">Table 1. </w:t>
      </w:r>
      <w:r w:rsidRPr="008A1514">
        <w:rPr>
          <w:b/>
          <w:bCs/>
          <w:lang w:val="mi-NZ"/>
        </w:rPr>
        <w:t>Measures of structural ageing and satisfying of axioms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40"/>
        <w:gridCol w:w="1440"/>
        <w:gridCol w:w="1440"/>
        <w:gridCol w:w="1440"/>
      </w:tblGrid>
      <w:tr w:rsidR="008A1514" w:rsidRPr="008A1514" w14:paraId="5E3509FD" w14:textId="77777777" w:rsidTr="008A1514">
        <w:trPr>
          <w:trHeight w:val="470"/>
        </w:trPr>
        <w:tc>
          <w:tcPr>
            <w:tcW w:w="3256" w:type="dxa"/>
            <w:tcBorders>
              <w:top w:val="single" w:sz="4" w:space="0" w:color="auto"/>
              <w:bottom w:val="single" w:sz="4" w:space="0" w:color="auto"/>
            </w:tcBorders>
            <w:vAlign w:val="center"/>
            <w:hideMark/>
          </w:tcPr>
          <w:p w14:paraId="66D17353" w14:textId="77777777" w:rsidR="008A1514" w:rsidRPr="008A1514" w:rsidRDefault="008A1514">
            <w:pPr>
              <w:rPr>
                <w:rFonts w:asciiTheme="majorBidi" w:hAnsiTheme="majorBidi" w:cstheme="majorBidi"/>
                <w:b/>
                <w:bCs/>
                <w:sz w:val="22"/>
                <w:szCs w:val="22"/>
                <w:lang w:val="en-NZ" w:eastAsia="zh-CN"/>
              </w:rPr>
            </w:pPr>
            <w:r w:rsidRPr="008A1514">
              <w:rPr>
                <w:rFonts w:asciiTheme="majorBidi" w:hAnsiTheme="majorBidi" w:cstheme="majorBidi"/>
                <w:b/>
                <w:bCs/>
                <w:sz w:val="22"/>
                <w:szCs w:val="22"/>
              </w:rPr>
              <w:t>Measure</w:t>
            </w:r>
          </w:p>
        </w:tc>
        <w:tc>
          <w:tcPr>
            <w:tcW w:w="1440" w:type="dxa"/>
            <w:tcBorders>
              <w:top w:val="single" w:sz="4" w:space="0" w:color="auto"/>
              <w:bottom w:val="single" w:sz="4" w:space="0" w:color="auto"/>
            </w:tcBorders>
            <w:vAlign w:val="center"/>
            <w:hideMark/>
          </w:tcPr>
          <w:p w14:paraId="0C42200E"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Axiom 1 (Population size invariance)</w:t>
            </w:r>
          </w:p>
        </w:tc>
        <w:tc>
          <w:tcPr>
            <w:tcW w:w="1440" w:type="dxa"/>
            <w:tcBorders>
              <w:top w:val="single" w:sz="4" w:space="0" w:color="auto"/>
              <w:bottom w:val="single" w:sz="4" w:space="0" w:color="auto"/>
            </w:tcBorders>
            <w:vAlign w:val="center"/>
            <w:hideMark/>
          </w:tcPr>
          <w:p w14:paraId="5FD477F3"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Axiom 2</w:t>
            </w:r>
          </w:p>
          <w:p w14:paraId="750A8E53"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(Strong dominance)</w:t>
            </w:r>
          </w:p>
        </w:tc>
        <w:tc>
          <w:tcPr>
            <w:tcW w:w="1440" w:type="dxa"/>
            <w:tcBorders>
              <w:top w:val="single" w:sz="4" w:space="0" w:color="auto"/>
              <w:bottom w:val="single" w:sz="4" w:space="0" w:color="auto"/>
            </w:tcBorders>
            <w:vAlign w:val="center"/>
            <w:hideMark/>
          </w:tcPr>
          <w:p w14:paraId="3102F952"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Axiom 3</w:t>
            </w:r>
          </w:p>
          <w:p w14:paraId="5A23794F"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(Weak dominance)</w:t>
            </w:r>
          </w:p>
        </w:tc>
        <w:tc>
          <w:tcPr>
            <w:tcW w:w="1440" w:type="dxa"/>
            <w:tcBorders>
              <w:top w:val="single" w:sz="4" w:space="0" w:color="auto"/>
              <w:bottom w:val="single" w:sz="4" w:space="0" w:color="auto"/>
            </w:tcBorders>
            <w:vAlign w:val="center"/>
            <w:hideMark/>
          </w:tcPr>
          <w:p w14:paraId="1DF1A039"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Axiom 4</w:t>
            </w:r>
          </w:p>
          <w:p w14:paraId="599C59FC" w14:textId="77777777" w:rsidR="008A1514" w:rsidRPr="008A1514" w:rsidRDefault="008A1514">
            <w:pPr>
              <w:jc w:val="center"/>
              <w:rPr>
                <w:rFonts w:asciiTheme="majorBidi" w:hAnsiTheme="majorBidi" w:cstheme="majorBidi"/>
                <w:b/>
                <w:bCs/>
                <w:sz w:val="22"/>
                <w:szCs w:val="22"/>
              </w:rPr>
            </w:pPr>
            <w:r w:rsidRPr="008A1514">
              <w:rPr>
                <w:rFonts w:asciiTheme="majorBidi" w:hAnsiTheme="majorBidi" w:cstheme="majorBidi"/>
                <w:b/>
                <w:bCs/>
                <w:sz w:val="22"/>
                <w:szCs w:val="22"/>
              </w:rPr>
              <w:t>(Age sensitivity)</w:t>
            </w:r>
          </w:p>
        </w:tc>
      </w:tr>
      <w:tr w:rsidR="008A1514" w:rsidRPr="008A1514" w14:paraId="27E69492" w14:textId="77777777" w:rsidTr="008A1514">
        <w:trPr>
          <w:trHeight w:val="460"/>
        </w:trPr>
        <w:tc>
          <w:tcPr>
            <w:tcW w:w="3256" w:type="dxa"/>
            <w:tcBorders>
              <w:top w:val="single" w:sz="4" w:space="0" w:color="auto"/>
            </w:tcBorders>
            <w:vAlign w:val="center"/>
            <w:hideMark/>
          </w:tcPr>
          <w:p w14:paraId="33CD08E6"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Mean age</w:t>
            </w:r>
          </w:p>
        </w:tc>
        <w:tc>
          <w:tcPr>
            <w:tcW w:w="1440" w:type="dxa"/>
            <w:tcBorders>
              <w:top w:val="single" w:sz="4" w:space="0" w:color="auto"/>
            </w:tcBorders>
            <w:vAlign w:val="center"/>
            <w:hideMark/>
          </w:tcPr>
          <w:p w14:paraId="5BDB3F29"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tcBorders>
              <w:top w:val="single" w:sz="4" w:space="0" w:color="auto"/>
            </w:tcBorders>
            <w:vAlign w:val="center"/>
            <w:hideMark/>
          </w:tcPr>
          <w:p w14:paraId="0512FF69"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tcBorders>
              <w:top w:val="single" w:sz="4" w:space="0" w:color="auto"/>
            </w:tcBorders>
            <w:vAlign w:val="center"/>
            <w:hideMark/>
          </w:tcPr>
          <w:p w14:paraId="44DD07C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tcBorders>
              <w:top w:val="single" w:sz="4" w:space="0" w:color="auto"/>
            </w:tcBorders>
            <w:vAlign w:val="center"/>
            <w:hideMark/>
          </w:tcPr>
          <w:p w14:paraId="6E7F622F"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327279BD" w14:textId="77777777" w:rsidTr="008A1514">
        <w:trPr>
          <w:trHeight w:val="460"/>
        </w:trPr>
        <w:tc>
          <w:tcPr>
            <w:tcW w:w="3256" w:type="dxa"/>
            <w:vAlign w:val="center"/>
            <w:hideMark/>
          </w:tcPr>
          <w:p w14:paraId="53DE634E"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Median age</w:t>
            </w:r>
          </w:p>
        </w:tc>
        <w:tc>
          <w:tcPr>
            <w:tcW w:w="1440" w:type="dxa"/>
            <w:vAlign w:val="center"/>
            <w:hideMark/>
          </w:tcPr>
          <w:p w14:paraId="15947F0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7CD910C4"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2E65336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Sometimes</w:t>
            </w:r>
            <w:r w:rsidRPr="008A1514">
              <w:rPr>
                <w:rFonts w:asciiTheme="majorBidi" w:hAnsiTheme="majorBidi" w:cstheme="majorBidi"/>
                <w:sz w:val="22"/>
                <w:szCs w:val="22"/>
                <w:vertAlign w:val="superscript"/>
              </w:rPr>
              <w:t>*</w:t>
            </w:r>
          </w:p>
        </w:tc>
        <w:tc>
          <w:tcPr>
            <w:tcW w:w="1440" w:type="dxa"/>
            <w:vAlign w:val="center"/>
            <w:hideMark/>
          </w:tcPr>
          <w:p w14:paraId="7B70D398"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1FBC7860" w14:textId="77777777" w:rsidTr="008A1514">
        <w:trPr>
          <w:trHeight w:val="460"/>
        </w:trPr>
        <w:tc>
          <w:tcPr>
            <w:tcW w:w="3256" w:type="dxa"/>
            <w:vAlign w:val="center"/>
            <w:hideMark/>
          </w:tcPr>
          <w:p w14:paraId="6CB50387"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Proportion of the population aged 65 years and over</w:t>
            </w:r>
          </w:p>
        </w:tc>
        <w:tc>
          <w:tcPr>
            <w:tcW w:w="1440" w:type="dxa"/>
            <w:vAlign w:val="center"/>
            <w:hideMark/>
          </w:tcPr>
          <w:p w14:paraId="775530E6"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1A41E643"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6D2B51CF"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Sometimes</w:t>
            </w:r>
            <w:r w:rsidRPr="008A1514">
              <w:rPr>
                <w:rFonts w:asciiTheme="majorBidi" w:hAnsiTheme="majorBidi" w:cstheme="majorBidi"/>
                <w:sz w:val="22"/>
                <w:szCs w:val="22"/>
                <w:vertAlign w:val="superscript"/>
              </w:rPr>
              <w:t>*</w:t>
            </w:r>
          </w:p>
        </w:tc>
        <w:tc>
          <w:tcPr>
            <w:tcW w:w="1440" w:type="dxa"/>
            <w:vAlign w:val="center"/>
            <w:hideMark/>
          </w:tcPr>
          <w:p w14:paraId="31EE584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5C1AFAF2" w14:textId="77777777" w:rsidTr="008A1514">
        <w:trPr>
          <w:trHeight w:val="460"/>
        </w:trPr>
        <w:tc>
          <w:tcPr>
            <w:tcW w:w="3256" w:type="dxa"/>
            <w:vAlign w:val="center"/>
            <w:hideMark/>
          </w:tcPr>
          <w:p w14:paraId="1C62CEA6"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Proportion of the population aged 85 years and over</w:t>
            </w:r>
          </w:p>
        </w:tc>
        <w:tc>
          <w:tcPr>
            <w:tcW w:w="1440" w:type="dxa"/>
            <w:vAlign w:val="center"/>
            <w:hideMark/>
          </w:tcPr>
          <w:p w14:paraId="159E6CA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79BA2A69"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75F9FABF"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Sometimes</w:t>
            </w:r>
            <w:r w:rsidRPr="008A1514">
              <w:rPr>
                <w:rFonts w:asciiTheme="majorBidi" w:hAnsiTheme="majorBidi" w:cstheme="majorBidi"/>
                <w:sz w:val="22"/>
                <w:szCs w:val="22"/>
                <w:vertAlign w:val="superscript"/>
              </w:rPr>
              <w:t>*</w:t>
            </w:r>
          </w:p>
        </w:tc>
        <w:tc>
          <w:tcPr>
            <w:tcW w:w="1440" w:type="dxa"/>
            <w:vAlign w:val="center"/>
            <w:hideMark/>
          </w:tcPr>
          <w:p w14:paraId="1215744A"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7789292D" w14:textId="77777777" w:rsidTr="008A1514">
        <w:trPr>
          <w:trHeight w:val="460"/>
        </w:trPr>
        <w:tc>
          <w:tcPr>
            <w:tcW w:w="3256" w:type="dxa"/>
            <w:vAlign w:val="center"/>
            <w:hideMark/>
          </w:tcPr>
          <w:p w14:paraId="1219FB5F"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Child-elder ratio</w:t>
            </w:r>
          </w:p>
        </w:tc>
        <w:tc>
          <w:tcPr>
            <w:tcW w:w="1440" w:type="dxa"/>
            <w:vAlign w:val="center"/>
            <w:hideMark/>
          </w:tcPr>
          <w:p w14:paraId="09CD1CBE"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1CD46577"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1B4541CD"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Sometimes</w:t>
            </w:r>
            <w:r w:rsidRPr="008A1514">
              <w:rPr>
                <w:rFonts w:asciiTheme="majorBidi" w:hAnsiTheme="majorBidi" w:cstheme="majorBidi"/>
                <w:sz w:val="22"/>
                <w:szCs w:val="22"/>
                <w:vertAlign w:val="superscript"/>
              </w:rPr>
              <w:t>*</w:t>
            </w:r>
          </w:p>
        </w:tc>
        <w:tc>
          <w:tcPr>
            <w:tcW w:w="1440" w:type="dxa"/>
            <w:vAlign w:val="center"/>
            <w:hideMark/>
          </w:tcPr>
          <w:p w14:paraId="4AFA1875"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3F62B96C" w14:textId="77777777" w:rsidTr="008A1514">
        <w:trPr>
          <w:trHeight w:val="460"/>
        </w:trPr>
        <w:tc>
          <w:tcPr>
            <w:tcW w:w="3256" w:type="dxa"/>
            <w:vAlign w:val="center"/>
            <w:hideMark/>
          </w:tcPr>
          <w:p w14:paraId="63FD9A08"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Old-age dependency ratio</w:t>
            </w:r>
          </w:p>
        </w:tc>
        <w:tc>
          <w:tcPr>
            <w:tcW w:w="1440" w:type="dxa"/>
            <w:vAlign w:val="center"/>
            <w:hideMark/>
          </w:tcPr>
          <w:p w14:paraId="130B1A52"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2BFD8778"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3842CB9A"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Sometimes</w:t>
            </w:r>
            <w:r w:rsidRPr="008A1514">
              <w:rPr>
                <w:rFonts w:asciiTheme="majorBidi" w:hAnsiTheme="majorBidi" w:cstheme="majorBidi"/>
                <w:sz w:val="22"/>
                <w:szCs w:val="22"/>
                <w:vertAlign w:val="superscript"/>
              </w:rPr>
              <w:t>*</w:t>
            </w:r>
          </w:p>
        </w:tc>
        <w:tc>
          <w:tcPr>
            <w:tcW w:w="1440" w:type="dxa"/>
            <w:vAlign w:val="center"/>
            <w:hideMark/>
          </w:tcPr>
          <w:p w14:paraId="7589B7F2"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No</w:t>
            </w:r>
          </w:p>
        </w:tc>
      </w:tr>
      <w:tr w:rsidR="008A1514" w:rsidRPr="008A1514" w14:paraId="76D9B33B" w14:textId="77777777" w:rsidTr="008A1514">
        <w:trPr>
          <w:trHeight w:val="460"/>
        </w:trPr>
        <w:tc>
          <w:tcPr>
            <w:tcW w:w="3256" w:type="dxa"/>
            <w:vAlign w:val="center"/>
            <w:hideMark/>
          </w:tcPr>
          <w:p w14:paraId="49703D79" w14:textId="77777777" w:rsidR="008A1514" w:rsidRPr="008A1514" w:rsidRDefault="008A1514">
            <w:pPr>
              <w:rPr>
                <w:rFonts w:asciiTheme="majorBidi" w:hAnsiTheme="majorBidi" w:cstheme="majorBidi"/>
                <w:sz w:val="22"/>
                <w:szCs w:val="22"/>
              </w:rPr>
            </w:pPr>
            <w:r w:rsidRPr="008A1514">
              <w:rPr>
                <w:rFonts w:asciiTheme="majorBidi" w:hAnsiTheme="majorBidi" w:cstheme="majorBidi"/>
                <w:sz w:val="22"/>
                <w:szCs w:val="22"/>
              </w:rPr>
              <w:t>General class of structural ageing indices (including RMSA)</w:t>
            </w:r>
          </w:p>
        </w:tc>
        <w:tc>
          <w:tcPr>
            <w:tcW w:w="1440" w:type="dxa"/>
            <w:vAlign w:val="center"/>
            <w:hideMark/>
          </w:tcPr>
          <w:p w14:paraId="71F3319B"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19C301AB"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6923C86C"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c>
          <w:tcPr>
            <w:tcW w:w="1440" w:type="dxa"/>
            <w:vAlign w:val="center"/>
            <w:hideMark/>
          </w:tcPr>
          <w:p w14:paraId="1CCCC621" w14:textId="77777777" w:rsidR="008A1514" w:rsidRPr="008A1514" w:rsidRDefault="008A1514">
            <w:pPr>
              <w:jc w:val="center"/>
              <w:rPr>
                <w:rFonts w:asciiTheme="majorBidi" w:hAnsiTheme="majorBidi" w:cstheme="majorBidi"/>
                <w:sz w:val="22"/>
                <w:szCs w:val="22"/>
              </w:rPr>
            </w:pPr>
            <w:r w:rsidRPr="008A1514">
              <w:rPr>
                <w:rFonts w:asciiTheme="majorBidi" w:hAnsiTheme="majorBidi" w:cstheme="majorBidi"/>
                <w:sz w:val="22"/>
                <w:szCs w:val="22"/>
              </w:rPr>
              <w:t>Yes</w:t>
            </w:r>
          </w:p>
        </w:tc>
      </w:tr>
    </w:tbl>
    <w:p w14:paraId="073B7E17" w14:textId="628484B5" w:rsidR="008A1514" w:rsidRPr="00490C2C" w:rsidRDefault="00670435" w:rsidP="00670435">
      <w:pPr>
        <w:spacing w:line="480" w:lineRule="auto"/>
        <w:jc w:val="both"/>
        <w:rPr>
          <w:sz w:val="20"/>
          <w:szCs w:val="20"/>
          <w:lang w:val="mi-NZ"/>
        </w:rPr>
      </w:pPr>
      <w:r>
        <w:rPr>
          <w:sz w:val="20"/>
          <w:szCs w:val="20"/>
          <w:lang w:val="mi-NZ"/>
        </w:rPr>
        <w:t>N.B.</w:t>
      </w:r>
      <w:r w:rsidR="008A1514">
        <w:rPr>
          <w:sz w:val="20"/>
          <w:szCs w:val="20"/>
          <w:lang w:val="mi-NZ"/>
        </w:rPr>
        <w:t xml:space="preserve"> </w:t>
      </w:r>
      <w:r w:rsidR="008A1514" w:rsidRPr="008A1514">
        <w:rPr>
          <w:sz w:val="20"/>
          <w:szCs w:val="20"/>
          <w:vertAlign w:val="superscript"/>
          <w:lang w:val="mi-NZ"/>
        </w:rPr>
        <w:t>*</w:t>
      </w:r>
      <w:r w:rsidR="008A1514" w:rsidRPr="008A1514">
        <w:rPr>
          <w:sz w:val="20"/>
          <w:szCs w:val="20"/>
          <w:lang w:val="mi-NZ"/>
        </w:rPr>
        <w:t xml:space="preserve"> These measures satisfy the weak dominance axiom only in some restricted cases, as noted in the text</w:t>
      </w:r>
      <w:r w:rsidR="008A1514">
        <w:rPr>
          <w:sz w:val="20"/>
          <w:szCs w:val="20"/>
          <w:lang w:val="mi-NZ"/>
        </w:rPr>
        <w:t>.</w:t>
      </w:r>
    </w:p>
    <w:p w14:paraId="5F318D4B" w14:textId="241681A4" w:rsidR="008A1514" w:rsidRDefault="008A1514" w:rsidP="0051697B">
      <w:pPr>
        <w:spacing w:line="24" w:lineRule="atLeast"/>
        <w:ind w:firstLine="720"/>
        <w:jc w:val="both"/>
        <w:rPr>
          <w:rFonts w:eastAsiaTheme="minorEastAsia"/>
          <w:lang w:val="mi-NZ"/>
        </w:rPr>
      </w:pPr>
    </w:p>
    <w:p w14:paraId="0E78391D" w14:textId="77777777" w:rsidR="008A1514" w:rsidRDefault="008A1514" w:rsidP="0051697B">
      <w:pPr>
        <w:spacing w:line="24" w:lineRule="atLeast"/>
        <w:ind w:firstLine="720"/>
        <w:jc w:val="both"/>
        <w:rPr>
          <w:rFonts w:eastAsiaTheme="minorEastAsia"/>
          <w:lang w:val="mi-NZ"/>
        </w:rPr>
      </w:pPr>
    </w:p>
    <w:p w14:paraId="52B9C928" w14:textId="35A23DC1" w:rsidR="007E596C" w:rsidRDefault="008A1514" w:rsidP="00BA1FF4">
      <w:pPr>
        <w:pStyle w:val="ListParagraph"/>
        <w:numPr>
          <w:ilvl w:val="0"/>
          <w:numId w:val="1"/>
        </w:numPr>
        <w:spacing w:after="160" w:line="24" w:lineRule="atLeast"/>
        <w:ind w:hanging="720"/>
        <w:jc w:val="both"/>
        <w:rPr>
          <w:b/>
          <w:bCs/>
          <w:lang w:val="mi-NZ"/>
        </w:rPr>
      </w:pPr>
      <w:r w:rsidRPr="008A1514">
        <w:rPr>
          <w:b/>
          <w:bCs/>
          <w:lang w:val="mi-NZ"/>
        </w:rPr>
        <w:t>Methods and Data</w:t>
      </w:r>
    </w:p>
    <w:p w14:paraId="6B312C39" w14:textId="77777777" w:rsidR="00AB5A35" w:rsidRPr="007D243F" w:rsidRDefault="00AB5A35" w:rsidP="00AB5A35">
      <w:pPr>
        <w:pStyle w:val="ListParagraph"/>
        <w:spacing w:after="160" w:line="24" w:lineRule="atLeast"/>
        <w:ind w:left="360"/>
        <w:jc w:val="both"/>
        <w:rPr>
          <w:b/>
          <w:bCs/>
          <w:lang w:val="mi-NZ"/>
        </w:rPr>
      </w:pPr>
    </w:p>
    <w:p w14:paraId="4F537D6D" w14:textId="77777777" w:rsidR="008A1514" w:rsidRDefault="008A1514" w:rsidP="00BA1FF4">
      <w:pPr>
        <w:spacing w:line="24" w:lineRule="atLeast"/>
        <w:jc w:val="both"/>
        <w:rPr>
          <w:lang w:val="mi-NZ"/>
        </w:rPr>
      </w:pPr>
      <w:r w:rsidRPr="008A1514">
        <w:rPr>
          <w:lang w:val="mi-NZ"/>
        </w:rPr>
        <w:t xml:space="preserve">We now turn our attention to the important question of whether the choice of structural ageing measure matters for a decision-maker. In other words, what is the likelihood that a decision-maker draws an incorrect inference due to their use of a structural ageing measure that does not satisfy one or more of the axioms outlined in the previous section? In addressing this question, we treat RMSA as the ‘gold standard’, being the only measure of those we consider that satisfies all four axioms. We first calculate the RMSA measure for different populations, and rank the populations from the ‘oldest’ (highest RMSA) to ‘youngest’ (lowest RMSA). We </w:t>
      </w:r>
      <w:r w:rsidRPr="008A1514">
        <w:rPr>
          <w:lang w:val="mi-NZ"/>
        </w:rPr>
        <w:lastRenderedPageBreak/>
        <w:t>then calculate the other measures of structural ageing for each population, and calculate the Pearson correlation between each of the measures, focusing in particular on their correlation with RMSA. There is no expectation that the observed relationship between RMSA and other measures of structural ageing will be linear, as assumed by the Pearson correlation coefficient. Accordingly, we also rank each population based on each measure of structural ageing, and calculate the Spearman rank correlation between each of the measures, again focusing on the rank correlation with RMSA. A high correlation between a particular measure and RMSA, and especially a high rank correlation, would suggest that there should be little concern about incorrect inferences being drawn from that measure</w:t>
      </w:r>
      <w:r w:rsidR="007E596C">
        <w:rPr>
          <w:lang w:val="mi-NZ"/>
        </w:rPr>
        <w:t>.</w:t>
      </w:r>
    </w:p>
    <w:p w14:paraId="3B6DFC26" w14:textId="77777777" w:rsidR="008A1514" w:rsidRDefault="008A1514" w:rsidP="00BA1FF4">
      <w:pPr>
        <w:spacing w:line="24" w:lineRule="atLeast"/>
        <w:jc w:val="both"/>
        <w:rPr>
          <w:lang w:val="mi-NZ"/>
        </w:rPr>
      </w:pPr>
    </w:p>
    <w:p w14:paraId="2D247A0E" w14:textId="33BE04B1" w:rsidR="008A1514" w:rsidRDefault="008A1514" w:rsidP="001C1A90">
      <w:pPr>
        <w:spacing w:line="24" w:lineRule="atLeast"/>
        <w:ind w:firstLine="357"/>
        <w:jc w:val="both"/>
        <w:rPr>
          <w:lang w:val="mi-NZ"/>
        </w:rPr>
      </w:pPr>
      <w:r>
        <w:t xml:space="preserve">We apply this procedure to three sets of population data, covering different geographies, different levels of spatial aggregation, and different time periods. This allows us to assess any differences in the correlations across a variety of different datasets and contexts. First, we use data from </w:t>
      </w:r>
      <w:r w:rsidR="008F03D5">
        <w:t xml:space="preserve">the </w:t>
      </w:r>
      <w:r>
        <w:t>U</w:t>
      </w:r>
      <w:r w:rsidR="008F03D5">
        <w:t>nited Nations</w:t>
      </w:r>
      <w:r>
        <w:t xml:space="preserve"> World Population Prospects</w:t>
      </w:r>
      <w:r w:rsidR="001C1A90">
        <w:t>.</w:t>
      </w:r>
      <w:r w:rsidR="001C1A90">
        <w:rPr>
          <w:rStyle w:val="FootnoteReference"/>
        </w:rPr>
        <w:footnoteReference w:id="2"/>
      </w:r>
      <w:r>
        <w:t xml:space="preserve"> These data include population estimates by five-year age group and sex for 201 countries, covering every year in the period from 1950 to 2020. We use data on both sexes combined, and calculate the structural ageing measures and correlations for the first year in each decade (i.e. 1950, 1960, 1970, 1980, 1990, 2000, 2010, and 2020). These data also include population projections by five-year age group and sex for the same 201 countries, covering every year from 2020 to 2100. We use the same approach as for the population estimates, calculating the structural ageing measures and correlations based on data for both sexes combined from the medium variant projections, for the first year in each decade (i.e. 2030, 2040, 2050, 2060, 2070, 2080, 2090, and 2100). This results in 16 correlations (and rank correlations), each based on 201 country-level data points.</w:t>
      </w:r>
    </w:p>
    <w:p w14:paraId="49CEA08D" w14:textId="77777777" w:rsidR="008A1514" w:rsidRDefault="008A1514" w:rsidP="00BA1FF4">
      <w:pPr>
        <w:spacing w:line="24" w:lineRule="atLeast"/>
        <w:ind w:firstLine="357"/>
        <w:jc w:val="both"/>
      </w:pPr>
    </w:p>
    <w:p w14:paraId="68F1F7F2" w14:textId="275DC41A" w:rsidR="008A1514" w:rsidRDefault="008A1514" w:rsidP="001C1A90">
      <w:pPr>
        <w:spacing w:line="24" w:lineRule="atLeast"/>
        <w:ind w:firstLine="357"/>
        <w:jc w:val="both"/>
        <w:rPr>
          <w:lang w:val="mi-NZ"/>
        </w:rPr>
      </w:pPr>
      <w:r>
        <w:t xml:space="preserve">Second, we use data from </w:t>
      </w:r>
      <w:r w:rsidR="008F03D5">
        <w:t xml:space="preserve">the </w:t>
      </w:r>
      <w:r w:rsidR="001C1A90">
        <w:t>US Census Bureau</w:t>
      </w:r>
      <w:r>
        <w:t>.</w:t>
      </w:r>
      <w:r w:rsidR="001C1A90">
        <w:rPr>
          <w:rStyle w:val="FootnoteReference"/>
        </w:rPr>
        <w:footnoteReference w:id="3"/>
      </w:r>
      <w:r>
        <w:t xml:space="preserve"> These data include population estimates by five-year age group and sex for all fifty states and the District of Columbia, covering every year in the period from 1980 to 2018. As with the country-level data, we use data on both sexes combined, and calculate the structural ageing measures and correlations for the first year in each decade (i.e. 1980, 1990, 2000, and 2010), and for 2018 as the latest year of available data. State-level population projections are no longer available from the US Census Bureau, so we limit our analysis to the resulting five correlations (and rank correlations), based on 51 state-level data points.</w:t>
      </w:r>
    </w:p>
    <w:p w14:paraId="4E1F7D1A" w14:textId="77777777" w:rsidR="008A1514" w:rsidRDefault="008A1514" w:rsidP="00BA1FF4">
      <w:pPr>
        <w:spacing w:line="24" w:lineRule="atLeast"/>
        <w:ind w:firstLine="357"/>
        <w:jc w:val="both"/>
      </w:pPr>
    </w:p>
    <w:p w14:paraId="7C904529" w14:textId="6BB75ADF" w:rsidR="008A1514" w:rsidRDefault="008A1514" w:rsidP="001C1A90">
      <w:pPr>
        <w:spacing w:line="24" w:lineRule="atLeast"/>
        <w:ind w:firstLine="357"/>
        <w:jc w:val="both"/>
      </w:pPr>
      <w:r>
        <w:t>Third, we use data from Statistic</w:t>
      </w:r>
      <w:r w:rsidR="008F03D5">
        <w:t>s</w:t>
      </w:r>
      <w:r>
        <w:t xml:space="preserve"> </w:t>
      </w:r>
      <w:r w:rsidR="008F03D5">
        <w:t>New Zealand</w:t>
      </w:r>
      <w:r>
        <w:t>.</w:t>
      </w:r>
      <w:r w:rsidR="001C1A90">
        <w:rPr>
          <w:rStyle w:val="FootnoteReference"/>
        </w:rPr>
        <w:footnoteReference w:id="4"/>
      </w:r>
      <w:r>
        <w:t xml:space="preserve"> These data include population estimates by five-year age group and sex for 87 territorial authorities and local boards (being the most disaggregated administrative areas).</w:t>
      </w:r>
      <w:r>
        <w:rPr>
          <w:rStyle w:val="FootnoteReference"/>
        </w:rPr>
        <w:footnoteReference w:id="5"/>
      </w:r>
      <w:r>
        <w:t xml:space="preserve"> As with the other datasets, we use data on both sexes combined, and calculate the structural ageing measures and correlations at approximately decadal intervals, coinciding with a national population census (i.e. 1996, 2006, and 2018). These data also include population projections by five-year age group and sex for the same 87 territorial authorities and local boards, covering every five years from 2018 to 2048. We use the same approach as for the population estimates, calculating the structural ageing measures and correlations based on data for both sexes combined from the medium variant projections at decadal intervals (i.e. 2028, 2038, and 2048). This results in 6 correlations (and rank correlations), each based on 87 data points at the territorial authority and local board level.</w:t>
      </w:r>
    </w:p>
    <w:p w14:paraId="56F4016C" w14:textId="0A2B0A60" w:rsidR="008A1514" w:rsidRDefault="008A1514" w:rsidP="008A1514">
      <w:pPr>
        <w:spacing w:line="24" w:lineRule="atLeast"/>
        <w:ind w:firstLine="357"/>
      </w:pPr>
    </w:p>
    <w:p w14:paraId="2B13E981" w14:textId="77777777" w:rsidR="00697F2C" w:rsidRPr="004D0126" w:rsidRDefault="00697F2C" w:rsidP="00697F2C">
      <w:pPr>
        <w:spacing w:line="24" w:lineRule="atLeast"/>
        <w:ind w:firstLine="360"/>
        <w:jc w:val="both"/>
        <w:rPr>
          <w:lang w:val="mi-NZ"/>
        </w:rPr>
      </w:pPr>
    </w:p>
    <w:p w14:paraId="3115C320" w14:textId="5FBF12C7" w:rsidR="007E596C" w:rsidRDefault="00670435" w:rsidP="00BA1FF4">
      <w:pPr>
        <w:pStyle w:val="ListParagraph"/>
        <w:numPr>
          <w:ilvl w:val="0"/>
          <w:numId w:val="1"/>
        </w:numPr>
        <w:spacing w:after="160" w:line="24" w:lineRule="atLeast"/>
        <w:ind w:left="709" w:hanging="709"/>
        <w:jc w:val="both"/>
        <w:rPr>
          <w:b/>
          <w:bCs/>
          <w:lang w:val="mi-NZ"/>
        </w:rPr>
      </w:pPr>
      <w:r>
        <w:rPr>
          <w:b/>
          <w:bCs/>
          <w:lang w:val="mi-NZ"/>
        </w:rPr>
        <w:t>Results</w:t>
      </w:r>
    </w:p>
    <w:p w14:paraId="6B7A59B9" w14:textId="77777777" w:rsidR="00AB5A35" w:rsidRPr="007D243F" w:rsidRDefault="00AB5A35" w:rsidP="00AB5A35">
      <w:pPr>
        <w:pStyle w:val="ListParagraph"/>
        <w:spacing w:after="160" w:line="24" w:lineRule="atLeast"/>
        <w:ind w:left="360"/>
        <w:jc w:val="both"/>
        <w:rPr>
          <w:b/>
          <w:bCs/>
          <w:lang w:val="mi-NZ"/>
        </w:rPr>
      </w:pPr>
    </w:p>
    <w:p w14:paraId="2AEB6876" w14:textId="12CFBA02" w:rsidR="007E596C" w:rsidRDefault="00670435" w:rsidP="00AB5A35">
      <w:pPr>
        <w:spacing w:line="24" w:lineRule="atLeast"/>
        <w:jc w:val="both"/>
        <w:rPr>
          <w:lang w:val="mi-NZ"/>
        </w:rPr>
      </w:pPr>
      <w:r w:rsidRPr="00670435">
        <w:rPr>
          <w:lang w:val="mi-NZ"/>
        </w:rPr>
        <w:t>As an example of the various measures of structural ageing, Table 2 presents three examples from the country-level data for 2020. Uganda has among the youngest age distributions across all 201 countries. It has a median age of just 16.7 years, and less than two percent of the population is aged 65 years and under. It is ranked within the six youngest countries in all of the measures of structural ageing, and is the youngest based on the RMSA, with a value of 26.8. Morocco is close to the middle of all countries in terms of its age distribution. It has a median age of 29.5 years, and 7.6 percent of the population is aged 65 years and over. Its ranking varies from 94th (old-age dependency ratio) to 115th (proportion aged 85 years and over), and is 97th based on the RMSA, with a value of 38.2. Japan has the oldest age distribution among all countries. It has a median age of 47.5 years, and 28.4 percent of the population is aged 65 years and over, and nearly 5 percent aged 85 years and over. It is ranked as the oldest country in the world for all of the measures of structural ageing, and has a RMSA value of 53.3</w:t>
      </w:r>
      <w:r w:rsidR="007E596C">
        <w:rPr>
          <w:lang w:val="mi-NZ"/>
        </w:rPr>
        <w:t xml:space="preserve">. </w:t>
      </w:r>
    </w:p>
    <w:p w14:paraId="461FAC47" w14:textId="4B9CBD2E" w:rsidR="00670435" w:rsidRDefault="00670435" w:rsidP="00AB5A35">
      <w:pPr>
        <w:spacing w:line="24" w:lineRule="atLeast"/>
        <w:jc w:val="both"/>
        <w:rPr>
          <w:lang w:val="mi-NZ"/>
        </w:rPr>
      </w:pPr>
    </w:p>
    <w:p w14:paraId="57125B8F" w14:textId="5AA3F766" w:rsidR="00670435" w:rsidRDefault="00670435" w:rsidP="00AB5A35">
      <w:pPr>
        <w:spacing w:line="24" w:lineRule="atLeast"/>
        <w:jc w:val="both"/>
        <w:rPr>
          <w:lang w:val="mi-NZ"/>
        </w:rPr>
      </w:pPr>
    </w:p>
    <w:p w14:paraId="25A8A62F" w14:textId="1B91E333" w:rsidR="00670435" w:rsidRPr="00994234" w:rsidRDefault="00670435" w:rsidP="00670435">
      <w:pPr>
        <w:spacing w:line="360" w:lineRule="auto"/>
        <w:rPr>
          <w:b/>
          <w:bCs/>
          <w:lang w:val="mi-NZ"/>
        </w:rPr>
      </w:pPr>
      <w:r w:rsidRPr="00994234">
        <w:rPr>
          <w:b/>
          <w:bCs/>
          <w:lang w:val="mi-NZ"/>
        </w:rPr>
        <w:t xml:space="preserve">Table </w:t>
      </w:r>
      <w:r>
        <w:rPr>
          <w:b/>
          <w:bCs/>
          <w:lang w:val="mi-NZ"/>
        </w:rPr>
        <w:t>2</w:t>
      </w:r>
      <w:r w:rsidRPr="00994234">
        <w:rPr>
          <w:b/>
          <w:bCs/>
          <w:lang w:val="mi-NZ"/>
        </w:rPr>
        <w:t xml:space="preserve">. </w:t>
      </w:r>
      <w:r w:rsidRPr="00670435">
        <w:rPr>
          <w:b/>
          <w:bCs/>
          <w:lang w:val="mi-NZ"/>
        </w:rPr>
        <w:t>Measures of structural ageing for selected countries,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670435" w14:paraId="7AAA61E8" w14:textId="77777777" w:rsidTr="00670435">
        <w:trPr>
          <w:trHeight w:val="470"/>
        </w:trPr>
        <w:tc>
          <w:tcPr>
            <w:tcW w:w="3256" w:type="dxa"/>
            <w:tcBorders>
              <w:top w:val="single" w:sz="4" w:space="0" w:color="auto"/>
              <w:bottom w:val="single" w:sz="4" w:space="0" w:color="auto"/>
            </w:tcBorders>
            <w:vAlign w:val="center"/>
            <w:hideMark/>
          </w:tcPr>
          <w:p w14:paraId="75702BA1" w14:textId="77777777" w:rsidR="00670435" w:rsidRPr="00442A5D" w:rsidRDefault="00670435">
            <w:pPr>
              <w:rPr>
                <w:rFonts w:asciiTheme="majorBidi" w:hAnsiTheme="majorBidi" w:cstheme="majorBidi"/>
                <w:b/>
                <w:bCs/>
                <w:sz w:val="22"/>
                <w:szCs w:val="22"/>
                <w:lang w:val="en-NZ" w:eastAsia="zh-CN"/>
              </w:rPr>
            </w:pPr>
            <w:r w:rsidRPr="00442A5D">
              <w:rPr>
                <w:rFonts w:asciiTheme="majorBidi" w:hAnsiTheme="majorBidi" w:cstheme="majorBidi"/>
                <w:b/>
                <w:bCs/>
                <w:sz w:val="22"/>
                <w:szCs w:val="22"/>
              </w:rPr>
              <w:t>Measure</w:t>
            </w:r>
          </w:p>
        </w:tc>
        <w:tc>
          <w:tcPr>
            <w:tcW w:w="1920" w:type="dxa"/>
            <w:tcBorders>
              <w:top w:val="single" w:sz="4" w:space="0" w:color="auto"/>
              <w:bottom w:val="single" w:sz="4" w:space="0" w:color="auto"/>
            </w:tcBorders>
            <w:vAlign w:val="center"/>
            <w:hideMark/>
          </w:tcPr>
          <w:p w14:paraId="6B46B9C5" w14:textId="77777777" w:rsidR="00670435" w:rsidRPr="00442A5D" w:rsidRDefault="00670435">
            <w:pPr>
              <w:jc w:val="center"/>
              <w:rPr>
                <w:rFonts w:asciiTheme="majorBidi" w:hAnsiTheme="majorBidi" w:cstheme="majorBidi"/>
                <w:b/>
                <w:bCs/>
                <w:sz w:val="22"/>
                <w:szCs w:val="22"/>
              </w:rPr>
            </w:pPr>
            <w:r w:rsidRPr="00442A5D">
              <w:rPr>
                <w:rFonts w:asciiTheme="majorBidi" w:hAnsiTheme="majorBidi" w:cstheme="majorBidi"/>
                <w:b/>
                <w:bCs/>
                <w:sz w:val="22"/>
                <w:szCs w:val="22"/>
              </w:rPr>
              <w:t>Uganda</w:t>
            </w:r>
          </w:p>
        </w:tc>
        <w:tc>
          <w:tcPr>
            <w:tcW w:w="1920" w:type="dxa"/>
            <w:tcBorders>
              <w:top w:val="single" w:sz="4" w:space="0" w:color="auto"/>
              <w:bottom w:val="single" w:sz="4" w:space="0" w:color="auto"/>
            </w:tcBorders>
            <w:vAlign w:val="center"/>
            <w:hideMark/>
          </w:tcPr>
          <w:p w14:paraId="1351A531" w14:textId="77777777" w:rsidR="00670435" w:rsidRPr="00442A5D" w:rsidRDefault="00670435">
            <w:pPr>
              <w:jc w:val="center"/>
              <w:rPr>
                <w:rFonts w:asciiTheme="majorBidi" w:hAnsiTheme="majorBidi" w:cstheme="majorBidi"/>
                <w:b/>
                <w:bCs/>
                <w:sz w:val="22"/>
                <w:szCs w:val="22"/>
              </w:rPr>
            </w:pPr>
            <w:r w:rsidRPr="00442A5D">
              <w:rPr>
                <w:rFonts w:asciiTheme="majorBidi" w:hAnsiTheme="majorBidi" w:cstheme="majorBidi"/>
                <w:b/>
                <w:bCs/>
                <w:sz w:val="22"/>
                <w:szCs w:val="22"/>
              </w:rPr>
              <w:t>Morocco</w:t>
            </w:r>
          </w:p>
        </w:tc>
        <w:tc>
          <w:tcPr>
            <w:tcW w:w="1920" w:type="dxa"/>
            <w:tcBorders>
              <w:top w:val="single" w:sz="4" w:space="0" w:color="auto"/>
              <w:bottom w:val="single" w:sz="4" w:space="0" w:color="auto"/>
            </w:tcBorders>
            <w:vAlign w:val="center"/>
            <w:hideMark/>
          </w:tcPr>
          <w:p w14:paraId="3E3B0E8F" w14:textId="77777777" w:rsidR="00670435" w:rsidRPr="00442A5D" w:rsidRDefault="00670435">
            <w:pPr>
              <w:jc w:val="center"/>
              <w:rPr>
                <w:rFonts w:asciiTheme="majorBidi" w:hAnsiTheme="majorBidi" w:cstheme="majorBidi"/>
                <w:b/>
                <w:bCs/>
                <w:sz w:val="22"/>
                <w:szCs w:val="22"/>
              </w:rPr>
            </w:pPr>
            <w:r w:rsidRPr="00442A5D">
              <w:rPr>
                <w:rFonts w:asciiTheme="majorBidi" w:hAnsiTheme="majorBidi" w:cstheme="majorBidi"/>
                <w:b/>
                <w:bCs/>
                <w:sz w:val="22"/>
                <w:szCs w:val="22"/>
              </w:rPr>
              <w:t>Japan</w:t>
            </w:r>
          </w:p>
        </w:tc>
      </w:tr>
      <w:tr w:rsidR="00670435" w14:paraId="62FC9267" w14:textId="77777777" w:rsidTr="00442A5D">
        <w:trPr>
          <w:trHeight w:val="460"/>
        </w:trPr>
        <w:tc>
          <w:tcPr>
            <w:tcW w:w="3256" w:type="dxa"/>
            <w:tcBorders>
              <w:top w:val="single" w:sz="4" w:space="0" w:color="auto"/>
            </w:tcBorders>
            <w:vAlign w:val="center"/>
            <w:hideMark/>
          </w:tcPr>
          <w:p w14:paraId="757AF8F0"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Mean age</w:t>
            </w:r>
          </w:p>
        </w:tc>
        <w:tc>
          <w:tcPr>
            <w:tcW w:w="1920" w:type="dxa"/>
            <w:tcBorders>
              <w:top w:val="single" w:sz="4" w:space="0" w:color="auto"/>
            </w:tcBorders>
            <w:vAlign w:val="center"/>
            <w:hideMark/>
          </w:tcPr>
          <w:p w14:paraId="09AD128A"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20.90</w:t>
            </w:r>
          </w:p>
          <w:p w14:paraId="4FACFBA4"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[196</w:t>
            </w:r>
            <w:r w:rsidRPr="00A015FE">
              <w:rPr>
                <w:rFonts w:asciiTheme="majorBidi" w:hAnsiTheme="majorBidi" w:cstheme="majorBidi"/>
                <w:sz w:val="22"/>
                <w:szCs w:val="22"/>
                <w:vertAlign w:val="superscript"/>
              </w:rPr>
              <w:t>th</w:t>
            </w:r>
            <w:r w:rsidRPr="00A015FE">
              <w:rPr>
                <w:rFonts w:asciiTheme="majorBidi" w:hAnsiTheme="majorBidi" w:cstheme="majorBidi"/>
                <w:sz w:val="22"/>
                <w:szCs w:val="22"/>
              </w:rPr>
              <w:t>]</w:t>
            </w:r>
          </w:p>
        </w:tc>
        <w:tc>
          <w:tcPr>
            <w:tcW w:w="1920" w:type="dxa"/>
            <w:tcBorders>
              <w:top w:val="single" w:sz="4" w:space="0" w:color="auto"/>
            </w:tcBorders>
            <w:vAlign w:val="center"/>
            <w:hideMark/>
          </w:tcPr>
          <w:p w14:paraId="3A3EB5AB"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31.89</w:t>
            </w:r>
          </w:p>
          <w:p w14:paraId="12CC3AF7"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[103</w:t>
            </w:r>
            <w:r w:rsidRPr="001D1DE8">
              <w:rPr>
                <w:rFonts w:asciiTheme="majorBidi" w:hAnsiTheme="majorBidi" w:cstheme="majorBidi"/>
                <w:color w:val="000000"/>
                <w:sz w:val="22"/>
                <w:szCs w:val="22"/>
                <w:vertAlign w:val="superscript"/>
              </w:rPr>
              <w:t>rd</w:t>
            </w:r>
            <w:r w:rsidRPr="001D1DE8">
              <w:rPr>
                <w:rFonts w:asciiTheme="majorBidi" w:hAnsiTheme="majorBidi" w:cstheme="majorBidi"/>
                <w:color w:val="000000"/>
                <w:sz w:val="22"/>
                <w:szCs w:val="22"/>
              </w:rPr>
              <w:t>]</w:t>
            </w:r>
          </w:p>
        </w:tc>
        <w:tc>
          <w:tcPr>
            <w:tcW w:w="1920" w:type="dxa"/>
            <w:tcBorders>
              <w:top w:val="single" w:sz="4" w:space="0" w:color="auto"/>
            </w:tcBorders>
            <w:vAlign w:val="center"/>
            <w:hideMark/>
          </w:tcPr>
          <w:p w14:paraId="3FFEC10A"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47.45</w:t>
            </w:r>
          </w:p>
          <w:p w14:paraId="2B407606"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1EBC3AE8" w14:textId="77777777" w:rsidTr="00442A5D">
        <w:trPr>
          <w:trHeight w:val="460"/>
        </w:trPr>
        <w:tc>
          <w:tcPr>
            <w:tcW w:w="3256" w:type="dxa"/>
            <w:vAlign w:val="center"/>
            <w:hideMark/>
          </w:tcPr>
          <w:p w14:paraId="0E896B89"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Median age</w:t>
            </w:r>
          </w:p>
        </w:tc>
        <w:tc>
          <w:tcPr>
            <w:tcW w:w="1920" w:type="dxa"/>
            <w:vAlign w:val="center"/>
            <w:hideMark/>
          </w:tcPr>
          <w:p w14:paraId="48EF32BF"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16.73</w:t>
            </w:r>
          </w:p>
          <w:p w14:paraId="1B7AAA46"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[200</w:t>
            </w:r>
            <w:r w:rsidRPr="00A015FE">
              <w:rPr>
                <w:rFonts w:asciiTheme="majorBidi" w:hAnsiTheme="majorBidi" w:cstheme="majorBidi"/>
                <w:sz w:val="22"/>
                <w:szCs w:val="22"/>
                <w:vertAlign w:val="superscript"/>
              </w:rPr>
              <w:t>th</w:t>
            </w:r>
            <w:r w:rsidRPr="00A015FE">
              <w:rPr>
                <w:rFonts w:asciiTheme="majorBidi" w:hAnsiTheme="majorBidi" w:cstheme="majorBidi"/>
                <w:sz w:val="22"/>
                <w:szCs w:val="22"/>
              </w:rPr>
              <w:t>]</w:t>
            </w:r>
          </w:p>
        </w:tc>
        <w:tc>
          <w:tcPr>
            <w:tcW w:w="1920" w:type="dxa"/>
            <w:vAlign w:val="center"/>
            <w:hideMark/>
          </w:tcPr>
          <w:p w14:paraId="4BE2ED96"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29.54</w:t>
            </w:r>
          </w:p>
          <w:p w14:paraId="5BC16922"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[106</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w:t>
            </w:r>
          </w:p>
        </w:tc>
        <w:tc>
          <w:tcPr>
            <w:tcW w:w="1920" w:type="dxa"/>
            <w:vAlign w:val="center"/>
            <w:hideMark/>
          </w:tcPr>
          <w:p w14:paraId="25EB2ECB"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 xml:space="preserve">48.36 </w:t>
            </w:r>
          </w:p>
          <w:p w14:paraId="4A6EFBBC"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07A03FC3" w14:textId="77777777" w:rsidTr="00442A5D">
        <w:trPr>
          <w:trHeight w:val="614"/>
        </w:trPr>
        <w:tc>
          <w:tcPr>
            <w:tcW w:w="3256" w:type="dxa"/>
            <w:vAlign w:val="center"/>
            <w:hideMark/>
          </w:tcPr>
          <w:p w14:paraId="362CA76E" w14:textId="4332EBE9"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Proportion of the population aged 65 years and over</w:t>
            </w:r>
          </w:p>
        </w:tc>
        <w:tc>
          <w:tcPr>
            <w:tcW w:w="1920" w:type="dxa"/>
            <w:vAlign w:val="center"/>
            <w:hideMark/>
          </w:tcPr>
          <w:p w14:paraId="6A1FF5EF" w14:textId="77777777" w:rsidR="00670435" w:rsidRPr="00A015FE" w:rsidRDefault="00670435">
            <w:pPr>
              <w:jc w:val="center"/>
              <w:rPr>
                <w:rFonts w:asciiTheme="majorBidi" w:hAnsiTheme="majorBidi" w:cstheme="majorBidi"/>
                <w:color w:val="000000"/>
                <w:sz w:val="22"/>
                <w:szCs w:val="22"/>
              </w:rPr>
            </w:pPr>
            <w:r w:rsidRPr="00A015FE">
              <w:rPr>
                <w:rFonts w:asciiTheme="majorBidi" w:hAnsiTheme="majorBidi" w:cstheme="majorBidi"/>
                <w:color w:val="000000"/>
                <w:sz w:val="22"/>
                <w:szCs w:val="22"/>
              </w:rPr>
              <w:t>1.99%</w:t>
            </w:r>
          </w:p>
          <w:p w14:paraId="672ABCE5"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color w:val="000000"/>
                <w:sz w:val="22"/>
                <w:szCs w:val="22"/>
              </w:rPr>
              <w:t>[199</w:t>
            </w:r>
            <w:r w:rsidRPr="00A015FE">
              <w:rPr>
                <w:rFonts w:asciiTheme="majorBidi" w:hAnsiTheme="majorBidi" w:cstheme="majorBidi"/>
                <w:color w:val="000000"/>
                <w:sz w:val="22"/>
                <w:szCs w:val="22"/>
                <w:vertAlign w:val="superscript"/>
              </w:rPr>
              <w:t>th</w:t>
            </w:r>
            <w:r w:rsidRPr="00A015FE">
              <w:rPr>
                <w:rFonts w:asciiTheme="majorBidi" w:hAnsiTheme="majorBidi" w:cstheme="majorBidi"/>
                <w:color w:val="000000"/>
                <w:sz w:val="22"/>
                <w:szCs w:val="22"/>
              </w:rPr>
              <w:t>]</w:t>
            </w:r>
          </w:p>
        </w:tc>
        <w:tc>
          <w:tcPr>
            <w:tcW w:w="1920" w:type="dxa"/>
            <w:vAlign w:val="center"/>
            <w:hideMark/>
          </w:tcPr>
          <w:p w14:paraId="6D9D8CAF"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7.61%</w:t>
            </w:r>
          </w:p>
          <w:p w14:paraId="502AFA34"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[95</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w:t>
            </w:r>
          </w:p>
        </w:tc>
        <w:tc>
          <w:tcPr>
            <w:tcW w:w="1920" w:type="dxa"/>
            <w:vAlign w:val="center"/>
            <w:hideMark/>
          </w:tcPr>
          <w:p w14:paraId="1BCD74A2"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28.40%</w:t>
            </w:r>
          </w:p>
          <w:p w14:paraId="3400393A"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26A2B164" w14:textId="77777777" w:rsidTr="00442A5D">
        <w:trPr>
          <w:trHeight w:val="460"/>
        </w:trPr>
        <w:tc>
          <w:tcPr>
            <w:tcW w:w="3256" w:type="dxa"/>
            <w:vAlign w:val="center"/>
            <w:hideMark/>
          </w:tcPr>
          <w:p w14:paraId="29BADF94"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Proportion of the population aged 85 years and over</w:t>
            </w:r>
          </w:p>
        </w:tc>
        <w:tc>
          <w:tcPr>
            <w:tcW w:w="1920" w:type="dxa"/>
            <w:vAlign w:val="center"/>
            <w:hideMark/>
          </w:tcPr>
          <w:p w14:paraId="011FEC0A" w14:textId="77777777" w:rsidR="00670435" w:rsidRPr="00A015FE" w:rsidRDefault="00670435">
            <w:pPr>
              <w:jc w:val="center"/>
              <w:rPr>
                <w:rFonts w:asciiTheme="majorBidi" w:hAnsiTheme="majorBidi" w:cstheme="majorBidi"/>
                <w:color w:val="000000"/>
                <w:sz w:val="22"/>
                <w:szCs w:val="22"/>
              </w:rPr>
            </w:pPr>
            <w:r w:rsidRPr="00A015FE">
              <w:rPr>
                <w:rFonts w:asciiTheme="majorBidi" w:hAnsiTheme="majorBidi" w:cstheme="majorBidi"/>
                <w:color w:val="000000"/>
                <w:sz w:val="22"/>
                <w:szCs w:val="22"/>
              </w:rPr>
              <w:t>0.06%</w:t>
            </w:r>
          </w:p>
          <w:p w14:paraId="40AEE2BF"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[196</w:t>
            </w:r>
            <w:r w:rsidRPr="00A015FE">
              <w:rPr>
                <w:rFonts w:asciiTheme="majorBidi" w:hAnsiTheme="majorBidi" w:cstheme="majorBidi"/>
                <w:sz w:val="22"/>
                <w:szCs w:val="22"/>
                <w:vertAlign w:val="superscript"/>
              </w:rPr>
              <w:t>th</w:t>
            </w:r>
            <w:r w:rsidRPr="00A015FE">
              <w:rPr>
                <w:rFonts w:asciiTheme="majorBidi" w:hAnsiTheme="majorBidi" w:cstheme="majorBidi"/>
                <w:sz w:val="22"/>
                <w:szCs w:val="22"/>
              </w:rPr>
              <w:t>]</w:t>
            </w:r>
          </w:p>
        </w:tc>
        <w:tc>
          <w:tcPr>
            <w:tcW w:w="1920" w:type="dxa"/>
            <w:vAlign w:val="center"/>
            <w:hideMark/>
          </w:tcPr>
          <w:p w14:paraId="103D8C30"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0.36%</w:t>
            </w:r>
          </w:p>
          <w:p w14:paraId="2437C15D"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[115</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w:t>
            </w:r>
          </w:p>
        </w:tc>
        <w:tc>
          <w:tcPr>
            <w:tcW w:w="1920" w:type="dxa"/>
            <w:vAlign w:val="center"/>
            <w:hideMark/>
          </w:tcPr>
          <w:p w14:paraId="0A01E1E8"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4.75%</w:t>
            </w:r>
          </w:p>
          <w:p w14:paraId="054441F3"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6EB1DB12" w14:textId="77777777" w:rsidTr="00442A5D">
        <w:trPr>
          <w:trHeight w:val="460"/>
        </w:trPr>
        <w:tc>
          <w:tcPr>
            <w:tcW w:w="3256" w:type="dxa"/>
            <w:vAlign w:val="center"/>
            <w:hideMark/>
          </w:tcPr>
          <w:p w14:paraId="4A7BFFF3"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Child-elder ratio</w:t>
            </w:r>
          </w:p>
        </w:tc>
        <w:tc>
          <w:tcPr>
            <w:tcW w:w="1920" w:type="dxa"/>
            <w:vAlign w:val="center"/>
            <w:hideMark/>
          </w:tcPr>
          <w:p w14:paraId="1216F714" w14:textId="77777777" w:rsidR="00670435" w:rsidRPr="00A015FE" w:rsidRDefault="00670435">
            <w:pPr>
              <w:jc w:val="center"/>
              <w:rPr>
                <w:rFonts w:asciiTheme="majorBidi" w:hAnsiTheme="majorBidi" w:cstheme="majorBidi"/>
                <w:color w:val="000000"/>
                <w:sz w:val="22"/>
                <w:szCs w:val="22"/>
              </w:rPr>
            </w:pPr>
            <w:r w:rsidRPr="00A015FE">
              <w:rPr>
                <w:rFonts w:asciiTheme="majorBidi" w:hAnsiTheme="majorBidi" w:cstheme="majorBidi"/>
                <w:color w:val="000000"/>
                <w:sz w:val="22"/>
                <w:szCs w:val="22"/>
              </w:rPr>
              <w:t>14.26</w:t>
            </w:r>
          </w:p>
          <w:p w14:paraId="16118007"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[201</w:t>
            </w:r>
            <w:r w:rsidRPr="00A015FE">
              <w:rPr>
                <w:rFonts w:asciiTheme="majorBidi" w:hAnsiTheme="majorBidi" w:cstheme="majorBidi"/>
                <w:sz w:val="22"/>
                <w:szCs w:val="22"/>
                <w:vertAlign w:val="superscript"/>
              </w:rPr>
              <w:t>st</w:t>
            </w:r>
            <w:r w:rsidRPr="00A015FE">
              <w:rPr>
                <w:rFonts w:asciiTheme="majorBidi" w:hAnsiTheme="majorBidi" w:cstheme="majorBidi"/>
                <w:sz w:val="22"/>
                <w:szCs w:val="22"/>
              </w:rPr>
              <w:t>]</w:t>
            </w:r>
          </w:p>
        </w:tc>
        <w:tc>
          <w:tcPr>
            <w:tcW w:w="1920" w:type="dxa"/>
            <w:vAlign w:val="center"/>
            <w:hideMark/>
          </w:tcPr>
          <w:p w14:paraId="38694424"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2.26</w:t>
            </w:r>
          </w:p>
          <w:p w14:paraId="3967EA60"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[96</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w:t>
            </w:r>
          </w:p>
        </w:tc>
        <w:tc>
          <w:tcPr>
            <w:tcW w:w="1920" w:type="dxa"/>
            <w:vAlign w:val="center"/>
            <w:hideMark/>
          </w:tcPr>
          <w:p w14:paraId="629741C9"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0.36</w:t>
            </w:r>
          </w:p>
          <w:p w14:paraId="5FC39ED9"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2D29BA4E" w14:textId="77777777" w:rsidTr="00442A5D">
        <w:trPr>
          <w:trHeight w:val="460"/>
        </w:trPr>
        <w:tc>
          <w:tcPr>
            <w:tcW w:w="3256" w:type="dxa"/>
            <w:vAlign w:val="center"/>
            <w:hideMark/>
          </w:tcPr>
          <w:p w14:paraId="382E457D"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Old-age dependency ratio</w:t>
            </w:r>
          </w:p>
        </w:tc>
        <w:tc>
          <w:tcPr>
            <w:tcW w:w="1920" w:type="dxa"/>
            <w:vAlign w:val="center"/>
            <w:hideMark/>
          </w:tcPr>
          <w:p w14:paraId="622CA14D" w14:textId="77777777" w:rsidR="00670435" w:rsidRPr="00A015FE" w:rsidRDefault="00670435">
            <w:pPr>
              <w:jc w:val="center"/>
              <w:rPr>
                <w:rFonts w:asciiTheme="majorBidi" w:hAnsiTheme="majorBidi" w:cstheme="majorBidi"/>
                <w:color w:val="000000"/>
                <w:sz w:val="22"/>
                <w:szCs w:val="22"/>
              </w:rPr>
            </w:pPr>
            <w:r w:rsidRPr="00A015FE">
              <w:rPr>
                <w:rFonts w:asciiTheme="majorBidi" w:hAnsiTheme="majorBidi" w:cstheme="majorBidi"/>
                <w:color w:val="000000"/>
                <w:sz w:val="22"/>
                <w:szCs w:val="22"/>
              </w:rPr>
              <w:t>0.04</w:t>
            </w:r>
          </w:p>
          <w:p w14:paraId="6534FF75"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[197</w:t>
            </w:r>
            <w:r w:rsidRPr="00A015FE">
              <w:rPr>
                <w:rFonts w:asciiTheme="majorBidi" w:hAnsiTheme="majorBidi" w:cstheme="majorBidi"/>
                <w:sz w:val="22"/>
                <w:szCs w:val="22"/>
                <w:vertAlign w:val="superscript"/>
              </w:rPr>
              <w:t>th</w:t>
            </w:r>
            <w:r w:rsidRPr="00A015FE">
              <w:rPr>
                <w:rFonts w:asciiTheme="majorBidi" w:hAnsiTheme="majorBidi" w:cstheme="majorBidi"/>
                <w:sz w:val="22"/>
                <w:szCs w:val="22"/>
              </w:rPr>
              <w:t>]</w:t>
            </w:r>
          </w:p>
        </w:tc>
        <w:tc>
          <w:tcPr>
            <w:tcW w:w="1920" w:type="dxa"/>
            <w:vAlign w:val="center"/>
            <w:hideMark/>
          </w:tcPr>
          <w:p w14:paraId="3D390857"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0.12</w:t>
            </w:r>
          </w:p>
          <w:p w14:paraId="5001CD78"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[94</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w:t>
            </w:r>
          </w:p>
        </w:tc>
        <w:tc>
          <w:tcPr>
            <w:tcW w:w="1920" w:type="dxa"/>
            <w:vAlign w:val="center"/>
            <w:hideMark/>
          </w:tcPr>
          <w:p w14:paraId="70344297"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0.48</w:t>
            </w:r>
          </w:p>
          <w:p w14:paraId="1FEB9E6F"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r w:rsidR="00670435" w14:paraId="450E3499" w14:textId="77777777" w:rsidTr="00442A5D">
        <w:trPr>
          <w:trHeight w:val="460"/>
        </w:trPr>
        <w:tc>
          <w:tcPr>
            <w:tcW w:w="3256" w:type="dxa"/>
            <w:vAlign w:val="center"/>
            <w:hideMark/>
          </w:tcPr>
          <w:p w14:paraId="34DCFBBB" w14:textId="77777777" w:rsidR="00670435" w:rsidRPr="00442A5D" w:rsidRDefault="00670435" w:rsidP="00442A5D">
            <w:pPr>
              <w:rPr>
                <w:rFonts w:asciiTheme="majorBidi" w:hAnsiTheme="majorBidi" w:cstheme="majorBidi"/>
                <w:sz w:val="21"/>
                <w:szCs w:val="21"/>
              </w:rPr>
            </w:pPr>
            <w:r w:rsidRPr="00442A5D">
              <w:rPr>
                <w:rFonts w:asciiTheme="majorBidi" w:hAnsiTheme="majorBidi" w:cstheme="majorBidi"/>
                <w:sz w:val="21"/>
                <w:szCs w:val="21"/>
              </w:rPr>
              <w:t>Root-mean-squared age (RMSA)</w:t>
            </w:r>
          </w:p>
        </w:tc>
        <w:tc>
          <w:tcPr>
            <w:tcW w:w="1920" w:type="dxa"/>
            <w:vAlign w:val="center"/>
            <w:hideMark/>
          </w:tcPr>
          <w:p w14:paraId="1CB21405" w14:textId="77777777" w:rsidR="00670435" w:rsidRPr="00A015FE" w:rsidRDefault="00670435">
            <w:pPr>
              <w:jc w:val="center"/>
              <w:rPr>
                <w:rFonts w:asciiTheme="majorBidi" w:hAnsiTheme="majorBidi" w:cstheme="majorBidi"/>
                <w:color w:val="000000"/>
                <w:sz w:val="22"/>
                <w:szCs w:val="22"/>
              </w:rPr>
            </w:pPr>
            <w:r w:rsidRPr="00A015FE">
              <w:rPr>
                <w:rFonts w:asciiTheme="majorBidi" w:hAnsiTheme="majorBidi" w:cstheme="majorBidi"/>
                <w:color w:val="000000"/>
                <w:sz w:val="22"/>
                <w:szCs w:val="22"/>
              </w:rPr>
              <w:t>26.81</w:t>
            </w:r>
          </w:p>
          <w:p w14:paraId="76B6CA8C" w14:textId="77777777" w:rsidR="00670435" w:rsidRPr="00A015FE" w:rsidRDefault="00670435">
            <w:pPr>
              <w:jc w:val="center"/>
              <w:rPr>
                <w:rFonts w:asciiTheme="majorBidi" w:hAnsiTheme="majorBidi" w:cstheme="majorBidi"/>
                <w:sz w:val="22"/>
                <w:szCs w:val="22"/>
              </w:rPr>
            </w:pPr>
            <w:r w:rsidRPr="00A015FE">
              <w:rPr>
                <w:rFonts w:asciiTheme="majorBidi" w:hAnsiTheme="majorBidi" w:cstheme="majorBidi"/>
                <w:sz w:val="22"/>
                <w:szCs w:val="22"/>
              </w:rPr>
              <w:t>[201</w:t>
            </w:r>
            <w:r w:rsidRPr="00A015FE">
              <w:rPr>
                <w:rFonts w:asciiTheme="majorBidi" w:hAnsiTheme="majorBidi" w:cstheme="majorBidi"/>
                <w:sz w:val="22"/>
                <w:szCs w:val="22"/>
                <w:vertAlign w:val="superscript"/>
              </w:rPr>
              <w:t>st</w:t>
            </w:r>
            <w:r w:rsidRPr="00A015FE">
              <w:rPr>
                <w:rFonts w:asciiTheme="majorBidi" w:hAnsiTheme="majorBidi" w:cstheme="majorBidi"/>
                <w:sz w:val="22"/>
                <w:szCs w:val="22"/>
              </w:rPr>
              <w:t>]</w:t>
            </w:r>
          </w:p>
        </w:tc>
        <w:tc>
          <w:tcPr>
            <w:tcW w:w="1920" w:type="dxa"/>
            <w:vAlign w:val="center"/>
            <w:hideMark/>
          </w:tcPr>
          <w:p w14:paraId="5D8548AE"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38.18</w:t>
            </w:r>
          </w:p>
          <w:p w14:paraId="5D4223BC"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[97</w:t>
            </w:r>
            <w:r w:rsidRPr="001D1DE8">
              <w:rPr>
                <w:rFonts w:asciiTheme="majorBidi" w:hAnsiTheme="majorBidi" w:cstheme="majorBidi"/>
                <w:color w:val="000000"/>
                <w:sz w:val="22"/>
                <w:szCs w:val="22"/>
                <w:vertAlign w:val="superscript"/>
              </w:rPr>
              <w:t>th</w:t>
            </w:r>
            <w:r w:rsidRPr="001D1DE8">
              <w:rPr>
                <w:rFonts w:asciiTheme="majorBidi" w:hAnsiTheme="majorBidi" w:cstheme="majorBidi"/>
                <w:color w:val="000000"/>
                <w:sz w:val="22"/>
                <w:szCs w:val="22"/>
              </w:rPr>
              <w:t xml:space="preserve">] </w:t>
            </w:r>
          </w:p>
        </w:tc>
        <w:tc>
          <w:tcPr>
            <w:tcW w:w="1920" w:type="dxa"/>
            <w:vAlign w:val="center"/>
            <w:hideMark/>
          </w:tcPr>
          <w:p w14:paraId="4D61CC0C" w14:textId="77777777" w:rsidR="00670435" w:rsidRPr="001D1DE8" w:rsidRDefault="00670435">
            <w:pPr>
              <w:jc w:val="center"/>
              <w:rPr>
                <w:rFonts w:asciiTheme="majorBidi" w:hAnsiTheme="majorBidi" w:cstheme="majorBidi"/>
                <w:color w:val="000000"/>
                <w:sz w:val="22"/>
                <w:szCs w:val="22"/>
              </w:rPr>
            </w:pPr>
            <w:r w:rsidRPr="001D1DE8">
              <w:rPr>
                <w:rFonts w:asciiTheme="majorBidi" w:hAnsiTheme="majorBidi" w:cstheme="majorBidi"/>
                <w:color w:val="000000"/>
                <w:sz w:val="22"/>
                <w:szCs w:val="22"/>
              </w:rPr>
              <w:t xml:space="preserve">53.30 </w:t>
            </w:r>
          </w:p>
          <w:p w14:paraId="3BDDBFA7" w14:textId="77777777" w:rsidR="00670435" w:rsidRPr="001D1DE8" w:rsidRDefault="00670435">
            <w:pPr>
              <w:jc w:val="center"/>
              <w:rPr>
                <w:rFonts w:asciiTheme="majorBidi" w:hAnsiTheme="majorBidi" w:cstheme="majorBidi"/>
                <w:sz w:val="22"/>
                <w:szCs w:val="22"/>
              </w:rPr>
            </w:pPr>
            <w:r w:rsidRPr="001D1DE8">
              <w:rPr>
                <w:rFonts w:asciiTheme="majorBidi" w:hAnsiTheme="majorBidi" w:cstheme="majorBidi"/>
                <w:color w:val="000000"/>
                <w:sz w:val="22"/>
                <w:szCs w:val="22"/>
              </w:rPr>
              <w:t>[1</w:t>
            </w:r>
            <w:r w:rsidRPr="001D1DE8">
              <w:rPr>
                <w:rFonts w:asciiTheme="majorBidi" w:hAnsiTheme="majorBidi" w:cstheme="majorBidi"/>
                <w:color w:val="000000"/>
                <w:sz w:val="22"/>
                <w:szCs w:val="22"/>
                <w:vertAlign w:val="superscript"/>
              </w:rPr>
              <w:t>st</w:t>
            </w:r>
            <w:r w:rsidRPr="001D1DE8">
              <w:rPr>
                <w:rFonts w:asciiTheme="majorBidi" w:hAnsiTheme="majorBidi" w:cstheme="majorBidi"/>
                <w:color w:val="000000"/>
                <w:sz w:val="22"/>
                <w:szCs w:val="22"/>
              </w:rPr>
              <w:t>]</w:t>
            </w:r>
          </w:p>
        </w:tc>
      </w:tr>
    </w:tbl>
    <w:p w14:paraId="762F1529" w14:textId="3C576EC6" w:rsidR="00670435" w:rsidRPr="00670435" w:rsidRDefault="00670435" w:rsidP="00670435">
      <w:pPr>
        <w:spacing w:line="24" w:lineRule="atLeast"/>
        <w:jc w:val="both"/>
        <w:rPr>
          <w:sz w:val="20"/>
          <w:szCs w:val="20"/>
          <w:lang w:val="mi-NZ"/>
        </w:rPr>
      </w:pPr>
      <w:r>
        <w:rPr>
          <w:sz w:val="20"/>
          <w:szCs w:val="20"/>
        </w:rPr>
        <w:t>N.B. Based on data from United Nations World Population Prospects; Ranking among all 201 countries (from oldest to youngest) is shown in square brackets.</w:t>
      </w:r>
    </w:p>
    <w:p w14:paraId="5F56EC81" w14:textId="77777777" w:rsidR="00670435" w:rsidRPr="00670435" w:rsidRDefault="00670435" w:rsidP="00AB5A35">
      <w:pPr>
        <w:spacing w:line="24" w:lineRule="atLeast"/>
        <w:jc w:val="both"/>
      </w:pPr>
    </w:p>
    <w:p w14:paraId="17EF021A" w14:textId="77777777" w:rsidR="00697F2C" w:rsidRDefault="00697F2C" w:rsidP="00BA1FF4">
      <w:pPr>
        <w:spacing w:line="24" w:lineRule="atLeast"/>
        <w:ind w:firstLine="360"/>
        <w:jc w:val="both"/>
        <w:rPr>
          <w:lang w:val="mi-NZ"/>
        </w:rPr>
      </w:pPr>
    </w:p>
    <w:p w14:paraId="3103497A" w14:textId="77777777" w:rsidR="00E96F39" w:rsidRDefault="00E96F39" w:rsidP="00BA1FF4">
      <w:pPr>
        <w:spacing w:line="24" w:lineRule="atLeast"/>
        <w:ind w:firstLine="360"/>
        <w:jc w:val="both"/>
        <w:rPr>
          <w:lang w:val="mi-NZ"/>
        </w:rPr>
      </w:pPr>
      <w:r w:rsidRPr="00E96F39">
        <w:rPr>
          <w:lang w:val="mi-NZ"/>
        </w:rPr>
        <w:t xml:space="preserve">It is clear from Table 2 that RMSA has a similar interpretation to the mean age or median age, and has a value that is of a similar size, albeit uniformly higher. This is because people at older ages are weighted more heavily in the calculation of RMSA than they are for the mean age. It is also clear from the rankings presented in Table 2 that there is a high degree of consistency among the various measures of structural ageing. Japan is ranked as the oldest country on every measure, while Uganda is ranked as the youngest country on two of the measures (RMSA and child-elder ratio), and among the six youngest on all of them. Niger is the youngest country based on mean age (20.4 years) and median age (15.2 years), United Arab Emirates has the lowest proportion of the population aged 65 years and over (1.26%) and the lowest old-age dependency ratio (0.02), and Nigeria has the lowest proportion aged 85 years </w:t>
      </w:r>
      <w:r w:rsidRPr="00E96F39">
        <w:rPr>
          <w:lang w:val="mi-NZ"/>
        </w:rPr>
        <w:lastRenderedPageBreak/>
        <w:t>and over (0.04%). The consistency in ranking provides some comfort in relation to the choice of measure by decision-makers.</w:t>
      </w:r>
    </w:p>
    <w:p w14:paraId="42B996A6" w14:textId="77777777" w:rsidR="00E96F39" w:rsidRDefault="00E96F39" w:rsidP="00BA1FF4">
      <w:pPr>
        <w:spacing w:line="24" w:lineRule="atLeast"/>
        <w:ind w:firstLine="360"/>
        <w:jc w:val="both"/>
        <w:rPr>
          <w:lang w:val="mi-NZ"/>
        </w:rPr>
      </w:pPr>
    </w:p>
    <w:p w14:paraId="2413356F" w14:textId="7E9D079C" w:rsidR="007E596C" w:rsidRPr="001A3FC7" w:rsidRDefault="00E96F39" w:rsidP="00BA1FF4">
      <w:pPr>
        <w:jc w:val="both"/>
        <w:rPr>
          <w:lang w:val="en-NZ" w:eastAsia="zh-CN"/>
        </w:rPr>
      </w:pPr>
      <w:r w:rsidRPr="00E96F39">
        <w:rPr>
          <w:lang w:val="mi-NZ"/>
        </w:rPr>
        <w:t>Tables 3 and 4 present the correlations between RMSA and each other structural ageing measure based on Pearson correlations (Table 3) and Spearman rank correlations (Table 4), calculated using country-level data from the United Nations World Population Prospects. The full cross-correlation tables for all measures for selected years (1950, 2020, and 2100) are included in the Appendix, Tables A1 and A2.</w:t>
      </w:r>
      <w:r>
        <w:rPr>
          <w:rStyle w:val="FootnoteReference"/>
          <w:rFonts w:asciiTheme="majorBidi" w:hAnsiTheme="majorBidi" w:cstheme="majorBidi"/>
        </w:rPr>
        <w:footnoteReference w:id="6"/>
      </w:r>
      <w:r>
        <w:t xml:space="preserve"> </w:t>
      </w:r>
      <w:r w:rsidRPr="00E96F39">
        <w:rPr>
          <w:lang w:val="mi-NZ"/>
        </w:rPr>
        <w:t>The Spearman rank correlations are further illustrated by scatter plots of the country-level percentile ranks of RMSA and each of the other measures. These plots are presented in the Appendix for three selected years: Figures A1 to A6 (for 1950); Figures A7 to A12 (for 2020); and Figures A13 to A18 (for 2100).</w:t>
      </w:r>
      <w:r w:rsidR="001A3FC7">
        <w:rPr>
          <w:rStyle w:val="FootnoteReference"/>
          <w:rFonts w:asciiTheme="majorBidi" w:hAnsiTheme="majorBidi" w:cstheme="majorBidi"/>
        </w:rPr>
        <w:footnoteReference w:id="7"/>
      </w:r>
      <w:r w:rsidR="001A3FC7">
        <w:t xml:space="preserve"> </w:t>
      </w:r>
      <w:r w:rsidRPr="00E96F39">
        <w:rPr>
          <w:lang w:val="mi-NZ"/>
        </w:rPr>
        <w:t>As is clear from Tables 3 and 4, the Pearson correlations and Spearman rank correlations between each measure and RMSA are high, ranging from 0.717 to 0.999. All of the correlations are highly statistically significant</w:t>
      </w:r>
      <w:r w:rsidR="007E596C">
        <w:rPr>
          <w:lang w:val="mi-NZ"/>
        </w:rPr>
        <w:t>.</w:t>
      </w:r>
    </w:p>
    <w:p w14:paraId="58D21CB1" w14:textId="39BEB494" w:rsidR="00E96F39" w:rsidRDefault="00E96F39" w:rsidP="00BA1FF4">
      <w:pPr>
        <w:spacing w:line="24" w:lineRule="atLeast"/>
        <w:ind w:firstLine="360"/>
        <w:jc w:val="both"/>
        <w:rPr>
          <w:lang w:val="mi-NZ"/>
        </w:rPr>
      </w:pPr>
    </w:p>
    <w:p w14:paraId="642261A3" w14:textId="1B826E94" w:rsidR="00E96F39" w:rsidRPr="00E96F39" w:rsidRDefault="00E96F39" w:rsidP="00BA1FF4">
      <w:pPr>
        <w:spacing w:line="24" w:lineRule="atLeast"/>
        <w:ind w:firstLine="360"/>
        <w:jc w:val="both"/>
        <w:rPr>
          <w:lang w:val="mi-NZ"/>
        </w:rPr>
      </w:pPr>
      <w:r w:rsidRPr="00E96F39">
        <w:rPr>
          <w:lang w:val="mi-NZ"/>
        </w:rPr>
        <w:t xml:space="preserve">Considering the results in Tables 3 and 4, some key features are apparent. First, the correlations for population estimates (based on past age distributions) are much lower than the correlations for population projections (based on projected future age distributions). Moreover, the further into the future, the higher the correlations become. This is also illustrated in Figures 1 and 2, which plot over time the Pearson correlations and Spearman rank correlations, respectively. It is likely that more ‘regular’ population age distributions, where there are fewer population waves of larger or smaller cohorts, lead to measures that are more closely correlated with each other. These waves appear naturally in real-world settings, driven by policy and sociocultural changes. Since the population estimates of past population age distributions are based on observed real-world data, they pick up these waves. In contrast, the parameters of population projection models are either fixed or change slowly over time. They are not typically designed to introduce waves of larger or smaller cohorts (although they may generate echoes of past waves). This leads to population age structures that are more regular than those observed in real-world data. So, it should be no surprise that the correlations between the measures of structural ageing are higher for projected data than for historical data. Moreover, the age distribution in projected years is derived from a combination of the baseline population age structure, which is itself based on real-world data, and the changes in the distribution driven by the underlying assumptions and parameters in the population projections model. Thus, as we consider projections that are further into the future, the current distribution contributes less, and the model assumptions and parameters contribute more, to the observed age distribution. Hence, the further into the future, the more the projections model will contribute to the measures of structural ageing. This leads to measures that appear to become more correlated over time into the future. Looking backwards, it is likely that data quality becomes more of an issue for more historical population estimates. That could lead to lower correlations between measures of structural ageing (due to measurement error in the population age distribution) or higher correlations if population estimates are based predominantly on model outputs (for the same reason that population projections lead to more regular age distributions). In both sets of correlations, the proportion of the population aged 85 years and over has the lowest correlation with RMSA. It is likely that this is the population that is subject to the greatest extent of measurement error. However, for some measures, the Spearman rank correlations (Table 4 and Figure 2) are higher in earlier years, where modelling is probably required to derive the </w:t>
      </w:r>
      <w:r w:rsidRPr="00E96F39">
        <w:rPr>
          <w:lang w:val="mi-NZ"/>
        </w:rPr>
        <w:lastRenderedPageBreak/>
        <w:t>estimated population age distributions for a greater proportion of countries. Thus, it is likely that both effects are occurring simultaneously within these data</w:t>
      </w:r>
      <w:r>
        <w:rPr>
          <w:lang w:val="mi-NZ"/>
        </w:rPr>
        <w:t>.</w:t>
      </w:r>
    </w:p>
    <w:p w14:paraId="25B024FA" w14:textId="4649D320" w:rsidR="00697F2C" w:rsidRDefault="00697F2C" w:rsidP="00697F2C">
      <w:pPr>
        <w:spacing w:line="24" w:lineRule="atLeast"/>
        <w:ind w:firstLine="360"/>
        <w:jc w:val="both"/>
        <w:rPr>
          <w:lang w:val="mi-NZ"/>
        </w:rPr>
      </w:pPr>
    </w:p>
    <w:p w14:paraId="0EC31778" w14:textId="77777777" w:rsidR="00E96F39" w:rsidRDefault="00E96F39" w:rsidP="00E96F39">
      <w:pPr>
        <w:spacing w:line="360" w:lineRule="auto"/>
        <w:rPr>
          <w:b/>
          <w:bCs/>
          <w:lang w:val="mi-NZ"/>
        </w:rPr>
      </w:pPr>
    </w:p>
    <w:p w14:paraId="34497954" w14:textId="3E639E77" w:rsidR="00E96F39" w:rsidRPr="00994234" w:rsidRDefault="00E96F39" w:rsidP="00E96F39">
      <w:pPr>
        <w:spacing w:line="360" w:lineRule="auto"/>
        <w:rPr>
          <w:b/>
          <w:bCs/>
          <w:lang w:val="mi-NZ"/>
        </w:rPr>
      </w:pPr>
      <w:r w:rsidRPr="00994234">
        <w:rPr>
          <w:b/>
          <w:bCs/>
          <w:lang w:val="mi-NZ"/>
        </w:rPr>
        <w:t xml:space="preserve">Table </w:t>
      </w:r>
      <w:r>
        <w:rPr>
          <w:b/>
          <w:bCs/>
          <w:lang w:val="mi-NZ"/>
        </w:rPr>
        <w:t>3</w:t>
      </w:r>
      <w:r w:rsidRPr="00994234">
        <w:rPr>
          <w:b/>
          <w:bCs/>
          <w:lang w:val="mi-NZ"/>
        </w:rPr>
        <w:t xml:space="preserve">. </w:t>
      </w:r>
      <w:r w:rsidRPr="00E96F39">
        <w:rPr>
          <w:b/>
          <w:bCs/>
          <w:lang w:val="mi-NZ"/>
        </w:rPr>
        <w:t>Pearson correlations between RMSA and other measures of structural ageing based on country-level data 1950-2100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277"/>
        <w:gridCol w:w="1281"/>
        <w:gridCol w:w="1287"/>
        <w:gridCol w:w="1287"/>
        <w:gridCol w:w="1278"/>
        <w:gridCol w:w="1329"/>
      </w:tblGrid>
      <w:tr w:rsidR="00E96F39" w:rsidRPr="00E96F39" w14:paraId="05208A22" w14:textId="77777777" w:rsidTr="00E96F39">
        <w:trPr>
          <w:trHeight w:val="470"/>
        </w:trPr>
        <w:tc>
          <w:tcPr>
            <w:tcW w:w="1277" w:type="dxa"/>
            <w:tcBorders>
              <w:top w:val="single" w:sz="4" w:space="0" w:color="auto"/>
              <w:bottom w:val="single" w:sz="4" w:space="0" w:color="auto"/>
            </w:tcBorders>
            <w:vAlign w:val="center"/>
            <w:hideMark/>
          </w:tcPr>
          <w:p w14:paraId="553A8F26" w14:textId="77777777" w:rsidR="00E96F39" w:rsidRPr="00E96F39" w:rsidRDefault="00E96F39">
            <w:pPr>
              <w:jc w:val="center"/>
              <w:rPr>
                <w:rFonts w:asciiTheme="majorBidi" w:hAnsiTheme="majorBidi" w:cstheme="majorBidi"/>
                <w:b/>
                <w:bCs/>
                <w:sz w:val="22"/>
                <w:szCs w:val="22"/>
                <w:lang w:val="en-NZ" w:eastAsia="zh-CN"/>
              </w:rPr>
            </w:pPr>
            <w:r w:rsidRPr="00E96F39">
              <w:rPr>
                <w:rFonts w:asciiTheme="majorBidi" w:hAnsiTheme="majorBidi" w:cstheme="majorBidi"/>
                <w:b/>
                <w:bCs/>
                <w:sz w:val="22"/>
                <w:szCs w:val="22"/>
              </w:rPr>
              <w:t>Year</w:t>
            </w:r>
          </w:p>
        </w:tc>
        <w:tc>
          <w:tcPr>
            <w:tcW w:w="1277" w:type="dxa"/>
            <w:tcBorders>
              <w:top w:val="single" w:sz="4" w:space="0" w:color="auto"/>
              <w:bottom w:val="single" w:sz="4" w:space="0" w:color="auto"/>
            </w:tcBorders>
            <w:vAlign w:val="center"/>
            <w:hideMark/>
          </w:tcPr>
          <w:p w14:paraId="4292883C"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Mean age</w:t>
            </w:r>
          </w:p>
        </w:tc>
        <w:tc>
          <w:tcPr>
            <w:tcW w:w="1281" w:type="dxa"/>
            <w:tcBorders>
              <w:top w:val="single" w:sz="4" w:space="0" w:color="auto"/>
              <w:bottom w:val="single" w:sz="4" w:space="0" w:color="auto"/>
            </w:tcBorders>
            <w:vAlign w:val="center"/>
            <w:hideMark/>
          </w:tcPr>
          <w:p w14:paraId="0A814110"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Median age</w:t>
            </w:r>
          </w:p>
        </w:tc>
        <w:tc>
          <w:tcPr>
            <w:tcW w:w="1287" w:type="dxa"/>
            <w:tcBorders>
              <w:top w:val="single" w:sz="4" w:space="0" w:color="auto"/>
              <w:bottom w:val="single" w:sz="4" w:space="0" w:color="auto"/>
            </w:tcBorders>
            <w:vAlign w:val="center"/>
            <w:hideMark/>
          </w:tcPr>
          <w:p w14:paraId="1BA9BF6F"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65 years and over</w:t>
            </w:r>
          </w:p>
        </w:tc>
        <w:tc>
          <w:tcPr>
            <w:tcW w:w="1287" w:type="dxa"/>
            <w:tcBorders>
              <w:top w:val="single" w:sz="4" w:space="0" w:color="auto"/>
              <w:bottom w:val="single" w:sz="4" w:space="0" w:color="auto"/>
            </w:tcBorders>
            <w:vAlign w:val="center"/>
            <w:hideMark/>
          </w:tcPr>
          <w:p w14:paraId="5A21B6C7"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85 years and over</w:t>
            </w:r>
          </w:p>
        </w:tc>
        <w:tc>
          <w:tcPr>
            <w:tcW w:w="1278" w:type="dxa"/>
            <w:tcBorders>
              <w:top w:val="single" w:sz="4" w:space="0" w:color="auto"/>
              <w:bottom w:val="single" w:sz="4" w:space="0" w:color="auto"/>
            </w:tcBorders>
            <w:vAlign w:val="center"/>
            <w:hideMark/>
          </w:tcPr>
          <w:p w14:paraId="5A6DC5A3"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Child-elder ratio</w:t>
            </w:r>
            <w:r w:rsidRPr="00E96F39">
              <w:rPr>
                <w:rFonts w:asciiTheme="majorBidi" w:hAnsiTheme="majorBidi" w:cstheme="majorBidi"/>
                <w:b/>
                <w:bCs/>
                <w:color w:val="000000"/>
                <w:sz w:val="22"/>
                <w:szCs w:val="22"/>
                <w:vertAlign w:val="superscript"/>
              </w:rPr>
              <w:t>*</w:t>
            </w:r>
          </w:p>
        </w:tc>
        <w:tc>
          <w:tcPr>
            <w:tcW w:w="1329" w:type="dxa"/>
            <w:tcBorders>
              <w:top w:val="single" w:sz="4" w:space="0" w:color="auto"/>
              <w:bottom w:val="single" w:sz="4" w:space="0" w:color="auto"/>
            </w:tcBorders>
            <w:vAlign w:val="center"/>
            <w:hideMark/>
          </w:tcPr>
          <w:p w14:paraId="4043D3C9"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Old-age dependency ratio</w:t>
            </w:r>
          </w:p>
        </w:tc>
      </w:tr>
      <w:tr w:rsidR="00E96F39" w:rsidRPr="00E96F39" w14:paraId="4CB09C6A" w14:textId="77777777" w:rsidTr="00E96F39">
        <w:trPr>
          <w:trHeight w:val="460"/>
        </w:trPr>
        <w:tc>
          <w:tcPr>
            <w:tcW w:w="1277" w:type="dxa"/>
            <w:tcBorders>
              <w:top w:val="single" w:sz="4" w:space="0" w:color="auto"/>
            </w:tcBorders>
            <w:vAlign w:val="center"/>
            <w:hideMark/>
          </w:tcPr>
          <w:p w14:paraId="4C5FF21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1950</w:t>
            </w:r>
          </w:p>
        </w:tc>
        <w:tc>
          <w:tcPr>
            <w:tcW w:w="1277" w:type="dxa"/>
            <w:tcBorders>
              <w:top w:val="single" w:sz="4" w:space="0" w:color="auto"/>
            </w:tcBorders>
            <w:vAlign w:val="center"/>
            <w:hideMark/>
          </w:tcPr>
          <w:p w14:paraId="17D7885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0.993</w:t>
            </w:r>
          </w:p>
        </w:tc>
        <w:tc>
          <w:tcPr>
            <w:tcW w:w="1281" w:type="dxa"/>
            <w:tcBorders>
              <w:top w:val="single" w:sz="4" w:space="0" w:color="auto"/>
            </w:tcBorders>
            <w:vAlign w:val="center"/>
            <w:hideMark/>
          </w:tcPr>
          <w:p w14:paraId="4295601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0.954</w:t>
            </w:r>
          </w:p>
        </w:tc>
        <w:tc>
          <w:tcPr>
            <w:tcW w:w="1287" w:type="dxa"/>
            <w:tcBorders>
              <w:top w:val="single" w:sz="4" w:space="0" w:color="auto"/>
            </w:tcBorders>
            <w:vAlign w:val="center"/>
            <w:hideMark/>
          </w:tcPr>
          <w:p w14:paraId="77945C4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0.962</w:t>
            </w:r>
          </w:p>
        </w:tc>
        <w:tc>
          <w:tcPr>
            <w:tcW w:w="1287" w:type="dxa"/>
            <w:tcBorders>
              <w:top w:val="single" w:sz="4" w:space="0" w:color="auto"/>
            </w:tcBorders>
            <w:vAlign w:val="center"/>
            <w:hideMark/>
          </w:tcPr>
          <w:p w14:paraId="11A5B8D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0.717</w:t>
            </w:r>
          </w:p>
        </w:tc>
        <w:tc>
          <w:tcPr>
            <w:tcW w:w="1278" w:type="dxa"/>
            <w:tcBorders>
              <w:top w:val="single" w:sz="4" w:space="0" w:color="auto"/>
            </w:tcBorders>
            <w:vAlign w:val="center"/>
            <w:hideMark/>
          </w:tcPr>
          <w:p w14:paraId="1DAFB7F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0.867</w:t>
            </w:r>
          </w:p>
        </w:tc>
        <w:tc>
          <w:tcPr>
            <w:tcW w:w="1329" w:type="dxa"/>
            <w:tcBorders>
              <w:top w:val="single" w:sz="4" w:space="0" w:color="auto"/>
            </w:tcBorders>
            <w:vAlign w:val="center"/>
            <w:hideMark/>
          </w:tcPr>
          <w:p w14:paraId="79304AC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0.914</w:t>
            </w:r>
          </w:p>
        </w:tc>
      </w:tr>
      <w:tr w:rsidR="00E96F39" w:rsidRPr="00E96F39" w14:paraId="49DBB4EF" w14:textId="77777777" w:rsidTr="00E96F39">
        <w:trPr>
          <w:trHeight w:val="460"/>
        </w:trPr>
        <w:tc>
          <w:tcPr>
            <w:tcW w:w="1277" w:type="dxa"/>
            <w:vAlign w:val="center"/>
            <w:hideMark/>
          </w:tcPr>
          <w:p w14:paraId="2E6D614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1960</w:t>
            </w:r>
          </w:p>
        </w:tc>
        <w:tc>
          <w:tcPr>
            <w:tcW w:w="1277" w:type="dxa"/>
            <w:vAlign w:val="center"/>
            <w:hideMark/>
          </w:tcPr>
          <w:p w14:paraId="353ABC2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0.995</w:t>
            </w:r>
          </w:p>
        </w:tc>
        <w:tc>
          <w:tcPr>
            <w:tcW w:w="1281" w:type="dxa"/>
            <w:vAlign w:val="center"/>
            <w:hideMark/>
          </w:tcPr>
          <w:p w14:paraId="29514E0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0.969</w:t>
            </w:r>
          </w:p>
        </w:tc>
        <w:tc>
          <w:tcPr>
            <w:tcW w:w="1287" w:type="dxa"/>
            <w:vAlign w:val="center"/>
            <w:hideMark/>
          </w:tcPr>
          <w:p w14:paraId="2F2B5A4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0.974</w:t>
            </w:r>
          </w:p>
        </w:tc>
        <w:tc>
          <w:tcPr>
            <w:tcW w:w="1287" w:type="dxa"/>
            <w:vAlign w:val="center"/>
            <w:hideMark/>
          </w:tcPr>
          <w:p w14:paraId="2D3339A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0.878</w:t>
            </w:r>
          </w:p>
        </w:tc>
        <w:tc>
          <w:tcPr>
            <w:tcW w:w="1278" w:type="dxa"/>
            <w:vAlign w:val="center"/>
            <w:hideMark/>
          </w:tcPr>
          <w:p w14:paraId="21385A3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0.918</w:t>
            </w:r>
          </w:p>
        </w:tc>
        <w:tc>
          <w:tcPr>
            <w:tcW w:w="1329" w:type="dxa"/>
            <w:vAlign w:val="center"/>
            <w:hideMark/>
          </w:tcPr>
          <w:p w14:paraId="09E8FA6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0.939</w:t>
            </w:r>
          </w:p>
        </w:tc>
      </w:tr>
      <w:tr w:rsidR="00E96F39" w:rsidRPr="00E96F39" w14:paraId="6EAC0C6C" w14:textId="77777777" w:rsidTr="00E96F39">
        <w:trPr>
          <w:trHeight w:val="460"/>
        </w:trPr>
        <w:tc>
          <w:tcPr>
            <w:tcW w:w="1277" w:type="dxa"/>
            <w:vAlign w:val="center"/>
            <w:hideMark/>
          </w:tcPr>
          <w:p w14:paraId="0CB91B6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1970</w:t>
            </w:r>
          </w:p>
        </w:tc>
        <w:tc>
          <w:tcPr>
            <w:tcW w:w="1277" w:type="dxa"/>
            <w:vAlign w:val="center"/>
            <w:hideMark/>
          </w:tcPr>
          <w:p w14:paraId="345D0B7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0.996</w:t>
            </w:r>
          </w:p>
        </w:tc>
        <w:tc>
          <w:tcPr>
            <w:tcW w:w="1281" w:type="dxa"/>
            <w:vAlign w:val="center"/>
            <w:hideMark/>
          </w:tcPr>
          <w:p w14:paraId="708CE3C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0.963</w:t>
            </w:r>
          </w:p>
        </w:tc>
        <w:tc>
          <w:tcPr>
            <w:tcW w:w="1287" w:type="dxa"/>
            <w:vAlign w:val="center"/>
            <w:hideMark/>
          </w:tcPr>
          <w:p w14:paraId="680A976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0.978</w:t>
            </w:r>
          </w:p>
        </w:tc>
        <w:tc>
          <w:tcPr>
            <w:tcW w:w="1287" w:type="dxa"/>
            <w:vAlign w:val="center"/>
            <w:hideMark/>
          </w:tcPr>
          <w:p w14:paraId="795EB25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0.914</w:t>
            </w:r>
          </w:p>
        </w:tc>
        <w:tc>
          <w:tcPr>
            <w:tcW w:w="1278" w:type="dxa"/>
            <w:vAlign w:val="center"/>
            <w:hideMark/>
          </w:tcPr>
          <w:p w14:paraId="40ED8E3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0.928</w:t>
            </w:r>
          </w:p>
        </w:tc>
        <w:tc>
          <w:tcPr>
            <w:tcW w:w="1329" w:type="dxa"/>
            <w:vAlign w:val="center"/>
            <w:hideMark/>
          </w:tcPr>
          <w:p w14:paraId="7476050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0.946</w:t>
            </w:r>
          </w:p>
        </w:tc>
      </w:tr>
      <w:tr w:rsidR="00E96F39" w:rsidRPr="00E96F39" w14:paraId="1EE8C319" w14:textId="77777777" w:rsidTr="00E96F39">
        <w:trPr>
          <w:trHeight w:val="460"/>
        </w:trPr>
        <w:tc>
          <w:tcPr>
            <w:tcW w:w="1277" w:type="dxa"/>
            <w:vAlign w:val="center"/>
            <w:hideMark/>
          </w:tcPr>
          <w:p w14:paraId="596589A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1980</w:t>
            </w:r>
          </w:p>
        </w:tc>
        <w:tc>
          <w:tcPr>
            <w:tcW w:w="1277" w:type="dxa"/>
            <w:vAlign w:val="center"/>
            <w:hideMark/>
          </w:tcPr>
          <w:p w14:paraId="275E1C8A"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0.997</w:t>
            </w:r>
          </w:p>
        </w:tc>
        <w:tc>
          <w:tcPr>
            <w:tcW w:w="1281" w:type="dxa"/>
            <w:vAlign w:val="center"/>
            <w:hideMark/>
          </w:tcPr>
          <w:p w14:paraId="6079AA4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0.976</w:t>
            </w:r>
          </w:p>
        </w:tc>
        <w:tc>
          <w:tcPr>
            <w:tcW w:w="1287" w:type="dxa"/>
            <w:vAlign w:val="center"/>
            <w:hideMark/>
          </w:tcPr>
          <w:p w14:paraId="368759D0"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0.978</w:t>
            </w:r>
          </w:p>
        </w:tc>
        <w:tc>
          <w:tcPr>
            <w:tcW w:w="1287" w:type="dxa"/>
            <w:vAlign w:val="center"/>
            <w:hideMark/>
          </w:tcPr>
          <w:p w14:paraId="018D547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0.923</w:t>
            </w:r>
          </w:p>
        </w:tc>
        <w:tc>
          <w:tcPr>
            <w:tcW w:w="1278" w:type="dxa"/>
            <w:vAlign w:val="center"/>
            <w:hideMark/>
          </w:tcPr>
          <w:p w14:paraId="25EEDD4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0.920</w:t>
            </w:r>
          </w:p>
        </w:tc>
        <w:tc>
          <w:tcPr>
            <w:tcW w:w="1329" w:type="dxa"/>
            <w:vAlign w:val="center"/>
            <w:hideMark/>
          </w:tcPr>
          <w:p w14:paraId="57ACE56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0.953</w:t>
            </w:r>
          </w:p>
        </w:tc>
      </w:tr>
      <w:tr w:rsidR="00E96F39" w:rsidRPr="00E96F39" w14:paraId="2CB67036" w14:textId="77777777" w:rsidTr="00E96F39">
        <w:trPr>
          <w:trHeight w:val="460"/>
        </w:trPr>
        <w:tc>
          <w:tcPr>
            <w:tcW w:w="1277" w:type="dxa"/>
            <w:vAlign w:val="center"/>
            <w:hideMark/>
          </w:tcPr>
          <w:p w14:paraId="629153D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1990</w:t>
            </w:r>
          </w:p>
        </w:tc>
        <w:tc>
          <w:tcPr>
            <w:tcW w:w="1277" w:type="dxa"/>
            <w:vAlign w:val="center"/>
            <w:hideMark/>
          </w:tcPr>
          <w:p w14:paraId="7C4992E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0.997</w:t>
            </w:r>
          </w:p>
        </w:tc>
        <w:tc>
          <w:tcPr>
            <w:tcW w:w="1281" w:type="dxa"/>
            <w:vAlign w:val="center"/>
            <w:hideMark/>
          </w:tcPr>
          <w:p w14:paraId="2D958C2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0.980</w:t>
            </w:r>
          </w:p>
        </w:tc>
        <w:tc>
          <w:tcPr>
            <w:tcW w:w="1287" w:type="dxa"/>
            <w:vAlign w:val="center"/>
            <w:hideMark/>
          </w:tcPr>
          <w:p w14:paraId="5D2F4F5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0.968</w:t>
            </w:r>
          </w:p>
        </w:tc>
        <w:tc>
          <w:tcPr>
            <w:tcW w:w="1287" w:type="dxa"/>
            <w:vAlign w:val="center"/>
            <w:hideMark/>
          </w:tcPr>
          <w:p w14:paraId="7B02E6B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0.924</w:t>
            </w:r>
          </w:p>
        </w:tc>
        <w:tc>
          <w:tcPr>
            <w:tcW w:w="1278" w:type="dxa"/>
            <w:vAlign w:val="center"/>
            <w:hideMark/>
          </w:tcPr>
          <w:p w14:paraId="395AB45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0.908</w:t>
            </w:r>
          </w:p>
        </w:tc>
        <w:tc>
          <w:tcPr>
            <w:tcW w:w="1329" w:type="dxa"/>
            <w:vAlign w:val="center"/>
            <w:hideMark/>
          </w:tcPr>
          <w:p w14:paraId="67C5DCD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0.941</w:t>
            </w:r>
          </w:p>
        </w:tc>
      </w:tr>
      <w:tr w:rsidR="00E96F39" w:rsidRPr="00E96F39" w14:paraId="6417191F" w14:textId="77777777" w:rsidTr="00E96F39">
        <w:trPr>
          <w:trHeight w:val="460"/>
        </w:trPr>
        <w:tc>
          <w:tcPr>
            <w:tcW w:w="1277" w:type="dxa"/>
            <w:vAlign w:val="center"/>
            <w:hideMark/>
          </w:tcPr>
          <w:p w14:paraId="6DFB995D"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2000</w:t>
            </w:r>
          </w:p>
        </w:tc>
        <w:tc>
          <w:tcPr>
            <w:tcW w:w="1277" w:type="dxa"/>
            <w:vAlign w:val="center"/>
            <w:hideMark/>
          </w:tcPr>
          <w:p w14:paraId="6837652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0.998</w:t>
            </w:r>
          </w:p>
        </w:tc>
        <w:tc>
          <w:tcPr>
            <w:tcW w:w="1281" w:type="dxa"/>
            <w:vAlign w:val="center"/>
            <w:hideMark/>
          </w:tcPr>
          <w:p w14:paraId="303006B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0.985</w:t>
            </w:r>
          </w:p>
        </w:tc>
        <w:tc>
          <w:tcPr>
            <w:tcW w:w="1287" w:type="dxa"/>
            <w:vAlign w:val="center"/>
            <w:hideMark/>
          </w:tcPr>
          <w:p w14:paraId="3D7DB4BA"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0.968</w:t>
            </w:r>
          </w:p>
        </w:tc>
        <w:tc>
          <w:tcPr>
            <w:tcW w:w="1287" w:type="dxa"/>
            <w:vAlign w:val="center"/>
            <w:hideMark/>
          </w:tcPr>
          <w:p w14:paraId="1A8B2A26"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0.908</w:t>
            </w:r>
          </w:p>
        </w:tc>
        <w:tc>
          <w:tcPr>
            <w:tcW w:w="1278" w:type="dxa"/>
            <w:vAlign w:val="center"/>
            <w:hideMark/>
          </w:tcPr>
          <w:p w14:paraId="67DCC0D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0.916</w:t>
            </w:r>
          </w:p>
        </w:tc>
        <w:tc>
          <w:tcPr>
            <w:tcW w:w="1329" w:type="dxa"/>
            <w:vAlign w:val="center"/>
            <w:hideMark/>
          </w:tcPr>
          <w:p w14:paraId="1ADE7AB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0.948</w:t>
            </w:r>
          </w:p>
        </w:tc>
      </w:tr>
      <w:tr w:rsidR="00E96F39" w:rsidRPr="00E96F39" w14:paraId="71AB6EDD" w14:textId="77777777" w:rsidTr="00E96F39">
        <w:trPr>
          <w:trHeight w:val="460"/>
        </w:trPr>
        <w:tc>
          <w:tcPr>
            <w:tcW w:w="1277" w:type="dxa"/>
            <w:vAlign w:val="center"/>
            <w:hideMark/>
          </w:tcPr>
          <w:p w14:paraId="652B952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2010</w:t>
            </w:r>
          </w:p>
        </w:tc>
        <w:tc>
          <w:tcPr>
            <w:tcW w:w="1277" w:type="dxa"/>
            <w:vAlign w:val="center"/>
            <w:hideMark/>
          </w:tcPr>
          <w:p w14:paraId="5405B94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0.997</w:t>
            </w:r>
          </w:p>
        </w:tc>
        <w:tc>
          <w:tcPr>
            <w:tcW w:w="1281" w:type="dxa"/>
            <w:vAlign w:val="center"/>
            <w:hideMark/>
          </w:tcPr>
          <w:p w14:paraId="7AA2D1C1"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0.987</w:t>
            </w:r>
          </w:p>
        </w:tc>
        <w:tc>
          <w:tcPr>
            <w:tcW w:w="1287" w:type="dxa"/>
            <w:vAlign w:val="center"/>
            <w:hideMark/>
          </w:tcPr>
          <w:p w14:paraId="5355D2F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0.957</w:t>
            </w:r>
          </w:p>
        </w:tc>
        <w:tc>
          <w:tcPr>
            <w:tcW w:w="1287" w:type="dxa"/>
            <w:vAlign w:val="center"/>
            <w:hideMark/>
          </w:tcPr>
          <w:p w14:paraId="1E8A753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0.887</w:t>
            </w:r>
          </w:p>
        </w:tc>
        <w:tc>
          <w:tcPr>
            <w:tcW w:w="1278" w:type="dxa"/>
            <w:vAlign w:val="center"/>
            <w:hideMark/>
          </w:tcPr>
          <w:p w14:paraId="40C0918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0.914</w:t>
            </w:r>
          </w:p>
        </w:tc>
        <w:tc>
          <w:tcPr>
            <w:tcW w:w="1329" w:type="dxa"/>
            <w:vAlign w:val="center"/>
            <w:hideMark/>
          </w:tcPr>
          <w:p w14:paraId="369AF4B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0.932</w:t>
            </w:r>
          </w:p>
        </w:tc>
      </w:tr>
      <w:tr w:rsidR="00E96F39" w:rsidRPr="00E96F39" w14:paraId="59C410E5" w14:textId="77777777" w:rsidTr="00E96F39">
        <w:trPr>
          <w:trHeight w:val="460"/>
        </w:trPr>
        <w:tc>
          <w:tcPr>
            <w:tcW w:w="1277" w:type="dxa"/>
            <w:vAlign w:val="center"/>
            <w:hideMark/>
          </w:tcPr>
          <w:p w14:paraId="58C918A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2020</w:t>
            </w:r>
          </w:p>
        </w:tc>
        <w:tc>
          <w:tcPr>
            <w:tcW w:w="1277" w:type="dxa"/>
            <w:vAlign w:val="center"/>
            <w:hideMark/>
          </w:tcPr>
          <w:p w14:paraId="35C4C9E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0.998</w:t>
            </w:r>
          </w:p>
        </w:tc>
        <w:tc>
          <w:tcPr>
            <w:tcW w:w="1281" w:type="dxa"/>
            <w:vAlign w:val="center"/>
            <w:hideMark/>
          </w:tcPr>
          <w:p w14:paraId="5982F5C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0.989</w:t>
            </w:r>
          </w:p>
        </w:tc>
        <w:tc>
          <w:tcPr>
            <w:tcW w:w="1287" w:type="dxa"/>
            <w:vAlign w:val="center"/>
            <w:hideMark/>
          </w:tcPr>
          <w:p w14:paraId="101B3F4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0.957</w:t>
            </w:r>
          </w:p>
        </w:tc>
        <w:tc>
          <w:tcPr>
            <w:tcW w:w="1287" w:type="dxa"/>
            <w:vAlign w:val="center"/>
            <w:hideMark/>
          </w:tcPr>
          <w:p w14:paraId="0057C09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0.886</w:t>
            </w:r>
          </w:p>
        </w:tc>
        <w:tc>
          <w:tcPr>
            <w:tcW w:w="1278" w:type="dxa"/>
            <w:vAlign w:val="center"/>
            <w:hideMark/>
          </w:tcPr>
          <w:p w14:paraId="418532D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0.905</w:t>
            </w:r>
          </w:p>
        </w:tc>
        <w:tc>
          <w:tcPr>
            <w:tcW w:w="1329" w:type="dxa"/>
            <w:vAlign w:val="center"/>
            <w:hideMark/>
          </w:tcPr>
          <w:p w14:paraId="2DFCE40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0.934</w:t>
            </w:r>
          </w:p>
        </w:tc>
      </w:tr>
      <w:tr w:rsidR="00E96F39" w:rsidRPr="00E96F39" w14:paraId="4542315E" w14:textId="77777777" w:rsidTr="00E96F39">
        <w:trPr>
          <w:trHeight w:val="460"/>
        </w:trPr>
        <w:tc>
          <w:tcPr>
            <w:tcW w:w="1277" w:type="dxa"/>
            <w:vAlign w:val="center"/>
            <w:hideMark/>
          </w:tcPr>
          <w:p w14:paraId="51C8F7C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2030</w:t>
            </w:r>
          </w:p>
        </w:tc>
        <w:tc>
          <w:tcPr>
            <w:tcW w:w="1277" w:type="dxa"/>
            <w:vAlign w:val="center"/>
            <w:hideMark/>
          </w:tcPr>
          <w:p w14:paraId="25D7992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0.998</w:t>
            </w:r>
          </w:p>
        </w:tc>
        <w:tc>
          <w:tcPr>
            <w:tcW w:w="1281" w:type="dxa"/>
            <w:vAlign w:val="center"/>
            <w:hideMark/>
          </w:tcPr>
          <w:p w14:paraId="5B1AC4D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0.992</w:t>
            </w:r>
          </w:p>
        </w:tc>
        <w:tc>
          <w:tcPr>
            <w:tcW w:w="1287" w:type="dxa"/>
            <w:vAlign w:val="center"/>
            <w:hideMark/>
          </w:tcPr>
          <w:p w14:paraId="2CFEEA0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0.968</w:t>
            </w:r>
          </w:p>
        </w:tc>
        <w:tc>
          <w:tcPr>
            <w:tcW w:w="1287" w:type="dxa"/>
            <w:vAlign w:val="center"/>
            <w:hideMark/>
          </w:tcPr>
          <w:p w14:paraId="4A654B5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0.868</w:t>
            </w:r>
          </w:p>
        </w:tc>
        <w:tc>
          <w:tcPr>
            <w:tcW w:w="1278" w:type="dxa"/>
            <w:vAlign w:val="center"/>
            <w:hideMark/>
          </w:tcPr>
          <w:p w14:paraId="2B08FE6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0.891</w:t>
            </w:r>
          </w:p>
        </w:tc>
        <w:tc>
          <w:tcPr>
            <w:tcW w:w="1329" w:type="dxa"/>
            <w:vAlign w:val="center"/>
            <w:hideMark/>
          </w:tcPr>
          <w:p w14:paraId="1315C56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0.948</w:t>
            </w:r>
          </w:p>
        </w:tc>
      </w:tr>
      <w:tr w:rsidR="00E96F39" w:rsidRPr="00E96F39" w14:paraId="42406BA0" w14:textId="77777777" w:rsidTr="00E96F39">
        <w:trPr>
          <w:trHeight w:val="460"/>
        </w:trPr>
        <w:tc>
          <w:tcPr>
            <w:tcW w:w="1277" w:type="dxa"/>
            <w:vAlign w:val="center"/>
            <w:hideMark/>
          </w:tcPr>
          <w:p w14:paraId="176CCB2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2040</w:t>
            </w:r>
          </w:p>
        </w:tc>
        <w:tc>
          <w:tcPr>
            <w:tcW w:w="1277" w:type="dxa"/>
            <w:vAlign w:val="center"/>
            <w:hideMark/>
          </w:tcPr>
          <w:p w14:paraId="43BA4F2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5D7AE5D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0.992</w:t>
            </w:r>
          </w:p>
        </w:tc>
        <w:tc>
          <w:tcPr>
            <w:tcW w:w="1287" w:type="dxa"/>
            <w:vAlign w:val="center"/>
            <w:hideMark/>
          </w:tcPr>
          <w:p w14:paraId="4ED0CAD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0.973</w:t>
            </w:r>
          </w:p>
        </w:tc>
        <w:tc>
          <w:tcPr>
            <w:tcW w:w="1287" w:type="dxa"/>
            <w:vAlign w:val="center"/>
            <w:hideMark/>
          </w:tcPr>
          <w:p w14:paraId="3B0364F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0.876</w:t>
            </w:r>
          </w:p>
        </w:tc>
        <w:tc>
          <w:tcPr>
            <w:tcW w:w="1278" w:type="dxa"/>
            <w:vAlign w:val="center"/>
            <w:hideMark/>
          </w:tcPr>
          <w:p w14:paraId="0C461C8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0.884</w:t>
            </w:r>
          </w:p>
        </w:tc>
        <w:tc>
          <w:tcPr>
            <w:tcW w:w="1329" w:type="dxa"/>
            <w:vAlign w:val="center"/>
            <w:hideMark/>
          </w:tcPr>
          <w:p w14:paraId="78C1EA2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0.946</w:t>
            </w:r>
          </w:p>
        </w:tc>
      </w:tr>
      <w:tr w:rsidR="00E96F39" w:rsidRPr="00E96F39" w14:paraId="4E1A9FCB" w14:textId="77777777" w:rsidTr="00E96F39">
        <w:trPr>
          <w:trHeight w:val="460"/>
        </w:trPr>
        <w:tc>
          <w:tcPr>
            <w:tcW w:w="1277" w:type="dxa"/>
            <w:vAlign w:val="center"/>
            <w:hideMark/>
          </w:tcPr>
          <w:p w14:paraId="3C6DBF6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2050</w:t>
            </w:r>
          </w:p>
        </w:tc>
        <w:tc>
          <w:tcPr>
            <w:tcW w:w="1277" w:type="dxa"/>
            <w:vAlign w:val="center"/>
            <w:hideMark/>
          </w:tcPr>
          <w:p w14:paraId="5954A9E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200815A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0.994</w:t>
            </w:r>
          </w:p>
        </w:tc>
        <w:tc>
          <w:tcPr>
            <w:tcW w:w="1287" w:type="dxa"/>
            <w:vAlign w:val="center"/>
            <w:hideMark/>
          </w:tcPr>
          <w:p w14:paraId="7133B415"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0.982</w:t>
            </w:r>
          </w:p>
        </w:tc>
        <w:tc>
          <w:tcPr>
            <w:tcW w:w="1287" w:type="dxa"/>
            <w:vAlign w:val="center"/>
            <w:hideMark/>
          </w:tcPr>
          <w:p w14:paraId="6790729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0.885</w:t>
            </w:r>
          </w:p>
        </w:tc>
        <w:tc>
          <w:tcPr>
            <w:tcW w:w="1278" w:type="dxa"/>
            <w:vAlign w:val="center"/>
            <w:hideMark/>
          </w:tcPr>
          <w:p w14:paraId="2B896A3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0.884</w:t>
            </w:r>
          </w:p>
        </w:tc>
        <w:tc>
          <w:tcPr>
            <w:tcW w:w="1329" w:type="dxa"/>
            <w:vAlign w:val="center"/>
            <w:hideMark/>
          </w:tcPr>
          <w:p w14:paraId="51BCABE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0.955</w:t>
            </w:r>
          </w:p>
        </w:tc>
      </w:tr>
      <w:tr w:rsidR="00E96F39" w:rsidRPr="00E96F39" w14:paraId="4CE8EFE4" w14:textId="77777777" w:rsidTr="00E96F39">
        <w:trPr>
          <w:trHeight w:val="460"/>
        </w:trPr>
        <w:tc>
          <w:tcPr>
            <w:tcW w:w="1277" w:type="dxa"/>
            <w:vAlign w:val="center"/>
            <w:hideMark/>
          </w:tcPr>
          <w:p w14:paraId="6E710C6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2060</w:t>
            </w:r>
          </w:p>
        </w:tc>
        <w:tc>
          <w:tcPr>
            <w:tcW w:w="1277" w:type="dxa"/>
            <w:vAlign w:val="center"/>
            <w:hideMark/>
          </w:tcPr>
          <w:p w14:paraId="01F5CD9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4DDC2125"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0.995</w:t>
            </w:r>
          </w:p>
        </w:tc>
        <w:tc>
          <w:tcPr>
            <w:tcW w:w="1287" w:type="dxa"/>
            <w:vAlign w:val="center"/>
            <w:hideMark/>
          </w:tcPr>
          <w:p w14:paraId="10F070B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0.987</w:t>
            </w:r>
          </w:p>
        </w:tc>
        <w:tc>
          <w:tcPr>
            <w:tcW w:w="1287" w:type="dxa"/>
            <w:vAlign w:val="center"/>
            <w:hideMark/>
          </w:tcPr>
          <w:p w14:paraId="732213D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0.886</w:t>
            </w:r>
          </w:p>
        </w:tc>
        <w:tc>
          <w:tcPr>
            <w:tcW w:w="1278" w:type="dxa"/>
            <w:vAlign w:val="center"/>
            <w:hideMark/>
          </w:tcPr>
          <w:p w14:paraId="7D612C9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0.895</w:t>
            </w:r>
          </w:p>
        </w:tc>
        <w:tc>
          <w:tcPr>
            <w:tcW w:w="1329" w:type="dxa"/>
            <w:vAlign w:val="center"/>
            <w:hideMark/>
          </w:tcPr>
          <w:p w14:paraId="13F8DAA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0.965</w:t>
            </w:r>
          </w:p>
        </w:tc>
      </w:tr>
      <w:tr w:rsidR="00E96F39" w:rsidRPr="00E96F39" w14:paraId="29C86196" w14:textId="77777777" w:rsidTr="00E96F39">
        <w:trPr>
          <w:trHeight w:val="460"/>
        </w:trPr>
        <w:tc>
          <w:tcPr>
            <w:tcW w:w="1277" w:type="dxa"/>
            <w:vAlign w:val="center"/>
            <w:hideMark/>
          </w:tcPr>
          <w:p w14:paraId="1F47D2A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2070</w:t>
            </w:r>
          </w:p>
        </w:tc>
        <w:tc>
          <w:tcPr>
            <w:tcW w:w="1277" w:type="dxa"/>
            <w:vAlign w:val="center"/>
            <w:hideMark/>
          </w:tcPr>
          <w:p w14:paraId="2168F576"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529D6A76"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0.995</w:t>
            </w:r>
          </w:p>
        </w:tc>
        <w:tc>
          <w:tcPr>
            <w:tcW w:w="1287" w:type="dxa"/>
            <w:vAlign w:val="center"/>
            <w:hideMark/>
          </w:tcPr>
          <w:p w14:paraId="7C0A0C5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0.991</w:t>
            </w:r>
          </w:p>
        </w:tc>
        <w:tc>
          <w:tcPr>
            <w:tcW w:w="1287" w:type="dxa"/>
            <w:vAlign w:val="center"/>
            <w:hideMark/>
          </w:tcPr>
          <w:p w14:paraId="2888D095"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0.911</w:t>
            </w:r>
          </w:p>
        </w:tc>
        <w:tc>
          <w:tcPr>
            <w:tcW w:w="1278" w:type="dxa"/>
            <w:vAlign w:val="center"/>
            <w:hideMark/>
          </w:tcPr>
          <w:p w14:paraId="23B6AF95"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0.912</w:t>
            </w:r>
          </w:p>
        </w:tc>
        <w:tc>
          <w:tcPr>
            <w:tcW w:w="1329" w:type="dxa"/>
            <w:vAlign w:val="center"/>
            <w:hideMark/>
          </w:tcPr>
          <w:p w14:paraId="327ABD9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0.972</w:t>
            </w:r>
          </w:p>
        </w:tc>
      </w:tr>
      <w:tr w:rsidR="00E96F39" w:rsidRPr="00E96F39" w14:paraId="28F32C95" w14:textId="77777777" w:rsidTr="00E96F39">
        <w:trPr>
          <w:trHeight w:val="460"/>
        </w:trPr>
        <w:tc>
          <w:tcPr>
            <w:tcW w:w="1277" w:type="dxa"/>
            <w:vAlign w:val="center"/>
            <w:hideMark/>
          </w:tcPr>
          <w:p w14:paraId="07548A8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2080</w:t>
            </w:r>
          </w:p>
        </w:tc>
        <w:tc>
          <w:tcPr>
            <w:tcW w:w="1277" w:type="dxa"/>
            <w:vAlign w:val="center"/>
            <w:hideMark/>
          </w:tcPr>
          <w:p w14:paraId="5152A75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6AE9C58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0.995</w:t>
            </w:r>
          </w:p>
        </w:tc>
        <w:tc>
          <w:tcPr>
            <w:tcW w:w="1287" w:type="dxa"/>
            <w:vAlign w:val="center"/>
            <w:hideMark/>
          </w:tcPr>
          <w:p w14:paraId="254CF7C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0.993</w:t>
            </w:r>
          </w:p>
        </w:tc>
        <w:tc>
          <w:tcPr>
            <w:tcW w:w="1287" w:type="dxa"/>
            <w:vAlign w:val="center"/>
            <w:hideMark/>
          </w:tcPr>
          <w:p w14:paraId="14CB999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0.931</w:t>
            </w:r>
          </w:p>
        </w:tc>
        <w:tc>
          <w:tcPr>
            <w:tcW w:w="1278" w:type="dxa"/>
            <w:vAlign w:val="center"/>
            <w:hideMark/>
          </w:tcPr>
          <w:p w14:paraId="61D0041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0.921</w:t>
            </w:r>
          </w:p>
        </w:tc>
        <w:tc>
          <w:tcPr>
            <w:tcW w:w="1329" w:type="dxa"/>
            <w:vAlign w:val="center"/>
            <w:hideMark/>
          </w:tcPr>
          <w:p w14:paraId="0439656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0.971</w:t>
            </w:r>
          </w:p>
        </w:tc>
      </w:tr>
      <w:tr w:rsidR="00E96F39" w:rsidRPr="00E96F39" w14:paraId="4D78CCE4" w14:textId="77777777" w:rsidTr="00E96F39">
        <w:trPr>
          <w:trHeight w:val="460"/>
        </w:trPr>
        <w:tc>
          <w:tcPr>
            <w:tcW w:w="1277" w:type="dxa"/>
            <w:vAlign w:val="center"/>
            <w:hideMark/>
          </w:tcPr>
          <w:p w14:paraId="14020AA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2090</w:t>
            </w:r>
          </w:p>
        </w:tc>
        <w:tc>
          <w:tcPr>
            <w:tcW w:w="1277" w:type="dxa"/>
            <w:vAlign w:val="center"/>
            <w:hideMark/>
          </w:tcPr>
          <w:p w14:paraId="2D5F56D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3D92B24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0.993</w:t>
            </w:r>
          </w:p>
        </w:tc>
        <w:tc>
          <w:tcPr>
            <w:tcW w:w="1287" w:type="dxa"/>
            <w:vAlign w:val="center"/>
            <w:hideMark/>
          </w:tcPr>
          <w:p w14:paraId="3FCED8B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0.996</w:t>
            </w:r>
          </w:p>
        </w:tc>
        <w:tc>
          <w:tcPr>
            <w:tcW w:w="1287" w:type="dxa"/>
            <w:vAlign w:val="center"/>
            <w:hideMark/>
          </w:tcPr>
          <w:p w14:paraId="7D5BB1E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0.936</w:t>
            </w:r>
          </w:p>
        </w:tc>
        <w:tc>
          <w:tcPr>
            <w:tcW w:w="1278" w:type="dxa"/>
            <w:vAlign w:val="center"/>
            <w:hideMark/>
          </w:tcPr>
          <w:p w14:paraId="41C5B0B5"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0.931</w:t>
            </w:r>
          </w:p>
        </w:tc>
        <w:tc>
          <w:tcPr>
            <w:tcW w:w="1329" w:type="dxa"/>
            <w:vAlign w:val="center"/>
            <w:hideMark/>
          </w:tcPr>
          <w:p w14:paraId="5818E0E6"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0.980</w:t>
            </w:r>
          </w:p>
        </w:tc>
      </w:tr>
      <w:tr w:rsidR="00E96F39" w:rsidRPr="00E96F39" w14:paraId="50E9FCBF" w14:textId="77777777" w:rsidTr="00E96F39">
        <w:trPr>
          <w:trHeight w:val="460"/>
        </w:trPr>
        <w:tc>
          <w:tcPr>
            <w:tcW w:w="1277" w:type="dxa"/>
            <w:vAlign w:val="center"/>
            <w:hideMark/>
          </w:tcPr>
          <w:p w14:paraId="2E5931E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2100</w:t>
            </w:r>
          </w:p>
        </w:tc>
        <w:tc>
          <w:tcPr>
            <w:tcW w:w="1277" w:type="dxa"/>
            <w:vAlign w:val="center"/>
            <w:hideMark/>
          </w:tcPr>
          <w:p w14:paraId="2EDC340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0.999</w:t>
            </w:r>
          </w:p>
        </w:tc>
        <w:tc>
          <w:tcPr>
            <w:tcW w:w="1281" w:type="dxa"/>
            <w:vAlign w:val="center"/>
            <w:hideMark/>
          </w:tcPr>
          <w:p w14:paraId="50C594F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0.992</w:t>
            </w:r>
          </w:p>
        </w:tc>
        <w:tc>
          <w:tcPr>
            <w:tcW w:w="1287" w:type="dxa"/>
            <w:vAlign w:val="center"/>
            <w:hideMark/>
          </w:tcPr>
          <w:p w14:paraId="46F1859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0.997</w:t>
            </w:r>
          </w:p>
        </w:tc>
        <w:tc>
          <w:tcPr>
            <w:tcW w:w="1287" w:type="dxa"/>
            <w:vAlign w:val="center"/>
            <w:hideMark/>
          </w:tcPr>
          <w:p w14:paraId="3A9E462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0.943</w:t>
            </w:r>
          </w:p>
        </w:tc>
        <w:tc>
          <w:tcPr>
            <w:tcW w:w="1278" w:type="dxa"/>
            <w:vAlign w:val="center"/>
            <w:hideMark/>
          </w:tcPr>
          <w:p w14:paraId="64F6E3C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0.939</w:t>
            </w:r>
          </w:p>
        </w:tc>
        <w:tc>
          <w:tcPr>
            <w:tcW w:w="1329" w:type="dxa"/>
            <w:vAlign w:val="center"/>
            <w:hideMark/>
          </w:tcPr>
          <w:p w14:paraId="6E8DCC7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0.979</w:t>
            </w:r>
          </w:p>
        </w:tc>
      </w:tr>
    </w:tbl>
    <w:p w14:paraId="3A860CE6" w14:textId="77777777" w:rsidR="00E96F39" w:rsidRDefault="00E96F39" w:rsidP="00E96F39">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For comparability, for the child-elder ratio the absolute value of each correlation is shown, as this measure is negatively correlated with all other measures.</w:t>
      </w:r>
    </w:p>
    <w:p w14:paraId="193546B2" w14:textId="0F40FB8B" w:rsidR="00E96F39" w:rsidRDefault="00E96F39" w:rsidP="00697F2C">
      <w:pPr>
        <w:spacing w:line="24" w:lineRule="atLeast"/>
        <w:ind w:firstLine="360"/>
        <w:jc w:val="both"/>
      </w:pPr>
    </w:p>
    <w:p w14:paraId="4AFEB194" w14:textId="7BC30206" w:rsidR="00E96F39" w:rsidRDefault="00E96F39" w:rsidP="00697F2C">
      <w:pPr>
        <w:spacing w:line="24" w:lineRule="atLeast"/>
        <w:ind w:firstLine="360"/>
        <w:jc w:val="both"/>
      </w:pPr>
    </w:p>
    <w:p w14:paraId="0331A9AD" w14:textId="63947638" w:rsidR="00E96F39" w:rsidRDefault="00E96F39" w:rsidP="00697F2C">
      <w:pPr>
        <w:spacing w:line="24" w:lineRule="atLeast"/>
        <w:ind w:firstLine="360"/>
        <w:jc w:val="both"/>
      </w:pPr>
      <w:r>
        <w:br w:type="page"/>
      </w:r>
    </w:p>
    <w:p w14:paraId="461C130E" w14:textId="32B4C116" w:rsidR="00E96F39" w:rsidRPr="00994234" w:rsidRDefault="00E96F39" w:rsidP="00E96F39">
      <w:pPr>
        <w:spacing w:line="360" w:lineRule="auto"/>
        <w:rPr>
          <w:b/>
          <w:bCs/>
          <w:lang w:val="mi-NZ"/>
        </w:rPr>
      </w:pPr>
      <w:r w:rsidRPr="00994234">
        <w:rPr>
          <w:b/>
          <w:bCs/>
          <w:lang w:val="mi-NZ"/>
        </w:rPr>
        <w:lastRenderedPageBreak/>
        <w:t xml:space="preserve">Table </w:t>
      </w:r>
      <w:r>
        <w:rPr>
          <w:b/>
          <w:bCs/>
          <w:lang w:val="mi-NZ"/>
        </w:rPr>
        <w:t>4</w:t>
      </w:r>
      <w:r w:rsidRPr="00994234">
        <w:rPr>
          <w:b/>
          <w:bCs/>
          <w:lang w:val="mi-NZ"/>
        </w:rPr>
        <w:t xml:space="preserve">. </w:t>
      </w:r>
      <w:r w:rsidRPr="00E96F39">
        <w:rPr>
          <w:b/>
          <w:bCs/>
          <w:lang w:val="mi-NZ"/>
        </w:rPr>
        <w:t>Spearman rank correlations between RMSA and other measures of structural ageing based on country-level data 1950-2100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E96F39" w14:paraId="44503858" w14:textId="77777777" w:rsidTr="00E96F39">
        <w:trPr>
          <w:trHeight w:val="470"/>
        </w:trPr>
        <w:tc>
          <w:tcPr>
            <w:tcW w:w="1288" w:type="dxa"/>
            <w:tcBorders>
              <w:top w:val="single" w:sz="4" w:space="0" w:color="auto"/>
              <w:bottom w:val="single" w:sz="4" w:space="0" w:color="auto"/>
            </w:tcBorders>
            <w:vAlign w:val="center"/>
            <w:hideMark/>
          </w:tcPr>
          <w:p w14:paraId="454D156D" w14:textId="77777777" w:rsidR="00E96F39" w:rsidRDefault="00E96F39">
            <w:pPr>
              <w:jc w:val="center"/>
              <w:rPr>
                <w:rFonts w:asciiTheme="majorBidi" w:hAnsiTheme="majorBidi" w:cstheme="majorBidi"/>
                <w:b/>
                <w:bCs/>
                <w:sz w:val="20"/>
                <w:szCs w:val="20"/>
                <w:lang w:val="en-NZ" w:eastAsia="zh-CN"/>
              </w:rPr>
            </w:pPr>
            <w:r>
              <w:rPr>
                <w:rFonts w:asciiTheme="majorBidi" w:hAnsiTheme="majorBidi" w:cstheme="majorBidi"/>
                <w:b/>
                <w:bCs/>
                <w:sz w:val="20"/>
                <w:szCs w:val="20"/>
              </w:rPr>
              <w:t>Year</w:t>
            </w:r>
          </w:p>
        </w:tc>
        <w:tc>
          <w:tcPr>
            <w:tcW w:w="1288" w:type="dxa"/>
            <w:tcBorders>
              <w:top w:val="single" w:sz="4" w:space="0" w:color="auto"/>
              <w:bottom w:val="single" w:sz="4" w:space="0" w:color="auto"/>
            </w:tcBorders>
            <w:vAlign w:val="center"/>
            <w:hideMark/>
          </w:tcPr>
          <w:p w14:paraId="393BDAB4"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Mean age</w:t>
            </w:r>
          </w:p>
        </w:tc>
        <w:tc>
          <w:tcPr>
            <w:tcW w:w="1288" w:type="dxa"/>
            <w:tcBorders>
              <w:top w:val="single" w:sz="4" w:space="0" w:color="auto"/>
              <w:bottom w:val="single" w:sz="4" w:space="0" w:color="auto"/>
            </w:tcBorders>
            <w:vAlign w:val="center"/>
            <w:hideMark/>
          </w:tcPr>
          <w:p w14:paraId="4841F8A4"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Median age</w:t>
            </w:r>
          </w:p>
        </w:tc>
        <w:tc>
          <w:tcPr>
            <w:tcW w:w="1288" w:type="dxa"/>
            <w:tcBorders>
              <w:top w:val="single" w:sz="4" w:space="0" w:color="auto"/>
              <w:bottom w:val="single" w:sz="4" w:space="0" w:color="auto"/>
            </w:tcBorders>
            <w:vAlign w:val="center"/>
            <w:hideMark/>
          </w:tcPr>
          <w:p w14:paraId="25EC8FD6"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Proportion of the population aged 65 years and over</w:t>
            </w:r>
          </w:p>
        </w:tc>
        <w:tc>
          <w:tcPr>
            <w:tcW w:w="1288" w:type="dxa"/>
            <w:tcBorders>
              <w:top w:val="single" w:sz="4" w:space="0" w:color="auto"/>
              <w:bottom w:val="single" w:sz="4" w:space="0" w:color="auto"/>
            </w:tcBorders>
            <w:vAlign w:val="center"/>
            <w:hideMark/>
          </w:tcPr>
          <w:p w14:paraId="7F56B990"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Proportion of the population aged 85 years and over</w:t>
            </w:r>
          </w:p>
        </w:tc>
        <w:tc>
          <w:tcPr>
            <w:tcW w:w="1288" w:type="dxa"/>
            <w:tcBorders>
              <w:top w:val="single" w:sz="4" w:space="0" w:color="auto"/>
              <w:bottom w:val="single" w:sz="4" w:space="0" w:color="auto"/>
            </w:tcBorders>
            <w:vAlign w:val="center"/>
            <w:hideMark/>
          </w:tcPr>
          <w:p w14:paraId="3D19CBB0"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Child-elder ratio</w:t>
            </w:r>
            <w:r>
              <w:rPr>
                <w:rFonts w:asciiTheme="majorBidi" w:hAnsiTheme="majorBidi" w:cstheme="majorBidi"/>
                <w:b/>
                <w:bCs/>
                <w:color w:val="000000"/>
                <w:sz w:val="20"/>
                <w:szCs w:val="20"/>
                <w:vertAlign w:val="superscript"/>
              </w:rPr>
              <w:t>*</w:t>
            </w:r>
          </w:p>
        </w:tc>
        <w:tc>
          <w:tcPr>
            <w:tcW w:w="1288" w:type="dxa"/>
            <w:tcBorders>
              <w:top w:val="single" w:sz="4" w:space="0" w:color="auto"/>
              <w:bottom w:val="single" w:sz="4" w:space="0" w:color="auto"/>
            </w:tcBorders>
            <w:vAlign w:val="center"/>
            <w:hideMark/>
          </w:tcPr>
          <w:p w14:paraId="21A7FAE0" w14:textId="77777777" w:rsidR="00E96F39" w:rsidRDefault="00E96F39">
            <w:pPr>
              <w:jc w:val="center"/>
              <w:rPr>
                <w:rFonts w:asciiTheme="majorBidi" w:hAnsiTheme="majorBidi" w:cstheme="majorBidi"/>
                <w:b/>
                <w:bCs/>
                <w:sz w:val="20"/>
                <w:szCs w:val="20"/>
              </w:rPr>
            </w:pPr>
            <w:r>
              <w:rPr>
                <w:rFonts w:asciiTheme="majorBidi" w:hAnsiTheme="majorBidi" w:cstheme="majorBidi"/>
                <w:b/>
                <w:bCs/>
                <w:color w:val="000000"/>
                <w:sz w:val="20"/>
                <w:szCs w:val="20"/>
              </w:rPr>
              <w:t>Old-age dependency ratio</w:t>
            </w:r>
          </w:p>
        </w:tc>
      </w:tr>
      <w:tr w:rsidR="00E96F39" w14:paraId="60512A86" w14:textId="77777777" w:rsidTr="00E96F39">
        <w:trPr>
          <w:trHeight w:val="460"/>
        </w:trPr>
        <w:tc>
          <w:tcPr>
            <w:tcW w:w="1288" w:type="dxa"/>
            <w:tcBorders>
              <w:top w:val="single" w:sz="4" w:space="0" w:color="auto"/>
            </w:tcBorders>
            <w:vAlign w:val="center"/>
            <w:hideMark/>
          </w:tcPr>
          <w:p w14:paraId="548E610F"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1950</w:t>
            </w:r>
          </w:p>
        </w:tc>
        <w:tc>
          <w:tcPr>
            <w:tcW w:w="1288" w:type="dxa"/>
            <w:tcBorders>
              <w:top w:val="single" w:sz="4" w:space="0" w:color="auto"/>
            </w:tcBorders>
            <w:vAlign w:val="center"/>
            <w:hideMark/>
          </w:tcPr>
          <w:p w14:paraId="752E5529"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0.986</w:t>
            </w:r>
          </w:p>
        </w:tc>
        <w:tc>
          <w:tcPr>
            <w:tcW w:w="1288" w:type="dxa"/>
            <w:tcBorders>
              <w:top w:val="single" w:sz="4" w:space="0" w:color="auto"/>
            </w:tcBorders>
            <w:vAlign w:val="center"/>
            <w:hideMark/>
          </w:tcPr>
          <w:p w14:paraId="0D86087F"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0.930</w:t>
            </w:r>
          </w:p>
        </w:tc>
        <w:tc>
          <w:tcPr>
            <w:tcW w:w="1288" w:type="dxa"/>
            <w:tcBorders>
              <w:top w:val="single" w:sz="4" w:space="0" w:color="auto"/>
            </w:tcBorders>
            <w:vAlign w:val="center"/>
            <w:hideMark/>
          </w:tcPr>
          <w:p w14:paraId="6A00BAB0"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0.948</w:t>
            </w:r>
          </w:p>
        </w:tc>
        <w:tc>
          <w:tcPr>
            <w:tcW w:w="1288" w:type="dxa"/>
            <w:tcBorders>
              <w:top w:val="single" w:sz="4" w:space="0" w:color="auto"/>
            </w:tcBorders>
            <w:vAlign w:val="center"/>
            <w:hideMark/>
          </w:tcPr>
          <w:p w14:paraId="3906E7E0"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0.802</w:t>
            </w:r>
          </w:p>
        </w:tc>
        <w:tc>
          <w:tcPr>
            <w:tcW w:w="1288" w:type="dxa"/>
            <w:tcBorders>
              <w:top w:val="single" w:sz="4" w:space="0" w:color="auto"/>
            </w:tcBorders>
            <w:vAlign w:val="center"/>
            <w:hideMark/>
          </w:tcPr>
          <w:p w14:paraId="58FA527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0.988</w:t>
            </w:r>
          </w:p>
        </w:tc>
        <w:tc>
          <w:tcPr>
            <w:tcW w:w="1288" w:type="dxa"/>
            <w:tcBorders>
              <w:top w:val="single" w:sz="4" w:space="0" w:color="auto"/>
            </w:tcBorders>
            <w:vAlign w:val="center"/>
            <w:hideMark/>
          </w:tcPr>
          <w:p w14:paraId="163A941F"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0.893</w:t>
            </w:r>
          </w:p>
        </w:tc>
      </w:tr>
      <w:tr w:rsidR="00E96F39" w14:paraId="3CDCC36F" w14:textId="77777777" w:rsidTr="00E96F39">
        <w:trPr>
          <w:trHeight w:val="460"/>
        </w:trPr>
        <w:tc>
          <w:tcPr>
            <w:tcW w:w="1288" w:type="dxa"/>
            <w:vAlign w:val="center"/>
            <w:hideMark/>
          </w:tcPr>
          <w:p w14:paraId="24D9388A"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1960</w:t>
            </w:r>
          </w:p>
        </w:tc>
        <w:tc>
          <w:tcPr>
            <w:tcW w:w="1288" w:type="dxa"/>
            <w:vAlign w:val="center"/>
            <w:hideMark/>
          </w:tcPr>
          <w:p w14:paraId="3C5AC227"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0.981</w:t>
            </w:r>
          </w:p>
        </w:tc>
        <w:tc>
          <w:tcPr>
            <w:tcW w:w="1288" w:type="dxa"/>
            <w:vAlign w:val="center"/>
            <w:hideMark/>
          </w:tcPr>
          <w:p w14:paraId="00D7189B"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0.899</w:t>
            </w:r>
          </w:p>
        </w:tc>
        <w:tc>
          <w:tcPr>
            <w:tcW w:w="1288" w:type="dxa"/>
            <w:vAlign w:val="center"/>
            <w:hideMark/>
          </w:tcPr>
          <w:p w14:paraId="56D79BE5"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0.932</w:t>
            </w:r>
          </w:p>
        </w:tc>
        <w:tc>
          <w:tcPr>
            <w:tcW w:w="1288" w:type="dxa"/>
            <w:vAlign w:val="center"/>
            <w:hideMark/>
          </w:tcPr>
          <w:p w14:paraId="288472C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0.822</w:t>
            </w:r>
          </w:p>
        </w:tc>
        <w:tc>
          <w:tcPr>
            <w:tcW w:w="1288" w:type="dxa"/>
            <w:vAlign w:val="center"/>
            <w:hideMark/>
          </w:tcPr>
          <w:p w14:paraId="7C338E95"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0.978</w:t>
            </w:r>
          </w:p>
        </w:tc>
        <w:tc>
          <w:tcPr>
            <w:tcW w:w="1288" w:type="dxa"/>
            <w:vAlign w:val="center"/>
            <w:hideMark/>
          </w:tcPr>
          <w:p w14:paraId="60F1F1F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0.886</w:t>
            </w:r>
          </w:p>
        </w:tc>
      </w:tr>
      <w:tr w:rsidR="00E96F39" w14:paraId="7E672322" w14:textId="77777777" w:rsidTr="00E96F39">
        <w:trPr>
          <w:trHeight w:val="460"/>
        </w:trPr>
        <w:tc>
          <w:tcPr>
            <w:tcW w:w="1288" w:type="dxa"/>
            <w:vAlign w:val="center"/>
            <w:hideMark/>
          </w:tcPr>
          <w:p w14:paraId="7C425B54"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1970</w:t>
            </w:r>
          </w:p>
        </w:tc>
        <w:tc>
          <w:tcPr>
            <w:tcW w:w="1288" w:type="dxa"/>
            <w:vAlign w:val="center"/>
            <w:hideMark/>
          </w:tcPr>
          <w:p w14:paraId="18B695D6"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0.975</w:t>
            </w:r>
          </w:p>
        </w:tc>
        <w:tc>
          <w:tcPr>
            <w:tcW w:w="1288" w:type="dxa"/>
            <w:vAlign w:val="center"/>
            <w:hideMark/>
          </w:tcPr>
          <w:p w14:paraId="2F9EF102"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0.844</w:t>
            </w:r>
          </w:p>
        </w:tc>
        <w:tc>
          <w:tcPr>
            <w:tcW w:w="1288" w:type="dxa"/>
            <w:vAlign w:val="center"/>
            <w:hideMark/>
          </w:tcPr>
          <w:p w14:paraId="7F90B164"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0.931</w:t>
            </w:r>
          </w:p>
        </w:tc>
        <w:tc>
          <w:tcPr>
            <w:tcW w:w="1288" w:type="dxa"/>
            <w:vAlign w:val="center"/>
            <w:hideMark/>
          </w:tcPr>
          <w:p w14:paraId="6CF2371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0.823</w:t>
            </w:r>
          </w:p>
        </w:tc>
        <w:tc>
          <w:tcPr>
            <w:tcW w:w="1288" w:type="dxa"/>
            <w:vAlign w:val="center"/>
            <w:hideMark/>
          </w:tcPr>
          <w:p w14:paraId="233897F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0.982</w:t>
            </w:r>
          </w:p>
        </w:tc>
        <w:tc>
          <w:tcPr>
            <w:tcW w:w="1288" w:type="dxa"/>
            <w:vAlign w:val="center"/>
            <w:hideMark/>
          </w:tcPr>
          <w:p w14:paraId="4D2ACF7F"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0.879</w:t>
            </w:r>
          </w:p>
        </w:tc>
      </w:tr>
      <w:tr w:rsidR="00E96F39" w14:paraId="6F264D98" w14:textId="77777777" w:rsidTr="00E96F39">
        <w:trPr>
          <w:trHeight w:val="460"/>
        </w:trPr>
        <w:tc>
          <w:tcPr>
            <w:tcW w:w="1288" w:type="dxa"/>
            <w:vAlign w:val="center"/>
            <w:hideMark/>
          </w:tcPr>
          <w:p w14:paraId="55BBD40C"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1980</w:t>
            </w:r>
          </w:p>
        </w:tc>
        <w:tc>
          <w:tcPr>
            <w:tcW w:w="1288" w:type="dxa"/>
            <w:vAlign w:val="center"/>
            <w:hideMark/>
          </w:tcPr>
          <w:p w14:paraId="21C2C493"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0.985</w:t>
            </w:r>
          </w:p>
        </w:tc>
        <w:tc>
          <w:tcPr>
            <w:tcW w:w="1288" w:type="dxa"/>
            <w:vAlign w:val="center"/>
            <w:hideMark/>
          </w:tcPr>
          <w:p w14:paraId="47FC0AAD"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0.934</w:t>
            </w:r>
          </w:p>
        </w:tc>
        <w:tc>
          <w:tcPr>
            <w:tcW w:w="1288" w:type="dxa"/>
            <w:vAlign w:val="center"/>
            <w:hideMark/>
          </w:tcPr>
          <w:p w14:paraId="2B326F6F"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0.937</w:t>
            </w:r>
          </w:p>
        </w:tc>
        <w:tc>
          <w:tcPr>
            <w:tcW w:w="1288" w:type="dxa"/>
            <w:vAlign w:val="center"/>
            <w:hideMark/>
          </w:tcPr>
          <w:p w14:paraId="48E9ADF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0.878</w:t>
            </w:r>
          </w:p>
        </w:tc>
        <w:tc>
          <w:tcPr>
            <w:tcW w:w="1288" w:type="dxa"/>
            <w:vAlign w:val="center"/>
            <w:hideMark/>
          </w:tcPr>
          <w:p w14:paraId="47C3E93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0.983</w:t>
            </w:r>
          </w:p>
        </w:tc>
        <w:tc>
          <w:tcPr>
            <w:tcW w:w="1288" w:type="dxa"/>
            <w:vAlign w:val="center"/>
            <w:hideMark/>
          </w:tcPr>
          <w:p w14:paraId="41D6F94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0.879</w:t>
            </w:r>
          </w:p>
        </w:tc>
      </w:tr>
      <w:tr w:rsidR="00E96F39" w14:paraId="5A7CE1DF" w14:textId="77777777" w:rsidTr="00E96F39">
        <w:trPr>
          <w:trHeight w:val="460"/>
        </w:trPr>
        <w:tc>
          <w:tcPr>
            <w:tcW w:w="1288" w:type="dxa"/>
            <w:vAlign w:val="center"/>
            <w:hideMark/>
          </w:tcPr>
          <w:p w14:paraId="2B7BA586"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1990</w:t>
            </w:r>
          </w:p>
        </w:tc>
        <w:tc>
          <w:tcPr>
            <w:tcW w:w="1288" w:type="dxa"/>
            <w:vAlign w:val="center"/>
            <w:hideMark/>
          </w:tcPr>
          <w:p w14:paraId="4189CF56"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0.993</w:t>
            </w:r>
          </w:p>
        </w:tc>
        <w:tc>
          <w:tcPr>
            <w:tcW w:w="1288" w:type="dxa"/>
            <w:vAlign w:val="center"/>
            <w:hideMark/>
          </w:tcPr>
          <w:p w14:paraId="5EE3DEEC"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0.967</w:t>
            </w:r>
          </w:p>
        </w:tc>
        <w:tc>
          <w:tcPr>
            <w:tcW w:w="1288" w:type="dxa"/>
            <w:vAlign w:val="center"/>
            <w:hideMark/>
          </w:tcPr>
          <w:p w14:paraId="66EBE4EA"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0.944</w:t>
            </w:r>
          </w:p>
        </w:tc>
        <w:tc>
          <w:tcPr>
            <w:tcW w:w="1288" w:type="dxa"/>
            <w:vAlign w:val="center"/>
            <w:hideMark/>
          </w:tcPr>
          <w:p w14:paraId="02B9D56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0.904</w:t>
            </w:r>
          </w:p>
        </w:tc>
        <w:tc>
          <w:tcPr>
            <w:tcW w:w="1288" w:type="dxa"/>
            <w:vAlign w:val="center"/>
            <w:hideMark/>
          </w:tcPr>
          <w:p w14:paraId="2E3C959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0.976</w:t>
            </w:r>
          </w:p>
        </w:tc>
        <w:tc>
          <w:tcPr>
            <w:tcW w:w="1288" w:type="dxa"/>
            <w:vAlign w:val="center"/>
            <w:hideMark/>
          </w:tcPr>
          <w:p w14:paraId="65431B5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0.892</w:t>
            </w:r>
          </w:p>
        </w:tc>
      </w:tr>
      <w:tr w:rsidR="00E96F39" w14:paraId="29011B63" w14:textId="77777777" w:rsidTr="00E96F39">
        <w:trPr>
          <w:trHeight w:val="460"/>
        </w:trPr>
        <w:tc>
          <w:tcPr>
            <w:tcW w:w="1288" w:type="dxa"/>
            <w:vAlign w:val="center"/>
            <w:hideMark/>
          </w:tcPr>
          <w:p w14:paraId="03F21F3A"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2000</w:t>
            </w:r>
          </w:p>
        </w:tc>
        <w:tc>
          <w:tcPr>
            <w:tcW w:w="1288" w:type="dxa"/>
            <w:vAlign w:val="center"/>
            <w:hideMark/>
          </w:tcPr>
          <w:p w14:paraId="7AA4A72B"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0.997</w:t>
            </w:r>
          </w:p>
        </w:tc>
        <w:tc>
          <w:tcPr>
            <w:tcW w:w="1288" w:type="dxa"/>
            <w:vAlign w:val="center"/>
            <w:hideMark/>
          </w:tcPr>
          <w:p w14:paraId="19AE182E"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0.981</w:t>
            </w:r>
          </w:p>
        </w:tc>
        <w:tc>
          <w:tcPr>
            <w:tcW w:w="1288" w:type="dxa"/>
            <w:vAlign w:val="center"/>
            <w:hideMark/>
          </w:tcPr>
          <w:p w14:paraId="46E2646B"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0.950</w:t>
            </w:r>
          </w:p>
        </w:tc>
        <w:tc>
          <w:tcPr>
            <w:tcW w:w="1288" w:type="dxa"/>
            <w:vAlign w:val="center"/>
            <w:hideMark/>
          </w:tcPr>
          <w:p w14:paraId="76333030"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0.929</w:t>
            </w:r>
          </w:p>
        </w:tc>
        <w:tc>
          <w:tcPr>
            <w:tcW w:w="1288" w:type="dxa"/>
            <w:vAlign w:val="center"/>
            <w:hideMark/>
          </w:tcPr>
          <w:p w14:paraId="24CCA10B"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0.981</w:t>
            </w:r>
          </w:p>
        </w:tc>
        <w:tc>
          <w:tcPr>
            <w:tcW w:w="1288" w:type="dxa"/>
            <w:vAlign w:val="center"/>
            <w:hideMark/>
          </w:tcPr>
          <w:p w14:paraId="594AE35C"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0.852</w:t>
            </w:r>
          </w:p>
        </w:tc>
      </w:tr>
      <w:tr w:rsidR="00E96F39" w14:paraId="5839E7EF" w14:textId="77777777" w:rsidTr="00E96F39">
        <w:trPr>
          <w:trHeight w:val="460"/>
        </w:trPr>
        <w:tc>
          <w:tcPr>
            <w:tcW w:w="1288" w:type="dxa"/>
            <w:vAlign w:val="center"/>
            <w:hideMark/>
          </w:tcPr>
          <w:p w14:paraId="2A846C13"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2010</w:t>
            </w:r>
          </w:p>
        </w:tc>
        <w:tc>
          <w:tcPr>
            <w:tcW w:w="1288" w:type="dxa"/>
            <w:vAlign w:val="center"/>
            <w:hideMark/>
          </w:tcPr>
          <w:p w14:paraId="3532D6D7"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0.997</w:t>
            </w:r>
          </w:p>
        </w:tc>
        <w:tc>
          <w:tcPr>
            <w:tcW w:w="1288" w:type="dxa"/>
            <w:vAlign w:val="center"/>
            <w:hideMark/>
          </w:tcPr>
          <w:p w14:paraId="7A68C9F2"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0.985</w:t>
            </w:r>
          </w:p>
        </w:tc>
        <w:tc>
          <w:tcPr>
            <w:tcW w:w="1288" w:type="dxa"/>
            <w:vAlign w:val="center"/>
            <w:hideMark/>
          </w:tcPr>
          <w:p w14:paraId="211852EF"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0.959</w:t>
            </w:r>
          </w:p>
        </w:tc>
        <w:tc>
          <w:tcPr>
            <w:tcW w:w="1288" w:type="dxa"/>
            <w:vAlign w:val="center"/>
            <w:hideMark/>
          </w:tcPr>
          <w:p w14:paraId="3D3264C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0.937</w:t>
            </w:r>
          </w:p>
        </w:tc>
        <w:tc>
          <w:tcPr>
            <w:tcW w:w="1288" w:type="dxa"/>
            <w:vAlign w:val="center"/>
            <w:hideMark/>
          </w:tcPr>
          <w:p w14:paraId="51510AD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0.990</w:t>
            </w:r>
          </w:p>
        </w:tc>
        <w:tc>
          <w:tcPr>
            <w:tcW w:w="1288" w:type="dxa"/>
            <w:vAlign w:val="center"/>
            <w:hideMark/>
          </w:tcPr>
          <w:p w14:paraId="2D19F78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0.933</w:t>
            </w:r>
          </w:p>
        </w:tc>
      </w:tr>
      <w:tr w:rsidR="00E96F39" w14:paraId="61E11666" w14:textId="77777777" w:rsidTr="00E96F39">
        <w:trPr>
          <w:trHeight w:val="460"/>
        </w:trPr>
        <w:tc>
          <w:tcPr>
            <w:tcW w:w="1288" w:type="dxa"/>
            <w:vAlign w:val="center"/>
            <w:hideMark/>
          </w:tcPr>
          <w:p w14:paraId="40839943"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2020</w:t>
            </w:r>
          </w:p>
        </w:tc>
        <w:tc>
          <w:tcPr>
            <w:tcW w:w="1288" w:type="dxa"/>
            <w:vAlign w:val="center"/>
            <w:hideMark/>
          </w:tcPr>
          <w:p w14:paraId="139B663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0.997</w:t>
            </w:r>
          </w:p>
        </w:tc>
        <w:tc>
          <w:tcPr>
            <w:tcW w:w="1288" w:type="dxa"/>
            <w:vAlign w:val="center"/>
            <w:hideMark/>
          </w:tcPr>
          <w:p w14:paraId="4BAD6C1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0.987</w:t>
            </w:r>
          </w:p>
        </w:tc>
        <w:tc>
          <w:tcPr>
            <w:tcW w:w="1288" w:type="dxa"/>
            <w:vAlign w:val="center"/>
            <w:hideMark/>
          </w:tcPr>
          <w:p w14:paraId="571901A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0.968</w:t>
            </w:r>
          </w:p>
        </w:tc>
        <w:tc>
          <w:tcPr>
            <w:tcW w:w="1288" w:type="dxa"/>
            <w:vAlign w:val="center"/>
            <w:hideMark/>
          </w:tcPr>
          <w:p w14:paraId="75614632"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0.947</w:t>
            </w:r>
          </w:p>
        </w:tc>
        <w:tc>
          <w:tcPr>
            <w:tcW w:w="1288" w:type="dxa"/>
            <w:vAlign w:val="center"/>
            <w:hideMark/>
          </w:tcPr>
          <w:p w14:paraId="2FCEE6E6"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0.994</w:t>
            </w:r>
          </w:p>
        </w:tc>
        <w:tc>
          <w:tcPr>
            <w:tcW w:w="1288" w:type="dxa"/>
            <w:vAlign w:val="center"/>
            <w:hideMark/>
          </w:tcPr>
          <w:p w14:paraId="2F7CCD6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0.945</w:t>
            </w:r>
          </w:p>
        </w:tc>
      </w:tr>
      <w:tr w:rsidR="00E96F39" w14:paraId="06C2AEE6" w14:textId="77777777" w:rsidTr="00E96F39">
        <w:trPr>
          <w:trHeight w:val="460"/>
        </w:trPr>
        <w:tc>
          <w:tcPr>
            <w:tcW w:w="1288" w:type="dxa"/>
            <w:vAlign w:val="center"/>
            <w:hideMark/>
          </w:tcPr>
          <w:p w14:paraId="13253E6B"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2030</w:t>
            </w:r>
          </w:p>
        </w:tc>
        <w:tc>
          <w:tcPr>
            <w:tcW w:w="1288" w:type="dxa"/>
            <w:vAlign w:val="center"/>
            <w:hideMark/>
          </w:tcPr>
          <w:p w14:paraId="16D84FE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037E6A9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0.991</w:t>
            </w:r>
          </w:p>
        </w:tc>
        <w:tc>
          <w:tcPr>
            <w:tcW w:w="1288" w:type="dxa"/>
            <w:vAlign w:val="center"/>
            <w:hideMark/>
          </w:tcPr>
          <w:p w14:paraId="23CC37F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0.989</w:t>
            </w:r>
          </w:p>
        </w:tc>
        <w:tc>
          <w:tcPr>
            <w:tcW w:w="1288" w:type="dxa"/>
            <w:vAlign w:val="center"/>
            <w:hideMark/>
          </w:tcPr>
          <w:p w14:paraId="6C8BC40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0.950</w:t>
            </w:r>
          </w:p>
        </w:tc>
        <w:tc>
          <w:tcPr>
            <w:tcW w:w="1288" w:type="dxa"/>
            <w:vAlign w:val="center"/>
            <w:hideMark/>
          </w:tcPr>
          <w:p w14:paraId="48EC8E25"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0.997</w:t>
            </w:r>
          </w:p>
        </w:tc>
        <w:tc>
          <w:tcPr>
            <w:tcW w:w="1288" w:type="dxa"/>
            <w:vAlign w:val="center"/>
            <w:hideMark/>
          </w:tcPr>
          <w:p w14:paraId="36160B7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0.979</w:t>
            </w:r>
          </w:p>
        </w:tc>
      </w:tr>
      <w:tr w:rsidR="00E96F39" w14:paraId="2F994D86" w14:textId="77777777" w:rsidTr="00E96F39">
        <w:trPr>
          <w:trHeight w:val="460"/>
        </w:trPr>
        <w:tc>
          <w:tcPr>
            <w:tcW w:w="1288" w:type="dxa"/>
            <w:vAlign w:val="center"/>
            <w:hideMark/>
          </w:tcPr>
          <w:p w14:paraId="75BC58C9"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2040</w:t>
            </w:r>
          </w:p>
        </w:tc>
        <w:tc>
          <w:tcPr>
            <w:tcW w:w="1288" w:type="dxa"/>
            <w:vAlign w:val="center"/>
            <w:hideMark/>
          </w:tcPr>
          <w:p w14:paraId="55A70FCE"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05162430"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0.991</w:t>
            </w:r>
          </w:p>
        </w:tc>
        <w:tc>
          <w:tcPr>
            <w:tcW w:w="1288" w:type="dxa"/>
            <w:vAlign w:val="center"/>
            <w:hideMark/>
          </w:tcPr>
          <w:p w14:paraId="3D76EA7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0.994</w:t>
            </w:r>
          </w:p>
        </w:tc>
        <w:tc>
          <w:tcPr>
            <w:tcW w:w="1288" w:type="dxa"/>
            <w:vAlign w:val="center"/>
            <w:hideMark/>
          </w:tcPr>
          <w:p w14:paraId="160D33A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0.965</w:t>
            </w:r>
          </w:p>
        </w:tc>
        <w:tc>
          <w:tcPr>
            <w:tcW w:w="1288" w:type="dxa"/>
            <w:vAlign w:val="center"/>
            <w:hideMark/>
          </w:tcPr>
          <w:p w14:paraId="1382E9B5"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0.996</w:t>
            </w:r>
          </w:p>
        </w:tc>
        <w:tc>
          <w:tcPr>
            <w:tcW w:w="1288" w:type="dxa"/>
            <w:vAlign w:val="center"/>
            <w:hideMark/>
          </w:tcPr>
          <w:p w14:paraId="204C710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0.988</w:t>
            </w:r>
          </w:p>
        </w:tc>
      </w:tr>
      <w:tr w:rsidR="00E96F39" w14:paraId="57136E24" w14:textId="77777777" w:rsidTr="00E96F39">
        <w:trPr>
          <w:trHeight w:val="460"/>
        </w:trPr>
        <w:tc>
          <w:tcPr>
            <w:tcW w:w="1288" w:type="dxa"/>
            <w:vAlign w:val="center"/>
            <w:hideMark/>
          </w:tcPr>
          <w:p w14:paraId="273FCCB2"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2050</w:t>
            </w:r>
          </w:p>
        </w:tc>
        <w:tc>
          <w:tcPr>
            <w:tcW w:w="1288" w:type="dxa"/>
            <w:vAlign w:val="center"/>
            <w:hideMark/>
          </w:tcPr>
          <w:p w14:paraId="559C994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73B17070"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0.992</w:t>
            </w:r>
          </w:p>
        </w:tc>
        <w:tc>
          <w:tcPr>
            <w:tcW w:w="1288" w:type="dxa"/>
            <w:vAlign w:val="center"/>
            <w:hideMark/>
          </w:tcPr>
          <w:p w14:paraId="7933809B"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0.995</w:t>
            </w:r>
          </w:p>
        </w:tc>
        <w:tc>
          <w:tcPr>
            <w:tcW w:w="1288" w:type="dxa"/>
            <w:vAlign w:val="center"/>
            <w:hideMark/>
          </w:tcPr>
          <w:p w14:paraId="47D9A75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0.973</w:t>
            </w:r>
          </w:p>
        </w:tc>
        <w:tc>
          <w:tcPr>
            <w:tcW w:w="1288" w:type="dxa"/>
            <w:vAlign w:val="center"/>
            <w:hideMark/>
          </w:tcPr>
          <w:p w14:paraId="03F52673"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0.993</w:t>
            </w:r>
          </w:p>
        </w:tc>
        <w:tc>
          <w:tcPr>
            <w:tcW w:w="1288" w:type="dxa"/>
            <w:vAlign w:val="center"/>
            <w:hideMark/>
          </w:tcPr>
          <w:p w14:paraId="6ED0B096"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0.991</w:t>
            </w:r>
          </w:p>
        </w:tc>
      </w:tr>
      <w:tr w:rsidR="00E96F39" w14:paraId="6B8DBD3B" w14:textId="77777777" w:rsidTr="00E96F39">
        <w:trPr>
          <w:trHeight w:val="460"/>
        </w:trPr>
        <w:tc>
          <w:tcPr>
            <w:tcW w:w="1288" w:type="dxa"/>
            <w:vAlign w:val="center"/>
            <w:hideMark/>
          </w:tcPr>
          <w:p w14:paraId="1F753A77"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2060</w:t>
            </w:r>
          </w:p>
        </w:tc>
        <w:tc>
          <w:tcPr>
            <w:tcW w:w="1288" w:type="dxa"/>
            <w:vAlign w:val="center"/>
            <w:hideMark/>
          </w:tcPr>
          <w:p w14:paraId="6F50A37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039C344C"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0.993</w:t>
            </w:r>
          </w:p>
        </w:tc>
        <w:tc>
          <w:tcPr>
            <w:tcW w:w="1288" w:type="dxa"/>
            <w:vAlign w:val="center"/>
            <w:hideMark/>
          </w:tcPr>
          <w:p w14:paraId="1A8F0B46"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0.994</w:t>
            </w:r>
          </w:p>
        </w:tc>
        <w:tc>
          <w:tcPr>
            <w:tcW w:w="1288" w:type="dxa"/>
            <w:vAlign w:val="center"/>
            <w:hideMark/>
          </w:tcPr>
          <w:p w14:paraId="7CB030B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0.967</w:t>
            </w:r>
          </w:p>
        </w:tc>
        <w:tc>
          <w:tcPr>
            <w:tcW w:w="1288" w:type="dxa"/>
            <w:vAlign w:val="center"/>
            <w:hideMark/>
          </w:tcPr>
          <w:p w14:paraId="0E4A478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0.992</w:t>
            </w:r>
          </w:p>
        </w:tc>
        <w:tc>
          <w:tcPr>
            <w:tcW w:w="1288" w:type="dxa"/>
            <w:vAlign w:val="center"/>
            <w:hideMark/>
          </w:tcPr>
          <w:p w14:paraId="52A6FEE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0.991</w:t>
            </w:r>
          </w:p>
        </w:tc>
      </w:tr>
      <w:tr w:rsidR="00E96F39" w14:paraId="71474300" w14:textId="77777777" w:rsidTr="00E96F39">
        <w:trPr>
          <w:trHeight w:val="460"/>
        </w:trPr>
        <w:tc>
          <w:tcPr>
            <w:tcW w:w="1288" w:type="dxa"/>
            <w:vAlign w:val="center"/>
            <w:hideMark/>
          </w:tcPr>
          <w:p w14:paraId="37A16E0E"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2070</w:t>
            </w:r>
          </w:p>
        </w:tc>
        <w:tc>
          <w:tcPr>
            <w:tcW w:w="1288" w:type="dxa"/>
            <w:vAlign w:val="center"/>
            <w:hideMark/>
          </w:tcPr>
          <w:p w14:paraId="4707DF0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14042ED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0.993</w:t>
            </w:r>
          </w:p>
        </w:tc>
        <w:tc>
          <w:tcPr>
            <w:tcW w:w="1288" w:type="dxa"/>
            <w:vAlign w:val="center"/>
            <w:hideMark/>
          </w:tcPr>
          <w:p w14:paraId="7F85CE63"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4B4B957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0.972</w:t>
            </w:r>
          </w:p>
        </w:tc>
        <w:tc>
          <w:tcPr>
            <w:tcW w:w="1288" w:type="dxa"/>
            <w:vAlign w:val="center"/>
            <w:hideMark/>
          </w:tcPr>
          <w:p w14:paraId="2DB1C67B"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0.990</w:t>
            </w:r>
          </w:p>
        </w:tc>
        <w:tc>
          <w:tcPr>
            <w:tcW w:w="1288" w:type="dxa"/>
            <w:vAlign w:val="center"/>
            <w:hideMark/>
          </w:tcPr>
          <w:p w14:paraId="181824C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0.996</w:t>
            </w:r>
          </w:p>
        </w:tc>
      </w:tr>
      <w:tr w:rsidR="00E96F39" w14:paraId="3588AFBB" w14:textId="77777777" w:rsidTr="00E96F39">
        <w:trPr>
          <w:trHeight w:val="460"/>
        </w:trPr>
        <w:tc>
          <w:tcPr>
            <w:tcW w:w="1288" w:type="dxa"/>
            <w:vAlign w:val="center"/>
            <w:hideMark/>
          </w:tcPr>
          <w:p w14:paraId="55E241FF"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2080</w:t>
            </w:r>
          </w:p>
        </w:tc>
        <w:tc>
          <w:tcPr>
            <w:tcW w:w="1288" w:type="dxa"/>
            <w:vAlign w:val="center"/>
            <w:hideMark/>
          </w:tcPr>
          <w:p w14:paraId="640ABC2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0AE159A6"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0.992</w:t>
            </w:r>
          </w:p>
        </w:tc>
        <w:tc>
          <w:tcPr>
            <w:tcW w:w="1288" w:type="dxa"/>
            <w:vAlign w:val="center"/>
            <w:hideMark/>
          </w:tcPr>
          <w:p w14:paraId="0238E63D"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5BE556B9"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0.973</w:t>
            </w:r>
          </w:p>
        </w:tc>
        <w:tc>
          <w:tcPr>
            <w:tcW w:w="1288" w:type="dxa"/>
            <w:vAlign w:val="center"/>
            <w:hideMark/>
          </w:tcPr>
          <w:p w14:paraId="083CE9A1"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0.990</w:t>
            </w:r>
          </w:p>
        </w:tc>
        <w:tc>
          <w:tcPr>
            <w:tcW w:w="1288" w:type="dxa"/>
            <w:vAlign w:val="center"/>
            <w:hideMark/>
          </w:tcPr>
          <w:p w14:paraId="23DB779E"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0.996</w:t>
            </w:r>
          </w:p>
        </w:tc>
      </w:tr>
      <w:tr w:rsidR="00E96F39" w14:paraId="6583ACB9" w14:textId="77777777" w:rsidTr="00E96F39">
        <w:trPr>
          <w:trHeight w:val="460"/>
        </w:trPr>
        <w:tc>
          <w:tcPr>
            <w:tcW w:w="1288" w:type="dxa"/>
            <w:vAlign w:val="center"/>
            <w:hideMark/>
          </w:tcPr>
          <w:p w14:paraId="57CA6FC6" w14:textId="77777777" w:rsidR="00E96F39" w:rsidRDefault="00E96F39">
            <w:pPr>
              <w:jc w:val="center"/>
              <w:rPr>
                <w:rFonts w:asciiTheme="majorBidi" w:hAnsiTheme="majorBidi" w:cstheme="majorBidi"/>
                <w:sz w:val="20"/>
                <w:szCs w:val="20"/>
              </w:rPr>
            </w:pPr>
            <w:r>
              <w:rPr>
                <w:rFonts w:asciiTheme="majorBidi" w:hAnsiTheme="majorBidi" w:cstheme="majorBidi"/>
                <w:color w:val="000000"/>
                <w:sz w:val="20"/>
                <w:szCs w:val="20"/>
              </w:rPr>
              <w:t>2090</w:t>
            </w:r>
          </w:p>
        </w:tc>
        <w:tc>
          <w:tcPr>
            <w:tcW w:w="1288" w:type="dxa"/>
            <w:vAlign w:val="center"/>
            <w:hideMark/>
          </w:tcPr>
          <w:p w14:paraId="0C2EECC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7F3E4CB4"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0.990</w:t>
            </w:r>
          </w:p>
        </w:tc>
        <w:tc>
          <w:tcPr>
            <w:tcW w:w="1288" w:type="dxa"/>
            <w:vAlign w:val="center"/>
            <w:hideMark/>
          </w:tcPr>
          <w:p w14:paraId="1411A15C"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0.997</w:t>
            </w:r>
          </w:p>
        </w:tc>
        <w:tc>
          <w:tcPr>
            <w:tcW w:w="1288" w:type="dxa"/>
            <w:vAlign w:val="center"/>
            <w:hideMark/>
          </w:tcPr>
          <w:p w14:paraId="0368059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0.975</w:t>
            </w:r>
          </w:p>
        </w:tc>
        <w:tc>
          <w:tcPr>
            <w:tcW w:w="1288" w:type="dxa"/>
            <w:vAlign w:val="center"/>
            <w:hideMark/>
          </w:tcPr>
          <w:p w14:paraId="48AB2A0D"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0.989</w:t>
            </w:r>
          </w:p>
        </w:tc>
        <w:tc>
          <w:tcPr>
            <w:tcW w:w="1288" w:type="dxa"/>
            <w:vAlign w:val="center"/>
            <w:hideMark/>
          </w:tcPr>
          <w:p w14:paraId="6979176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0.996</w:t>
            </w:r>
          </w:p>
        </w:tc>
      </w:tr>
      <w:tr w:rsidR="00E96F39" w14:paraId="32603117" w14:textId="77777777" w:rsidTr="00E96F39">
        <w:trPr>
          <w:trHeight w:val="460"/>
        </w:trPr>
        <w:tc>
          <w:tcPr>
            <w:tcW w:w="1288" w:type="dxa"/>
            <w:vAlign w:val="center"/>
            <w:hideMark/>
          </w:tcPr>
          <w:p w14:paraId="07861B0A"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2100</w:t>
            </w:r>
          </w:p>
        </w:tc>
        <w:tc>
          <w:tcPr>
            <w:tcW w:w="1288" w:type="dxa"/>
            <w:vAlign w:val="center"/>
            <w:hideMark/>
          </w:tcPr>
          <w:p w14:paraId="3EC7FC5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192867CE"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0.988</w:t>
            </w:r>
          </w:p>
        </w:tc>
        <w:tc>
          <w:tcPr>
            <w:tcW w:w="1288" w:type="dxa"/>
            <w:vAlign w:val="center"/>
            <w:hideMark/>
          </w:tcPr>
          <w:p w14:paraId="3E230747"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0.998</w:t>
            </w:r>
          </w:p>
        </w:tc>
        <w:tc>
          <w:tcPr>
            <w:tcW w:w="1288" w:type="dxa"/>
            <w:vAlign w:val="center"/>
            <w:hideMark/>
          </w:tcPr>
          <w:p w14:paraId="60DB0688"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0.972</w:t>
            </w:r>
          </w:p>
        </w:tc>
        <w:tc>
          <w:tcPr>
            <w:tcW w:w="1288" w:type="dxa"/>
            <w:vAlign w:val="center"/>
            <w:hideMark/>
          </w:tcPr>
          <w:p w14:paraId="4D968425"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0.988</w:t>
            </w:r>
          </w:p>
        </w:tc>
        <w:tc>
          <w:tcPr>
            <w:tcW w:w="1288" w:type="dxa"/>
            <w:vAlign w:val="center"/>
            <w:hideMark/>
          </w:tcPr>
          <w:p w14:paraId="22585922" w14:textId="77777777" w:rsidR="00E96F39" w:rsidRDefault="00E96F39">
            <w:pPr>
              <w:jc w:val="center"/>
              <w:rPr>
                <w:rFonts w:asciiTheme="majorBidi" w:hAnsiTheme="majorBidi" w:cstheme="majorBidi"/>
                <w:color w:val="000000"/>
                <w:sz w:val="20"/>
                <w:szCs w:val="20"/>
              </w:rPr>
            </w:pPr>
            <w:r>
              <w:rPr>
                <w:rFonts w:asciiTheme="majorBidi" w:hAnsiTheme="majorBidi" w:cstheme="majorBidi"/>
                <w:color w:val="000000"/>
                <w:sz w:val="20"/>
                <w:szCs w:val="20"/>
              </w:rPr>
              <w:t>0.997</w:t>
            </w:r>
          </w:p>
        </w:tc>
      </w:tr>
    </w:tbl>
    <w:p w14:paraId="2B8ABDC3" w14:textId="77777777" w:rsidR="00E96F39" w:rsidRDefault="00E96F39" w:rsidP="00E96F39">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For comparability, for the child-elder ratio the absolute value of each correlation is shown, as this measure is negatively correlated with all other measures.</w:t>
      </w:r>
    </w:p>
    <w:p w14:paraId="51884146" w14:textId="77777777" w:rsidR="00E96F39" w:rsidRPr="00E96F39" w:rsidRDefault="00E96F39" w:rsidP="00697F2C">
      <w:pPr>
        <w:spacing w:line="24" w:lineRule="atLeast"/>
        <w:ind w:firstLine="360"/>
        <w:jc w:val="both"/>
      </w:pPr>
    </w:p>
    <w:p w14:paraId="6B8224E7" w14:textId="730F4CAF" w:rsidR="00E96F39" w:rsidRDefault="00E96F39" w:rsidP="00697F2C">
      <w:pPr>
        <w:spacing w:line="24" w:lineRule="atLeast"/>
        <w:ind w:firstLine="360"/>
        <w:jc w:val="both"/>
        <w:rPr>
          <w:lang w:val="mi-NZ"/>
        </w:rPr>
      </w:pPr>
      <w:r>
        <w:rPr>
          <w:lang w:val="mi-NZ"/>
        </w:rPr>
        <w:br w:type="page"/>
      </w:r>
    </w:p>
    <w:p w14:paraId="03AB8886" w14:textId="5370381A" w:rsidR="00EF2F04" w:rsidRDefault="00EF2F04" w:rsidP="00E96F39">
      <w:pPr>
        <w:spacing w:line="288" w:lineRule="auto"/>
        <w:rPr>
          <w:b/>
          <w:bCs/>
          <w:lang w:val="mi-NZ"/>
        </w:rPr>
      </w:pPr>
      <w:r>
        <w:rPr>
          <w:b/>
          <w:bCs/>
          <w:lang w:val="mi-NZ"/>
        </w:rPr>
        <w:lastRenderedPageBreak/>
        <w:t xml:space="preserve">Figure 1. </w:t>
      </w:r>
      <w:r w:rsidRPr="00E96F39">
        <w:rPr>
          <w:b/>
          <w:bCs/>
          <w:lang w:val="mi-NZ"/>
        </w:rPr>
        <w:t>Pearson correlations between RMSA and other measures of structural ageing based on country-level data 1950-2100</w:t>
      </w:r>
    </w:p>
    <w:p w14:paraId="1325181D" w14:textId="77777777" w:rsidR="00EF2F04" w:rsidRPr="00EF2F04" w:rsidRDefault="00EF2F04" w:rsidP="00E96F39">
      <w:pPr>
        <w:spacing w:line="288" w:lineRule="auto"/>
        <w:rPr>
          <w:sz w:val="8"/>
          <w:szCs w:val="8"/>
          <w:lang w:val="mi-NZ"/>
        </w:rPr>
      </w:pPr>
      <w:bookmarkStart w:id="1" w:name="_GoBack"/>
      <w:bookmarkEnd w:id="1"/>
    </w:p>
    <w:p w14:paraId="2CFDD554" w14:textId="631A513D" w:rsidR="00E96F39" w:rsidRDefault="00E96F39" w:rsidP="00E96F39">
      <w:pPr>
        <w:spacing w:line="288" w:lineRule="auto"/>
        <w:rPr>
          <w:lang w:val="mi-NZ"/>
        </w:rPr>
      </w:pPr>
      <w:r>
        <w:rPr>
          <w:noProof/>
          <w:lang w:val="en-NZ" w:eastAsia="zh-CN"/>
        </w:rPr>
        <w:drawing>
          <wp:inline distT="0" distB="0" distL="0" distR="0" wp14:anchorId="6DD16BE9" wp14:editId="2F1E762D">
            <wp:extent cx="5731510" cy="3729990"/>
            <wp:effectExtent l="0" t="0" r="254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29990"/>
                    </a:xfrm>
                    <a:prstGeom prst="rect">
                      <a:avLst/>
                    </a:prstGeom>
                    <a:noFill/>
                    <a:ln>
                      <a:noFill/>
                    </a:ln>
                  </pic:spPr>
                </pic:pic>
              </a:graphicData>
            </a:graphic>
          </wp:inline>
        </w:drawing>
      </w:r>
    </w:p>
    <w:p w14:paraId="3BA2CF2D" w14:textId="718A2A41" w:rsidR="00E96F39" w:rsidRPr="00560FF6" w:rsidRDefault="00E96F39" w:rsidP="00697F2C">
      <w:pPr>
        <w:spacing w:line="24" w:lineRule="atLeast"/>
        <w:ind w:firstLine="360"/>
        <w:jc w:val="both"/>
        <w:rPr>
          <w:sz w:val="16"/>
          <w:szCs w:val="16"/>
          <w:lang w:val="mi-NZ"/>
        </w:rPr>
      </w:pPr>
    </w:p>
    <w:p w14:paraId="5C83F15A" w14:textId="77777777" w:rsidR="00EF2F04" w:rsidRDefault="00EF2F04" w:rsidP="00697F2C">
      <w:pPr>
        <w:spacing w:line="24" w:lineRule="atLeast"/>
        <w:ind w:firstLine="360"/>
        <w:jc w:val="both"/>
        <w:rPr>
          <w:lang w:val="mi-NZ"/>
        </w:rPr>
      </w:pPr>
    </w:p>
    <w:p w14:paraId="271D4CD8" w14:textId="111ABBC6" w:rsidR="00E96F39" w:rsidRDefault="00EF2F04" w:rsidP="00EF2F04">
      <w:pPr>
        <w:spacing w:line="24" w:lineRule="atLeast"/>
        <w:jc w:val="both"/>
        <w:rPr>
          <w:b/>
          <w:bCs/>
          <w:lang w:val="mi-NZ"/>
        </w:rPr>
      </w:pPr>
      <w:r>
        <w:rPr>
          <w:b/>
          <w:bCs/>
          <w:lang w:val="mi-NZ"/>
        </w:rPr>
        <w:t xml:space="preserve">Figure 2. </w:t>
      </w:r>
      <w:r w:rsidRPr="00E96F39">
        <w:rPr>
          <w:b/>
          <w:bCs/>
          <w:lang w:val="mi-NZ"/>
        </w:rPr>
        <w:t>Spearman rank correlations between RMSA and other measures of structural ageing based on country-level data 1950-2100</w:t>
      </w:r>
    </w:p>
    <w:p w14:paraId="49A246FD" w14:textId="77777777" w:rsidR="00EF2F04" w:rsidRPr="00560FF6" w:rsidRDefault="00EF2F04" w:rsidP="00EF2F04">
      <w:pPr>
        <w:spacing w:line="24" w:lineRule="atLeast"/>
        <w:jc w:val="both"/>
        <w:rPr>
          <w:sz w:val="16"/>
          <w:szCs w:val="16"/>
          <w:lang w:val="mi-NZ"/>
        </w:rPr>
      </w:pPr>
    </w:p>
    <w:p w14:paraId="4B8BF2B7" w14:textId="2ADF2115" w:rsidR="00E96F39" w:rsidRDefault="00E96F39" w:rsidP="00E96F39">
      <w:pPr>
        <w:spacing w:line="288" w:lineRule="auto"/>
        <w:rPr>
          <w:lang w:val="mi-NZ"/>
        </w:rPr>
      </w:pPr>
      <w:r>
        <w:rPr>
          <w:noProof/>
          <w:lang w:val="en-NZ" w:eastAsia="zh-CN"/>
        </w:rPr>
        <w:drawing>
          <wp:inline distT="0" distB="0" distL="0" distR="0" wp14:anchorId="313639F3" wp14:editId="12395A42">
            <wp:extent cx="5731510" cy="3729990"/>
            <wp:effectExtent l="0" t="0" r="2540" b="381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29990"/>
                    </a:xfrm>
                    <a:prstGeom prst="rect">
                      <a:avLst/>
                    </a:prstGeom>
                    <a:noFill/>
                    <a:ln>
                      <a:noFill/>
                    </a:ln>
                  </pic:spPr>
                </pic:pic>
              </a:graphicData>
            </a:graphic>
          </wp:inline>
        </w:drawing>
      </w:r>
    </w:p>
    <w:p w14:paraId="5102BC62" w14:textId="77777777" w:rsidR="00E96F39" w:rsidRDefault="00E96F39" w:rsidP="00697F2C">
      <w:pPr>
        <w:spacing w:line="24" w:lineRule="atLeast"/>
        <w:ind w:firstLine="360"/>
        <w:jc w:val="both"/>
        <w:rPr>
          <w:lang w:val="mi-NZ"/>
        </w:rPr>
      </w:pPr>
    </w:p>
    <w:p w14:paraId="7C2421B8" w14:textId="0969BC44" w:rsidR="00E96F39" w:rsidRDefault="00E96F39" w:rsidP="00BA1FF4">
      <w:pPr>
        <w:spacing w:line="24" w:lineRule="atLeast"/>
        <w:ind w:firstLine="360"/>
        <w:jc w:val="both"/>
        <w:rPr>
          <w:lang w:val="mi-NZ"/>
        </w:rPr>
      </w:pPr>
      <w:r w:rsidRPr="00E96F39">
        <w:rPr>
          <w:lang w:val="mi-NZ"/>
        </w:rPr>
        <w:t>Second, comparing Tables 3 and 4, for most measures the Spearman rank correlation (Table 4) is higher than the corresponding Pearson correlation (Table 3). This reflects that the relationship between the measures is not linear, as discussed earlier. Third, it is clear that mean age has the highest correlation with RMSA of all of the other measures of structural ageing. It has a Pearson correlation with RMSA that ranges from 0.993 to 0.999, and a Spearman rank correlation that ranges from 0.975 to 0.998. Recall that mean age and RMSA are the only measures that consistently satisfy the weak dominance axiom, while all other measures only obey the axiom in some specific circumstances. Moreover, mean age is a special case of our generalised structural ageing index, where α=1. The other measures are not as closely related to RMSA, and this is reflected in lower correlations. The relative ranking of the other measures in terms of their correlations with RMSA is not consistent between Pearson and Spearman rank correlations, or over time, with the exception of the proportion of the population aged 85 years and over, which is for the most part the least correlated with RMSA. This suggests that there is little to choose between these other measures, and they are highly correlated with each other (see Appendix, Tables A1 and A2).</w:t>
      </w:r>
    </w:p>
    <w:p w14:paraId="3868271D" w14:textId="77777777" w:rsidR="00E96F39" w:rsidRPr="00E96F39" w:rsidRDefault="00E96F39" w:rsidP="00BA1FF4">
      <w:pPr>
        <w:spacing w:line="24" w:lineRule="atLeast"/>
        <w:ind w:firstLine="360"/>
        <w:jc w:val="both"/>
        <w:rPr>
          <w:lang w:val="mi-NZ"/>
        </w:rPr>
      </w:pPr>
    </w:p>
    <w:p w14:paraId="112E80EA" w14:textId="02832E33" w:rsidR="00E96F39" w:rsidRDefault="00E96F39" w:rsidP="00BA1FF4">
      <w:pPr>
        <w:spacing w:line="24" w:lineRule="atLeast"/>
        <w:ind w:firstLine="360"/>
        <w:jc w:val="both"/>
        <w:rPr>
          <w:lang w:val="mi-NZ"/>
        </w:rPr>
      </w:pPr>
      <w:r w:rsidRPr="00E96F39">
        <w:rPr>
          <w:lang w:val="mi-NZ"/>
        </w:rPr>
        <w:t>Finally, despite the high correlations between the measures, there are some countries in some periods where the measures lead to disparate rankings. For example, in 2020 Kuwait is ranked 63rd based on median age (36.8 years), but is ranked 200th based on the proportion aged 85 years and over (0.05%). Similarly, United Arab Emirates is ranked 81st based on median age (32.6 years), but as noted earlier is ranked 201st and last based on the proportion aged 65 years and over and the old-age dependency ratio. Those discrepancies, along with similar differences for Bahrain, Qatar, Oman, and Saudi Arabia, reflect the large and relatively young temporary migrant worker populations in those countries. However, it is not just the Gulf states where large discrepancies in rankings exist. The Maldives is ranked 101st for median age (29.9 years), but is ranked 189th for old-age dependency ratio (0.05). And relatively large discrepancies are not just a feature of low-income and middle-income countries. Sweden is ranked 15th based on old-age dependency ratio (0.33), but is ranked 41st based on median age (41.1 years). Similar discrepancies are observable across all years of the data, both past estimates and future projections.</w:t>
      </w:r>
    </w:p>
    <w:p w14:paraId="7D8FFD24" w14:textId="77777777" w:rsidR="00E96F39" w:rsidRPr="00E96F39" w:rsidRDefault="00E96F39" w:rsidP="00BA1FF4">
      <w:pPr>
        <w:spacing w:line="24" w:lineRule="atLeast"/>
        <w:ind w:firstLine="360"/>
        <w:jc w:val="both"/>
        <w:rPr>
          <w:lang w:val="mi-NZ"/>
        </w:rPr>
      </w:pPr>
    </w:p>
    <w:p w14:paraId="4014483B" w14:textId="2A2A7A69" w:rsidR="00E96F39" w:rsidRDefault="00E96F39" w:rsidP="00BA1FF4">
      <w:pPr>
        <w:spacing w:line="24" w:lineRule="atLeast"/>
        <w:ind w:firstLine="360"/>
        <w:jc w:val="both"/>
        <w:rPr>
          <w:lang w:val="mi-NZ"/>
        </w:rPr>
      </w:pPr>
      <w:r w:rsidRPr="00E96F39">
        <w:rPr>
          <w:lang w:val="mi-NZ"/>
        </w:rPr>
        <w:t>It is clear that the various measures of structural ageing are closely correlated, but imperfectly so. Countries are over-ranked or under-ranked by some measures both relative to RMSA, and relative to other measures. However, the analysis above relies on cross-country data, and resource allocation decisions are rarely made between countries. That makes cross-country comparisons less relevant to most decision-makers. Accordingly, we now turn to comparisons based on subnational data.</w:t>
      </w:r>
    </w:p>
    <w:p w14:paraId="3AA6C90A" w14:textId="77777777" w:rsidR="00E96F39" w:rsidRPr="00E96F39" w:rsidRDefault="00E96F39" w:rsidP="00BA1FF4">
      <w:pPr>
        <w:spacing w:line="24" w:lineRule="atLeast"/>
        <w:ind w:firstLine="360"/>
        <w:jc w:val="both"/>
        <w:rPr>
          <w:lang w:val="mi-NZ"/>
        </w:rPr>
      </w:pPr>
    </w:p>
    <w:p w14:paraId="0FF5B081" w14:textId="05C69BD9" w:rsidR="007E596C" w:rsidRPr="001A3FC7" w:rsidRDefault="00E96F39" w:rsidP="00BA1FF4">
      <w:pPr>
        <w:jc w:val="both"/>
        <w:rPr>
          <w:lang w:val="en-NZ" w:eastAsia="zh-CN"/>
        </w:rPr>
      </w:pPr>
      <w:r w:rsidRPr="00E96F39">
        <w:rPr>
          <w:lang w:val="mi-NZ"/>
        </w:rPr>
        <w:t>Table 5 presents the Pearson and Spearman rank correlations between RMSA and each other structural ageing measure, calculated using state-level population estimates data from the US Census Bureau. The full cross-correlation tables for all measures for selected years (1980, 2000, and 2018) are included in the Appendix, Tables A3 and A4.</w:t>
      </w:r>
      <w:r w:rsidR="001A3FC7">
        <w:rPr>
          <w:rStyle w:val="FootnoteReference"/>
          <w:rFonts w:asciiTheme="majorBidi" w:hAnsiTheme="majorBidi" w:cstheme="majorBidi"/>
        </w:rPr>
        <w:footnoteReference w:id="8"/>
      </w:r>
      <w:r w:rsidR="001A3FC7">
        <w:t xml:space="preserve"> </w:t>
      </w:r>
      <w:r w:rsidRPr="00E96F39">
        <w:rPr>
          <w:lang w:val="mi-NZ"/>
        </w:rPr>
        <w:t xml:space="preserve">The results are not as straightforward as those based on the international data. Like for the international data, the mean age has the highest correlations with RMSA. However, the correlations are generally lower than those observed in the international data, and the pattern of gradual increases in the correlations over time is repeated only for mean age and median age, and not for other measures. In fact, the correlations between the proportion of the population aged 85 years and </w:t>
      </w:r>
      <w:r w:rsidRPr="00E96F39">
        <w:rPr>
          <w:lang w:val="mi-NZ"/>
        </w:rPr>
        <w:lastRenderedPageBreak/>
        <w:t>over and RMSA actually decrease over time. Also, the Spearman rank correlations are smaller than the Pearson correlations for some of the measures. This suggests that it cannot be taken for granted that measures of structural ageing will become more highly correlated over time</w:t>
      </w:r>
      <w:r w:rsidR="007E596C">
        <w:rPr>
          <w:lang w:val="mi-NZ"/>
        </w:rPr>
        <w:t>.</w:t>
      </w:r>
    </w:p>
    <w:p w14:paraId="5F80FBC9" w14:textId="77777777" w:rsidR="007E596C" w:rsidRPr="006A42F1" w:rsidRDefault="007E596C" w:rsidP="003342DE">
      <w:pPr>
        <w:spacing w:line="24" w:lineRule="atLeast"/>
        <w:rPr>
          <w:lang w:val="mi-NZ"/>
        </w:rPr>
      </w:pPr>
    </w:p>
    <w:p w14:paraId="72482D53" w14:textId="77777777" w:rsidR="007E596C" w:rsidRDefault="007E596C" w:rsidP="003342DE">
      <w:pPr>
        <w:spacing w:line="24" w:lineRule="atLeast"/>
        <w:rPr>
          <w:lang w:val="mi-NZ"/>
        </w:rPr>
      </w:pPr>
    </w:p>
    <w:p w14:paraId="4A08BAE6" w14:textId="051FA791" w:rsidR="00E96F39" w:rsidRPr="00994234" w:rsidRDefault="00E96F39" w:rsidP="00E96F39">
      <w:pPr>
        <w:spacing w:line="360" w:lineRule="auto"/>
        <w:rPr>
          <w:b/>
          <w:bCs/>
          <w:lang w:val="mi-NZ"/>
        </w:rPr>
      </w:pPr>
      <w:r w:rsidRPr="00994234">
        <w:rPr>
          <w:b/>
          <w:bCs/>
          <w:lang w:val="mi-NZ"/>
        </w:rPr>
        <w:t xml:space="preserve">Table </w:t>
      </w:r>
      <w:r>
        <w:rPr>
          <w:b/>
          <w:bCs/>
          <w:lang w:val="mi-NZ"/>
        </w:rPr>
        <w:t>5</w:t>
      </w:r>
      <w:r w:rsidRPr="00994234">
        <w:rPr>
          <w:b/>
          <w:bCs/>
          <w:lang w:val="mi-NZ"/>
        </w:rPr>
        <w:t xml:space="preserve">. </w:t>
      </w:r>
      <w:r w:rsidRPr="00E96F39">
        <w:rPr>
          <w:b/>
          <w:bCs/>
          <w:lang w:val="mi-NZ"/>
        </w:rPr>
        <w:t>Pearson and Spearman rank correlations between RMSA and other measures of structural ageing based on US state-level data 1980-2018</w:t>
      </w:r>
    </w:p>
    <w:p w14:paraId="55FFCB27" w14:textId="77777777" w:rsidR="007E596C" w:rsidRDefault="007E596C" w:rsidP="003342DE">
      <w:pPr>
        <w:spacing w:line="24" w:lineRule="atLeast"/>
        <w:rPr>
          <w:lang w:val="mi-NZ"/>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1256"/>
        <w:gridCol w:w="1267"/>
        <w:gridCol w:w="1286"/>
        <w:gridCol w:w="1286"/>
        <w:gridCol w:w="1260"/>
        <w:gridCol w:w="1329"/>
      </w:tblGrid>
      <w:tr w:rsidR="00E96F39" w:rsidRPr="00E96F39" w14:paraId="5C51425F" w14:textId="77777777" w:rsidTr="00E96F39">
        <w:trPr>
          <w:trHeight w:val="470"/>
        </w:trPr>
        <w:tc>
          <w:tcPr>
            <w:tcW w:w="1342" w:type="dxa"/>
            <w:tcBorders>
              <w:top w:val="single" w:sz="4" w:space="0" w:color="auto"/>
              <w:bottom w:val="single" w:sz="4" w:space="0" w:color="auto"/>
            </w:tcBorders>
            <w:vAlign w:val="center"/>
            <w:hideMark/>
          </w:tcPr>
          <w:p w14:paraId="7E8B408C" w14:textId="77777777" w:rsidR="00E96F39" w:rsidRPr="00E96F39" w:rsidRDefault="00E96F39">
            <w:pPr>
              <w:jc w:val="center"/>
              <w:rPr>
                <w:rFonts w:asciiTheme="majorBidi" w:hAnsiTheme="majorBidi" w:cstheme="majorBidi"/>
                <w:b/>
                <w:bCs/>
                <w:sz w:val="22"/>
                <w:szCs w:val="22"/>
                <w:lang w:val="en-NZ" w:eastAsia="zh-CN"/>
              </w:rPr>
            </w:pPr>
            <w:r w:rsidRPr="00E96F39">
              <w:rPr>
                <w:rFonts w:asciiTheme="majorBidi" w:hAnsiTheme="majorBidi" w:cstheme="majorBidi"/>
                <w:b/>
                <w:bCs/>
                <w:sz w:val="22"/>
                <w:szCs w:val="22"/>
              </w:rPr>
              <w:t>Year</w:t>
            </w:r>
          </w:p>
        </w:tc>
        <w:tc>
          <w:tcPr>
            <w:tcW w:w="1256" w:type="dxa"/>
            <w:tcBorders>
              <w:top w:val="single" w:sz="4" w:space="0" w:color="auto"/>
              <w:bottom w:val="single" w:sz="4" w:space="0" w:color="auto"/>
            </w:tcBorders>
            <w:vAlign w:val="center"/>
            <w:hideMark/>
          </w:tcPr>
          <w:p w14:paraId="3F384554"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Mean age</w:t>
            </w:r>
          </w:p>
        </w:tc>
        <w:tc>
          <w:tcPr>
            <w:tcW w:w="1267" w:type="dxa"/>
            <w:tcBorders>
              <w:top w:val="single" w:sz="4" w:space="0" w:color="auto"/>
              <w:bottom w:val="single" w:sz="4" w:space="0" w:color="auto"/>
            </w:tcBorders>
            <w:vAlign w:val="center"/>
            <w:hideMark/>
          </w:tcPr>
          <w:p w14:paraId="6CC874C4"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Median age</w:t>
            </w:r>
          </w:p>
        </w:tc>
        <w:tc>
          <w:tcPr>
            <w:tcW w:w="1286" w:type="dxa"/>
            <w:tcBorders>
              <w:top w:val="single" w:sz="4" w:space="0" w:color="auto"/>
              <w:bottom w:val="single" w:sz="4" w:space="0" w:color="auto"/>
            </w:tcBorders>
            <w:vAlign w:val="center"/>
            <w:hideMark/>
          </w:tcPr>
          <w:p w14:paraId="61346775"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65 years and over</w:t>
            </w:r>
          </w:p>
        </w:tc>
        <w:tc>
          <w:tcPr>
            <w:tcW w:w="1286" w:type="dxa"/>
            <w:tcBorders>
              <w:top w:val="single" w:sz="4" w:space="0" w:color="auto"/>
              <w:bottom w:val="single" w:sz="4" w:space="0" w:color="auto"/>
            </w:tcBorders>
            <w:vAlign w:val="center"/>
            <w:hideMark/>
          </w:tcPr>
          <w:p w14:paraId="3271CED8"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85 years and over</w:t>
            </w:r>
          </w:p>
        </w:tc>
        <w:tc>
          <w:tcPr>
            <w:tcW w:w="1260" w:type="dxa"/>
            <w:tcBorders>
              <w:top w:val="single" w:sz="4" w:space="0" w:color="auto"/>
              <w:bottom w:val="single" w:sz="4" w:space="0" w:color="auto"/>
            </w:tcBorders>
            <w:vAlign w:val="center"/>
            <w:hideMark/>
          </w:tcPr>
          <w:p w14:paraId="5318F80E"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Child-elder ratio</w:t>
            </w:r>
            <w:r w:rsidRPr="00E96F39">
              <w:rPr>
                <w:rFonts w:asciiTheme="majorBidi" w:hAnsiTheme="majorBidi" w:cstheme="majorBidi"/>
                <w:b/>
                <w:bCs/>
                <w:color w:val="000000"/>
                <w:sz w:val="22"/>
                <w:szCs w:val="22"/>
                <w:vertAlign w:val="superscript"/>
              </w:rPr>
              <w:t>*</w:t>
            </w:r>
          </w:p>
        </w:tc>
        <w:tc>
          <w:tcPr>
            <w:tcW w:w="1329" w:type="dxa"/>
            <w:tcBorders>
              <w:top w:val="single" w:sz="4" w:space="0" w:color="auto"/>
              <w:bottom w:val="single" w:sz="4" w:space="0" w:color="auto"/>
            </w:tcBorders>
            <w:vAlign w:val="center"/>
            <w:hideMark/>
          </w:tcPr>
          <w:p w14:paraId="7FF104C7"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Old-age dependency ratio</w:t>
            </w:r>
          </w:p>
        </w:tc>
      </w:tr>
      <w:tr w:rsidR="00E96F39" w:rsidRPr="00E96F39" w14:paraId="37D4E36A" w14:textId="77777777" w:rsidTr="00E96F39">
        <w:trPr>
          <w:trHeight w:val="460"/>
        </w:trPr>
        <w:tc>
          <w:tcPr>
            <w:tcW w:w="1342" w:type="dxa"/>
            <w:tcBorders>
              <w:top w:val="single" w:sz="4" w:space="0" w:color="auto"/>
            </w:tcBorders>
            <w:vAlign w:val="center"/>
            <w:hideMark/>
          </w:tcPr>
          <w:p w14:paraId="346C2EEC" w14:textId="77777777" w:rsidR="00E96F39" w:rsidRPr="00E96F39" w:rsidRDefault="00E96F39">
            <w:pPr>
              <w:jc w:val="center"/>
              <w:rPr>
                <w:rFonts w:asciiTheme="majorBidi" w:hAnsiTheme="majorBidi" w:cstheme="majorBidi"/>
                <w:b/>
                <w:bCs/>
                <w:color w:val="000000"/>
                <w:sz w:val="22"/>
                <w:szCs w:val="22"/>
              </w:rPr>
            </w:pPr>
            <w:r w:rsidRPr="00E96F39">
              <w:rPr>
                <w:rFonts w:asciiTheme="majorBidi" w:hAnsiTheme="majorBidi" w:cstheme="majorBidi"/>
                <w:b/>
                <w:bCs/>
                <w:color w:val="000000"/>
                <w:sz w:val="22"/>
                <w:szCs w:val="22"/>
              </w:rPr>
              <w:t>Pearson correlations</w:t>
            </w:r>
          </w:p>
        </w:tc>
        <w:tc>
          <w:tcPr>
            <w:tcW w:w="1256" w:type="dxa"/>
            <w:tcBorders>
              <w:top w:val="single" w:sz="4" w:space="0" w:color="auto"/>
            </w:tcBorders>
            <w:vAlign w:val="center"/>
          </w:tcPr>
          <w:p w14:paraId="3550E99A" w14:textId="77777777" w:rsidR="00E96F39" w:rsidRPr="00E96F39" w:rsidRDefault="00E96F39">
            <w:pPr>
              <w:jc w:val="center"/>
              <w:rPr>
                <w:rFonts w:asciiTheme="majorBidi" w:hAnsiTheme="majorBidi" w:cstheme="majorBidi"/>
                <w:b/>
                <w:bCs/>
                <w:color w:val="000000"/>
                <w:sz w:val="22"/>
                <w:szCs w:val="22"/>
              </w:rPr>
            </w:pPr>
          </w:p>
        </w:tc>
        <w:tc>
          <w:tcPr>
            <w:tcW w:w="1267" w:type="dxa"/>
            <w:tcBorders>
              <w:top w:val="single" w:sz="4" w:space="0" w:color="auto"/>
            </w:tcBorders>
            <w:vAlign w:val="center"/>
          </w:tcPr>
          <w:p w14:paraId="7C1E98ED" w14:textId="77777777" w:rsidR="00E96F39" w:rsidRPr="00E96F39" w:rsidRDefault="00E96F39">
            <w:pPr>
              <w:jc w:val="center"/>
              <w:rPr>
                <w:rFonts w:asciiTheme="majorBidi" w:hAnsiTheme="majorBidi" w:cstheme="majorBidi"/>
                <w:b/>
                <w:bCs/>
                <w:color w:val="000000"/>
                <w:sz w:val="22"/>
                <w:szCs w:val="22"/>
              </w:rPr>
            </w:pPr>
          </w:p>
        </w:tc>
        <w:tc>
          <w:tcPr>
            <w:tcW w:w="1286" w:type="dxa"/>
            <w:tcBorders>
              <w:top w:val="single" w:sz="4" w:space="0" w:color="auto"/>
            </w:tcBorders>
            <w:vAlign w:val="center"/>
          </w:tcPr>
          <w:p w14:paraId="3CDDB016" w14:textId="77777777" w:rsidR="00E96F39" w:rsidRPr="00E96F39" w:rsidRDefault="00E96F39">
            <w:pPr>
              <w:jc w:val="center"/>
              <w:rPr>
                <w:rFonts w:asciiTheme="majorBidi" w:hAnsiTheme="majorBidi" w:cstheme="majorBidi"/>
                <w:b/>
                <w:bCs/>
                <w:color w:val="000000"/>
                <w:sz w:val="22"/>
                <w:szCs w:val="22"/>
              </w:rPr>
            </w:pPr>
          </w:p>
        </w:tc>
        <w:tc>
          <w:tcPr>
            <w:tcW w:w="1286" w:type="dxa"/>
            <w:tcBorders>
              <w:top w:val="single" w:sz="4" w:space="0" w:color="auto"/>
            </w:tcBorders>
            <w:vAlign w:val="center"/>
          </w:tcPr>
          <w:p w14:paraId="1FB91CBA" w14:textId="77777777" w:rsidR="00E96F39" w:rsidRPr="00E96F39" w:rsidRDefault="00E96F39">
            <w:pPr>
              <w:jc w:val="center"/>
              <w:rPr>
                <w:rFonts w:asciiTheme="majorBidi" w:hAnsiTheme="majorBidi" w:cstheme="majorBidi"/>
                <w:b/>
                <w:bCs/>
                <w:color w:val="000000"/>
                <w:sz w:val="22"/>
                <w:szCs w:val="22"/>
              </w:rPr>
            </w:pPr>
          </w:p>
        </w:tc>
        <w:tc>
          <w:tcPr>
            <w:tcW w:w="1260" w:type="dxa"/>
            <w:tcBorders>
              <w:top w:val="single" w:sz="4" w:space="0" w:color="auto"/>
            </w:tcBorders>
            <w:vAlign w:val="center"/>
          </w:tcPr>
          <w:p w14:paraId="1B8FD228" w14:textId="77777777" w:rsidR="00E96F39" w:rsidRPr="00E96F39" w:rsidRDefault="00E96F39">
            <w:pPr>
              <w:jc w:val="center"/>
              <w:rPr>
                <w:rFonts w:asciiTheme="majorBidi" w:hAnsiTheme="majorBidi" w:cstheme="majorBidi"/>
                <w:b/>
                <w:bCs/>
                <w:color w:val="000000"/>
                <w:sz w:val="22"/>
                <w:szCs w:val="22"/>
              </w:rPr>
            </w:pPr>
          </w:p>
        </w:tc>
        <w:tc>
          <w:tcPr>
            <w:tcW w:w="1329" w:type="dxa"/>
            <w:tcBorders>
              <w:top w:val="single" w:sz="4" w:space="0" w:color="auto"/>
            </w:tcBorders>
            <w:vAlign w:val="center"/>
          </w:tcPr>
          <w:p w14:paraId="777E000D" w14:textId="77777777" w:rsidR="00E96F39" w:rsidRPr="00E96F39" w:rsidRDefault="00E96F39">
            <w:pPr>
              <w:jc w:val="center"/>
              <w:rPr>
                <w:rFonts w:asciiTheme="majorBidi" w:hAnsiTheme="majorBidi" w:cstheme="majorBidi"/>
                <w:b/>
                <w:bCs/>
                <w:color w:val="000000"/>
                <w:sz w:val="22"/>
                <w:szCs w:val="22"/>
              </w:rPr>
            </w:pPr>
          </w:p>
        </w:tc>
      </w:tr>
      <w:tr w:rsidR="00E96F39" w:rsidRPr="00E96F39" w14:paraId="439BD98B" w14:textId="77777777" w:rsidTr="00E96F39">
        <w:trPr>
          <w:trHeight w:val="460"/>
        </w:trPr>
        <w:tc>
          <w:tcPr>
            <w:tcW w:w="1342" w:type="dxa"/>
            <w:vAlign w:val="center"/>
            <w:hideMark/>
          </w:tcPr>
          <w:p w14:paraId="7D253A8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1980</w:t>
            </w:r>
          </w:p>
        </w:tc>
        <w:tc>
          <w:tcPr>
            <w:tcW w:w="1256" w:type="dxa"/>
            <w:vAlign w:val="center"/>
            <w:hideMark/>
          </w:tcPr>
          <w:p w14:paraId="1843A29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0.984</w:t>
            </w:r>
          </w:p>
        </w:tc>
        <w:tc>
          <w:tcPr>
            <w:tcW w:w="1267" w:type="dxa"/>
            <w:vAlign w:val="center"/>
            <w:hideMark/>
          </w:tcPr>
          <w:p w14:paraId="75C1486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0.874</w:t>
            </w:r>
          </w:p>
        </w:tc>
        <w:tc>
          <w:tcPr>
            <w:tcW w:w="1286" w:type="dxa"/>
            <w:vAlign w:val="center"/>
            <w:hideMark/>
          </w:tcPr>
          <w:p w14:paraId="1303978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0.955</w:t>
            </w:r>
          </w:p>
        </w:tc>
        <w:tc>
          <w:tcPr>
            <w:tcW w:w="1286" w:type="dxa"/>
            <w:vAlign w:val="center"/>
            <w:hideMark/>
          </w:tcPr>
          <w:p w14:paraId="0BD9A0B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0.796</w:t>
            </w:r>
          </w:p>
        </w:tc>
        <w:tc>
          <w:tcPr>
            <w:tcW w:w="1260" w:type="dxa"/>
            <w:vAlign w:val="center"/>
            <w:hideMark/>
          </w:tcPr>
          <w:p w14:paraId="36F7519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0.897</w:t>
            </w:r>
          </w:p>
        </w:tc>
        <w:tc>
          <w:tcPr>
            <w:tcW w:w="1329" w:type="dxa"/>
            <w:vAlign w:val="center"/>
            <w:hideMark/>
          </w:tcPr>
          <w:p w14:paraId="4900ED4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0.915</w:t>
            </w:r>
          </w:p>
        </w:tc>
      </w:tr>
      <w:tr w:rsidR="00E96F39" w:rsidRPr="00E96F39" w14:paraId="2A2D4839" w14:textId="77777777" w:rsidTr="00E96F39">
        <w:trPr>
          <w:trHeight w:val="460"/>
        </w:trPr>
        <w:tc>
          <w:tcPr>
            <w:tcW w:w="1342" w:type="dxa"/>
            <w:vAlign w:val="center"/>
            <w:hideMark/>
          </w:tcPr>
          <w:p w14:paraId="4CF5830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1990</w:t>
            </w:r>
          </w:p>
        </w:tc>
        <w:tc>
          <w:tcPr>
            <w:tcW w:w="1256" w:type="dxa"/>
            <w:vAlign w:val="center"/>
            <w:hideMark/>
          </w:tcPr>
          <w:p w14:paraId="01B0CC6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0.984</w:t>
            </w:r>
          </w:p>
        </w:tc>
        <w:tc>
          <w:tcPr>
            <w:tcW w:w="1267" w:type="dxa"/>
            <w:vAlign w:val="center"/>
            <w:hideMark/>
          </w:tcPr>
          <w:p w14:paraId="769F81D5"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0.889</w:t>
            </w:r>
          </w:p>
        </w:tc>
        <w:tc>
          <w:tcPr>
            <w:tcW w:w="1286" w:type="dxa"/>
            <w:vAlign w:val="center"/>
            <w:hideMark/>
          </w:tcPr>
          <w:p w14:paraId="6044BB7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0.967</w:t>
            </w:r>
          </w:p>
        </w:tc>
        <w:tc>
          <w:tcPr>
            <w:tcW w:w="1286" w:type="dxa"/>
            <w:vAlign w:val="center"/>
            <w:hideMark/>
          </w:tcPr>
          <w:p w14:paraId="47D8DB8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0.801</w:t>
            </w:r>
          </w:p>
        </w:tc>
        <w:tc>
          <w:tcPr>
            <w:tcW w:w="1260" w:type="dxa"/>
            <w:vAlign w:val="center"/>
            <w:hideMark/>
          </w:tcPr>
          <w:p w14:paraId="656A002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0.909</w:t>
            </w:r>
          </w:p>
        </w:tc>
        <w:tc>
          <w:tcPr>
            <w:tcW w:w="1329" w:type="dxa"/>
            <w:vAlign w:val="center"/>
            <w:hideMark/>
          </w:tcPr>
          <w:p w14:paraId="2E95215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0.920</w:t>
            </w:r>
          </w:p>
        </w:tc>
      </w:tr>
      <w:tr w:rsidR="00E96F39" w:rsidRPr="00E96F39" w14:paraId="6423C400" w14:textId="77777777" w:rsidTr="00E96F39">
        <w:trPr>
          <w:trHeight w:val="460"/>
        </w:trPr>
        <w:tc>
          <w:tcPr>
            <w:tcW w:w="1342" w:type="dxa"/>
            <w:vAlign w:val="center"/>
            <w:hideMark/>
          </w:tcPr>
          <w:p w14:paraId="263873F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2000</w:t>
            </w:r>
          </w:p>
        </w:tc>
        <w:tc>
          <w:tcPr>
            <w:tcW w:w="1256" w:type="dxa"/>
            <w:vAlign w:val="center"/>
            <w:hideMark/>
          </w:tcPr>
          <w:p w14:paraId="5EC5D2F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0.990</w:t>
            </w:r>
          </w:p>
        </w:tc>
        <w:tc>
          <w:tcPr>
            <w:tcW w:w="1267" w:type="dxa"/>
            <w:vAlign w:val="center"/>
            <w:hideMark/>
          </w:tcPr>
          <w:p w14:paraId="663A96A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0.918</w:t>
            </w:r>
          </w:p>
        </w:tc>
        <w:tc>
          <w:tcPr>
            <w:tcW w:w="1286" w:type="dxa"/>
            <w:vAlign w:val="center"/>
            <w:hideMark/>
          </w:tcPr>
          <w:p w14:paraId="70B297D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0.955</w:t>
            </w:r>
          </w:p>
        </w:tc>
        <w:tc>
          <w:tcPr>
            <w:tcW w:w="1286" w:type="dxa"/>
            <w:vAlign w:val="center"/>
            <w:hideMark/>
          </w:tcPr>
          <w:p w14:paraId="0E776FF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0.818</w:t>
            </w:r>
          </w:p>
        </w:tc>
        <w:tc>
          <w:tcPr>
            <w:tcW w:w="1260" w:type="dxa"/>
            <w:vAlign w:val="center"/>
            <w:hideMark/>
          </w:tcPr>
          <w:p w14:paraId="170F296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0.936</w:t>
            </w:r>
          </w:p>
        </w:tc>
        <w:tc>
          <w:tcPr>
            <w:tcW w:w="1329" w:type="dxa"/>
            <w:vAlign w:val="center"/>
            <w:hideMark/>
          </w:tcPr>
          <w:p w14:paraId="3BB32F2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0.927</w:t>
            </w:r>
          </w:p>
        </w:tc>
      </w:tr>
      <w:tr w:rsidR="00E96F39" w:rsidRPr="00E96F39" w14:paraId="3E6A4C00" w14:textId="77777777" w:rsidTr="00E96F39">
        <w:trPr>
          <w:trHeight w:val="460"/>
        </w:trPr>
        <w:tc>
          <w:tcPr>
            <w:tcW w:w="1342" w:type="dxa"/>
            <w:vAlign w:val="center"/>
            <w:hideMark/>
          </w:tcPr>
          <w:p w14:paraId="4B232AF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2010</w:t>
            </w:r>
          </w:p>
        </w:tc>
        <w:tc>
          <w:tcPr>
            <w:tcW w:w="1256" w:type="dxa"/>
            <w:vAlign w:val="center"/>
            <w:hideMark/>
          </w:tcPr>
          <w:p w14:paraId="1F34F07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0.990</w:t>
            </w:r>
          </w:p>
        </w:tc>
        <w:tc>
          <w:tcPr>
            <w:tcW w:w="1267" w:type="dxa"/>
            <w:vAlign w:val="center"/>
            <w:hideMark/>
          </w:tcPr>
          <w:p w14:paraId="4CFA0D2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0.950</w:t>
            </w:r>
          </w:p>
        </w:tc>
        <w:tc>
          <w:tcPr>
            <w:tcW w:w="1286" w:type="dxa"/>
            <w:vAlign w:val="center"/>
            <w:hideMark/>
          </w:tcPr>
          <w:p w14:paraId="2FD757AD"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0.940</w:t>
            </w:r>
          </w:p>
        </w:tc>
        <w:tc>
          <w:tcPr>
            <w:tcW w:w="1286" w:type="dxa"/>
            <w:vAlign w:val="center"/>
            <w:hideMark/>
          </w:tcPr>
          <w:p w14:paraId="734B5EC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0.782</w:t>
            </w:r>
          </w:p>
        </w:tc>
        <w:tc>
          <w:tcPr>
            <w:tcW w:w="1260" w:type="dxa"/>
            <w:vAlign w:val="center"/>
            <w:hideMark/>
          </w:tcPr>
          <w:p w14:paraId="2D7F53A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0.937</w:t>
            </w:r>
          </w:p>
        </w:tc>
        <w:tc>
          <w:tcPr>
            <w:tcW w:w="1329" w:type="dxa"/>
            <w:vAlign w:val="center"/>
            <w:hideMark/>
          </w:tcPr>
          <w:p w14:paraId="08B90E6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0.890</w:t>
            </w:r>
          </w:p>
        </w:tc>
      </w:tr>
      <w:tr w:rsidR="00E96F39" w:rsidRPr="00E96F39" w14:paraId="0ADEB531" w14:textId="77777777" w:rsidTr="00E96F39">
        <w:trPr>
          <w:trHeight w:val="460"/>
        </w:trPr>
        <w:tc>
          <w:tcPr>
            <w:tcW w:w="1342" w:type="dxa"/>
            <w:vAlign w:val="center"/>
            <w:hideMark/>
          </w:tcPr>
          <w:p w14:paraId="0EF279E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2018</w:t>
            </w:r>
          </w:p>
        </w:tc>
        <w:tc>
          <w:tcPr>
            <w:tcW w:w="1256" w:type="dxa"/>
            <w:vAlign w:val="center"/>
            <w:hideMark/>
          </w:tcPr>
          <w:p w14:paraId="073AC3C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0.991</w:t>
            </w:r>
          </w:p>
        </w:tc>
        <w:tc>
          <w:tcPr>
            <w:tcW w:w="1267" w:type="dxa"/>
            <w:vAlign w:val="center"/>
            <w:hideMark/>
          </w:tcPr>
          <w:p w14:paraId="747623C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0.970</w:t>
            </w:r>
          </w:p>
        </w:tc>
        <w:tc>
          <w:tcPr>
            <w:tcW w:w="1286" w:type="dxa"/>
            <w:vAlign w:val="center"/>
            <w:hideMark/>
          </w:tcPr>
          <w:p w14:paraId="73476BB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0.965</w:t>
            </w:r>
          </w:p>
        </w:tc>
        <w:tc>
          <w:tcPr>
            <w:tcW w:w="1286" w:type="dxa"/>
            <w:vAlign w:val="center"/>
            <w:hideMark/>
          </w:tcPr>
          <w:p w14:paraId="15FD724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0.734</w:t>
            </w:r>
          </w:p>
        </w:tc>
        <w:tc>
          <w:tcPr>
            <w:tcW w:w="1260" w:type="dxa"/>
            <w:vAlign w:val="center"/>
            <w:hideMark/>
          </w:tcPr>
          <w:p w14:paraId="3716CDD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0.958</w:t>
            </w:r>
          </w:p>
        </w:tc>
        <w:tc>
          <w:tcPr>
            <w:tcW w:w="1329" w:type="dxa"/>
            <w:vAlign w:val="center"/>
            <w:hideMark/>
          </w:tcPr>
          <w:p w14:paraId="00E2763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0.923</w:t>
            </w:r>
          </w:p>
        </w:tc>
      </w:tr>
      <w:tr w:rsidR="00E96F39" w:rsidRPr="00E96F39" w14:paraId="477AF12C" w14:textId="77777777" w:rsidTr="00E96F39">
        <w:trPr>
          <w:trHeight w:val="460"/>
        </w:trPr>
        <w:tc>
          <w:tcPr>
            <w:tcW w:w="1342" w:type="dxa"/>
            <w:vAlign w:val="center"/>
          </w:tcPr>
          <w:p w14:paraId="1CD9C0AB" w14:textId="77777777" w:rsidR="00E96F39" w:rsidRPr="00E96F39" w:rsidRDefault="00E96F39">
            <w:pPr>
              <w:jc w:val="center"/>
              <w:rPr>
                <w:rFonts w:asciiTheme="majorBidi" w:hAnsiTheme="majorBidi" w:cstheme="majorBidi"/>
                <w:sz w:val="22"/>
                <w:szCs w:val="22"/>
              </w:rPr>
            </w:pPr>
          </w:p>
        </w:tc>
        <w:tc>
          <w:tcPr>
            <w:tcW w:w="1256" w:type="dxa"/>
            <w:vAlign w:val="center"/>
          </w:tcPr>
          <w:p w14:paraId="68C11102" w14:textId="77777777" w:rsidR="00E96F39" w:rsidRPr="00E96F39" w:rsidRDefault="00E96F39">
            <w:pPr>
              <w:jc w:val="center"/>
              <w:rPr>
                <w:rFonts w:asciiTheme="majorBidi" w:hAnsiTheme="majorBidi" w:cstheme="majorBidi"/>
                <w:sz w:val="22"/>
                <w:szCs w:val="22"/>
              </w:rPr>
            </w:pPr>
          </w:p>
        </w:tc>
        <w:tc>
          <w:tcPr>
            <w:tcW w:w="1267" w:type="dxa"/>
            <w:vAlign w:val="center"/>
          </w:tcPr>
          <w:p w14:paraId="51B67AB7" w14:textId="77777777" w:rsidR="00E96F39" w:rsidRPr="00E96F39" w:rsidRDefault="00E96F39">
            <w:pPr>
              <w:jc w:val="center"/>
              <w:rPr>
                <w:rFonts w:asciiTheme="majorBidi" w:hAnsiTheme="majorBidi" w:cstheme="majorBidi"/>
                <w:sz w:val="22"/>
                <w:szCs w:val="22"/>
              </w:rPr>
            </w:pPr>
          </w:p>
        </w:tc>
        <w:tc>
          <w:tcPr>
            <w:tcW w:w="1286" w:type="dxa"/>
            <w:vAlign w:val="center"/>
          </w:tcPr>
          <w:p w14:paraId="608E9FBC" w14:textId="77777777" w:rsidR="00E96F39" w:rsidRPr="00E96F39" w:rsidRDefault="00E96F39">
            <w:pPr>
              <w:jc w:val="center"/>
              <w:rPr>
                <w:rFonts w:asciiTheme="majorBidi" w:hAnsiTheme="majorBidi" w:cstheme="majorBidi"/>
                <w:sz w:val="22"/>
                <w:szCs w:val="22"/>
              </w:rPr>
            </w:pPr>
          </w:p>
        </w:tc>
        <w:tc>
          <w:tcPr>
            <w:tcW w:w="1286" w:type="dxa"/>
            <w:vAlign w:val="center"/>
          </w:tcPr>
          <w:p w14:paraId="5A92E6A8" w14:textId="77777777" w:rsidR="00E96F39" w:rsidRPr="00E96F39" w:rsidRDefault="00E96F39">
            <w:pPr>
              <w:jc w:val="center"/>
              <w:rPr>
                <w:rFonts w:asciiTheme="majorBidi" w:hAnsiTheme="majorBidi" w:cstheme="majorBidi"/>
                <w:color w:val="000000"/>
                <w:sz w:val="22"/>
                <w:szCs w:val="22"/>
              </w:rPr>
            </w:pPr>
          </w:p>
        </w:tc>
        <w:tc>
          <w:tcPr>
            <w:tcW w:w="1260" w:type="dxa"/>
            <w:vAlign w:val="center"/>
          </w:tcPr>
          <w:p w14:paraId="50A7A26E" w14:textId="77777777" w:rsidR="00E96F39" w:rsidRPr="00E96F39" w:rsidRDefault="00E96F39">
            <w:pPr>
              <w:jc w:val="center"/>
              <w:rPr>
                <w:rFonts w:asciiTheme="majorBidi" w:hAnsiTheme="majorBidi" w:cstheme="majorBidi"/>
                <w:color w:val="000000"/>
                <w:sz w:val="22"/>
                <w:szCs w:val="22"/>
              </w:rPr>
            </w:pPr>
          </w:p>
        </w:tc>
        <w:tc>
          <w:tcPr>
            <w:tcW w:w="1329" w:type="dxa"/>
            <w:vAlign w:val="center"/>
          </w:tcPr>
          <w:p w14:paraId="4A0F4946" w14:textId="77777777" w:rsidR="00E96F39" w:rsidRPr="00E96F39" w:rsidRDefault="00E96F39">
            <w:pPr>
              <w:jc w:val="center"/>
              <w:rPr>
                <w:rFonts w:asciiTheme="majorBidi" w:hAnsiTheme="majorBidi" w:cstheme="majorBidi"/>
                <w:color w:val="000000"/>
                <w:sz w:val="22"/>
                <w:szCs w:val="22"/>
              </w:rPr>
            </w:pPr>
          </w:p>
        </w:tc>
      </w:tr>
      <w:tr w:rsidR="00E96F39" w:rsidRPr="00E96F39" w14:paraId="0864F56B" w14:textId="77777777" w:rsidTr="00E96F39">
        <w:trPr>
          <w:trHeight w:val="460"/>
        </w:trPr>
        <w:tc>
          <w:tcPr>
            <w:tcW w:w="1342" w:type="dxa"/>
            <w:vAlign w:val="center"/>
            <w:hideMark/>
          </w:tcPr>
          <w:p w14:paraId="528310A8"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Spearman rank correlations</w:t>
            </w:r>
          </w:p>
        </w:tc>
        <w:tc>
          <w:tcPr>
            <w:tcW w:w="1256" w:type="dxa"/>
            <w:vAlign w:val="center"/>
          </w:tcPr>
          <w:p w14:paraId="0922D78C" w14:textId="77777777" w:rsidR="00E96F39" w:rsidRPr="00E96F39" w:rsidRDefault="00E96F39">
            <w:pPr>
              <w:jc w:val="center"/>
              <w:rPr>
                <w:rFonts w:asciiTheme="majorBidi" w:hAnsiTheme="majorBidi" w:cstheme="majorBidi"/>
                <w:b/>
                <w:bCs/>
                <w:sz w:val="22"/>
                <w:szCs w:val="22"/>
              </w:rPr>
            </w:pPr>
          </w:p>
        </w:tc>
        <w:tc>
          <w:tcPr>
            <w:tcW w:w="1267" w:type="dxa"/>
            <w:vAlign w:val="center"/>
          </w:tcPr>
          <w:p w14:paraId="18B3D986" w14:textId="77777777" w:rsidR="00E96F39" w:rsidRPr="00E96F39" w:rsidRDefault="00E96F39">
            <w:pPr>
              <w:jc w:val="center"/>
              <w:rPr>
                <w:rFonts w:asciiTheme="majorBidi" w:hAnsiTheme="majorBidi" w:cstheme="majorBidi"/>
                <w:b/>
                <w:bCs/>
                <w:sz w:val="22"/>
                <w:szCs w:val="22"/>
              </w:rPr>
            </w:pPr>
          </w:p>
        </w:tc>
        <w:tc>
          <w:tcPr>
            <w:tcW w:w="1286" w:type="dxa"/>
            <w:vAlign w:val="center"/>
          </w:tcPr>
          <w:p w14:paraId="46AC9DFB" w14:textId="77777777" w:rsidR="00E96F39" w:rsidRPr="00E96F39" w:rsidRDefault="00E96F39">
            <w:pPr>
              <w:jc w:val="center"/>
              <w:rPr>
                <w:rFonts w:asciiTheme="majorBidi" w:hAnsiTheme="majorBidi" w:cstheme="majorBidi"/>
                <w:b/>
                <w:bCs/>
                <w:sz w:val="22"/>
                <w:szCs w:val="22"/>
              </w:rPr>
            </w:pPr>
          </w:p>
        </w:tc>
        <w:tc>
          <w:tcPr>
            <w:tcW w:w="1286" w:type="dxa"/>
            <w:vAlign w:val="center"/>
          </w:tcPr>
          <w:p w14:paraId="673577C7" w14:textId="77777777" w:rsidR="00E96F39" w:rsidRPr="00E96F39" w:rsidRDefault="00E96F39">
            <w:pPr>
              <w:jc w:val="center"/>
              <w:rPr>
                <w:rFonts w:asciiTheme="majorBidi" w:hAnsiTheme="majorBidi" w:cstheme="majorBidi"/>
                <w:b/>
                <w:bCs/>
                <w:color w:val="000000"/>
                <w:sz w:val="22"/>
                <w:szCs w:val="22"/>
              </w:rPr>
            </w:pPr>
          </w:p>
        </w:tc>
        <w:tc>
          <w:tcPr>
            <w:tcW w:w="1260" w:type="dxa"/>
            <w:vAlign w:val="center"/>
          </w:tcPr>
          <w:p w14:paraId="09410615" w14:textId="77777777" w:rsidR="00E96F39" w:rsidRPr="00E96F39" w:rsidRDefault="00E96F39">
            <w:pPr>
              <w:jc w:val="center"/>
              <w:rPr>
                <w:rFonts w:asciiTheme="majorBidi" w:hAnsiTheme="majorBidi" w:cstheme="majorBidi"/>
                <w:b/>
                <w:bCs/>
                <w:color w:val="000000"/>
                <w:sz w:val="22"/>
                <w:szCs w:val="22"/>
              </w:rPr>
            </w:pPr>
          </w:p>
        </w:tc>
        <w:tc>
          <w:tcPr>
            <w:tcW w:w="1329" w:type="dxa"/>
            <w:vAlign w:val="center"/>
          </w:tcPr>
          <w:p w14:paraId="1E92FF9D" w14:textId="77777777" w:rsidR="00E96F39" w:rsidRPr="00E96F39" w:rsidRDefault="00E96F39">
            <w:pPr>
              <w:jc w:val="center"/>
              <w:rPr>
                <w:rFonts w:asciiTheme="majorBidi" w:hAnsiTheme="majorBidi" w:cstheme="majorBidi"/>
                <w:b/>
                <w:bCs/>
                <w:color w:val="000000"/>
                <w:sz w:val="22"/>
                <w:szCs w:val="22"/>
              </w:rPr>
            </w:pPr>
          </w:p>
        </w:tc>
      </w:tr>
      <w:tr w:rsidR="00E96F39" w:rsidRPr="00E96F39" w14:paraId="0BADF552" w14:textId="77777777" w:rsidTr="00E96F39">
        <w:trPr>
          <w:trHeight w:val="460"/>
        </w:trPr>
        <w:tc>
          <w:tcPr>
            <w:tcW w:w="1342" w:type="dxa"/>
            <w:vAlign w:val="center"/>
            <w:hideMark/>
          </w:tcPr>
          <w:p w14:paraId="2427B30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1980</w:t>
            </w:r>
          </w:p>
        </w:tc>
        <w:tc>
          <w:tcPr>
            <w:tcW w:w="1256" w:type="dxa"/>
            <w:vAlign w:val="center"/>
            <w:hideMark/>
          </w:tcPr>
          <w:p w14:paraId="220B22DA"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0.976</w:t>
            </w:r>
          </w:p>
        </w:tc>
        <w:tc>
          <w:tcPr>
            <w:tcW w:w="1267" w:type="dxa"/>
            <w:vAlign w:val="center"/>
            <w:hideMark/>
          </w:tcPr>
          <w:p w14:paraId="2044D7D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0.827</w:t>
            </w:r>
          </w:p>
        </w:tc>
        <w:tc>
          <w:tcPr>
            <w:tcW w:w="1286" w:type="dxa"/>
            <w:vAlign w:val="center"/>
            <w:hideMark/>
          </w:tcPr>
          <w:p w14:paraId="0C193A5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0.941</w:t>
            </w:r>
          </w:p>
        </w:tc>
        <w:tc>
          <w:tcPr>
            <w:tcW w:w="1286" w:type="dxa"/>
            <w:vAlign w:val="center"/>
            <w:hideMark/>
          </w:tcPr>
          <w:p w14:paraId="3EE09A7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0.840</w:t>
            </w:r>
          </w:p>
        </w:tc>
        <w:tc>
          <w:tcPr>
            <w:tcW w:w="1260" w:type="dxa"/>
            <w:vAlign w:val="center"/>
            <w:hideMark/>
          </w:tcPr>
          <w:p w14:paraId="49918B4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0.982</w:t>
            </w:r>
          </w:p>
        </w:tc>
        <w:tc>
          <w:tcPr>
            <w:tcW w:w="1329" w:type="dxa"/>
            <w:vAlign w:val="center"/>
            <w:hideMark/>
          </w:tcPr>
          <w:p w14:paraId="6F9A409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0.896</w:t>
            </w:r>
          </w:p>
        </w:tc>
      </w:tr>
      <w:tr w:rsidR="00E96F39" w:rsidRPr="00E96F39" w14:paraId="2AF0F14D" w14:textId="77777777" w:rsidTr="00E96F39">
        <w:trPr>
          <w:trHeight w:val="460"/>
        </w:trPr>
        <w:tc>
          <w:tcPr>
            <w:tcW w:w="1342" w:type="dxa"/>
            <w:vAlign w:val="center"/>
            <w:hideMark/>
          </w:tcPr>
          <w:p w14:paraId="2BA9117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1990</w:t>
            </w:r>
          </w:p>
        </w:tc>
        <w:tc>
          <w:tcPr>
            <w:tcW w:w="1256" w:type="dxa"/>
            <w:vAlign w:val="center"/>
            <w:hideMark/>
          </w:tcPr>
          <w:p w14:paraId="100F2745"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0.972</w:t>
            </w:r>
          </w:p>
        </w:tc>
        <w:tc>
          <w:tcPr>
            <w:tcW w:w="1267" w:type="dxa"/>
            <w:vAlign w:val="center"/>
            <w:hideMark/>
          </w:tcPr>
          <w:p w14:paraId="3062484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0.859</w:t>
            </w:r>
          </w:p>
        </w:tc>
        <w:tc>
          <w:tcPr>
            <w:tcW w:w="1286" w:type="dxa"/>
            <w:vAlign w:val="center"/>
            <w:hideMark/>
          </w:tcPr>
          <w:p w14:paraId="457B86D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0.965</w:t>
            </w:r>
          </w:p>
        </w:tc>
        <w:tc>
          <w:tcPr>
            <w:tcW w:w="1286" w:type="dxa"/>
            <w:vAlign w:val="center"/>
            <w:hideMark/>
          </w:tcPr>
          <w:p w14:paraId="2EF09EA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0.861</w:t>
            </w:r>
          </w:p>
        </w:tc>
        <w:tc>
          <w:tcPr>
            <w:tcW w:w="1260" w:type="dxa"/>
            <w:vAlign w:val="center"/>
            <w:hideMark/>
          </w:tcPr>
          <w:p w14:paraId="6004320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0.941</w:t>
            </w:r>
          </w:p>
        </w:tc>
        <w:tc>
          <w:tcPr>
            <w:tcW w:w="1329" w:type="dxa"/>
            <w:vAlign w:val="center"/>
            <w:hideMark/>
          </w:tcPr>
          <w:p w14:paraId="1BFF446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0.908</w:t>
            </w:r>
          </w:p>
        </w:tc>
      </w:tr>
      <w:tr w:rsidR="00E96F39" w:rsidRPr="00E96F39" w14:paraId="073C0BD9" w14:textId="77777777" w:rsidTr="00E96F39">
        <w:trPr>
          <w:trHeight w:val="460"/>
        </w:trPr>
        <w:tc>
          <w:tcPr>
            <w:tcW w:w="1342" w:type="dxa"/>
            <w:vAlign w:val="center"/>
            <w:hideMark/>
          </w:tcPr>
          <w:p w14:paraId="7865D96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2000</w:t>
            </w:r>
          </w:p>
        </w:tc>
        <w:tc>
          <w:tcPr>
            <w:tcW w:w="1256" w:type="dxa"/>
            <w:vAlign w:val="center"/>
            <w:hideMark/>
          </w:tcPr>
          <w:p w14:paraId="76535595"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0.976</w:t>
            </w:r>
          </w:p>
        </w:tc>
        <w:tc>
          <w:tcPr>
            <w:tcW w:w="1267" w:type="dxa"/>
            <w:vAlign w:val="center"/>
            <w:hideMark/>
          </w:tcPr>
          <w:p w14:paraId="7607227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0.900</w:t>
            </w:r>
          </w:p>
        </w:tc>
        <w:tc>
          <w:tcPr>
            <w:tcW w:w="1286" w:type="dxa"/>
            <w:vAlign w:val="center"/>
            <w:hideMark/>
          </w:tcPr>
          <w:p w14:paraId="0AC1703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0.945</w:t>
            </w:r>
          </w:p>
        </w:tc>
        <w:tc>
          <w:tcPr>
            <w:tcW w:w="1286" w:type="dxa"/>
            <w:vAlign w:val="center"/>
            <w:hideMark/>
          </w:tcPr>
          <w:p w14:paraId="39FAD11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0.855</w:t>
            </w:r>
          </w:p>
        </w:tc>
        <w:tc>
          <w:tcPr>
            <w:tcW w:w="1260" w:type="dxa"/>
            <w:vAlign w:val="center"/>
            <w:hideMark/>
          </w:tcPr>
          <w:p w14:paraId="663504E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0.953</w:t>
            </w:r>
          </w:p>
        </w:tc>
        <w:tc>
          <w:tcPr>
            <w:tcW w:w="1329" w:type="dxa"/>
            <w:vAlign w:val="center"/>
            <w:hideMark/>
          </w:tcPr>
          <w:p w14:paraId="1B0AC53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0.912</w:t>
            </w:r>
          </w:p>
        </w:tc>
      </w:tr>
      <w:tr w:rsidR="00E96F39" w:rsidRPr="00E96F39" w14:paraId="68678E1E" w14:textId="77777777" w:rsidTr="00E96F39">
        <w:trPr>
          <w:trHeight w:val="460"/>
        </w:trPr>
        <w:tc>
          <w:tcPr>
            <w:tcW w:w="1342" w:type="dxa"/>
            <w:vAlign w:val="center"/>
            <w:hideMark/>
          </w:tcPr>
          <w:p w14:paraId="259F40E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2010</w:t>
            </w:r>
          </w:p>
        </w:tc>
        <w:tc>
          <w:tcPr>
            <w:tcW w:w="1256" w:type="dxa"/>
            <w:vAlign w:val="center"/>
            <w:hideMark/>
          </w:tcPr>
          <w:p w14:paraId="698992D1"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0.982</w:t>
            </w:r>
          </w:p>
        </w:tc>
        <w:tc>
          <w:tcPr>
            <w:tcW w:w="1267" w:type="dxa"/>
            <w:vAlign w:val="center"/>
            <w:hideMark/>
          </w:tcPr>
          <w:p w14:paraId="5DD23EE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0.936</w:t>
            </w:r>
          </w:p>
        </w:tc>
        <w:tc>
          <w:tcPr>
            <w:tcW w:w="1286" w:type="dxa"/>
            <w:vAlign w:val="center"/>
            <w:hideMark/>
          </w:tcPr>
          <w:p w14:paraId="65C4221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0.923</w:t>
            </w:r>
          </w:p>
        </w:tc>
        <w:tc>
          <w:tcPr>
            <w:tcW w:w="1286" w:type="dxa"/>
            <w:vAlign w:val="center"/>
            <w:hideMark/>
          </w:tcPr>
          <w:p w14:paraId="305CEE6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0.794</w:t>
            </w:r>
          </w:p>
        </w:tc>
        <w:tc>
          <w:tcPr>
            <w:tcW w:w="1260" w:type="dxa"/>
            <w:vAlign w:val="center"/>
            <w:hideMark/>
          </w:tcPr>
          <w:p w14:paraId="7833A12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0.896</w:t>
            </w:r>
          </w:p>
        </w:tc>
        <w:tc>
          <w:tcPr>
            <w:tcW w:w="1329" w:type="dxa"/>
            <w:vAlign w:val="center"/>
            <w:hideMark/>
          </w:tcPr>
          <w:p w14:paraId="6FBAB2B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0.853</w:t>
            </w:r>
          </w:p>
        </w:tc>
      </w:tr>
      <w:tr w:rsidR="00E96F39" w:rsidRPr="00E96F39" w14:paraId="23593726" w14:textId="77777777" w:rsidTr="00E96F39">
        <w:trPr>
          <w:trHeight w:val="460"/>
        </w:trPr>
        <w:tc>
          <w:tcPr>
            <w:tcW w:w="1342" w:type="dxa"/>
            <w:vAlign w:val="center"/>
            <w:hideMark/>
          </w:tcPr>
          <w:p w14:paraId="67C3FB2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2018</w:t>
            </w:r>
          </w:p>
        </w:tc>
        <w:tc>
          <w:tcPr>
            <w:tcW w:w="1256" w:type="dxa"/>
            <w:vAlign w:val="center"/>
            <w:hideMark/>
          </w:tcPr>
          <w:p w14:paraId="6487C4DD"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0.988</w:t>
            </w:r>
          </w:p>
        </w:tc>
        <w:tc>
          <w:tcPr>
            <w:tcW w:w="1267" w:type="dxa"/>
            <w:vAlign w:val="center"/>
            <w:hideMark/>
          </w:tcPr>
          <w:p w14:paraId="4798321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0.964</w:t>
            </w:r>
          </w:p>
        </w:tc>
        <w:tc>
          <w:tcPr>
            <w:tcW w:w="1286" w:type="dxa"/>
            <w:vAlign w:val="center"/>
            <w:hideMark/>
          </w:tcPr>
          <w:p w14:paraId="34C78EF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0.937</w:t>
            </w:r>
          </w:p>
        </w:tc>
        <w:tc>
          <w:tcPr>
            <w:tcW w:w="1286" w:type="dxa"/>
            <w:vAlign w:val="center"/>
            <w:hideMark/>
          </w:tcPr>
          <w:p w14:paraId="66C3E94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0.687</w:t>
            </w:r>
          </w:p>
        </w:tc>
        <w:tc>
          <w:tcPr>
            <w:tcW w:w="1260" w:type="dxa"/>
            <w:vAlign w:val="center"/>
            <w:hideMark/>
          </w:tcPr>
          <w:p w14:paraId="04D82873"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0.982</w:t>
            </w:r>
          </w:p>
        </w:tc>
        <w:tc>
          <w:tcPr>
            <w:tcW w:w="1329" w:type="dxa"/>
            <w:vAlign w:val="center"/>
            <w:hideMark/>
          </w:tcPr>
          <w:p w14:paraId="7394825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0.860</w:t>
            </w:r>
          </w:p>
        </w:tc>
      </w:tr>
    </w:tbl>
    <w:p w14:paraId="7C3F98B2" w14:textId="77777777" w:rsidR="00E96F39" w:rsidRDefault="00E96F39" w:rsidP="00E96F39">
      <w:pPr>
        <w:spacing w:line="24" w:lineRule="atLeast"/>
        <w:jc w:val="both"/>
        <w:rPr>
          <w:sz w:val="20"/>
          <w:szCs w:val="20"/>
          <w:lang w:val="en-NZ" w:eastAsia="zh-CN"/>
        </w:rPr>
      </w:pPr>
      <w:r>
        <w:rPr>
          <w:sz w:val="20"/>
          <w:szCs w:val="20"/>
        </w:rPr>
        <w:t xml:space="preserve">N.B. Calculations based on data from the US Census Bureau. </w:t>
      </w:r>
      <w:r>
        <w:rPr>
          <w:sz w:val="20"/>
          <w:szCs w:val="20"/>
          <w:vertAlign w:val="superscript"/>
        </w:rPr>
        <w:t>*</w:t>
      </w:r>
      <w:r>
        <w:rPr>
          <w:sz w:val="20"/>
          <w:szCs w:val="20"/>
        </w:rPr>
        <w:t xml:space="preserve"> For comparability, for the child-elder ratio the absolute value of each correlation is shown, as this measure is negatively correlated with all other measures.</w:t>
      </w:r>
    </w:p>
    <w:p w14:paraId="512176B3" w14:textId="77777777" w:rsidR="007E596C" w:rsidRPr="00E96F39" w:rsidRDefault="007E596C" w:rsidP="003342DE">
      <w:pPr>
        <w:spacing w:line="24" w:lineRule="atLeast"/>
      </w:pPr>
    </w:p>
    <w:p w14:paraId="0BD3A193" w14:textId="77777777" w:rsidR="007E596C" w:rsidRDefault="007E596C" w:rsidP="003342DE">
      <w:pPr>
        <w:spacing w:line="24" w:lineRule="atLeast"/>
        <w:rPr>
          <w:lang w:val="mi-NZ"/>
        </w:rPr>
      </w:pPr>
    </w:p>
    <w:p w14:paraId="51947C32" w14:textId="6371A043" w:rsidR="00E96F39" w:rsidRDefault="00E96F39" w:rsidP="00BA1FF4">
      <w:pPr>
        <w:spacing w:line="24" w:lineRule="atLeast"/>
        <w:ind w:firstLine="360"/>
        <w:jc w:val="both"/>
        <w:rPr>
          <w:lang w:val="mi-NZ"/>
        </w:rPr>
      </w:pPr>
      <w:r w:rsidRPr="00E96F39">
        <w:rPr>
          <w:lang w:val="mi-NZ"/>
        </w:rPr>
        <w:t>However, like the cross-country data there are wide differences in the rankings of some states across different measures. For example, in 2018 New York is ranked eighth based on the proportion of the population aged 85 years and over (2.50%), but is ranked 47th based on median age (35.4 years). South Carolina is ranked ninth based on old-age dependency ratio (0.28), but is ranked 41st based on the proportion of the population aged 85 years and over (1.76%). In contrast, Utah is ranked the youngest or second-youngest state on every measure, while Florida is ranked among the five oldest states on every measure.</w:t>
      </w:r>
    </w:p>
    <w:p w14:paraId="191E175D" w14:textId="77777777" w:rsidR="00E96F39" w:rsidRPr="00E96F39" w:rsidRDefault="00E96F39" w:rsidP="00BA1FF4">
      <w:pPr>
        <w:spacing w:line="24" w:lineRule="atLeast"/>
        <w:ind w:firstLine="360"/>
        <w:jc w:val="both"/>
        <w:rPr>
          <w:lang w:val="mi-NZ"/>
        </w:rPr>
      </w:pPr>
    </w:p>
    <w:p w14:paraId="486D747D" w14:textId="6FE2AB76" w:rsidR="00E96F39" w:rsidRDefault="00E96F39" w:rsidP="00BA1FF4">
      <w:pPr>
        <w:spacing w:line="24" w:lineRule="atLeast"/>
        <w:ind w:firstLine="360"/>
        <w:jc w:val="both"/>
        <w:rPr>
          <w:lang w:val="mi-NZ"/>
        </w:rPr>
      </w:pPr>
      <w:r w:rsidRPr="00E96F39">
        <w:rPr>
          <w:lang w:val="mi-NZ"/>
        </w:rPr>
        <w:lastRenderedPageBreak/>
        <w:t>Like the cross-country data, the US state-level data highlights the close (although not as close as for the cross-country data) correlations between the various measures of structural ageing. However, the comparisons are somewhat hampered by being based only on historical population estimates data. Most decision-makers will instead look at data based on projected future age distributions. Accordingly, we now apply the same comparisons to subnational data where both past estimates and future projections are available from the same source.</w:t>
      </w:r>
    </w:p>
    <w:p w14:paraId="65D8B1F8" w14:textId="77777777" w:rsidR="00E96F39" w:rsidRPr="00E96F39" w:rsidRDefault="00E96F39" w:rsidP="00BA1FF4">
      <w:pPr>
        <w:spacing w:line="24" w:lineRule="atLeast"/>
        <w:ind w:firstLine="360"/>
        <w:jc w:val="both"/>
        <w:rPr>
          <w:lang w:val="mi-NZ"/>
        </w:rPr>
      </w:pPr>
    </w:p>
    <w:p w14:paraId="17394AD5" w14:textId="5FBA1500" w:rsidR="00E96F39" w:rsidRPr="001A3FC7" w:rsidRDefault="00E96F39" w:rsidP="00BA1FF4">
      <w:pPr>
        <w:jc w:val="both"/>
        <w:rPr>
          <w:lang w:val="en-NZ" w:eastAsia="zh-CN"/>
        </w:rPr>
      </w:pPr>
      <w:r w:rsidRPr="00E96F39">
        <w:rPr>
          <w:lang w:val="mi-NZ"/>
        </w:rPr>
        <w:t>Table 6 presents the Pearson and Spearman rank correlations between RMSA and each other structural ageing measure, calculated using population estimates and projections data for territorial authorities and local boards in New Zealand, from Statistics New Zealand. The full cross-correlation tables for all measures for selected years (1996, 2018, and 2048) are included in the Appendix, Tables A5 and A6.</w:t>
      </w:r>
      <w:r w:rsidR="001A3FC7">
        <w:rPr>
          <w:rStyle w:val="FootnoteReference"/>
          <w:rFonts w:asciiTheme="majorBidi" w:hAnsiTheme="majorBidi" w:cstheme="majorBidi"/>
        </w:rPr>
        <w:footnoteReference w:id="9"/>
      </w:r>
      <w:r w:rsidR="001A3FC7">
        <w:t xml:space="preserve"> </w:t>
      </w:r>
      <w:r w:rsidRPr="00E96F39">
        <w:rPr>
          <w:lang w:val="mi-NZ"/>
        </w:rPr>
        <w:t>The results fall somewhere in-between those presented earlier based on country-level and US state-level data. The correlations are lower than those observed in the international data, but higher than those in the state-level data. However, unlike either of the other data sources, there is little systematic difference between the Pearson correlations and the Spearman rank correlations in the New Zealand data. Looking at changes over time, there is no apparent substantial increase in the correlations in the historical population estimates data, but the correlations do increase over time in the projected data. This supports the earlier assertions that population projections models lead to age distributions that are more regular, and that measurement error likely contributes to lower correlations in the more historical international data. Like for both other data sources, mean age has the highest correlation with RMSA, while the proportion of the population aged 85 years and over is in most instances the least correlated with RMSA</w:t>
      </w:r>
      <w:r>
        <w:rPr>
          <w:lang w:val="mi-NZ"/>
        </w:rPr>
        <w:t>.</w:t>
      </w:r>
    </w:p>
    <w:p w14:paraId="0BF895D7" w14:textId="77777777" w:rsidR="00E96F39" w:rsidRPr="006A42F1" w:rsidRDefault="00E96F39" w:rsidP="00BA1FF4">
      <w:pPr>
        <w:spacing w:line="24" w:lineRule="atLeast"/>
        <w:jc w:val="both"/>
        <w:rPr>
          <w:lang w:val="mi-NZ"/>
        </w:rPr>
      </w:pPr>
    </w:p>
    <w:p w14:paraId="49F221AA" w14:textId="59C9710F" w:rsidR="00E96F39" w:rsidRPr="007945BD" w:rsidRDefault="00E96F39" w:rsidP="00BA1FF4">
      <w:pPr>
        <w:spacing w:line="24" w:lineRule="atLeast"/>
        <w:ind w:firstLine="360"/>
        <w:jc w:val="both"/>
        <w:rPr>
          <w:lang w:val="mi-NZ"/>
        </w:rPr>
      </w:pPr>
      <w:r w:rsidRPr="00E96F39">
        <w:rPr>
          <w:lang w:val="mi-NZ"/>
        </w:rPr>
        <w:t>However, like the other data sources there are wide differences in the rankings of some territorial authorities and local boards across different measures. For example, in 2018 the Aotea/Great Barrier local board area is ranked second based on mean age (47.1 years), median age (52.3 years), child-elder ratio (0.40), and RMSA (52.3 years), but 79th based on the proportion of the population aged 85 years and over (1.0%). This probably reflects the relative remoteness of that local board area from the tertiary hospital care that the oldest aged people may need access to. The Waiheke local board area is similar. However, unlike Aotea/Great Barrier and Waiheke, the Waitemata local board area is located on the mainland and in central Auckland, and yet is ranked as the youngest area based on the proportion of the population aged 65 years and over (7.9%), the proportion of the population aged 85 years and over (0.6%), and the old-age dependency ratio (0.10), but 32nd based on the child-elder ratio (0.78). That reflects that central city urban living in New Zealand is currently attractive for relatively young urban professionals and students, but is less attractive for both older people and young families. In contrast, Thames-Coromandel District is ranked the oldest area on every measure except one (the proportion aged 85 years and over), while the Otara-Papatoetoe local board area is ranked among the three youngest areas on every measure, and the Mangere-Otahuhu local board area is ranked among the four youngest areas on every measure</w:t>
      </w:r>
      <w:r>
        <w:rPr>
          <w:lang w:val="mi-NZ"/>
        </w:rPr>
        <w:t>.</w:t>
      </w:r>
    </w:p>
    <w:p w14:paraId="107E1A0B" w14:textId="77777777" w:rsidR="00E96F39" w:rsidRDefault="00E96F39" w:rsidP="00E96F39">
      <w:pPr>
        <w:spacing w:line="360" w:lineRule="auto"/>
        <w:rPr>
          <w:b/>
          <w:bCs/>
          <w:lang w:val="mi-NZ"/>
        </w:rPr>
      </w:pPr>
      <w:r>
        <w:rPr>
          <w:b/>
          <w:bCs/>
          <w:lang w:val="mi-NZ"/>
        </w:rPr>
        <w:br w:type="page"/>
      </w:r>
    </w:p>
    <w:p w14:paraId="2A7EB171" w14:textId="3FA0A245" w:rsidR="00E96F39" w:rsidRPr="00994234" w:rsidRDefault="00E96F39" w:rsidP="00E96F39">
      <w:pPr>
        <w:spacing w:line="360" w:lineRule="auto"/>
        <w:rPr>
          <w:b/>
          <w:bCs/>
          <w:lang w:val="mi-NZ"/>
        </w:rPr>
      </w:pPr>
      <w:r w:rsidRPr="00994234">
        <w:rPr>
          <w:b/>
          <w:bCs/>
          <w:lang w:val="mi-NZ"/>
        </w:rPr>
        <w:lastRenderedPageBreak/>
        <w:t xml:space="preserve">Table </w:t>
      </w:r>
      <w:r>
        <w:rPr>
          <w:b/>
          <w:bCs/>
          <w:lang w:val="mi-NZ"/>
        </w:rPr>
        <w:t>6</w:t>
      </w:r>
      <w:r w:rsidRPr="00994234">
        <w:rPr>
          <w:b/>
          <w:bCs/>
          <w:lang w:val="mi-NZ"/>
        </w:rPr>
        <w:t xml:space="preserve">. </w:t>
      </w:r>
      <w:r w:rsidRPr="00E96F39">
        <w:rPr>
          <w:b/>
          <w:bCs/>
          <w:lang w:val="mi-NZ"/>
        </w:rPr>
        <w:t>Pearson and Spearman rank correlations between RMSA and other measures of structural ageing based on New Zealand territorial authority and local board data 1996-2048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1256"/>
        <w:gridCol w:w="1267"/>
        <w:gridCol w:w="1286"/>
        <w:gridCol w:w="1286"/>
        <w:gridCol w:w="1260"/>
        <w:gridCol w:w="1329"/>
      </w:tblGrid>
      <w:tr w:rsidR="00E96F39" w:rsidRPr="00E96F39" w14:paraId="23B8E33A" w14:textId="77777777" w:rsidTr="00E96F39">
        <w:trPr>
          <w:trHeight w:val="470"/>
        </w:trPr>
        <w:tc>
          <w:tcPr>
            <w:tcW w:w="1342" w:type="dxa"/>
            <w:tcBorders>
              <w:top w:val="single" w:sz="4" w:space="0" w:color="auto"/>
              <w:bottom w:val="single" w:sz="4" w:space="0" w:color="auto"/>
            </w:tcBorders>
            <w:vAlign w:val="center"/>
            <w:hideMark/>
          </w:tcPr>
          <w:p w14:paraId="5A0E744D" w14:textId="77777777" w:rsidR="00E96F39" w:rsidRPr="00E96F39" w:rsidRDefault="00E96F39">
            <w:pPr>
              <w:jc w:val="center"/>
              <w:rPr>
                <w:rFonts w:asciiTheme="majorBidi" w:hAnsiTheme="majorBidi" w:cstheme="majorBidi"/>
                <w:b/>
                <w:bCs/>
                <w:sz w:val="22"/>
                <w:szCs w:val="22"/>
                <w:lang w:val="en-NZ" w:eastAsia="zh-CN"/>
              </w:rPr>
            </w:pPr>
            <w:r w:rsidRPr="00E96F39">
              <w:rPr>
                <w:rFonts w:asciiTheme="majorBidi" w:hAnsiTheme="majorBidi" w:cstheme="majorBidi"/>
                <w:b/>
                <w:bCs/>
                <w:sz w:val="22"/>
                <w:szCs w:val="22"/>
              </w:rPr>
              <w:t>Year</w:t>
            </w:r>
          </w:p>
        </w:tc>
        <w:tc>
          <w:tcPr>
            <w:tcW w:w="1256" w:type="dxa"/>
            <w:tcBorders>
              <w:top w:val="single" w:sz="4" w:space="0" w:color="auto"/>
              <w:bottom w:val="single" w:sz="4" w:space="0" w:color="auto"/>
            </w:tcBorders>
            <w:vAlign w:val="center"/>
            <w:hideMark/>
          </w:tcPr>
          <w:p w14:paraId="77908B8E"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Mean age</w:t>
            </w:r>
          </w:p>
        </w:tc>
        <w:tc>
          <w:tcPr>
            <w:tcW w:w="1267" w:type="dxa"/>
            <w:tcBorders>
              <w:top w:val="single" w:sz="4" w:space="0" w:color="auto"/>
              <w:bottom w:val="single" w:sz="4" w:space="0" w:color="auto"/>
            </w:tcBorders>
            <w:vAlign w:val="center"/>
            <w:hideMark/>
          </w:tcPr>
          <w:p w14:paraId="7F46C1C4"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Median age</w:t>
            </w:r>
          </w:p>
        </w:tc>
        <w:tc>
          <w:tcPr>
            <w:tcW w:w="1286" w:type="dxa"/>
            <w:tcBorders>
              <w:top w:val="single" w:sz="4" w:space="0" w:color="auto"/>
              <w:bottom w:val="single" w:sz="4" w:space="0" w:color="auto"/>
            </w:tcBorders>
            <w:vAlign w:val="center"/>
            <w:hideMark/>
          </w:tcPr>
          <w:p w14:paraId="58846DB8"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65 years and over</w:t>
            </w:r>
          </w:p>
        </w:tc>
        <w:tc>
          <w:tcPr>
            <w:tcW w:w="1286" w:type="dxa"/>
            <w:tcBorders>
              <w:top w:val="single" w:sz="4" w:space="0" w:color="auto"/>
              <w:bottom w:val="single" w:sz="4" w:space="0" w:color="auto"/>
            </w:tcBorders>
            <w:vAlign w:val="center"/>
            <w:hideMark/>
          </w:tcPr>
          <w:p w14:paraId="6B720CE0"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Proportion of the population aged 85 years and over</w:t>
            </w:r>
          </w:p>
        </w:tc>
        <w:tc>
          <w:tcPr>
            <w:tcW w:w="1260" w:type="dxa"/>
            <w:tcBorders>
              <w:top w:val="single" w:sz="4" w:space="0" w:color="auto"/>
              <w:bottom w:val="single" w:sz="4" w:space="0" w:color="auto"/>
            </w:tcBorders>
            <w:vAlign w:val="center"/>
            <w:hideMark/>
          </w:tcPr>
          <w:p w14:paraId="1164CFD5"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Child-elder ratio</w:t>
            </w:r>
            <w:r w:rsidRPr="00E96F39">
              <w:rPr>
                <w:rFonts w:asciiTheme="majorBidi" w:hAnsiTheme="majorBidi" w:cstheme="majorBidi"/>
                <w:b/>
                <w:bCs/>
                <w:color w:val="000000"/>
                <w:sz w:val="22"/>
                <w:szCs w:val="22"/>
                <w:vertAlign w:val="superscript"/>
              </w:rPr>
              <w:t>*</w:t>
            </w:r>
          </w:p>
        </w:tc>
        <w:tc>
          <w:tcPr>
            <w:tcW w:w="1329" w:type="dxa"/>
            <w:tcBorders>
              <w:top w:val="single" w:sz="4" w:space="0" w:color="auto"/>
              <w:bottom w:val="single" w:sz="4" w:space="0" w:color="auto"/>
            </w:tcBorders>
            <w:vAlign w:val="center"/>
            <w:hideMark/>
          </w:tcPr>
          <w:p w14:paraId="6385EBEE"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Old-age dependency ratio</w:t>
            </w:r>
          </w:p>
        </w:tc>
      </w:tr>
      <w:tr w:rsidR="00E96F39" w:rsidRPr="00E96F39" w14:paraId="1A64B439" w14:textId="77777777" w:rsidTr="00E96F39">
        <w:trPr>
          <w:trHeight w:val="460"/>
        </w:trPr>
        <w:tc>
          <w:tcPr>
            <w:tcW w:w="1342" w:type="dxa"/>
            <w:tcBorders>
              <w:top w:val="single" w:sz="4" w:space="0" w:color="auto"/>
            </w:tcBorders>
            <w:vAlign w:val="center"/>
            <w:hideMark/>
          </w:tcPr>
          <w:p w14:paraId="06F1F2C7" w14:textId="77777777" w:rsidR="00E96F39" w:rsidRPr="00E96F39" w:rsidRDefault="00E96F39">
            <w:pPr>
              <w:jc w:val="center"/>
              <w:rPr>
                <w:rFonts w:asciiTheme="majorBidi" w:hAnsiTheme="majorBidi" w:cstheme="majorBidi"/>
                <w:b/>
                <w:bCs/>
                <w:color w:val="000000"/>
                <w:sz w:val="22"/>
                <w:szCs w:val="22"/>
              </w:rPr>
            </w:pPr>
            <w:r w:rsidRPr="00E96F39">
              <w:rPr>
                <w:rFonts w:asciiTheme="majorBidi" w:hAnsiTheme="majorBidi" w:cstheme="majorBidi"/>
                <w:b/>
                <w:bCs/>
                <w:color w:val="000000"/>
                <w:sz w:val="22"/>
                <w:szCs w:val="22"/>
              </w:rPr>
              <w:t>Pearson correlations</w:t>
            </w:r>
          </w:p>
        </w:tc>
        <w:tc>
          <w:tcPr>
            <w:tcW w:w="1256" w:type="dxa"/>
            <w:tcBorders>
              <w:top w:val="single" w:sz="4" w:space="0" w:color="auto"/>
            </w:tcBorders>
            <w:vAlign w:val="center"/>
          </w:tcPr>
          <w:p w14:paraId="0AFB7372" w14:textId="77777777" w:rsidR="00E96F39" w:rsidRPr="00E96F39" w:rsidRDefault="00E96F39">
            <w:pPr>
              <w:jc w:val="center"/>
              <w:rPr>
                <w:rFonts w:asciiTheme="majorBidi" w:hAnsiTheme="majorBidi" w:cstheme="majorBidi"/>
                <w:b/>
                <w:bCs/>
                <w:color w:val="000000"/>
                <w:sz w:val="22"/>
                <w:szCs w:val="22"/>
              </w:rPr>
            </w:pPr>
          </w:p>
        </w:tc>
        <w:tc>
          <w:tcPr>
            <w:tcW w:w="1267" w:type="dxa"/>
            <w:tcBorders>
              <w:top w:val="single" w:sz="4" w:space="0" w:color="auto"/>
            </w:tcBorders>
            <w:vAlign w:val="center"/>
          </w:tcPr>
          <w:p w14:paraId="6B8883E6" w14:textId="77777777" w:rsidR="00E96F39" w:rsidRPr="00E96F39" w:rsidRDefault="00E96F39">
            <w:pPr>
              <w:jc w:val="center"/>
              <w:rPr>
                <w:rFonts w:asciiTheme="majorBidi" w:hAnsiTheme="majorBidi" w:cstheme="majorBidi"/>
                <w:b/>
                <w:bCs/>
                <w:color w:val="000000"/>
                <w:sz w:val="22"/>
                <w:szCs w:val="22"/>
              </w:rPr>
            </w:pPr>
          </w:p>
        </w:tc>
        <w:tc>
          <w:tcPr>
            <w:tcW w:w="1286" w:type="dxa"/>
            <w:tcBorders>
              <w:top w:val="single" w:sz="4" w:space="0" w:color="auto"/>
            </w:tcBorders>
            <w:vAlign w:val="center"/>
          </w:tcPr>
          <w:p w14:paraId="6F390431" w14:textId="77777777" w:rsidR="00E96F39" w:rsidRPr="00E96F39" w:rsidRDefault="00E96F39">
            <w:pPr>
              <w:jc w:val="center"/>
              <w:rPr>
                <w:rFonts w:asciiTheme="majorBidi" w:hAnsiTheme="majorBidi" w:cstheme="majorBidi"/>
                <w:b/>
                <w:bCs/>
                <w:color w:val="000000"/>
                <w:sz w:val="22"/>
                <w:szCs w:val="22"/>
              </w:rPr>
            </w:pPr>
          </w:p>
        </w:tc>
        <w:tc>
          <w:tcPr>
            <w:tcW w:w="1286" w:type="dxa"/>
            <w:tcBorders>
              <w:top w:val="single" w:sz="4" w:space="0" w:color="auto"/>
            </w:tcBorders>
            <w:vAlign w:val="center"/>
          </w:tcPr>
          <w:p w14:paraId="7962AC88" w14:textId="77777777" w:rsidR="00E96F39" w:rsidRPr="00E96F39" w:rsidRDefault="00E96F39">
            <w:pPr>
              <w:jc w:val="center"/>
              <w:rPr>
                <w:rFonts w:asciiTheme="majorBidi" w:hAnsiTheme="majorBidi" w:cstheme="majorBidi"/>
                <w:b/>
                <w:bCs/>
                <w:color w:val="000000"/>
                <w:sz w:val="22"/>
                <w:szCs w:val="22"/>
              </w:rPr>
            </w:pPr>
          </w:p>
        </w:tc>
        <w:tc>
          <w:tcPr>
            <w:tcW w:w="1260" w:type="dxa"/>
            <w:tcBorders>
              <w:top w:val="single" w:sz="4" w:space="0" w:color="auto"/>
            </w:tcBorders>
            <w:vAlign w:val="center"/>
          </w:tcPr>
          <w:p w14:paraId="5981CA6D" w14:textId="77777777" w:rsidR="00E96F39" w:rsidRPr="00E96F39" w:rsidRDefault="00E96F39">
            <w:pPr>
              <w:jc w:val="center"/>
              <w:rPr>
                <w:rFonts w:asciiTheme="majorBidi" w:hAnsiTheme="majorBidi" w:cstheme="majorBidi"/>
                <w:b/>
                <w:bCs/>
                <w:color w:val="000000"/>
                <w:sz w:val="22"/>
                <w:szCs w:val="22"/>
              </w:rPr>
            </w:pPr>
          </w:p>
        </w:tc>
        <w:tc>
          <w:tcPr>
            <w:tcW w:w="1329" w:type="dxa"/>
            <w:tcBorders>
              <w:top w:val="single" w:sz="4" w:space="0" w:color="auto"/>
            </w:tcBorders>
            <w:vAlign w:val="center"/>
          </w:tcPr>
          <w:p w14:paraId="633F9C86" w14:textId="77777777" w:rsidR="00E96F39" w:rsidRPr="00E96F39" w:rsidRDefault="00E96F39">
            <w:pPr>
              <w:jc w:val="center"/>
              <w:rPr>
                <w:rFonts w:asciiTheme="majorBidi" w:hAnsiTheme="majorBidi" w:cstheme="majorBidi"/>
                <w:b/>
                <w:bCs/>
                <w:color w:val="000000"/>
                <w:sz w:val="22"/>
                <w:szCs w:val="22"/>
              </w:rPr>
            </w:pPr>
          </w:p>
        </w:tc>
      </w:tr>
      <w:tr w:rsidR="00E96F39" w:rsidRPr="00E96F39" w14:paraId="6B57F609" w14:textId="77777777" w:rsidTr="00E96F39">
        <w:trPr>
          <w:trHeight w:val="460"/>
        </w:trPr>
        <w:tc>
          <w:tcPr>
            <w:tcW w:w="1342" w:type="dxa"/>
            <w:vAlign w:val="center"/>
            <w:hideMark/>
          </w:tcPr>
          <w:p w14:paraId="2462A5A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1996</w:t>
            </w:r>
          </w:p>
        </w:tc>
        <w:tc>
          <w:tcPr>
            <w:tcW w:w="1256" w:type="dxa"/>
            <w:vAlign w:val="center"/>
            <w:hideMark/>
          </w:tcPr>
          <w:p w14:paraId="7778F0CB"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0.987</w:t>
            </w:r>
          </w:p>
        </w:tc>
        <w:tc>
          <w:tcPr>
            <w:tcW w:w="1267" w:type="dxa"/>
            <w:vAlign w:val="center"/>
            <w:hideMark/>
          </w:tcPr>
          <w:p w14:paraId="75BA9DB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0.941</w:t>
            </w:r>
          </w:p>
        </w:tc>
        <w:tc>
          <w:tcPr>
            <w:tcW w:w="1286" w:type="dxa"/>
            <w:vAlign w:val="center"/>
            <w:hideMark/>
          </w:tcPr>
          <w:p w14:paraId="134287E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0.963</w:t>
            </w:r>
          </w:p>
        </w:tc>
        <w:tc>
          <w:tcPr>
            <w:tcW w:w="1286" w:type="dxa"/>
            <w:vAlign w:val="center"/>
            <w:hideMark/>
          </w:tcPr>
          <w:p w14:paraId="7A6532F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0.808</w:t>
            </w:r>
          </w:p>
        </w:tc>
        <w:tc>
          <w:tcPr>
            <w:tcW w:w="1260" w:type="dxa"/>
            <w:vAlign w:val="center"/>
            <w:hideMark/>
          </w:tcPr>
          <w:p w14:paraId="1761EDF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0.905</w:t>
            </w:r>
          </w:p>
        </w:tc>
        <w:tc>
          <w:tcPr>
            <w:tcW w:w="1329" w:type="dxa"/>
            <w:vAlign w:val="center"/>
            <w:hideMark/>
          </w:tcPr>
          <w:p w14:paraId="22F3503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0.934</w:t>
            </w:r>
          </w:p>
        </w:tc>
      </w:tr>
      <w:tr w:rsidR="00E96F39" w:rsidRPr="00E96F39" w14:paraId="6771265C" w14:textId="77777777" w:rsidTr="00E96F39">
        <w:trPr>
          <w:trHeight w:val="460"/>
        </w:trPr>
        <w:tc>
          <w:tcPr>
            <w:tcW w:w="1342" w:type="dxa"/>
            <w:vAlign w:val="center"/>
            <w:hideMark/>
          </w:tcPr>
          <w:p w14:paraId="2886A4B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2006</w:t>
            </w:r>
          </w:p>
        </w:tc>
        <w:tc>
          <w:tcPr>
            <w:tcW w:w="1256" w:type="dxa"/>
            <w:vAlign w:val="center"/>
            <w:hideMark/>
          </w:tcPr>
          <w:p w14:paraId="506ACF0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0.987</w:t>
            </w:r>
          </w:p>
        </w:tc>
        <w:tc>
          <w:tcPr>
            <w:tcW w:w="1267" w:type="dxa"/>
            <w:vAlign w:val="center"/>
            <w:hideMark/>
          </w:tcPr>
          <w:p w14:paraId="2C95671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0.964</w:t>
            </w:r>
          </w:p>
        </w:tc>
        <w:tc>
          <w:tcPr>
            <w:tcW w:w="1286" w:type="dxa"/>
            <w:vAlign w:val="center"/>
            <w:hideMark/>
          </w:tcPr>
          <w:p w14:paraId="7AA0702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0.956</w:t>
            </w:r>
          </w:p>
        </w:tc>
        <w:tc>
          <w:tcPr>
            <w:tcW w:w="1286" w:type="dxa"/>
            <w:vAlign w:val="center"/>
            <w:hideMark/>
          </w:tcPr>
          <w:p w14:paraId="77FBC56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0.718</w:t>
            </w:r>
          </w:p>
        </w:tc>
        <w:tc>
          <w:tcPr>
            <w:tcW w:w="1260" w:type="dxa"/>
            <w:vAlign w:val="center"/>
            <w:hideMark/>
          </w:tcPr>
          <w:p w14:paraId="10D22CF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0.905</w:t>
            </w:r>
          </w:p>
        </w:tc>
        <w:tc>
          <w:tcPr>
            <w:tcW w:w="1329" w:type="dxa"/>
            <w:vAlign w:val="center"/>
            <w:hideMark/>
          </w:tcPr>
          <w:p w14:paraId="6A129F2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0.922</w:t>
            </w:r>
          </w:p>
        </w:tc>
      </w:tr>
      <w:tr w:rsidR="00E96F39" w:rsidRPr="00E96F39" w14:paraId="7B673008" w14:textId="77777777" w:rsidTr="00E96F39">
        <w:trPr>
          <w:trHeight w:val="460"/>
        </w:trPr>
        <w:tc>
          <w:tcPr>
            <w:tcW w:w="1342" w:type="dxa"/>
            <w:vAlign w:val="center"/>
            <w:hideMark/>
          </w:tcPr>
          <w:p w14:paraId="7AD98D4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2018</w:t>
            </w:r>
          </w:p>
        </w:tc>
        <w:tc>
          <w:tcPr>
            <w:tcW w:w="1256" w:type="dxa"/>
            <w:vAlign w:val="center"/>
            <w:hideMark/>
          </w:tcPr>
          <w:p w14:paraId="070DF8A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0.989</w:t>
            </w:r>
          </w:p>
        </w:tc>
        <w:tc>
          <w:tcPr>
            <w:tcW w:w="1267" w:type="dxa"/>
            <w:vAlign w:val="center"/>
            <w:hideMark/>
          </w:tcPr>
          <w:p w14:paraId="3E08A49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0.977</w:t>
            </w:r>
          </w:p>
        </w:tc>
        <w:tc>
          <w:tcPr>
            <w:tcW w:w="1286" w:type="dxa"/>
            <w:vAlign w:val="center"/>
            <w:hideMark/>
          </w:tcPr>
          <w:p w14:paraId="6C9EF5B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0.979</w:t>
            </w:r>
          </w:p>
        </w:tc>
        <w:tc>
          <w:tcPr>
            <w:tcW w:w="1286" w:type="dxa"/>
            <w:vAlign w:val="center"/>
            <w:hideMark/>
          </w:tcPr>
          <w:p w14:paraId="29465F6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0.708</w:t>
            </w:r>
          </w:p>
        </w:tc>
        <w:tc>
          <w:tcPr>
            <w:tcW w:w="1260" w:type="dxa"/>
            <w:vAlign w:val="center"/>
            <w:hideMark/>
          </w:tcPr>
          <w:p w14:paraId="0BC6C31F"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0.899</w:t>
            </w:r>
          </w:p>
        </w:tc>
        <w:tc>
          <w:tcPr>
            <w:tcW w:w="1329" w:type="dxa"/>
            <w:vAlign w:val="center"/>
            <w:hideMark/>
          </w:tcPr>
          <w:p w14:paraId="6338216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0.956</w:t>
            </w:r>
          </w:p>
        </w:tc>
      </w:tr>
      <w:tr w:rsidR="00E96F39" w:rsidRPr="00E96F39" w14:paraId="21F0CD78" w14:textId="77777777" w:rsidTr="00E96F39">
        <w:trPr>
          <w:trHeight w:val="460"/>
        </w:trPr>
        <w:tc>
          <w:tcPr>
            <w:tcW w:w="1342" w:type="dxa"/>
            <w:vAlign w:val="center"/>
            <w:hideMark/>
          </w:tcPr>
          <w:p w14:paraId="40AA902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2028</w:t>
            </w:r>
          </w:p>
        </w:tc>
        <w:tc>
          <w:tcPr>
            <w:tcW w:w="1256" w:type="dxa"/>
            <w:vAlign w:val="center"/>
            <w:hideMark/>
          </w:tcPr>
          <w:p w14:paraId="6A68FBB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0.992</w:t>
            </w:r>
          </w:p>
        </w:tc>
        <w:tc>
          <w:tcPr>
            <w:tcW w:w="1267" w:type="dxa"/>
            <w:vAlign w:val="center"/>
            <w:hideMark/>
          </w:tcPr>
          <w:p w14:paraId="588D634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0.980</w:t>
            </w:r>
          </w:p>
        </w:tc>
        <w:tc>
          <w:tcPr>
            <w:tcW w:w="1286" w:type="dxa"/>
            <w:vAlign w:val="center"/>
            <w:hideMark/>
          </w:tcPr>
          <w:p w14:paraId="4325DBA1"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0.987</w:t>
            </w:r>
          </w:p>
        </w:tc>
        <w:tc>
          <w:tcPr>
            <w:tcW w:w="1286" w:type="dxa"/>
            <w:vAlign w:val="center"/>
            <w:hideMark/>
          </w:tcPr>
          <w:p w14:paraId="1E67849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0.855</w:t>
            </w:r>
          </w:p>
        </w:tc>
        <w:tc>
          <w:tcPr>
            <w:tcW w:w="1260" w:type="dxa"/>
            <w:vAlign w:val="center"/>
            <w:hideMark/>
          </w:tcPr>
          <w:p w14:paraId="0457155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0.872</w:t>
            </w:r>
          </w:p>
        </w:tc>
        <w:tc>
          <w:tcPr>
            <w:tcW w:w="1329" w:type="dxa"/>
            <w:vAlign w:val="center"/>
            <w:hideMark/>
          </w:tcPr>
          <w:p w14:paraId="1BDA54B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0.965</w:t>
            </w:r>
          </w:p>
        </w:tc>
      </w:tr>
      <w:tr w:rsidR="00E96F39" w:rsidRPr="00E96F39" w14:paraId="34EEE581" w14:textId="77777777" w:rsidTr="00E96F39">
        <w:trPr>
          <w:trHeight w:val="460"/>
        </w:trPr>
        <w:tc>
          <w:tcPr>
            <w:tcW w:w="1342" w:type="dxa"/>
            <w:vAlign w:val="center"/>
            <w:hideMark/>
          </w:tcPr>
          <w:p w14:paraId="2E07380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2038</w:t>
            </w:r>
          </w:p>
        </w:tc>
        <w:tc>
          <w:tcPr>
            <w:tcW w:w="1256" w:type="dxa"/>
            <w:vAlign w:val="center"/>
            <w:hideMark/>
          </w:tcPr>
          <w:p w14:paraId="65FD50AA"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0.992</w:t>
            </w:r>
          </w:p>
        </w:tc>
        <w:tc>
          <w:tcPr>
            <w:tcW w:w="1267" w:type="dxa"/>
            <w:vAlign w:val="center"/>
            <w:hideMark/>
          </w:tcPr>
          <w:p w14:paraId="420C67B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0.987</w:t>
            </w:r>
          </w:p>
        </w:tc>
        <w:tc>
          <w:tcPr>
            <w:tcW w:w="1286" w:type="dxa"/>
            <w:vAlign w:val="center"/>
            <w:hideMark/>
          </w:tcPr>
          <w:p w14:paraId="70F3CF2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0.990</w:t>
            </w:r>
          </w:p>
        </w:tc>
        <w:tc>
          <w:tcPr>
            <w:tcW w:w="1286" w:type="dxa"/>
            <w:vAlign w:val="center"/>
            <w:hideMark/>
          </w:tcPr>
          <w:p w14:paraId="545E74FD"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0.924</w:t>
            </w:r>
          </w:p>
        </w:tc>
        <w:tc>
          <w:tcPr>
            <w:tcW w:w="1260" w:type="dxa"/>
            <w:vAlign w:val="center"/>
            <w:hideMark/>
          </w:tcPr>
          <w:p w14:paraId="46BAF0B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0.890</w:t>
            </w:r>
          </w:p>
        </w:tc>
        <w:tc>
          <w:tcPr>
            <w:tcW w:w="1329" w:type="dxa"/>
            <w:vAlign w:val="center"/>
            <w:hideMark/>
          </w:tcPr>
          <w:p w14:paraId="0CB272E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0.971</w:t>
            </w:r>
          </w:p>
        </w:tc>
      </w:tr>
      <w:tr w:rsidR="00E96F39" w:rsidRPr="00E96F39" w14:paraId="03595154" w14:textId="77777777" w:rsidTr="00E96F39">
        <w:trPr>
          <w:trHeight w:val="460"/>
        </w:trPr>
        <w:tc>
          <w:tcPr>
            <w:tcW w:w="1342" w:type="dxa"/>
            <w:vAlign w:val="center"/>
            <w:hideMark/>
          </w:tcPr>
          <w:p w14:paraId="4BE75AA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2048</w:t>
            </w:r>
          </w:p>
        </w:tc>
        <w:tc>
          <w:tcPr>
            <w:tcW w:w="1256" w:type="dxa"/>
            <w:vAlign w:val="center"/>
            <w:hideMark/>
          </w:tcPr>
          <w:p w14:paraId="058EB6BB"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0.990</w:t>
            </w:r>
          </w:p>
        </w:tc>
        <w:tc>
          <w:tcPr>
            <w:tcW w:w="1267" w:type="dxa"/>
            <w:vAlign w:val="center"/>
            <w:hideMark/>
          </w:tcPr>
          <w:p w14:paraId="4F04DE8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0.985</w:t>
            </w:r>
          </w:p>
        </w:tc>
        <w:tc>
          <w:tcPr>
            <w:tcW w:w="1286" w:type="dxa"/>
            <w:vAlign w:val="center"/>
            <w:hideMark/>
          </w:tcPr>
          <w:p w14:paraId="08D9BC8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0.986</w:t>
            </w:r>
          </w:p>
        </w:tc>
        <w:tc>
          <w:tcPr>
            <w:tcW w:w="1286" w:type="dxa"/>
            <w:vAlign w:val="center"/>
            <w:hideMark/>
          </w:tcPr>
          <w:p w14:paraId="24227EEE"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0.939</w:t>
            </w:r>
          </w:p>
        </w:tc>
        <w:tc>
          <w:tcPr>
            <w:tcW w:w="1260" w:type="dxa"/>
            <w:vAlign w:val="center"/>
            <w:hideMark/>
          </w:tcPr>
          <w:p w14:paraId="5A6C3BE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0.883</w:t>
            </w:r>
          </w:p>
        </w:tc>
        <w:tc>
          <w:tcPr>
            <w:tcW w:w="1329" w:type="dxa"/>
            <w:vAlign w:val="center"/>
            <w:hideMark/>
          </w:tcPr>
          <w:p w14:paraId="0543567B"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0.966</w:t>
            </w:r>
          </w:p>
        </w:tc>
      </w:tr>
      <w:tr w:rsidR="00E96F39" w:rsidRPr="00E96F39" w14:paraId="7FCA1A3C" w14:textId="77777777" w:rsidTr="00E96F39">
        <w:trPr>
          <w:trHeight w:val="460"/>
        </w:trPr>
        <w:tc>
          <w:tcPr>
            <w:tcW w:w="1342" w:type="dxa"/>
            <w:vAlign w:val="center"/>
          </w:tcPr>
          <w:p w14:paraId="1491B02D" w14:textId="77777777" w:rsidR="00E96F39" w:rsidRPr="00E96F39" w:rsidRDefault="00E96F39">
            <w:pPr>
              <w:jc w:val="center"/>
              <w:rPr>
                <w:rFonts w:asciiTheme="majorBidi" w:hAnsiTheme="majorBidi" w:cstheme="majorBidi"/>
                <w:sz w:val="22"/>
                <w:szCs w:val="22"/>
              </w:rPr>
            </w:pPr>
          </w:p>
        </w:tc>
        <w:tc>
          <w:tcPr>
            <w:tcW w:w="1256" w:type="dxa"/>
            <w:vAlign w:val="center"/>
          </w:tcPr>
          <w:p w14:paraId="34206BB7" w14:textId="77777777" w:rsidR="00E96F39" w:rsidRPr="00E96F39" w:rsidRDefault="00E96F39">
            <w:pPr>
              <w:jc w:val="center"/>
              <w:rPr>
                <w:rFonts w:asciiTheme="majorBidi" w:hAnsiTheme="majorBidi" w:cstheme="majorBidi"/>
                <w:sz w:val="22"/>
                <w:szCs w:val="22"/>
              </w:rPr>
            </w:pPr>
          </w:p>
        </w:tc>
        <w:tc>
          <w:tcPr>
            <w:tcW w:w="1267" w:type="dxa"/>
            <w:vAlign w:val="center"/>
          </w:tcPr>
          <w:p w14:paraId="5AD11C40" w14:textId="77777777" w:rsidR="00E96F39" w:rsidRPr="00E96F39" w:rsidRDefault="00E96F39">
            <w:pPr>
              <w:jc w:val="center"/>
              <w:rPr>
                <w:rFonts w:asciiTheme="majorBidi" w:hAnsiTheme="majorBidi" w:cstheme="majorBidi"/>
                <w:sz w:val="22"/>
                <w:szCs w:val="22"/>
              </w:rPr>
            </w:pPr>
          </w:p>
        </w:tc>
        <w:tc>
          <w:tcPr>
            <w:tcW w:w="1286" w:type="dxa"/>
            <w:vAlign w:val="center"/>
          </w:tcPr>
          <w:p w14:paraId="2335BC1D" w14:textId="77777777" w:rsidR="00E96F39" w:rsidRPr="00E96F39" w:rsidRDefault="00E96F39">
            <w:pPr>
              <w:jc w:val="center"/>
              <w:rPr>
                <w:rFonts w:asciiTheme="majorBidi" w:hAnsiTheme="majorBidi" w:cstheme="majorBidi"/>
                <w:sz w:val="22"/>
                <w:szCs w:val="22"/>
              </w:rPr>
            </w:pPr>
          </w:p>
        </w:tc>
        <w:tc>
          <w:tcPr>
            <w:tcW w:w="1286" w:type="dxa"/>
            <w:vAlign w:val="center"/>
          </w:tcPr>
          <w:p w14:paraId="5F7E577C" w14:textId="77777777" w:rsidR="00E96F39" w:rsidRPr="00E96F39" w:rsidRDefault="00E96F39">
            <w:pPr>
              <w:jc w:val="center"/>
              <w:rPr>
                <w:rFonts w:asciiTheme="majorBidi" w:hAnsiTheme="majorBidi" w:cstheme="majorBidi"/>
                <w:color w:val="000000"/>
                <w:sz w:val="22"/>
                <w:szCs w:val="22"/>
              </w:rPr>
            </w:pPr>
          </w:p>
        </w:tc>
        <w:tc>
          <w:tcPr>
            <w:tcW w:w="1260" w:type="dxa"/>
            <w:vAlign w:val="center"/>
          </w:tcPr>
          <w:p w14:paraId="0CEF1DAC" w14:textId="77777777" w:rsidR="00E96F39" w:rsidRPr="00E96F39" w:rsidRDefault="00E96F39">
            <w:pPr>
              <w:jc w:val="center"/>
              <w:rPr>
                <w:rFonts w:asciiTheme="majorBidi" w:hAnsiTheme="majorBidi" w:cstheme="majorBidi"/>
                <w:color w:val="000000"/>
                <w:sz w:val="22"/>
                <w:szCs w:val="22"/>
              </w:rPr>
            </w:pPr>
          </w:p>
        </w:tc>
        <w:tc>
          <w:tcPr>
            <w:tcW w:w="1329" w:type="dxa"/>
            <w:vAlign w:val="center"/>
          </w:tcPr>
          <w:p w14:paraId="4C51F8FF" w14:textId="77777777" w:rsidR="00E96F39" w:rsidRPr="00E96F39" w:rsidRDefault="00E96F39">
            <w:pPr>
              <w:jc w:val="center"/>
              <w:rPr>
                <w:rFonts w:asciiTheme="majorBidi" w:hAnsiTheme="majorBidi" w:cstheme="majorBidi"/>
                <w:color w:val="000000"/>
                <w:sz w:val="22"/>
                <w:szCs w:val="22"/>
              </w:rPr>
            </w:pPr>
          </w:p>
        </w:tc>
      </w:tr>
      <w:tr w:rsidR="00E96F39" w:rsidRPr="00E96F39" w14:paraId="21CC9B91" w14:textId="77777777" w:rsidTr="00E96F39">
        <w:trPr>
          <w:trHeight w:val="460"/>
        </w:trPr>
        <w:tc>
          <w:tcPr>
            <w:tcW w:w="1342" w:type="dxa"/>
            <w:vAlign w:val="center"/>
            <w:hideMark/>
          </w:tcPr>
          <w:p w14:paraId="075D7A91" w14:textId="77777777" w:rsidR="00E96F39" w:rsidRPr="00E96F39" w:rsidRDefault="00E96F39">
            <w:pPr>
              <w:jc w:val="center"/>
              <w:rPr>
                <w:rFonts w:asciiTheme="majorBidi" w:hAnsiTheme="majorBidi" w:cstheme="majorBidi"/>
                <w:b/>
                <w:bCs/>
                <w:sz w:val="22"/>
                <w:szCs w:val="22"/>
              </w:rPr>
            </w:pPr>
            <w:r w:rsidRPr="00E96F39">
              <w:rPr>
                <w:rFonts w:asciiTheme="majorBidi" w:hAnsiTheme="majorBidi" w:cstheme="majorBidi"/>
                <w:b/>
                <w:bCs/>
                <w:color w:val="000000"/>
                <w:sz w:val="22"/>
                <w:szCs w:val="22"/>
              </w:rPr>
              <w:t>Spearman rank correlations</w:t>
            </w:r>
          </w:p>
        </w:tc>
        <w:tc>
          <w:tcPr>
            <w:tcW w:w="1256" w:type="dxa"/>
            <w:vAlign w:val="center"/>
          </w:tcPr>
          <w:p w14:paraId="2833CF70" w14:textId="77777777" w:rsidR="00E96F39" w:rsidRPr="00E96F39" w:rsidRDefault="00E96F39">
            <w:pPr>
              <w:jc w:val="center"/>
              <w:rPr>
                <w:rFonts w:asciiTheme="majorBidi" w:hAnsiTheme="majorBidi" w:cstheme="majorBidi"/>
                <w:b/>
                <w:bCs/>
                <w:sz w:val="22"/>
                <w:szCs w:val="22"/>
              </w:rPr>
            </w:pPr>
          </w:p>
        </w:tc>
        <w:tc>
          <w:tcPr>
            <w:tcW w:w="1267" w:type="dxa"/>
            <w:vAlign w:val="center"/>
          </w:tcPr>
          <w:p w14:paraId="66A9CF75" w14:textId="77777777" w:rsidR="00E96F39" w:rsidRPr="00E96F39" w:rsidRDefault="00E96F39">
            <w:pPr>
              <w:jc w:val="center"/>
              <w:rPr>
                <w:rFonts w:asciiTheme="majorBidi" w:hAnsiTheme="majorBidi" w:cstheme="majorBidi"/>
                <w:b/>
                <w:bCs/>
                <w:sz w:val="22"/>
                <w:szCs w:val="22"/>
              </w:rPr>
            </w:pPr>
          </w:p>
        </w:tc>
        <w:tc>
          <w:tcPr>
            <w:tcW w:w="1286" w:type="dxa"/>
            <w:vAlign w:val="center"/>
          </w:tcPr>
          <w:p w14:paraId="1B889831" w14:textId="77777777" w:rsidR="00E96F39" w:rsidRPr="00E96F39" w:rsidRDefault="00E96F39">
            <w:pPr>
              <w:jc w:val="center"/>
              <w:rPr>
                <w:rFonts w:asciiTheme="majorBidi" w:hAnsiTheme="majorBidi" w:cstheme="majorBidi"/>
                <w:b/>
                <w:bCs/>
                <w:sz w:val="22"/>
                <w:szCs w:val="22"/>
              </w:rPr>
            </w:pPr>
          </w:p>
        </w:tc>
        <w:tc>
          <w:tcPr>
            <w:tcW w:w="1286" w:type="dxa"/>
            <w:vAlign w:val="center"/>
          </w:tcPr>
          <w:p w14:paraId="62435DB9" w14:textId="77777777" w:rsidR="00E96F39" w:rsidRPr="00E96F39" w:rsidRDefault="00E96F39">
            <w:pPr>
              <w:jc w:val="center"/>
              <w:rPr>
                <w:rFonts w:asciiTheme="majorBidi" w:hAnsiTheme="majorBidi" w:cstheme="majorBidi"/>
                <w:b/>
                <w:bCs/>
                <w:color w:val="000000"/>
                <w:sz w:val="22"/>
                <w:szCs w:val="22"/>
              </w:rPr>
            </w:pPr>
          </w:p>
        </w:tc>
        <w:tc>
          <w:tcPr>
            <w:tcW w:w="1260" w:type="dxa"/>
            <w:vAlign w:val="center"/>
          </w:tcPr>
          <w:p w14:paraId="4D6F7ED0" w14:textId="77777777" w:rsidR="00E96F39" w:rsidRPr="00E96F39" w:rsidRDefault="00E96F39">
            <w:pPr>
              <w:jc w:val="center"/>
              <w:rPr>
                <w:rFonts w:asciiTheme="majorBidi" w:hAnsiTheme="majorBidi" w:cstheme="majorBidi"/>
                <w:b/>
                <w:bCs/>
                <w:color w:val="000000"/>
                <w:sz w:val="22"/>
                <w:szCs w:val="22"/>
              </w:rPr>
            </w:pPr>
          </w:p>
        </w:tc>
        <w:tc>
          <w:tcPr>
            <w:tcW w:w="1329" w:type="dxa"/>
            <w:vAlign w:val="center"/>
          </w:tcPr>
          <w:p w14:paraId="4960CE06" w14:textId="77777777" w:rsidR="00E96F39" w:rsidRPr="00E96F39" w:rsidRDefault="00E96F39">
            <w:pPr>
              <w:jc w:val="center"/>
              <w:rPr>
                <w:rFonts w:asciiTheme="majorBidi" w:hAnsiTheme="majorBidi" w:cstheme="majorBidi"/>
                <w:b/>
                <w:bCs/>
                <w:color w:val="000000"/>
                <w:sz w:val="22"/>
                <w:szCs w:val="22"/>
              </w:rPr>
            </w:pPr>
          </w:p>
        </w:tc>
      </w:tr>
      <w:tr w:rsidR="00E96F39" w:rsidRPr="00E96F39" w14:paraId="1BE0C29C" w14:textId="77777777" w:rsidTr="00E96F39">
        <w:trPr>
          <w:trHeight w:val="460"/>
        </w:trPr>
        <w:tc>
          <w:tcPr>
            <w:tcW w:w="1342" w:type="dxa"/>
            <w:vAlign w:val="center"/>
            <w:hideMark/>
          </w:tcPr>
          <w:p w14:paraId="4178C5EB"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1996</w:t>
            </w:r>
          </w:p>
        </w:tc>
        <w:tc>
          <w:tcPr>
            <w:tcW w:w="1256" w:type="dxa"/>
            <w:vAlign w:val="center"/>
            <w:hideMark/>
          </w:tcPr>
          <w:p w14:paraId="514DA3B5"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0.984</w:t>
            </w:r>
          </w:p>
        </w:tc>
        <w:tc>
          <w:tcPr>
            <w:tcW w:w="1267" w:type="dxa"/>
            <w:vAlign w:val="center"/>
            <w:hideMark/>
          </w:tcPr>
          <w:p w14:paraId="2A8E40B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0.933</w:t>
            </w:r>
          </w:p>
        </w:tc>
        <w:tc>
          <w:tcPr>
            <w:tcW w:w="1286" w:type="dxa"/>
            <w:vAlign w:val="center"/>
            <w:hideMark/>
          </w:tcPr>
          <w:p w14:paraId="2E550D1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0.969</w:t>
            </w:r>
          </w:p>
        </w:tc>
        <w:tc>
          <w:tcPr>
            <w:tcW w:w="1286" w:type="dxa"/>
            <w:vAlign w:val="center"/>
            <w:hideMark/>
          </w:tcPr>
          <w:p w14:paraId="0FE3DAB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0.806</w:t>
            </w:r>
          </w:p>
        </w:tc>
        <w:tc>
          <w:tcPr>
            <w:tcW w:w="1260" w:type="dxa"/>
            <w:vAlign w:val="center"/>
            <w:hideMark/>
          </w:tcPr>
          <w:p w14:paraId="334A4A2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0.929</w:t>
            </w:r>
          </w:p>
        </w:tc>
        <w:tc>
          <w:tcPr>
            <w:tcW w:w="1329" w:type="dxa"/>
            <w:vAlign w:val="center"/>
            <w:hideMark/>
          </w:tcPr>
          <w:p w14:paraId="440C032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0.942</w:t>
            </w:r>
          </w:p>
        </w:tc>
      </w:tr>
      <w:tr w:rsidR="00E96F39" w:rsidRPr="00E96F39" w14:paraId="54D29EE3" w14:textId="77777777" w:rsidTr="00E96F39">
        <w:trPr>
          <w:trHeight w:val="460"/>
        </w:trPr>
        <w:tc>
          <w:tcPr>
            <w:tcW w:w="1342" w:type="dxa"/>
            <w:vAlign w:val="center"/>
            <w:hideMark/>
          </w:tcPr>
          <w:p w14:paraId="1896A84D"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2006</w:t>
            </w:r>
          </w:p>
        </w:tc>
        <w:tc>
          <w:tcPr>
            <w:tcW w:w="1256" w:type="dxa"/>
            <w:vAlign w:val="center"/>
            <w:hideMark/>
          </w:tcPr>
          <w:p w14:paraId="66C34C5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0.985</w:t>
            </w:r>
          </w:p>
        </w:tc>
        <w:tc>
          <w:tcPr>
            <w:tcW w:w="1267" w:type="dxa"/>
            <w:vAlign w:val="center"/>
            <w:hideMark/>
          </w:tcPr>
          <w:p w14:paraId="6D54928C"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0.954</w:t>
            </w:r>
          </w:p>
        </w:tc>
        <w:tc>
          <w:tcPr>
            <w:tcW w:w="1286" w:type="dxa"/>
            <w:vAlign w:val="center"/>
            <w:hideMark/>
          </w:tcPr>
          <w:p w14:paraId="6087091B"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0.961</w:t>
            </w:r>
          </w:p>
        </w:tc>
        <w:tc>
          <w:tcPr>
            <w:tcW w:w="1286" w:type="dxa"/>
            <w:vAlign w:val="center"/>
            <w:hideMark/>
          </w:tcPr>
          <w:p w14:paraId="3775419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0.717</w:t>
            </w:r>
          </w:p>
        </w:tc>
        <w:tc>
          <w:tcPr>
            <w:tcW w:w="1260" w:type="dxa"/>
            <w:vAlign w:val="center"/>
            <w:hideMark/>
          </w:tcPr>
          <w:p w14:paraId="28618C6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0.941</w:t>
            </w:r>
          </w:p>
        </w:tc>
        <w:tc>
          <w:tcPr>
            <w:tcW w:w="1329" w:type="dxa"/>
            <w:vAlign w:val="center"/>
            <w:hideMark/>
          </w:tcPr>
          <w:p w14:paraId="415429C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0.927</w:t>
            </w:r>
          </w:p>
        </w:tc>
      </w:tr>
      <w:tr w:rsidR="00E96F39" w:rsidRPr="00E96F39" w14:paraId="35CE79CC" w14:textId="77777777" w:rsidTr="00E96F39">
        <w:trPr>
          <w:trHeight w:val="460"/>
        </w:trPr>
        <w:tc>
          <w:tcPr>
            <w:tcW w:w="1342" w:type="dxa"/>
            <w:vAlign w:val="center"/>
            <w:hideMark/>
          </w:tcPr>
          <w:p w14:paraId="2F265923"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2018</w:t>
            </w:r>
          </w:p>
        </w:tc>
        <w:tc>
          <w:tcPr>
            <w:tcW w:w="1256" w:type="dxa"/>
            <w:vAlign w:val="center"/>
            <w:hideMark/>
          </w:tcPr>
          <w:p w14:paraId="6D36520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0.991</w:t>
            </w:r>
          </w:p>
        </w:tc>
        <w:tc>
          <w:tcPr>
            <w:tcW w:w="1267" w:type="dxa"/>
            <w:vAlign w:val="center"/>
            <w:hideMark/>
          </w:tcPr>
          <w:p w14:paraId="57F6C1B8"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0.979</w:t>
            </w:r>
          </w:p>
        </w:tc>
        <w:tc>
          <w:tcPr>
            <w:tcW w:w="1286" w:type="dxa"/>
            <w:vAlign w:val="center"/>
            <w:hideMark/>
          </w:tcPr>
          <w:p w14:paraId="30729992"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0.982</w:t>
            </w:r>
          </w:p>
        </w:tc>
        <w:tc>
          <w:tcPr>
            <w:tcW w:w="1286" w:type="dxa"/>
            <w:vAlign w:val="center"/>
            <w:hideMark/>
          </w:tcPr>
          <w:p w14:paraId="377A34D4"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0.682</w:t>
            </w:r>
          </w:p>
        </w:tc>
        <w:tc>
          <w:tcPr>
            <w:tcW w:w="1260" w:type="dxa"/>
            <w:vAlign w:val="center"/>
            <w:hideMark/>
          </w:tcPr>
          <w:p w14:paraId="66498B1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0.935</w:t>
            </w:r>
          </w:p>
        </w:tc>
        <w:tc>
          <w:tcPr>
            <w:tcW w:w="1329" w:type="dxa"/>
            <w:vAlign w:val="center"/>
            <w:hideMark/>
          </w:tcPr>
          <w:p w14:paraId="2E6A0F0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0.963</w:t>
            </w:r>
          </w:p>
        </w:tc>
      </w:tr>
      <w:tr w:rsidR="00E96F39" w:rsidRPr="00E96F39" w14:paraId="2F181656" w14:textId="77777777" w:rsidTr="00E96F39">
        <w:trPr>
          <w:trHeight w:val="460"/>
        </w:trPr>
        <w:tc>
          <w:tcPr>
            <w:tcW w:w="1342" w:type="dxa"/>
            <w:vAlign w:val="center"/>
            <w:hideMark/>
          </w:tcPr>
          <w:p w14:paraId="4D23582E"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2028</w:t>
            </w:r>
          </w:p>
        </w:tc>
        <w:tc>
          <w:tcPr>
            <w:tcW w:w="1256" w:type="dxa"/>
            <w:vAlign w:val="center"/>
            <w:hideMark/>
          </w:tcPr>
          <w:p w14:paraId="5FFACB1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0.995</w:t>
            </w:r>
          </w:p>
        </w:tc>
        <w:tc>
          <w:tcPr>
            <w:tcW w:w="1267" w:type="dxa"/>
            <w:vAlign w:val="center"/>
            <w:hideMark/>
          </w:tcPr>
          <w:p w14:paraId="334DAD76"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0.989</w:t>
            </w:r>
          </w:p>
        </w:tc>
        <w:tc>
          <w:tcPr>
            <w:tcW w:w="1286" w:type="dxa"/>
            <w:vAlign w:val="center"/>
            <w:hideMark/>
          </w:tcPr>
          <w:p w14:paraId="4604509F"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0.988</w:t>
            </w:r>
          </w:p>
        </w:tc>
        <w:tc>
          <w:tcPr>
            <w:tcW w:w="1286" w:type="dxa"/>
            <w:vAlign w:val="center"/>
            <w:hideMark/>
          </w:tcPr>
          <w:p w14:paraId="2E95CBE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0.844</w:t>
            </w:r>
          </w:p>
        </w:tc>
        <w:tc>
          <w:tcPr>
            <w:tcW w:w="1260" w:type="dxa"/>
            <w:vAlign w:val="center"/>
            <w:hideMark/>
          </w:tcPr>
          <w:p w14:paraId="43BC95EA"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0.902</w:t>
            </w:r>
          </w:p>
        </w:tc>
        <w:tc>
          <w:tcPr>
            <w:tcW w:w="1329" w:type="dxa"/>
            <w:vAlign w:val="center"/>
            <w:hideMark/>
          </w:tcPr>
          <w:p w14:paraId="34D01DE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0.972</w:t>
            </w:r>
          </w:p>
        </w:tc>
      </w:tr>
      <w:tr w:rsidR="00E96F39" w:rsidRPr="00E96F39" w14:paraId="7A07C468" w14:textId="77777777" w:rsidTr="00E96F39">
        <w:trPr>
          <w:trHeight w:val="460"/>
        </w:trPr>
        <w:tc>
          <w:tcPr>
            <w:tcW w:w="1342" w:type="dxa"/>
            <w:vAlign w:val="center"/>
            <w:hideMark/>
          </w:tcPr>
          <w:p w14:paraId="4A1DBEE7"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2038</w:t>
            </w:r>
          </w:p>
        </w:tc>
        <w:tc>
          <w:tcPr>
            <w:tcW w:w="1256" w:type="dxa"/>
            <w:vAlign w:val="center"/>
            <w:hideMark/>
          </w:tcPr>
          <w:p w14:paraId="72317FB4"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0.994</w:t>
            </w:r>
          </w:p>
        </w:tc>
        <w:tc>
          <w:tcPr>
            <w:tcW w:w="1267" w:type="dxa"/>
            <w:vAlign w:val="center"/>
            <w:hideMark/>
          </w:tcPr>
          <w:p w14:paraId="6FFD09C9"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0.991</w:t>
            </w:r>
          </w:p>
        </w:tc>
        <w:tc>
          <w:tcPr>
            <w:tcW w:w="1286" w:type="dxa"/>
            <w:vAlign w:val="center"/>
            <w:hideMark/>
          </w:tcPr>
          <w:p w14:paraId="596D455A" w14:textId="77777777" w:rsidR="00E96F39" w:rsidRPr="00E96F39" w:rsidRDefault="00E96F39">
            <w:pPr>
              <w:jc w:val="center"/>
              <w:rPr>
                <w:rFonts w:asciiTheme="majorBidi" w:hAnsiTheme="majorBidi" w:cstheme="majorBidi"/>
                <w:sz w:val="22"/>
                <w:szCs w:val="22"/>
              </w:rPr>
            </w:pPr>
            <w:r w:rsidRPr="00E96F39">
              <w:rPr>
                <w:rFonts w:asciiTheme="majorBidi" w:hAnsiTheme="majorBidi" w:cstheme="majorBidi"/>
                <w:color w:val="000000"/>
                <w:sz w:val="22"/>
                <w:szCs w:val="22"/>
              </w:rPr>
              <w:t>0.992</w:t>
            </w:r>
          </w:p>
        </w:tc>
        <w:tc>
          <w:tcPr>
            <w:tcW w:w="1286" w:type="dxa"/>
            <w:vAlign w:val="center"/>
            <w:hideMark/>
          </w:tcPr>
          <w:p w14:paraId="500A65B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0.915</w:t>
            </w:r>
          </w:p>
        </w:tc>
        <w:tc>
          <w:tcPr>
            <w:tcW w:w="1260" w:type="dxa"/>
            <w:vAlign w:val="center"/>
            <w:hideMark/>
          </w:tcPr>
          <w:p w14:paraId="39EDC78C"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0.911</w:t>
            </w:r>
          </w:p>
        </w:tc>
        <w:tc>
          <w:tcPr>
            <w:tcW w:w="1329" w:type="dxa"/>
            <w:vAlign w:val="center"/>
            <w:hideMark/>
          </w:tcPr>
          <w:p w14:paraId="720D0F1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0.978</w:t>
            </w:r>
          </w:p>
        </w:tc>
      </w:tr>
      <w:tr w:rsidR="00E96F39" w:rsidRPr="00E96F39" w14:paraId="1705346F" w14:textId="77777777" w:rsidTr="00E96F39">
        <w:trPr>
          <w:trHeight w:val="460"/>
        </w:trPr>
        <w:tc>
          <w:tcPr>
            <w:tcW w:w="1342" w:type="dxa"/>
            <w:vAlign w:val="center"/>
            <w:hideMark/>
          </w:tcPr>
          <w:p w14:paraId="1706C3B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2048</w:t>
            </w:r>
          </w:p>
        </w:tc>
        <w:tc>
          <w:tcPr>
            <w:tcW w:w="1256" w:type="dxa"/>
            <w:vAlign w:val="center"/>
            <w:hideMark/>
          </w:tcPr>
          <w:p w14:paraId="798E2527"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0.993</w:t>
            </w:r>
          </w:p>
        </w:tc>
        <w:tc>
          <w:tcPr>
            <w:tcW w:w="1267" w:type="dxa"/>
            <w:vAlign w:val="center"/>
            <w:hideMark/>
          </w:tcPr>
          <w:p w14:paraId="5D3450C9"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0.986</w:t>
            </w:r>
          </w:p>
        </w:tc>
        <w:tc>
          <w:tcPr>
            <w:tcW w:w="1286" w:type="dxa"/>
            <w:vAlign w:val="center"/>
            <w:hideMark/>
          </w:tcPr>
          <w:p w14:paraId="3B0C2688"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0.988</w:t>
            </w:r>
          </w:p>
        </w:tc>
        <w:tc>
          <w:tcPr>
            <w:tcW w:w="1286" w:type="dxa"/>
            <w:vAlign w:val="center"/>
            <w:hideMark/>
          </w:tcPr>
          <w:p w14:paraId="5C2EFE61"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0.936</w:t>
            </w:r>
          </w:p>
        </w:tc>
        <w:tc>
          <w:tcPr>
            <w:tcW w:w="1260" w:type="dxa"/>
            <w:vAlign w:val="center"/>
            <w:hideMark/>
          </w:tcPr>
          <w:p w14:paraId="11E1BA50"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0.886</w:t>
            </w:r>
          </w:p>
        </w:tc>
        <w:tc>
          <w:tcPr>
            <w:tcW w:w="1329" w:type="dxa"/>
            <w:vAlign w:val="center"/>
            <w:hideMark/>
          </w:tcPr>
          <w:p w14:paraId="1BB55832" w14:textId="77777777" w:rsidR="00E96F39" w:rsidRPr="00E96F39" w:rsidRDefault="00E96F39">
            <w:pPr>
              <w:jc w:val="center"/>
              <w:rPr>
                <w:rFonts w:asciiTheme="majorBidi" w:hAnsiTheme="majorBidi" w:cstheme="majorBidi"/>
                <w:color w:val="000000"/>
                <w:sz w:val="22"/>
                <w:szCs w:val="22"/>
              </w:rPr>
            </w:pPr>
            <w:r w:rsidRPr="00E96F39">
              <w:rPr>
                <w:rFonts w:asciiTheme="majorBidi" w:hAnsiTheme="majorBidi" w:cstheme="majorBidi"/>
                <w:color w:val="000000"/>
                <w:sz w:val="22"/>
                <w:szCs w:val="22"/>
              </w:rPr>
              <w:t>0.974</w:t>
            </w:r>
          </w:p>
        </w:tc>
      </w:tr>
    </w:tbl>
    <w:p w14:paraId="0DE0AAB2" w14:textId="77777777" w:rsidR="00E96F39" w:rsidRDefault="00E96F39" w:rsidP="00E96F39">
      <w:pPr>
        <w:spacing w:line="24" w:lineRule="atLeast"/>
        <w:jc w:val="both"/>
        <w:rPr>
          <w:sz w:val="20"/>
          <w:szCs w:val="20"/>
          <w:lang w:val="en-NZ" w:eastAsia="zh-CN"/>
        </w:rPr>
      </w:pPr>
      <w:r>
        <w:rPr>
          <w:sz w:val="20"/>
          <w:szCs w:val="20"/>
        </w:rPr>
        <w:t xml:space="preserve">N.B. Calculations based on data from Statistics New Zealand. </w:t>
      </w:r>
      <w:r>
        <w:rPr>
          <w:sz w:val="20"/>
          <w:szCs w:val="20"/>
          <w:vertAlign w:val="superscript"/>
        </w:rPr>
        <w:t>*</w:t>
      </w:r>
      <w:r>
        <w:rPr>
          <w:sz w:val="20"/>
          <w:szCs w:val="20"/>
        </w:rPr>
        <w:t xml:space="preserve"> For comparability, for the child-elder ratio the absolute value of each correlation is shown, as this measure is negatively correlated with all other measures.</w:t>
      </w:r>
    </w:p>
    <w:p w14:paraId="722EE78B" w14:textId="33683006" w:rsidR="00E96F39" w:rsidRDefault="00E96F39" w:rsidP="007E596C">
      <w:pPr>
        <w:rPr>
          <w:b/>
          <w:bCs/>
          <w:lang w:val="mi-NZ"/>
        </w:rPr>
      </w:pPr>
    </w:p>
    <w:p w14:paraId="3F071D36" w14:textId="77777777" w:rsidR="001A3FC7" w:rsidRDefault="001A3FC7" w:rsidP="007E596C">
      <w:pPr>
        <w:rPr>
          <w:b/>
          <w:bCs/>
          <w:lang w:val="mi-NZ"/>
        </w:rPr>
      </w:pPr>
    </w:p>
    <w:p w14:paraId="3D2D8F5F" w14:textId="24E9D7D3" w:rsidR="001A3FC7" w:rsidRDefault="001A3FC7" w:rsidP="00BA1FF4">
      <w:pPr>
        <w:pStyle w:val="ListParagraph"/>
        <w:numPr>
          <w:ilvl w:val="0"/>
          <w:numId w:val="1"/>
        </w:numPr>
        <w:spacing w:after="160" w:line="24" w:lineRule="atLeast"/>
        <w:ind w:hanging="720"/>
        <w:jc w:val="both"/>
        <w:rPr>
          <w:b/>
          <w:bCs/>
          <w:lang w:val="mi-NZ"/>
        </w:rPr>
      </w:pPr>
      <w:r>
        <w:rPr>
          <w:b/>
          <w:bCs/>
          <w:lang w:val="mi-NZ"/>
        </w:rPr>
        <w:t>Discussion</w:t>
      </w:r>
    </w:p>
    <w:p w14:paraId="17E20562" w14:textId="77777777" w:rsidR="001A3FC7" w:rsidRPr="007D243F" w:rsidRDefault="001A3FC7" w:rsidP="001A3FC7">
      <w:pPr>
        <w:pStyle w:val="ListParagraph"/>
        <w:spacing w:after="160" w:line="24" w:lineRule="atLeast"/>
        <w:ind w:left="360"/>
        <w:jc w:val="both"/>
        <w:rPr>
          <w:b/>
          <w:bCs/>
          <w:lang w:val="mi-NZ"/>
        </w:rPr>
      </w:pPr>
    </w:p>
    <w:p w14:paraId="54F53A38" w14:textId="7E487D4F" w:rsidR="001A3FC7" w:rsidRDefault="001A3FC7" w:rsidP="00BA1FF4">
      <w:pPr>
        <w:spacing w:line="24" w:lineRule="atLeast"/>
        <w:jc w:val="both"/>
        <w:rPr>
          <w:lang w:val="mi-NZ"/>
        </w:rPr>
      </w:pPr>
      <w:r w:rsidRPr="001A3FC7">
        <w:rPr>
          <w:lang w:val="mi-NZ"/>
        </w:rPr>
        <w:t xml:space="preserve">Our results should provide both comfort and concern to end users of structural ageing measures. The high correlations between the measures, and especially between our preferred RMSA measure and other measures, suggests that for the most part, the consequences of the choice of structural ageing measure are unlikely to be seriously negative. This will particularly be the case where the numerical value of the structural ageing measure, and not the relative ranking of the area, is the primary concern. For example, in quantitative applications, the use of median age or the proportion of the population aged 65 years and over, is unlikely to seriously bias </w:t>
      </w:r>
      <w:r w:rsidRPr="001A3FC7">
        <w:rPr>
          <w:lang w:val="mi-NZ"/>
        </w:rPr>
        <w:lastRenderedPageBreak/>
        <w:t>estimated model coefficients. However, the substantial disparity in ranking for some countries or areas between different measures of structural ageing could lead to serious misallocations of resources, particularly when those resources are targeted or allocated on the basis of a ranking on current or projected future levels of structural ageing. Policymakers could be misled to believe that particular areas are projected to age more rapidly than others based on the conventional measures of structural ageing, where that might not necessarily be the case based on an axiomatically-consistent measure. For example, this might have consequences for the quantity and quality of community-based and home-based aged care services (Hunter et al., 2019), the provision or rollout of ‘age-friendly’ infrastructure or services (O’Brien, 2014), or the priority attached to the development of ‘ageing-in-place’ strategies (Heumann and Boldy, 1993). Misallocation or mis-targeting of resources in these areas could have significant consequences on the future quality of life for older people</w:t>
      </w:r>
      <w:r>
        <w:rPr>
          <w:lang w:val="mi-NZ"/>
        </w:rPr>
        <w:t>.</w:t>
      </w:r>
    </w:p>
    <w:p w14:paraId="5EC76A55" w14:textId="77777777" w:rsidR="001A3FC7" w:rsidRDefault="001A3FC7" w:rsidP="00BA1FF4">
      <w:pPr>
        <w:spacing w:line="24" w:lineRule="atLeast"/>
        <w:jc w:val="both"/>
        <w:rPr>
          <w:lang w:val="mi-NZ"/>
        </w:rPr>
      </w:pPr>
    </w:p>
    <w:p w14:paraId="7F0BF97C" w14:textId="48FE12B3" w:rsidR="001A3FC7" w:rsidRDefault="001A3FC7" w:rsidP="00BA1FF4">
      <w:pPr>
        <w:spacing w:line="24" w:lineRule="atLeast"/>
        <w:ind w:firstLine="357"/>
        <w:jc w:val="both"/>
      </w:pPr>
      <w:r>
        <w:t xml:space="preserve">A key concern about many of the measures of structural ageing is that they are based on particular age thresholds, the thresholds are essentially arbitrary and based on historical ‘accidents’ (Costa, 1998), and the calculation of the measures is discontinuous at those thresholds (Lutz et al., 2008a; </w:t>
      </w:r>
      <w:proofErr w:type="spellStart"/>
      <w:r>
        <w:t>Spijker</w:t>
      </w:r>
      <w:proofErr w:type="spellEnd"/>
      <w:r>
        <w:t xml:space="preserve">, 2015). This applies even to recently proposed measures that share inspiration from the analysis of income distributions, such as the optimal grouping approach based on Lorenz Curves proposed by </w:t>
      </w:r>
      <w:proofErr w:type="spellStart"/>
      <w:r>
        <w:t>D’Albis</w:t>
      </w:r>
      <w:proofErr w:type="spellEnd"/>
      <w:r>
        <w:t xml:space="preserve"> and Collard (2013). This leads to structural ageing measures that ignore parts of the age distribution in their calculation (which is why those measures do not satisfy one or more of our proposed axioms). Our preferred axiomatically-consistent class of structural ageing indices ensure that differences at any point in the age distribution are adequately accounted for, and especially differences in the upper tail of the age distribution, which are most consequential in terms of their resource implications for policymakers and other decision-makers.</w:t>
      </w:r>
    </w:p>
    <w:p w14:paraId="562046C0" w14:textId="77777777" w:rsidR="001A3FC7" w:rsidRDefault="001A3FC7" w:rsidP="00BA1FF4">
      <w:pPr>
        <w:spacing w:line="24" w:lineRule="atLeast"/>
        <w:ind w:firstLine="357"/>
        <w:jc w:val="both"/>
      </w:pPr>
    </w:p>
    <w:p w14:paraId="096F17D1" w14:textId="5715C820" w:rsidR="001A3FC7" w:rsidRDefault="001A3FC7" w:rsidP="00BA1FF4">
      <w:pPr>
        <w:spacing w:line="24" w:lineRule="atLeast"/>
        <w:ind w:firstLine="357"/>
        <w:jc w:val="both"/>
      </w:pPr>
      <w:r>
        <w:t>However, the optimal degree of age sensitivity built into the measure is one aspect that we have not explored in this paper. For simplicity, we employed α=2, leading to the RMSA measure. Alternative values of α may be desirable in different applications, and different decision-makers, with different preferences or use cases, may exhibit different degrees of age sensitivity. We leave further exploration of the optimal degree of age sensitivity in different applications for future research.</w:t>
      </w:r>
    </w:p>
    <w:p w14:paraId="79AB61D7" w14:textId="77777777" w:rsidR="001A3FC7" w:rsidRDefault="001A3FC7" w:rsidP="00BA1FF4">
      <w:pPr>
        <w:spacing w:line="24" w:lineRule="atLeast"/>
        <w:ind w:firstLine="357"/>
        <w:jc w:val="both"/>
      </w:pPr>
    </w:p>
    <w:p w14:paraId="05F15385" w14:textId="48F9FD9E" w:rsidR="001A3FC7" w:rsidRDefault="001A3FC7" w:rsidP="00BA1FF4">
      <w:pPr>
        <w:spacing w:line="24" w:lineRule="atLeast"/>
        <w:ind w:firstLine="357"/>
        <w:jc w:val="both"/>
      </w:pPr>
      <w:r>
        <w:t xml:space="preserve">There have been two under-appreciated developments in the measurement of ageing that have increasingly gained prominence in recent years. The first is a proposal to reverse the measurement of ageing from the number of years of life completed to the number of years of life remaining, which dates to Ryder (1975). These ‘prospective ageing measures’ (Sanderson and </w:t>
      </w:r>
      <w:proofErr w:type="spellStart"/>
      <w:r>
        <w:t>Scherbov</w:t>
      </w:r>
      <w:proofErr w:type="spellEnd"/>
      <w:r>
        <w:t xml:space="preserve">, 2007) offer the advantage of better capturing population ageing in a context of an increasing number of years of healthy life, whereby chronological age fails to capture changes in the physical and mental capacities of older people that relate to their health over the entire life course, as well as important implications in relation to social security and health expenditures (Fuchs, 1984; </w:t>
      </w:r>
      <w:proofErr w:type="spellStart"/>
      <w:r>
        <w:t>Shoven</w:t>
      </w:r>
      <w:proofErr w:type="spellEnd"/>
      <w:r>
        <w:t>, 2007). However, they have been subject to criticism due to uncertainty in life expectancy and sensitivity to proportional rescaling (</w:t>
      </w:r>
      <w:proofErr w:type="spellStart"/>
      <w:r>
        <w:t>D’Albis</w:t>
      </w:r>
      <w:proofErr w:type="spellEnd"/>
      <w:r>
        <w:t xml:space="preserve"> and Collard, 2013). The second and related development is a change in focus in the field of health from measuring ‘chronological ageing’ in terms of completed years since birth, to ‘functional ageing’, which incorporates physical or cognitive functioning, and better captures the ability of older people to engage in activities of daily living (</w:t>
      </w:r>
      <w:proofErr w:type="spellStart"/>
      <w:r>
        <w:t>Guralnik</w:t>
      </w:r>
      <w:proofErr w:type="spellEnd"/>
      <w:r>
        <w:t xml:space="preserve"> and Melzer, 2002; </w:t>
      </w:r>
      <w:proofErr w:type="spellStart"/>
      <w:r>
        <w:t>Skirbekk</w:t>
      </w:r>
      <w:proofErr w:type="spellEnd"/>
      <w:r>
        <w:t xml:space="preserve"> et al., 2019). Aligned to this is the concept of active life expectancy or healthy life expectancy (Katz et al., 1983; </w:t>
      </w:r>
      <w:proofErr w:type="spellStart"/>
      <w:r>
        <w:t>Robine</w:t>
      </w:r>
      <w:proofErr w:type="spellEnd"/>
      <w:r>
        <w:t xml:space="preserve"> and Ritchie, 1991), disability-free life expectancy (Sanderson and </w:t>
      </w:r>
      <w:proofErr w:type="spellStart"/>
      <w:r>
        <w:t>Scherbov</w:t>
      </w:r>
      <w:proofErr w:type="spellEnd"/>
      <w:r>
        <w:t xml:space="preserve">, 2010; Manton and Gu, 2001) and more recently to ageing measures based on α-ages, </w:t>
      </w:r>
      <w:r>
        <w:lastRenderedPageBreak/>
        <w:t xml:space="preserve">which can be computed from characteristics of the population, such as remaining healthy life expectancy (e.g. see Sanderson and </w:t>
      </w:r>
      <w:proofErr w:type="spellStart"/>
      <w:r>
        <w:t>Scherbov</w:t>
      </w:r>
      <w:proofErr w:type="spellEnd"/>
      <w:r>
        <w:t>, 2013; Sanderson et al., 2016), and measures based on cognitive ageing (</w:t>
      </w:r>
      <w:proofErr w:type="spellStart"/>
      <w:r>
        <w:t>Skirbekk</w:t>
      </w:r>
      <w:proofErr w:type="spellEnd"/>
      <w:r>
        <w:t xml:space="preserve"> et al., 2011) or biological aging (</w:t>
      </w:r>
      <w:proofErr w:type="spellStart"/>
      <w:r>
        <w:t>Skirbekk</w:t>
      </w:r>
      <w:proofErr w:type="spellEnd"/>
      <w:r>
        <w:t xml:space="preserve"> et al., 2019).</w:t>
      </w:r>
    </w:p>
    <w:p w14:paraId="3983685F" w14:textId="77777777" w:rsidR="001A3FC7" w:rsidRDefault="001A3FC7" w:rsidP="00BA1FF4">
      <w:pPr>
        <w:spacing w:line="24" w:lineRule="atLeast"/>
        <w:ind w:firstLine="357"/>
        <w:jc w:val="both"/>
      </w:pPr>
    </w:p>
    <w:p w14:paraId="161DB756" w14:textId="5D6819AB" w:rsidR="001A3FC7" w:rsidRDefault="001A3FC7" w:rsidP="00BA1FF4">
      <w:pPr>
        <w:spacing w:line="24" w:lineRule="atLeast"/>
        <w:ind w:firstLine="357"/>
        <w:jc w:val="both"/>
      </w:pPr>
      <w:r>
        <w:t xml:space="preserve">To date, prospective ageing measures have been rarely applied. Sanderson and </w:t>
      </w:r>
      <w:proofErr w:type="spellStart"/>
      <w:r>
        <w:t>Scherbov</w:t>
      </w:r>
      <w:proofErr w:type="spellEnd"/>
      <w:r>
        <w:t xml:space="preserve"> (2005) apply the concept of the </w:t>
      </w:r>
      <w:proofErr w:type="spellStart"/>
      <w:r>
        <w:t>standardised</w:t>
      </w:r>
      <w:proofErr w:type="spellEnd"/>
      <w:r>
        <w:t xml:space="preserve"> median age – the median number of expected years of remaining life. Sanderson and </w:t>
      </w:r>
      <w:proofErr w:type="spellStart"/>
      <w:r>
        <w:t>Scherbov</w:t>
      </w:r>
      <w:proofErr w:type="spellEnd"/>
      <w:r>
        <w:t xml:space="preserve"> (2007) applied the </w:t>
      </w:r>
      <w:proofErr w:type="spellStart"/>
      <w:r>
        <w:t>standardised</w:t>
      </w:r>
      <w:proofErr w:type="spellEnd"/>
      <w:r>
        <w:t xml:space="preserve"> median age (which they now termed prospective median age), along with the prospective old age dependency ratio – the ratio of the number of people at a ‘prospective age’ of 65 years or older to the number of people aged between 20 years and the ‘prospective age’ of 65 years. Similarly, Sanderson and </w:t>
      </w:r>
      <w:proofErr w:type="spellStart"/>
      <w:r>
        <w:t>Scherbov</w:t>
      </w:r>
      <w:proofErr w:type="spellEnd"/>
      <w:r>
        <w:t xml:space="preserve"> (2008) computed a measure of the proportion of the population with 15 years or less of remaining life expectancy as a prospective ageing measure (see also </w:t>
      </w:r>
      <w:proofErr w:type="spellStart"/>
      <w:r>
        <w:t>Spijker</w:t>
      </w:r>
      <w:proofErr w:type="spellEnd"/>
      <w:r>
        <w:t xml:space="preserve"> and MacInnes, 2013; </w:t>
      </w:r>
      <w:proofErr w:type="spellStart"/>
      <w:r>
        <w:t>Spijker</w:t>
      </w:r>
      <w:proofErr w:type="spellEnd"/>
      <w:r>
        <w:t xml:space="preserve"> et al., 2014; </w:t>
      </w:r>
      <w:proofErr w:type="spellStart"/>
      <w:r>
        <w:t>Scherbov</w:t>
      </w:r>
      <w:proofErr w:type="spellEnd"/>
      <w:r>
        <w:t xml:space="preserve"> et al., 2016; Sanderson et al., 2017; </w:t>
      </w:r>
      <w:proofErr w:type="spellStart"/>
      <w:r>
        <w:t>Gietel-Basten</w:t>
      </w:r>
      <w:proofErr w:type="spellEnd"/>
      <w:r>
        <w:t xml:space="preserve"> and </w:t>
      </w:r>
      <w:proofErr w:type="spellStart"/>
      <w:r>
        <w:t>Scherbov</w:t>
      </w:r>
      <w:proofErr w:type="spellEnd"/>
      <w:r>
        <w:t>, 2019). When a threshold or median is employed in these measures, even where that threshold changes over time to account for increasing life expectancy, they will generally fail to satisfy the weak dominance axiom, just as their chronological age equivalents do. However, in principle there is no reason why the mean number of years of life remaining could not be employed, which would meet all of the axioms other than age sensitivity, or indeed the broader class of structural ageing indices that we have introduced in this paper could easily be extended to the measurement of prospective ageing. The combination of these two approaches would be a welcome advance, leveraging the theoretical advantages of both. We leave this as a fruitful avenue for future work in this area.</w:t>
      </w:r>
    </w:p>
    <w:p w14:paraId="7DAD8F08" w14:textId="77777777" w:rsidR="001A3FC7" w:rsidRDefault="001A3FC7" w:rsidP="00BA1FF4">
      <w:pPr>
        <w:spacing w:line="24" w:lineRule="atLeast"/>
        <w:ind w:firstLine="357"/>
        <w:jc w:val="both"/>
      </w:pPr>
    </w:p>
    <w:p w14:paraId="0D0F238E" w14:textId="1F211236" w:rsidR="001A3FC7" w:rsidRDefault="001A3FC7" w:rsidP="00BA1FF4">
      <w:pPr>
        <w:spacing w:line="24" w:lineRule="atLeast"/>
        <w:ind w:firstLine="357"/>
        <w:jc w:val="both"/>
      </w:pPr>
      <w:r>
        <w:t>We based our class of indices of structural ageing on four underlying axioms – population size invariance, strong dominance, weak dominance, and age sensitivity – along with easy interpretability. By construction, our class of indices meets the four axioms, and because the indices are similar in size to the median age and mean age (which is itself a special case of our broader class of measures), we expect that they share the property of easy interpretability (unlike the index developed by Chu (1997) based on a similar set of axioms). However, our proposed axioms are not the only properties that end users may desire in a theoretically valid measure of structural ageing. Group-wise additivity or decomposability may also be desirable, whereby the measure of structural ageing for the population as a whole is a weighted sum of the measures for important population subgroups (such as male/female, or regions within a country). Our class of structural ageing indices is not decomposable in this way. There exist many other concave functions of age that would satisfy the four axioms (including age sensitivity) and be decomposable. However, those alternatives are not as readily interpretable as our indices, and thus it may be difficult to encourage their use among policymakers and other decision-makers. Further exploration of these issues is desirable.</w:t>
      </w:r>
    </w:p>
    <w:p w14:paraId="52C45B3C" w14:textId="77777777" w:rsidR="001A3FC7" w:rsidRDefault="001A3FC7" w:rsidP="00BA1FF4">
      <w:pPr>
        <w:spacing w:line="24" w:lineRule="atLeast"/>
        <w:ind w:firstLine="357"/>
        <w:jc w:val="both"/>
      </w:pPr>
    </w:p>
    <w:p w14:paraId="23471F9D" w14:textId="18D3B2BD" w:rsidR="001A3FC7" w:rsidRDefault="001A3FC7" w:rsidP="00BA1FF4">
      <w:pPr>
        <w:spacing w:line="24" w:lineRule="atLeast"/>
        <w:ind w:firstLine="357"/>
        <w:jc w:val="both"/>
        <w:rPr>
          <w:lang w:val="mi-NZ"/>
        </w:rPr>
      </w:pPr>
      <w:r>
        <w:t>The measurement of structural ageing is important, and as the global population ages, accurate and theoretically valid measurement will continue to increase in importance. We hope that our proposed class of axiomatically-consistent measures of structural ageing will contribute to advancing the state of measurement in this important area of research and policy.</w:t>
      </w:r>
    </w:p>
    <w:p w14:paraId="7A94909D" w14:textId="77777777" w:rsidR="001A3FC7" w:rsidRDefault="001A3FC7" w:rsidP="001A3FC7">
      <w:pPr>
        <w:spacing w:line="24" w:lineRule="atLeast"/>
        <w:ind w:firstLine="357"/>
        <w:jc w:val="both"/>
      </w:pPr>
    </w:p>
    <w:p w14:paraId="022A1301" w14:textId="77777777" w:rsidR="001A3FC7" w:rsidRDefault="001A3FC7" w:rsidP="007E596C">
      <w:pPr>
        <w:rPr>
          <w:b/>
          <w:bCs/>
          <w:lang w:val="mi-NZ"/>
        </w:rPr>
      </w:pPr>
    </w:p>
    <w:p w14:paraId="50EA3122" w14:textId="3A4B9F46" w:rsidR="007E596C" w:rsidRDefault="007E596C" w:rsidP="007E596C">
      <w:pPr>
        <w:rPr>
          <w:b/>
          <w:bCs/>
          <w:lang w:val="mi-NZ"/>
        </w:rPr>
      </w:pPr>
      <w:r>
        <w:rPr>
          <w:b/>
          <w:bCs/>
          <w:lang w:val="mi-NZ"/>
        </w:rPr>
        <w:br w:type="page"/>
      </w:r>
    </w:p>
    <w:p w14:paraId="62882640" w14:textId="77777777" w:rsidR="00E96F39" w:rsidRDefault="00E96F39" w:rsidP="007E596C">
      <w:pPr>
        <w:rPr>
          <w:b/>
          <w:bCs/>
          <w:lang w:val="mi-NZ"/>
        </w:rPr>
      </w:pPr>
    </w:p>
    <w:p w14:paraId="436BD00D" w14:textId="77777777" w:rsidR="007E596C" w:rsidRDefault="007E596C" w:rsidP="00057246">
      <w:pPr>
        <w:spacing w:line="288" w:lineRule="auto"/>
        <w:rPr>
          <w:b/>
          <w:bCs/>
          <w:lang w:val="mi-NZ"/>
        </w:rPr>
      </w:pPr>
      <w:r>
        <w:rPr>
          <w:b/>
          <w:bCs/>
          <w:lang w:val="mi-NZ"/>
        </w:rPr>
        <w:t>References</w:t>
      </w:r>
    </w:p>
    <w:p w14:paraId="660B35B0" w14:textId="77777777" w:rsidR="001A3FC7" w:rsidRDefault="001A3FC7" w:rsidP="001A3FC7">
      <w:pPr>
        <w:spacing w:line="288" w:lineRule="auto"/>
        <w:ind w:left="720" w:hanging="720"/>
        <w:rPr>
          <w:rFonts w:asciiTheme="majorBidi" w:hAnsiTheme="majorBidi" w:cstheme="majorBidi"/>
          <w:noProof/>
          <w:lang w:val="en-NZ" w:eastAsia="zh-CN"/>
        </w:rPr>
      </w:pPr>
      <w:r>
        <w:rPr>
          <w:rFonts w:asciiTheme="majorBidi" w:hAnsiTheme="majorBidi" w:cstheme="majorBidi"/>
          <w:noProof/>
        </w:rPr>
        <w:t xml:space="preserve">Blanchflower, D.G., and Oswald, A.J. (2008). Is well-being U-shaped over the life cycle? </w:t>
      </w:r>
      <w:r>
        <w:rPr>
          <w:rFonts w:asciiTheme="majorBidi" w:hAnsiTheme="majorBidi" w:cstheme="majorBidi"/>
          <w:i/>
          <w:iCs/>
          <w:noProof/>
        </w:rPr>
        <w:t>Social Science and Medicine</w:t>
      </w:r>
      <w:r>
        <w:rPr>
          <w:rFonts w:asciiTheme="majorBidi" w:hAnsiTheme="majorBidi" w:cstheme="majorBidi"/>
          <w:noProof/>
        </w:rPr>
        <w:t>, 66(8), 1733-1749.</w:t>
      </w:r>
    </w:p>
    <w:p w14:paraId="57179DB1"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Castellucci, F., Padula, M., and Pica, G. (2011). The age-productivity gradient: Evidence from a sample of F1 drivers. </w:t>
      </w:r>
      <w:r>
        <w:rPr>
          <w:rFonts w:asciiTheme="majorBidi" w:hAnsiTheme="majorBidi" w:cstheme="majorBidi"/>
          <w:i/>
          <w:iCs/>
          <w:noProof/>
        </w:rPr>
        <w:t>Labour Economics</w:t>
      </w:r>
      <w:r>
        <w:rPr>
          <w:rFonts w:asciiTheme="majorBidi" w:hAnsiTheme="majorBidi" w:cstheme="majorBidi"/>
          <w:noProof/>
        </w:rPr>
        <w:t>, 18, 464-473.</w:t>
      </w:r>
    </w:p>
    <w:p w14:paraId="400979B3"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Cheng, T.C., Powdthavee, N., and Oswald, A.J. (2017). Longitudinal evidence for a midlife nadir in human well-being: Results from four data sets. </w:t>
      </w:r>
      <w:r>
        <w:rPr>
          <w:rFonts w:asciiTheme="majorBidi" w:hAnsiTheme="majorBidi" w:cstheme="majorBidi"/>
          <w:i/>
          <w:iCs/>
          <w:noProof/>
        </w:rPr>
        <w:t>Economic Journal</w:t>
      </w:r>
      <w:r>
        <w:rPr>
          <w:rFonts w:asciiTheme="majorBidi" w:hAnsiTheme="majorBidi" w:cstheme="majorBidi"/>
          <w:noProof/>
        </w:rPr>
        <w:t>, 127, 126-142.</w:t>
      </w:r>
    </w:p>
    <w:p w14:paraId="468E9F2B"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Chu, C.Y.C. (1997). Age-distribution dynamics and aging indexes. </w:t>
      </w:r>
      <w:r>
        <w:rPr>
          <w:rFonts w:asciiTheme="majorBidi" w:hAnsiTheme="majorBidi" w:cstheme="majorBidi"/>
          <w:i/>
          <w:iCs/>
          <w:noProof/>
        </w:rPr>
        <w:t>Demography</w:t>
      </w:r>
      <w:r>
        <w:rPr>
          <w:rFonts w:asciiTheme="majorBidi" w:hAnsiTheme="majorBidi" w:cstheme="majorBidi"/>
          <w:noProof/>
        </w:rPr>
        <w:t>, 34(4), 551-563.</w:t>
      </w:r>
    </w:p>
    <w:p w14:paraId="687D17F9"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Costa, D.L. (1998). </w:t>
      </w:r>
      <w:r>
        <w:rPr>
          <w:rFonts w:asciiTheme="majorBidi" w:hAnsiTheme="majorBidi" w:cstheme="majorBidi"/>
          <w:i/>
          <w:iCs/>
          <w:noProof/>
        </w:rPr>
        <w:t>The evolution of retirement: An American economic history, 1880–1990</w:t>
      </w:r>
      <w:r>
        <w:rPr>
          <w:rFonts w:asciiTheme="majorBidi" w:hAnsiTheme="majorBidi" w:cstheme="majorBidi"/>
          <w:noProof/>
        </w:rPr>
        <w:t>. Chicago, IL: University of Chicago Press.</w:t>
      </w:r>
    </w:p>
    <w:p w14:paraId="220DA61E"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Di Tella, R., MacCulloch, R.J., and Oswald, A.J. (2003). The macroeconomics of happiness. </w:t>
      </w:r>
      <w:r>
        <w:rPr>
          <w:rFonts w:asciiTheme="majorBidi" w:hAnsiTheme="majorBidi" w:cstheme="majorBidi"/>
          <w:i/>
          <w:iCs/>
          <w:noProof/>
        </w:rPr>
        <w:t>Review of Economics and Statistics</w:t>
      </w:r>
      <w:r>
        <w:rPr>
          <w:rFonts w:asciiTheme="majorBidi" w:hAnsiTheme="majorBidi" w:cstheme="majorBidi"/>
          <w:noProof/>
        </w:rPr>
        <w:t>, 85(4), 809-827.</w:t>
      </w:r>
    </w:p>
    <w:p w14:paraId="00AA8DA4"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Easterlin, R. (1980). </w:t>
      </w:r>
      <w:r>
        <w:rPr>
          <w:rFonts w:asciiTheme="majorBidi" w:hAnsiTheme="majorBidi" w:cstheme="majorBidi"/>
          <w:i/>
          <w:iCs/>
          <w:noProof/>
        </w:rPr>
        <w:t>Birth and Fortune: The Impact of Numbers on Personal Welfare</w:t>
      </w:r>
      <w:r>
        <w:rPr>
          <w:rFonts w:asciiTheme="majorBidi" w:hAnsiTheme="majorBidi" w:cstheme="majorBidi"/>
          <w:noProof/>
        </w:rPr>
        <w:t>. New York: Basic Books.</w:t>
      </w:r>
    </w:p>
    <w:p w14:paraId="2A087DA8"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Foster, J., Greer, J., and Thorbecke, E. (1984). A class of decomposable poverty measures. </w:t>
      </w:r>
      <w:r>
        <w:rPr>
          <w:rFonts w:asciiTheme="majorBidi" w:hAnsiTheme="majorBidi" w:cstheme="majorBidi"/>
          <w:i/>
          <w:iCs/>
          <w:noProof/>
        </w:rPr>
        <w:t>Econometrica</w:t>
      </w:r>
      <w:r>
        <w:rPr>
          <w:rFonts w:asciiTheme="majorBidi" w:hAnsiTheme="majorBidi" w:cstheme="majorBidi"/>
          <w:noProof/>
        </w:rPr>
        <w:t>, 52(3), 761-766.</w:t>
      </w:r>
    </w:p>
    <w:p w14:paraId="22C96EE6"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Fuchs, V.R. (1984). ‘Though much is taken’: Reflections on aging, health, and medical care. </w:t>
      </w:r>
      <w:r>
        <w:rPr>
          <w:rFonts w:asciiTheme="majorBidi" w:hAnsiTheme="majorBidi" w:cstheme="majorBidi"/>
          <w:i/>
          <w:iCs/>
          <w:noProof/>
        </w:rPr>
        <w:t>Milbank Memorial Fund Quarterly: Health and Society</w:t>
      </w:r>
      <w:r>
        <w:rPr>
          <w:rFonts w:asciiTheme="majorBidi" w:hAnsiTheme="majorBidi" w:cstheme="majorBidi"/>
          <w:noProof/>
        </w:rPr>
        <w:t>, 62(2), 142-166.</w:t>
      </w:r>
    </w:p>
    <w:p w14:paraId="24B03CDE"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Gavrilov, L.A., and Heuveline, P. (2003). Aging of population. In P. Demeny and G. McNicoll (Eds.). </w:t>
      </w:r>
      <w:r>
        <w:rPr>
          <w:rFonts w:asciiTheme="majorBidi" w:hAnsiTheme="majorBidi" w:cstheme="majorBidi"/>
          <w:i/>
          <w:iCs/>
          <w:noProof/>
        </w:rPr>
        <w:t>The Encyclopedia of Population, Volume 1</w:t>
      </w:r>
      <w:r>
        <w:rPr>
          <w:rFonts w:asciiTheme="majorBidi" w:hAnsiTheme="majorBidi" w:cstheme="majorBidi"/>
          <w:noProof/>
        </w:rPr>
        <w:t>. New York: Macmillan Reference, pp. 32-37.</w:t>
      </w:r>
    </w:p>
    <w:p w14:paraId="181BE189"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Gietel-Basten, S., and Scherbov, S. (2019). Better way to measure ageing in Oceania that takes life expectancy into account. </w:t>
      </w:r>
      <w:r>
        <w:rPr>
          <w:rFonts w:asciiTheme="majorBidi" w:hAnsiTheme="majorBidi" w:cstheme="majorBidi"/>
          <w:i/>
          <w:iCs/>
          <w:noProof/>
        </w:rPr>
        <w:t>Australasian Journal on Ageing</w:t>
      </w:r>
      <w:r>
        <w:rPr>
          <w:rFonts w:asciiTheme="majorBidi" w:hAnsiTheme="majorBidi" w:cstheme="majorBidi"/>
          <w:noProof/>
        </w:rPr>
        <w:t>, 38, e98–e102.</w:t>
      </w:r>
    </w:p>
    <w:p w14:paraId="00A80E8A"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Guralnik, J.M., and Melzer, D. (2002). </w:t>
      </w:r>
      <w:r>
        <w:rPr>
          <w:rFonts w:asciiTheme="majorBidi" w:hAnsiTheme="majorBidi" w:cstheme="majorBidi"/>
          <w:i/>
          <w:iCs/>
          <w:noProof/>
        </w:rPr>
        <w:t>Chronological and functional ageing</w:t>
      </w:r>
      <w:r>
        <w:rPr>
          <w:rFonts w:asciiTheme="majorBidi" w:hAnsiTheme="majorBidi" w:cstheme="majorBidi"/>
          <w:noProof/>
        </w:rPr>
        <w:t>. In J R.M. Copeland, M.T. Abou-Saleh, and D.G. Blazer (Eds.). Principles and practice of geriatric psychiatry (2</w:t>
      </w:r>
      <w:r>
        <w:rPr>
          <w:rFonts w:asciiTheme="majorBidi" w:hAnsiTheme="majorBidi" w:cstheme="majorBidi"/>
          <w:noProof/>
          <w:vertAlign w:val="superscript"/>
        </w:rPr>
        <w:t>nd</w:t>
      </w:r>
      <w:r>
        <w:rPr>
          <w:rFonts w:asciiTheme="majorBidi" w:hAnsiTheme="majorBidi" w:cstheme="majorBidi"/>
          <w:noProof/>
        </w:rPr>
        <w:t xml:space="preserve"> ed.) Chichester, UK: Wiley, pp. 71-74.</w:t>
      </w:r>
    </w:p>
    <w:p w14:paraId="4A428415"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Heumann, L.F., and Boldy, D.P. (Eds). (1993). </w:t>
      </w:r>
      <w:r>
        <w:rPr>
          <w:rFonts w:asciiTheme="majorBidi" w:hAnsiTheme="majorBidi" w:cstheme="majorBidi"/>
          <w:i/>
          <w:iCs/>
          <w:noProof/>
        </w:rPr>
        <w:t>Aging in place with dignity: international solutions relating to the low-income and frail elderly</w:t>
      </w:r>
      <w:r>
        <w:rPr>
          <w:rFonts w:asciiTheme="majorBidi" w:hAnsiTheme="majorBidi" w:cstheme="majorBidi"/>
          <w:noProof/>
        </w:rPr>
        <w:t>. Westport: Praeger Publishers.</w:t>
      </w:r>
    </w:p>
    <w:p w14:paraId="74D207CF"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Hunter, N., Wells, Y., Clune, S., Ayala Quintanilla, B., and Johnstone, E. (2019). Choice and quality in homebased and community-based aged care: insights from two rapid evidence reviews. Ageing and Society, 41(4), 875-916. </w:t>
      </w:r>
    </w:p>
    <w:p w14:paraId="38828CA8"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Jackson, N.O. (2007). Population ageing in a nutshell: A phenomenon in four dimensions. </w:t>
      </w:r>
      <w:r>
        <w:rPr>
          <w:rFonts w:asciiTheme="majorBidi" w:hAnsiTheme="majorBidi" w:cstheme="majorBidi"/>
          <w:i/>
          <w:iCs/>
          <w:noProof/>
        </w:rPr>
        <w:t>People and Place</w:t>
      </w:r>
      <w:r>
        <w:rPr>
          <w:rFonts w:asciiTheme="majorBidi" w:hAnsiTheme="majorBidi" w:cstheme="majorBidi"/>
          <w:noProof/>
        </w:rPr>
        <w:t>, 15(2), 12–21.</w:t>
      </w:r>
    </w:p>
    <w:p w14:paraId="035AD7A3"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Katz, S., Branch, L.G., Branson, M.H., Papsidero, I.A., Beck, J.C., and Greer, D.S. (1983). Active life expectancy. </w:t>
      </w:r>
      <w:r>
        <w:rPr>
          <w:rFonts w:asciiTheme="majorBidi" w:hAnsiTheme="majorBidi" w:cstheme="majorBidi"/>
          <w:i/>
          <w:iCs/>
          <w:noProof/>
        </w:rPr>
        <w:t>New England Journal of Medicine</w:t>
      </w:r>
      <w:r>
        <w:rPr>
          <w:rFonts w:asciiTheme="majorBidi" w:hAnsiTheme="majorBidi" w:cstheme="majorBidi"/>
          <w:noProof/>
        </w:rPr>
        <w:t>, 309(20), 1218-1224.</w:t>
      </w:r>
    </w:p>
    <w:p w14:paraId="4F0F2A15"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Kurek, S. (2007). Population ageing research from a geographical perspective – Methodological approach. </w:t>
      </w:r>
      <w:r>
        <w:rPr>
          <w:rFonts w:asciiTheme="majorBidi" w:hAnsiTheme="majorBidi" w:cstheme="majorBidi"/>
          <w:i/>
          <w:iCs/>
          <w:noProof/>
        </w:rPr>
        <w:t>Bulletin of Geography (Socio-Economic Series)</w:t>
      </w:r>
      <w:r>
        <w:rPr>
          <w:rFonts w:asciiTheme="majorBidi" w:hAnsiTheme="majorBidi" w:cstheme="majorBidi"/>
          <w:noProof/>
        </w:rPr>
        <w:t>, 8, 29-49.</w:t>
      </w:r>
    </w:p>
    <w:p w14:paraId="13CE455E"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Lutz, W., Sanderson, W., and Scherbov, S. (2008a). Global and regional population ageing: How certain are we of its dimensions? </w:t>
      </w:r>
      <w:r>
        <w:rPr>
          <w:rFonts w:asciiTheme="majorBidi" w:hAnsiTheme="majorBidi" w:cstheme="majorBidi"/>
          <w:i/>
          <w:iCs/>
          <w:noProof/>
        </w:rPr>
        <w:t>Journal of Population Ageing</w:t>
      </w:r>
      <w:r>
        <w:rPr>
          <w:rFonts w:asciiTheme="majorBidi" w:hAnsiTheme="majorBidi" w:cstheme="majorBidi"/>
          <w:noProof/>
        </w:rPr>
        <w:t>, 1(1), 75-97.</w:t>
      </w:r>
    </w:p>
    <w:p w14:paraId="6B47E38A"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lastRenderedPageBreak/>
        <w:t xml:space="preserve">Lutz, W., Sanderson, W., and Scherbov, S. (2008b). The coming acceleration of global population ageing. </w:t>
      </w:r>
      <w:r>
        <w:rPr>
          <w:rFonts w:asciiTheme="majorBidi" w:hAnsiTheme="majorBidi" w:cstheme="majorBidi"/>
          <w:i/>
          <w:iCs/>
          <w:noProof/>
        </w:rPr>
        <w:t>Nature</w:t>
      </w:r>
      <w:r>
        <w:rPr>
          <w:rFonts w:asciiTheme="majorBidi" w:hAnsiTheme="majorBidi" w:cstheme="majorBidi"/>
          <w:noProof/>
        </w:rPr>
        <w:t>, 451(7179), 716-719.</w:t>
      </w:r>
    </w:p>
    <w:p w14:paraId="3FF10E68"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Manton, K.G.,  and Gu, X. (2001). Changes in the prevalence of chronic disability in the United States black and nonblack population above age 65 from 1982 to 1999. </w:t>
      </w:r>
      <w:r>
        <w:rPr>
          <w:rFonts w:asciiTheme="majorBidi" w:hAnsiTheme="majorBidi" w:cstheme="majorBidi"/>
          <w:i/>
          <w:iCs/>
          <w:noProof/>
        </w:rPr>
        <w:t>Proceedings of the National Academy of Sciences</w:t>
      </w:r>
      <w:r>
        <w:rPr>
          <w:rFonts w:asciiTheme="majorBidi" w:hAnsiTheme="majorBidi" w:cstheme="majorBidi"/>
          <w:noProof/>
        </w:rPr>
        <w:t>, 98, 6354-6359.</w:t>
      </w:r>
    </w:p>
    <w:p w14:paraId="1DC28D91"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Morgan, D.L. (1998). Facts and figures about the baby boom. </w:t>
      </w:r>
      <w:r>
        <w:rPr>
          <w:rFonts w:asciiTheme="majorBidi" w:hAnsiTheme="majorBidi" w:cstheme="majorBidi"/>
          <w:i/>
          <w:iCs/>
          <w:noProof/>
        </w:rPr>
        <w:t>Generations</w:t>
      </w:r>
      <w:r>
        <w:rPr>
          <w:rFonts w:asciiTheme="majorBidi" w:hAnsiTheme="majorBidi" w:cstheme="majorBidi"/>
          <w:noProof/>
        </w:rPr>
        <w:t>, 22, 10-15.</w:t>
      </w:r>
    </w:p>
    <w:p w14:paraId="4BBDA8BA"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Nath, D. and Islam, M. (2009). New indices: An application of measuring the aging process of some asian countries with special reference to bangladesh. </w:t>
      </w:r>
      <w:r>
        <w:rPr>
          <w:rFonts w:asciiTheme="majorBidi" w:hAnsiTheme="majorBidi" w:cstheme="majorBidi"/>
          <w:i/>
          <w:iCs/>
          <w:noProof/>
        </w:rPr>
        <w:t>Journal of Population Ageing</w:t>
      </w:r>
      <w:r>
        <w:rPr>
          <w:rFonts w:asciiTheme="majorBidi" w:hAnsiTheme="majorBidi" w:cstheme="majorBidi"/>
          <w:noProof/>
        </w:rPr>
        <w:t>, 2(1–2), 23-39.</w:t>
      </w:r>
    </w:p>
    <w:p w14:paraId="45FEB220"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O’Brien, E. (2014). Planning for population ageing: Ensuring enabling and supportive physical-social environments – Local infrastructure challenges. </w:t>
      </w:r>
      <w:r>
        <w:rPr>
          <w:rFonts w:asciiTheme="majorBidi" w:hAnsiTheme="majorBidi" w:cstheme="majorBidi"/>
          <w:i/>
          <w:iCs/>
          <w:noProof/>
        </w:rPr>
        <w:t>Planning Theory &amp; Practice</w:t>
      </w:r>
      <w:r>
        <w:rPr>
          <w:rFonts w:asciiTheme="majorBidi" w:hAnsiTheme="majorBidi" w:cstheme="majorBidi"/>
          <w:noProof/>
        </w:rPr>
        <w:t xml:space="preserve">, 15(2), 220-234. </w:t>
      </w:r>
    </w:p>
    <w:p w14:paraId="57044533"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Oster, S.M., and Hamermesh, D.S. (1998). Aging and productivity among economists. </w:t>
      </w:r>
      <w:r>
        <w:rPr>
          <w:rFonts w:asciiTheme="majorBidi" w:hAnsiTheme="majorBidi" w:cstheme="majorBidi"/>
          <w:i/>
          <w:iCs/>
          <w:noProof/>
        </w:rPr>
        <w:t>Review of Economics and Statistics</w:t>
      </w:r>
      <w:r>
        <w:rPr>
          <w:rFonts w:asciiTheme="majorBidi" w:hAnsiTheme="majorBidi" w:cstheme="majorBidi"/>
          <w:noProof/>
        </w:rPr>
        <w:t>, 80(1), 154-156.</w:t>
      </w:r>
    </w:p>
    <w:p w14:paraId="59DF8B9E"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Pool, I., Wong, L.R., and Vilquin, E. (Eds.). (2006). </w:t>
      </w:r>
      <w:r>
        <w:rPr>
          <w:rFonts w:asciiTheme="majorBidi" w:hAnsiTheme="majorBidi" w:cstheme="majorBidi"/>
          <w:i/>
          <w:iCs/>
          <w:noProof/>
        </w:rPr>
        <w:t>Age-structural Transitions: Challenges for Development</w:t>
      </w:r>
      <w:r>
        <w:rPr>
          <w:rFonts w:asciiTheme="majorBidi" w:hAnsiTheme="majorBidi" w:cstheme="majorBidi"/>
          <w:noProof/>
        </w:rPr>
        <w:t>. Paris: CICRED.</w:t>
      </w:r>
    </w:p>
    <w:p w14:paraId="6FFC2149"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Robine, J M., and Ritchie, K. (1991). Healthy life expectancy: Evaluation of global indicator of change in population health. </w:t>
      </w:r>
      <w:r>
        <w:rPr>
          <w:rFonts w:asciiTheme="majorBidi" w:hAnsiTheme="majorBidi" w:cstheme="majorBidi"/>
          <w:i/>
          <w:iCs/>
          <w:noProof/>
        </w:rPr>
        <w:t>British Medical Journal</w:t>
      </w:r>
      <w:r>
        <w:rPr>
          <w:rFonts w:asciiTheme="majorBidi" w:hAnsiTheme="majorBidi" w:cstheme="majorBidi"/>
          <w:noProof/>
        </w:rPr>
        <w:t>, 302, 457-460.</w:t>
      </w:r>
    </w:p>
    <w:p w14:paraId="3695D525"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Ryder, N.B. (1975). Notes on stationary populations. </w:t>
      </w:r>
      <w:r>
        <w:rPr>
          <w:rFonts w:asciiTheme="majorBidi" w:hAnsiTheme="majorBidi" w:cstheme="majorBidi"/>
          <w:i/>
          <w:iCs/>
          <w:noProof/>
        </w:rPr>
        <w:t>Population Index</w:t>
      </w:r>
      <w:r>
        <w:rPr>
          <w:rFonts w:asciiTheme="majorBidi" w:hAnsiTheme="majorBidi" w:cstheme="majorBidi"/>
          <w:noProof/>
        </w:rPr>
        <w:t>, 41(1), 3-28.</w:t>
      </w:r>
    </w:p>
    <w:p w14:paraId="2D1ECE60"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and Scherbov, S. (2005). Average remaining lifetimes can increase as human populations age. </w:t>
      </w:r>
      <w:r>
        <w:rPr>
          <w:rFonts w:asciiTheme="majorBidi" w:hAnsiTheme="majorBidi" w:cstheme="majorBidi"/>
          <w:i/>
          <w:iCs/>
          <w:noProof/>
        </w:rPr>
        <w:t>Nature</w:t>
      </w:r>
      <w:r>
        <w:rPr>
          <w:rFonts w:asciiTheme="majorBidi" w:hAnsiTheme="majorBidi" w:cstheme="majorBidi"/>
          <w:noProof/>
        </w:rPr>
        <w:t>, 435, 811-813.</w:t>
      </w:r>
    </w:p>
    <w:p w14:paraId="11DFFBDD"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and Scherbov, S. (2007). A new perspective on population aging. </w:t>
      </w:r>
      <w:r>
        <w:rPr>
          <w:rFonts w:asciiTheme="majorBidi" w:hAnsiTheme="majorBidi" w:cstheme="majorBidi"/>
          <w:i/>
          <w:iCs/>
          <w:noProof/>
        </w:rPr>
        <w:t>Demographic Research</w:t>
      </w:r>
      <w:r>
        <w:rPr>
          <w:rFonts w:asciiTheme="majorBidi" w:hAnsiTheme="majorBidi" w:cstheme="majorBidi"/>
          <w:noProof/>
        </w:rPr>
        <w:t>, 16(2), 27-58.</w:t>
      </w:r>
    </w:p>
    <w:p w14:paraId="58CE0F98"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and Scherbov, S. (2008). Rethinking age and aging. </w:t>
      </w:r>
      <w:r>
        <w:rPr>
          <w:rFonts w:asciiTheme="majorBidi" w:hAnsiTheme="majorBidi" w:cstheme="majorBidi"/>
          <w:i/>
          <w:iCs/>
          <w:noProof/>
        </w:rPr>
        <w:t>Population Bulletin</w:t>
      </w:r>
      <w:r>
        <w:rPr>
          <w:rFonts w:asciiTheme="majorBidi" w:hAnsiTheme="majorBidi" w:cstheme="majorBidi"/>
          <w:noProof/>
        </w:rPr>
        <w:t>, 63(4), 3-16.</w:t>
      </w:r>
    </w:p>
    <w:p w14:paraId="743930E7"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and Scherbov, S. (2010). Remeasuring aging. </w:t>
      </w:r>
      <w:r>
        <w:rPr>
          <w:rFonts w:asciiTheme="majorBidi" w:hAnsiTheme="majorBidi" w:cstheme="majorBidi"/>
          <w:i/>
          <w:iCs/>
          <w:noProof/>
        </w:rPr>
        <w:t>Science</w:t>
      </w:r>
      <w:r>
        <w:rPr>
          <w:rFonts w:asciiTheme="majorBidi" w:hAnsiTheme="majorBidi" w:cstheme="majorBidi"/>
          <w:noProof/>
        </w:rPr>
        <w:t>, 329 (5997), 1287-1288.</w:t>
      </w:r>
    </w:p>
    <w:p w14:paraId="51160354"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and Scherbov, S. (2013). The characteristics approach to the measurement of population aging. </w:t>
      </w:r>
      <w:r>
        <w:rPr>
          <w:rFonts w:asciiTheme="majorBidi" w:hAnsiTheme="majorBidi" w:cstheme="majorBidi"/>
          <w:i/>
          <w:iCs/>
          <w:noProof/>
        </w:rPr>
        <w:t>Population and Development Review</w:t>
      </w:r>
      <w:r>
        <w:rPr>
          <w:rFonts w:asciiTheme="majorBidi" w:hAnsiTheme="majorBidi" w:cstheme="majorBidi"/>
          <w:noProof/>
        </w:rPr>
        <w:t>, 39(4), 673-685.</w:t>
      </w:r>
    </w:p>
    <w:p w14:paraId="548A9FA1"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 Scherbov, S., and Andruchowitz, S. (2016). Analyzing population aging from a new perspective, </w:t>
      </w:r>
      <w:r>
        <w:rPr>
          <w:rFonts w:asciiTheme="majorBidi" w:hAnsiTheme="majorBidi" w:cstheme="majorBidi"/>
          <w:i/>
          <w:iCs/>
          <w:noProof/>
        </w:rPr>
        <w:t>IIASA Policy Brief #12</w:t>
      </w:r>
      <w:r>
        <w:rPr>
          <w:rFonts w:asciiTheme="majorBidi" w:hAnsiTheme="majorBidi" w:cstheme="majorBidi"/>
          <w:noProof/>
        </w:rPr>
        <w:t>. Laxenburg, Austria: International Institute for Applied Systems Analysis, 4 pgs.</w:t>
      </w:r>
    </w:p>
    <w:p w14:paraId="651AD5D4"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Sanderson, W.C., Scherbov, S., and Gerland, P. (2017). Probabilistic population aging. </w:t>
      </w:r>
      <w:r>
        <w:rPr>
          <w:rFonts w:asciiTheme="majorBidi" w:hAnsiTheme="majorBidi" w:cstheme="majorBidi"/>
          <w:i/>
          <w:iCs/>
          <w:noProof/>
        </w:rPr>
        <w:t>PLoS ONE</w:t>
      </w:r>
      <w:r>
        <w:rPr>
          <w:rFonts w:asciiTheme="majorBidi" w:hAnsiTheme="majorBidi" w:cstheme="majorBidi"/>
          <w:noProof/>
        </w:rPr>
        <w:t>, 12(6), e 0179171, 12 pgs.</w:t>
      </w:r>
    </w:p>
    <w:p w14:paraId="518A06E6"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Scherbov, S., Sanderson, W.C., and Gietel-Basten, S. (2016). Better way to measure ageing in East Asia that takes life expectancy into account. </w:t>
      </w:r>
      <w:r>
        <w:rPr>
          <w:rFonts w:asciiTheme="majorBidi" w:hAnsiTheme="majorBidi" w:cstheme="majorBidi"/>
          <w:i/>
          <w:iCs/>
          <w:noProof/>
        </w:rPr>
        <w:t>Australasian Journal on Ageing</w:t>
      </w:r>
      <w:r>
        <w:rPr>
          <w:rFonts w:asciiTheme="majorBidi" w:hAnsiTheme="majorBidi" w:cstheme="majorBidi"/>
          <w:noProof/>
        </w:rPr>
        <w:t>, 35(2), 139-142.</w:t>
      </w:r>
    </w:p>
    <w:p w14:paraId="37377A13"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Sen, A.K. (1976). Poverty: An ordinal approach to measurement. </w:t>
      </w:r>
      <w:r>
        <w:rPr>
          <w:rFonts w:asciiTheme="majorBidi" w:hAnsiTheme="majorBidi" w:cstheme="majorBidi"/>
          <w:i/>
          <w:iCs/>
          <w:noProof/>
        </w:rPr>
        <w:t>Econometrica</w:t>
      </w:r>
      <w:r>
        <w:rPr>
          <w:rFonts w:asciiTheme="majorBidi" w:hAnsiTheme="majorBidi" w:cstheme="majorBidi"/>
          <w:noProof/>
        </w:rPr>
        <w:t>, 44, 219-31.</w:t>
      </w:r>
    </w:p>
    <w:p w14:paraId="6653008B"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Shoven, J.B. (2007). New age thinking: Alternative ways of measuring age, their relationship to labor force participation, government policies, </w:t>
      </w:r>
      <w:r>
        <w:rPr>
          <w:rFonts w:asciiTheme="majorBidi" w:hAnsiTheme="majorBidi" w:cstheme="majorBidi"/>
          <w:i/>
          <w:iCs/>
          <w:noProof/>
        </w:rPr>
        <w:t>NBER Working Paper 13476</w:t>
      </w:r>
      <w:r>
        <w:rPr>
          <w:rFonts w:asciiTheme="majorBidi" w:hAnsiTheme="majorBidi" w:cstheme="majorBidi"/>
          <w:noProof/>
        </w:rPr>
        <w:t>. Cambridge, Ma.: National Bureau of Economic Research, 20 pgs.</w:t>
      </w:r>
    </w:p>
    <w:p w14:paraId="1948C5F1"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lastRenderedPageBreak/>
        <w:t xml:space="preserve">Skirbekk, V., Loichinger, E., and Weber, D. (2011). Variation in cognitive functioning as a refined approach to comparing aging across countries. </w:t>
      </w:r>
      <w:r>
        <w:rPr>
          <w:rFonts w:asciiTheme="majorBidi" w:hAnsiTheme="majorBidi" w:cstheme="majorBidi"/>
          <w:i/>
          <w:iCs/>
          <w:noProof/>
        </w:rPr>
        <w:t>Proceedings of the National Academy of Sciences</w:t>
      </w:r>
      <w:r>
        <w:rPr>
          <w:rFonts w:asciiTheme="majorBidi" w:hAnsiTheme="majorBidi" w:cstheme="majorBidi"/>
          <w:noProof/>
        </w:rPr>
        <w:t>, 109(3), 770-774.</w:t>
      </w:r>
    </w:p>
    <w:p w14:paraId="17DE622E"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Skirbekk, V.F., Staudinger, U.M., and Cohen, J.E. (2019). How to measure population aging? The answer is less than obvious: A review. </w:t>
      </w:r>
      <w:r>
        <w:rPr>
          <w:rFonts w:asciiTheme="majorBidi" w:hAnsiTheme="majorBidi" w:cstheme="majorBidi"/>
          <w:i/>
          <w:iCs/>
          <w:noProof/>
        </w:rPr>
        <w:t>Gerontology</w:t>
      </w:r>
      <w:r>
        <w:rPr>
          <w:rFonts w:asciiTheme="majorBidi" w:hAnsiTheme="majorBidi" w:cstheme="majorBidi"/>
          <w:noProof/>
        </w:rPr>
        <w:t>, 65, 136-144.</w:t>
      </w:r>
    </w:p>
    <w:p w14:paraId="496937F5"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Spijker, J. (2015). Alternative indicators of population ageing: An inventory, </w:t>
      </w:r>
      <w:r>
        <w:rPr>
          <w:rFonts w:asciiTheme="majorBidi" w:hAnsiTheme="majorBidi" w:cstheme="majorBidi"/>
          <w:i/>
          <w:iCs/>
          <w:noProof/>
        </w:rPr>
        <w:t>Vienna Institute of Demography Working Paper 4/2015</w:t>
      </w:r>
      <w:r>
        <w:rPr>
          <w:rFonts w:asciiTheme="majorBidi" w:hAnsiTheme="majorBidi" w:cstheme="majorBidi"/>
          <w:noProof/>
        </w:rPr>
        <w:t>. Vienna: Vienna Institute of Demography, 35 pgs.</w:t>
      </w:r>
    </w:p>
    <w:p w14:paraId="64948326"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Spijker, J., and MacInnes, J. (2013). Population ageing – The timebomb that isn’t? </w:t>
      </w:r>
      <w:r>
        <w:rPr>
          <w:rFonts w:asciiTheme="majorBidi" w:hAnsiTheme="majorBidi" w:cstheme="majorBidi"/>
          <w:i/>
          <w:iCs/>
          <w:noProof/>
        </w:rPr>
        <w:t>British Medical Journal</w:t>
      </w:r>
      <w:r>
        <w:rPr>
          <w:rFonts w:asciiTheme="majorBidi" w:hAnsiTheme="majorBidi" w:cstheme="majorBidi"/>
          <w:noProof/>
        </w:rPr>
        <w:t>, 347, 20-22.</w:t>
      </w:r>
    </w:p>
    <w:p w14:paraId="30783E25"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Spijker, J., MacInnes, J., and Riffe, T. (2014). </w:t>
      </w:r>
      <w:r>
        <w:rPr>
          <w:rFonts w:asciiTheme="majorBidi" w:hAnsiTheme="majorBidi" w:cstheme="majorBidi"/>
          <w:i/>
          <w:iCs/>
          <w:noProof/>
        </w:rPr>
        <w:t>Population aging: How should it be measured</w:t>
      </w:r>
      <w:r>
        <w:rPr>
          <w:rFonts w:asciiTheme="majorBidi" w:hAnsiTheme="majorBidi" w:cstheme="majorBidi"/>
          <w:noProof/>
        </w:rPr>
        <w:t>? Paper presented at the Population Association of America Annual Meeting, Boston, May 1-3, 6 pgs.</w:t>
      </w:r>
    </w:p>
    <w:p w14:paraId="0FF4D627"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Teachman, B.A. (2006). Aging and negative affect: The rise and fall and rise of anxiety and depression symptoms. </w:t>
      </w:r>
      <w:r>
        <w:rPr>
          <w:rFonts w:asciiTheme="majorBidi" w:hAnsiTheme="majorBidi" w:cstheme="majorBidi"/>
          <w:i/>
          <w:iCs/>
          <w:noProof/>
        </w:rPr>
        <w:t>Psychology and Aging</w:t>
      </w:r>
      <w:r>
        <w:rPr>
          <w:rFonts w:asciiTheme="majorBidi" w:hAnsiTheme="majorBidi" w:cstheme="majorBidi"/>
          <w:noProof/>
        </w:rPr>
        <w:t>, 21(1), 201-207.</w:t>
      </w:r>
    </w:p>
    <w:p w14:paraId="3EC85F4C"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United Nations, Department of Economic and Social Affairs [UN DESA], Population Division (2015). </w:t>
      </w:r>
      <w:r>
        <w:rPr>
          <w:rFonts w:asciiTheme="majorBidi" w:hAnsiTheme="majorBidi" w:cstheme="majorBidi"/>
          <w:i/>
          <w:iCs/>
          <w:noProof/>
        </w:rPr>
        <w:t>World Population Ageing 2015</w:t>
      </w:r>
      <w:r>
        <w:rPr>
          <w:rFonts w:asciiTheme="majorBidi" w:hAnsiTheme="majorBidi" w:cstheme="majorBidi"/>
          <w:noProof/>
        </w:rPr>
        <w:t>. New York: United Nations.</w:t>
      </w:r>
    </w:p>
    <w:p w14:paraId="27FCCB3D"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United Nations, Department of Economic and Social Affairs [UN DESA], Population Division. (2019). </w:t>
      </w:r>
      <w:r>
        <w:rPr>
          <w:rFonts w:asciiTheme="majorBidi" w:hAnsiTheme="majorBidi" w:cstheme="majorBidi"/>
          <w:i/>
          <w:iCs/>
          <w:noProof/>
        </w:rPr>
        <w:t>World Population Ageing 2019</w:t>
      </w:r>
      <w:r>
        <w:rPr>
          <w:rFonts w:asciiTheme="majorBidi" w:hAnsiTheme="majorBidi" w:cstheme="majorBidi"/>
          <w:noProof/>
        </w:rPr>
        <w:t>. New York: United Nations.</w:t>
      </w:r>
    </w:p>
    <w:p w14:paraId="280DBAD4"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Verhaeghen, P., and Salthouse, T.A. (1997). Meta-analyses of age-cognition relations in adulthood: Estimates of linear and nonlinear age effects and structural models. </w:t>
      </w:r>
      <w:r>
        <w:rPr>
          <w:rFonts w:asciiTheme="majorBidi" w:hAnsiTheme="majorBidi" w:cstheme="majorBidi"/>
          <w:i/>
          <w:iCs/>
          <w:noProof/>
        </w:rPr>
        <w:t>Psychological Bulletin</w:t>
      </w:r>
      <w:r>
        <w:rPr>
          <w:rFonts w:asciiTheme="majorBidi" w:hAnsiTheme="majorBidi" w:cstheme="majorBidi"/>
          <w:noProof/>
        </w:rPr>
        <w:t>, 122(3), 231-249.</w:t>
      </w:r>
    </w:p>
    <w:p w14:paraId="31C51E6C" w14:textId="77777777" w:rsidR="001A3FC7" w:rsidRDefault="001A3FC7" w:rsidP="001A3FC7">
      <w:pPr>
        <w:spacing w:line="288" w:lineRule="auto"/>
        <w:ind w:left="720" w:hanging="720"/>
        <w:rPr>
          <w:rFonts w:asciiTheme="majorBidi" w:hAnsiTheme="majorBidi" w:cstheme="majorBidi"/>
          <w:noProof/>
        </w:rPr>
      </w:pPr>
      <w:r>
        <w:rPr>
          <w:rFonts w:asciiTheme="majorBidi" w:hAnsiTheme="majorBidi" w:cstheme="majorBidi"/>
          <w:noProof/>
        </w:rPr>
        <w:t xml:space="preserve">World Health Organization. (2003). </w:t>
      </w:r>
      <w:r>
        <w:rPr>
          <w:rFonts w:asciiTheme="majorBidi" w:hAnsiTheme="majorBidi" w:cstheme="majorBidi"/>
          <w:i/>
          <w:iCs/>
          <w:noProof/>
        </w:rPr>
        <w:t>Active ageing: a policy framework</w:t>
      </w:r>
      <w:r>
        <w:rPr>
          <w:rFonts w:asciiTheme="majorBidi" w:hAnsiTheme="majorBidi" w:cstheme="majorBidi"/>
          <w:noProof/>
        </w:rPr>
        <w:t>. Geneva: World Health Organization.</w:t>
      </w:r>
    </w:p>
    <w:p w14:paraId="27B0BD3E" w14:textId="198B6DD1" w:rsidR="00BF7B8D" w:rsidRDefault="00BF7B8D" w:rsidP="007E596C">
      <w:pPr>
        <w:pStyle w:val="Heading1"/>
        <w:spacing w:before="0" w:after="0" w:line="288" w:lineRule="auto"/>
      </w:pPr>
    </w:p>
    <w:p w14:paraId="150097F6" w14:textId="1E697F56" w:rsidR="001A3FC7" w:rsidRDefault="001A3FC7" w:rsidP="001A3FC7">
      <w:r>
        <w:br w:type="page"/>
      </w:r>
    </w:p>
    <w:p w14:paraId="47B7E006" w14:textId="77777777" w:rsidR="001A3FC7" w:rsidRDefault="001A3FC7" w:rsidP="001A3FC7">
      <w:pPr>
        <w:rPr>
          <w:b/>
          <w:bCs/>
          <w:lang w:val="mi-NZ"/>
        </w:rPr>
      </w:pPr>
    </w:p>
    <w:p w14:paraId="741A1454" w14:textId="047B237C" w:rsidR="001A3FC7" w:rsidRDefault="001A3FC7" w:rsidP="001A3FC7">
      <w:pPr>
        <w:spacing w:line="288" w:lineRule="auto"/>
        <w:rPr>
          <w:b/>
          <w:bCs/>
          <w:lang w:val="mi-NZ"/>
        </w:rPr>
      </w:pPr>
      <w:r>
        <w:rPr>
          <w:b/>
          <w:bCs/>
          <w:lang w:val="mi-NZ"/>
        </w:rPr>
        <w:t>Appendix</w:t>
      </w:r>
    </w:p>
    <w:p w14:paraId="5046D9DD" w14:textId="11E1E79E" w:rsidR="001A3FC7" w:rsidRDefault="001A3FC7" w:rsidP="001A3FC7"/>
    <w:p w14:paraId="2F2410B3" w14:textId="3B2FEE7B" w:rsidR="001A3FC7" w:rsidRPr="00994234" w:rsidRDefault="001A3FC7" w:rsidP="001A3FC7">
      <w:pPr>
        <w:spacing w:line="360" w:lineRule="auto"/>
        <w:rPr>
          <w:b/>
          <w:bCs/>
          <w:lang w:val="mi-NZ"/>
        </w:rPr>
      </w:pPr>
      <w:r w:rsidRPr="00994234">
        <w:rPr>
          <w:b/>
          <w:bCs/>
          <w:lang w:val="mi-NZ"/>
        </w:rPr>
        <w:t xml:space="preserve">Table </w:t>
      </w:r>
      <w:r>
        <w:rPr>
          <w:b/>
          <w:bCs/>
          <w:lang w:val="mi-NZ"/>
        </w:rPr>
        <w:t>A1</w:t>
      </w:r>
      <w:r w:rsidRPr="00994234">
        <w:rPr>
          <w:b/>
          <w:bCs/>
          <w:lang w:val="mi-NZ"/>
        </w:rPr>
        <w:t xml:space="preserve">. </w:t>
      </w:r>
      <w:r w:rsidRPr="001A3FC7">
        <w:rPr>
          <w:b/>
          <w:bCs/>
          <w:lang w:val="mi-NZ"/>
        </w:rPr>
        <w:t>Pearson correlations between measures of structural ageing based on country-level data 1950, 2020, and 2100</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1A3FC7" w:rsidRPr="00367991" w14:paraId="5560B136" w14:textId="77777777" w:rsidTr="001A3FC7">
        <w:trPr>
          <w:trHeight w:val="470"/>
        </w:trPr>
        <w:tc>
          <w:tcPr>
            <w:tcW w:w="1555" w:type="dxa"/>
            <w:tcBorders>
              <w:top w:val="single" w:sz="4" w:space="0" w:color="auto"/>
              <w:bottom w:val="single" w:sz="4" w:space="0" w:color="auto"/>
            </w:tcBorders>
            <w:vAlign w:val="center"/>
            <w:hideMark/>
          </w:tcPr>
          <w:p w14:paraId="0E10CF04" w14:textId="77777777" w:rsidR="001A3FC7" w:rsidRPr="00367991" w:rsidRDefault="001A3FC7">
            <w:pPr>
              <w:rPr>
                <w:rFonts w:asciiTheme="majorBidi" w:hAnsiTheme="majorBidi" w:cstheme="majorBidi"/>
                <w:b/>
                <w:bCs/>
                <w:sz w:val="20"/>
                <w:szCs w:val="20"/>
                <w:lang w:val="en-NZ" w:eastAsia="zh-CN"/>
              </w:rPr>
            </w:pPr>
            <w:r w:rsidRPr="00367991">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35E28D7E"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4F5AE7B9"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6D7892F3"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45AA5FF3"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42FC7DE"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CER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8135A47" w14:textId="77777777" w:rsidR="001A3FC7" w:rsidRPr="00367991" w:rsidRDefault="001A3FC7">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OADR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97B2C57" w14:textId="77777777" w:rsidR="001A3FC7" w:rsidRPr="00367991" w:rsidRDefault="001A3FC7">
            <w:pPr>
              <w:jc w:val="center"/>
              <w:rPr>
                <w:rFonts w:asciiTheme="majorBidi" w:hAnsiTheme="majorBidi" w:cstheme="majorBidi"/>
                <w:b/>
                <w:bCs/>
                <w:color w:val="000000"/>
                <w:sz w:val="20"/>
                <w:szCs w:val="20"/>
              </w:rPr>
            </w:pPr>
            <w:r w:rsidRPr="00367991">
              <w:rPr>
                <w:rFonts w:asciiTheme="majorBidi" w:hAnsiTheme="majorBidi" w:cstheme="majorBidi"/>
                <w:b/>
                <w:bCs/>
                <w:color w:val="000000"/>
                <w:sz w:val="20"/>
                <w:szCs w:val="20"/>
              </w:rPr>
              <w:t>RMSA</w:t>
            </w:r>
            <w:r w:rsidRPr="00367991">
              <w:rPr>
                <w:rFonts w:asciiTheme="majorBidi" w:hAnsiTheme="majorBidi" w:cstheme="majorBidi"/>
                <w:b/>
                <w:bCs/>
                <w:color w:val="000000"/>
                <w:sz w:val="20"/>
                <w:szCs w:val="20"/>
                <w:vertAlign w:val="superscript"/>
              </w:rPr>
              <w:t>***</w:t>
            </w:r>
          </w:p>
        </w:tc>
      </w:tr>
      <w:tr w:rsidR="001A3FC7" w:rsidRPr="00367991" w14:paraId="07BD597B" w14:textId="77777777" w:rsidTr="001A3FC7">
        <w:trPr>
          <w:trHeight w:val="340"/>
        </w:trPr>
        <w:tc>
          <w:tcPr>
            <w:tcW w:w="1555" w:type="dxa"/>
            <w:tcBorders>
              <w:top w:val="single" w:sz="4" w:space="0" w:color="auto"/>
            </w:tcBorders>
            <w:vAlign w:val="center"/>
            <w:hideMark/>
          </w:tcPr>
          <w:p w14:paraId="797B59E0" w14:textId="77777777" w:rsidR="001A3FC7" w:rsidRPr="00367991" w:rsidRDefault="001A3FC7">
            <w:pPr>
              <w:rPr>
                <w:rFonts w:asciiTheme="majorBidi" w:hAnsiTheme="majorBidi" w:cstheme="majorBidi"/>
                <w:b/>
                <w:bCs/>
                <w:sz w:val="20"/>
                <w:szCs w:val="20"/>
              </w:rPr>
            </w:pPr>
            <w:r w:rsidRPr="00367991">
              <w:rPr>
                <w:rFonts w:asciiTheme="majorBidi" w:hAnsiTheme="majorBidi" w:cstheme="majorBidi"/>
                <w:b/>
                <w:bCs/>
                <w:color w:val="000000"/>
                <w:sz w:val="20"/>
                <w:szCs w:val="20"/>
              </w:rPr>
              <w:t>1950</w:t>
            </w:r>
          </w:p>
        </w:tc>
        <w:tc>
          <w:tcPr>
            <w:tcW w:w="1065" w:type="dxa"/>
            <w:tcBorders>
              <w:top w:val="single" w:sz="4" w:space="0" w:color="auto"/>
            </w:tcBorders>
            <w:vAlign w:val="center"/>
          </w:tcPr>
          <w:p w14:paraId="0C33F0D9" w14:textId="77777777" w:rsidR="001A3FC7" w:rsidRPr="00367991" w:rsidRDefault="001A3FC7">
            <w:pPr>
              <w:jc w:val="center"/>
              <w:rPr>
                <w:rFonts w:asciiTheme="majorBidi" w:hAnsiTheme="majorBidi" w:cstheme="majorBidi"/>
                <w:b/>
                <w:bCs/>
                <w:sz w:val="20"/>
                <w:szCs w:val="20"/>
              </w:rPr>
            </w:pPr>
          </w:p>
        </w:tc>
        <w:tc>
          <w:tcPr>
            <w:tcW w:w="1066" w:type="dxa"/>
            <w:tcBorders>
              <w:top w:val="single" w:sz="4" w:space="0" w:color="auto"/>
            </w:tcBorders>
            <w:vAlign w:val="center"/>
          </w:tcPr>
          <w:p w14:paraId="3FAB5BB8" w14:textId="77777777" w:rsidR="001A3FC7" w:rsidRPr="00367991" w:rsidRDefault="001A3FC7">
            <w:pPr>
              <w:jc w:val="center"/>
              <w:rPr>
                <w:rFonts w:asciiTheme="majorBidi" w:hAnsiTheme="majorBidi" w:cstheme="majorBidi"/>
                <w:b/>
                <w:bCs/>
                <w:sz w:val="20"/>
                <w:szCs w:val="20"/>
              </w:rPr>
            </w:pPr>
          </w:p>
        </w:tc>
        <w:tc>
          <w:tcPr>
            <w:tcW w:w="1066" w:type="dxa"/>
            <w:tcBorders>
              <w:top w:val="single" w:sz="4" w:space="0" w:color="auto"/>
            </w:tcBorders>
            <w:vAlign w:val="center"/>
          </w:tcPr>
          <w:p w14:paraId="2BEA8619" w14:textId="77777777" w:rsidR="001A3FC7" w:rsidRPr="00367991" w:rsidRDefault="001A3FC7">
            <w:pPr>
              <w:jc w:val="center"/>
              <w:rPr>
                <w:rFonts w:asciiTheme="majorBidi" w:hAnsiTheme="majorBidi" w:cstheme="majorBidi"/>
                <w:b/>
                <w:bCs/>
                <w:sz w:val="20"/>
                <w:szCs w:val="20"/>
              </w:rPr>
            </w:pPr>
          </w:p>
        </w:tc>
        <w:tc>
          <w:tcPr>
            <w:tcW w:w="1066" w:type="dxa"/>
            <w:tcBorders>
              <w:top w:val="single" w:sz="4" w:space="0" w:color="auto"/>
            </w:tcBorders>
            <w:vAlign w:val="center"/>
          </w:tcPr>
          <w:p w14:paraId="5F274845" w14:textId="77777777" w:rsidR="001A3FC7" w:rsidRPr="00367991" w:rsidRDefault="001A3FC7">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010C5B15" w14:textId="77777777" w:rsidR="001A3FC7" w:rsidRPr="00367991" w:rsidRDefault="001A3FC7">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520EEA34" w14:textId="77777777" w:rsidR="001A3FC7" w:rsidRPr="00367991" w:rsidRDefault="001A3FC7">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213BA1DD" w14:textId="77777777" w:rsidR="001A3FC7" w:rsidRPr="00367991" w:rsidRDefault="001A3FC7">
            <w:pPr>
              <w:jc w:val="center"/>
              <w:rPr>
                <w:rFonts w:asciiTheme="majorBidi" w:hAnsiTheme="majorBidi" w:cstheme="majorBidi"/>
                <w:b/>
                <w:bCs/>
                <w:color w:val="000000"/>
                <w:sz w:val="20"/>
                <w:szCs w:val="20"/>
              </w:rPr>
            </w:pPr>
          </w:p>
        </w:tc>
      </w:tr>
      <w:tr w:rsidR="001A3FC7" w:rsidRPr="00367991" w14:paraId="43B9CA06" w14:textId="77777777" w:rsidTr="001A3FC7">
        <w:trPr>
          <w:trHeight w:val="340"/>
        </w:trPr>
        <w:tc>
          <w:tcPr>
            <w:tcW w:w="1555" w:type="dxa"/>
            <w:vAlign w:val="center"/>
            <w:hideMark/>
          </w:tcPr>
          <w:p w14:paraId="061E6E06"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586F8158"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48C1EA67" w14:textId="77777777" w:rsidR="001A3FC7" w:rsidRPr="00367991" w:rsidRDefault="001A3FC7">
            <w:pPr>
              <w:jc w:val="center"/>
              <w:rPr>
                <w:rFonts w:asciiTheme="majorBidi" w:hAnsiTheme="majorBidi" w:cstheme="majorBidi"/>
                <w:sz w:val="20"/>
                <w:szCs w:val="20"/>
              </w:rPr>
            </w:pPr>
          </w:p>
        </w:tc>
        <w:tc>
          <w:tcPr>
            <w:tcW w:w="1066" w:type="dxa"/>
            <w:vAlign w:val="center"/>
          </w:tcPr>
          <w:p w14:paraId="524A5EAA" w14:textId="77777777" w:rsidR="001A3FC7" w:rsidRPr="00367991" w:rsidRDefault="001A3FC7">
            <w:pPr>
              <w:jc w:val="center"/>
              <w:rPr>
                <w:rFonts w:asciiTheme="majorBidi" w:hAnsiTheme="majorBidi" w:cstheme="majorBidi"/>
                <w:sz w:val="20"/>
                <w:szCs w:val="20"/>
              </w:rPr>
            </w:pPr>
          </w:p>
        </w:tc>
        <w:tc>
          <w:tcPr>
            <w:tcW w:w="1066" w:type="dxa"/>
            <w:vAlign w:val="center"/>
          </w:tcPr>
          <w:p w14:paraId="0A1E732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D347F6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207686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13D3227" w14:textId="77777777" w:rsidR="001A3FC7" w:rsidRPr="00367991" w:rsidRDefault="001A3FC7">
            <w:pPr>
              <w:jc w:val="center"/>
              <w:rPr>
                <w:rFonts w:asciiTheme="majorBidi" w:hAnsiTheme="majorBidi" w:cstheme="majorBidi"/>
                <w:color w:val="000000"/>
                <w:sz w:val="20"/>
                <w:szCs w:val="20"/>
              </w:rPr>
            </w:pPr>
          </w:p>
        </w:tc>
      </w:tr>
      <w:tr w:rsidR="001A3FC7" w:rsidRPr="00367991" w14:paraId="64063F8D" w14:textId="77777777" w:rsidTr="001A3FC7">
        <w:trPr>
          <w:trHeight w:val="340"/>
        </w:trPr>
        <w:tc>
          <w:tcPr>
            <w:tcW w:w="1555" w:type="dxa"/>
            <w:vAlign w:val="center"/>
            <w:hideMark/>
          </w:tcPr>
          <w:p w14:paraId="49882970"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07AA7EB0"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0.978</w:t>
            </w:r>
          </w:p>
        </w:tc>
        <w:tc>
          <w:tcPr>
            <w:tcW w:w="1066" w:type="dxa"/>
            <w:vAlign w:val="center"/>
            <w:hideMark/>
          </w:tcPr>
          <w:p w14:paraId="32CAE6FA"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2D0BD1C6" w14:textId="77777777" w:rsidR="001A3FC7" w:rsidRPr="00367991" w:rsidRDefault="001A3FC7">
            <w:pPr>
              <w:jc w:val="center"/>
              <w:rPr>
                <w:rFonts w:asciiTheme="majorBidi" w:hAnsiTheme="majorBidi" w:cstheme="majorBidi"/>
                <w:sz w:val="20"/>
                <w:szCs w:val="20"/>
              </w:rPr>
            </w:pPr>
          </w:p>
        </w:tc>
        <w:tc>
          <w:tcPr>
            <w:tcW w:w="1066" w:type="dxa"/>
            <w:vAlign w:val="center"/>
          </w:tcPr>
          <w:p w14:paraId="397B615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D50FF5F"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3761BA0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3B2A6234" w14:textId="77777777" w:rsidR="001A3FC7" w:rsidRPr="00367991" w:rsidRDefault="001A3FC7">
            <w:pPr>
              <w:jc w:val="center"/>
              <w:rPr>
                <w:rFonts w:asciiTheme="majorBidi" w:hAnsiTheme="majorBidi" w:cstheme="majorBidi"/>
                <w:color w:val="000000"/>
                <w:sz w:val="20"/>
                <w:szCs w:val="20"/>
              </w:rPr>
            </w:pPr>
          </w:p>
        </w:tc>
      </w:tr>
      <w:tr w:rsidR="001A3FC7" w:rsidRPr="00367991" w14:paraId="2624C737" w14:textId="77777777" w:rsidTr="001A3FC7">
        <w:trPr>
          <w:trHeight w:val="340"/>
        </w:trPr>
        <w:tc>
          <w:tcPr>
            <w:tcW w:w="1555" w:type="dxa"/>
            <w:vAlign w:val="center"/>
            <w:hideMark/>
          </w:tcPr>
          <w:p w14:paraId="5EC0FC2E"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2C97697F"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0.936</w:t>
            </w:r>
          </w:p>
        </w:tc>
        <w:tc>
          <w:tcPr>
            <w:tcW w:w="1066" w:type="dxa"/>
            <w:vAlign w:val="center"/>
            <w:hideMark/>
          </w:tcPr>
          <w:p w14:paraId="47B6FF7C"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0.869</w:t>
            </w:r>
          </w:p>
        </w:tc>
        <w:tc>
          <w:tcPr>
            <w:tcW w:w="1066" w:type="dxa"/>
            <w:vAlign w:val="center"/>
            <w:hideMark/>
          </w:tcPr>
          <w:p w14:paraId="5274036D"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47B43C1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8725A34"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5FB75E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AE6DFCF" w14:textId="77777777" w:rsidR="001A3FC7" w:rsidRPr="00367991" w:rsidRDefault="001A3FC7">
            <w:pPr>
              <w:jc w:val="center"/>
              <w:rPr>
                <w:rFonts w:asciiTheme="majorBidi" w:hAnsiTheme="majorBidi" w:cstheme="majorBidi"/>
                <w:color w:val="000000"/>
                <w:sz w:val="20"/>
                <w:szCs w:val="20"/>
              </w:rPr>
            </w:pPr>
          </w:p>
        </w:tc>
      </w:tr>
      <w:tr w:rsidR="001A3FC7" w:rsidRPr="00367991" w14:paraId="01F97185" w14:textId="77777777" w:rsidTr="001A3FC7">
        <w:trPr>
          <w:trHeight w:val="340"/>
        </w:trPr>
        <w:tc>
          <w:tcPr>
            <w:tcW w:w="1555" w:type="dxa"/>
            <w:vAlign w:val="center"/>
            <w:hideMark/>
          </w:tcPr>
          <w:p w14:paraId="6BFB599A"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24A953DF"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0.674</w:t>
            </w:r>
          </w:p>
        </w:tc>
        <w:tc>
          <w:tcPr>
            <w:tcW w:w="1066" w:type="dxa"/>
            <w:vAlign w:val="center"/>
            <w:hideMark/>
          </w:tcPr>
          <w:p w14:paraId="0F034D49"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0.598</w:t>
            </w:r>
          </w:p>
        </w:tc>
        <w:tc>
          <w:tcPr>
            <w:tcW w:w="1066" w:type="dxa"/>
            <w:vAlign w:val="center"/>
            <w:hideMark/>
          </w:tcPr>
          <w:p w14:paraId="0CB890A3"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0.782</w:t>
            </w:r>
          </w:p>
        </w:tc>
        <w:tc>
          <w:tcPr>
            <w:tcW w:w="1066" w:type="dxa"/>
            <w:vAlign w:val="center"/>
            <w:hideMark/>
          </w:tcPr>
          <w:p w14:paraId="1F9169A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88ED42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A6CD321"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BEC4400" w14:textId="77777777" w:rsidR="001A3FC7" w:rsidRPr="00367991" w:rsidRDefault="001A3FC7">
            <w:pPr>
              <w:jc w:val="center"/>
              <w:rPr>
                <w:rFonts w:asciiTheme="majorBidi" w:hAnsiTheme="majorBidi" w:cstheme="majorBidi"/>
                <w:color w:val="000000"/>
                <w:sz w:val="20"/>
                <w:szCs w:val="20"/>
              </w:rPr>
            </w:pPr>
          </w:p>
        </w:tc>
      </w:tr>
      <w:tr w:rsidR="001A3FC7" w:rsidRPr="00367991" w14:paraId="5103C25E" w14:textId="77777777" w:rsidTr="001A3FC7">
        <w:trPr>
          <w:trHeight w:val="340"/>
        </w:trPr>
        <w:tc>
          <w:tcPr>
            <w:tcW w:w="1555" w:type="dxa"/>
            <w:vAlign w:val="center"/>
            <w:hideMark/>
          </w:tcPr>
          <w:p w14:paraId="5984B3A9"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52ED4B03"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0.837</w:t>
            </w:r>
          </w:p>
        </w:tc>
        <w:tc>
          <w:tcPr>
            <w:tcW w:w="1066" w:type="dxa"/>
            <w:vAlign w:val="center"/>
            <w:hideMark/>
          </w:tcPr>
          <w:p w14:paraId="7463A327"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0.761</w:t>
            </w:r>
          </w:p>
        </w:tc>
        <w:tc>
          <w:tcPr>
            <w:tcW w:w="1066" w:type="dxa"/>
            <w:vAlign w:val="center"/>
            <w:hideMark/>
          </w:tcPr>
          <w:p w14:paraId="2D77130B"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0.832</w:t>
            </w:r>
          </w:p>
        </w:tc>
        <w:tc>
          <w:tcPr>
            <w:tcW w:w="1066" w:type="dxa"/>
            <w:vAlign w:val="center"/>
            <w:hideMark/>
          </w:tcPr>
          <w:p w14:paraId="4C225AD9"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0.606</w:t>
            </w:r>
          </w:p>
        </w:tc>
        <w:tc>
          <w:tcPr>
            <w:tcW w:w="1066" w:type="dxa"/>
            <w:vAlign w:val="center"/>
            <w:hideMark/>
          </w:tcPr>
          <w:p w14:paraId="5D04061B"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E6B1A63"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DE04D56" w14:textId="77777777" w:rsidR="001A3FC7" w:rsidRPr="00367991" w:rsidRDefault="001A3FC7">
            <w:pPr>
              <w:jc w:val="center"/>
              <w:rPr>
                <w:rFonts w:asciiTheme="majorBidi" w:hAnsiTheme="majorBidi" w:cstheme="majorBidi"/>
                <w:color w:val="000000"/>
                <w:sz w:val="20"/>
                <w:szCs w:val="20"/>
              </w:rPr>
            </w:pPr>
          </w:p>
        </w:tc>
      </w:tr>
      <w:tr w:rsidR="001A3FC7" w:rsidRPr="00367991" w14:paraId="11DD98B3" w14:textId="77777777" w:rsidTr="001A3FC7">
        <w:trPr>
          <w:trHeight w:val="340"/>
        </w:trPr>
        <w:tc>
          <w:tcPr>
            <w:tcW w:w="1555" w:type="dxa"/>
            <w:vAlign w:val="center"/>
            <w:hideMark/>
          </w:tcPr>
          <w:p w14:paraId="1844802B"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OADR</w:t>
            </w:r>
          </w:p>
        </w:tc>
        <w:tc>
          <w:tcPr>
            <w:tcW w:w="1065" w:type="dxa"/>
            <w:vAlign w:val="center"/>
            <w:hideMark/>
          </w:tcPr>
          <w:p w14:paraId="16F5BA4E"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0.870</w:t>
            </w:r>
          </w:p>
        </w:tc>
        <w:tc>
          <w:tcPr>
            <w:tcW w:w="1066" w:type="dxa"/>
            <w:vAlign w:val="center"/>
            <w:hideMark/>
          </w:tcPr>
          <w:p w14:paraId="6BF8FD27"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0.782</w:t>
            </w:r>
          </w:p>
        </w:tc>
        <w:tc>
          <w:tcPr>
            <w:tcW w:w="1066" w:type="dxa"/>
            <w:vAlign w:val="center"/>
            <w:hideMark/>
          </w:tcPr>
          <w:p w14:paraId="4A14B18F" w14:textId="77777777" w:rsidR="001A3FC7" w:rsidRPr="00367991" w:rsidRDefault="001A3FC7">
            <w:pPr>
              <w:jc w:val="center"/>
              <w:rPr>
                <w:rFonts w:asciiTheme="majorBidi" w:hAnsiTheme="majorBidi" w:cstheme="majorBidi"/>
                <w:sz w:val="20"/>
                <w:szCs w:val="20"/>
              </w:rPr>
            </w:pPr>
            <w:r w:rsidRPr="00367991">
              <w:rPr>
                <w:rFonts w:asciiTheme="majorBidi" w:hAnsiTheme="majorBidi" w:cstheme="majorBidi"/>
                <w:color w:val="000000"/>
                <w:sz w:val="20"/>
                <w:szCs w:val="20"/>
              </w:rPr>
              <w:t>0.986</w:t>
            </w:r>
          </w:p>
        </w:tc>
        <w:tc>
          <w:tcPr>
            <w:tcW w:w="1066" w:type="dxa"/>
            <w:vAlign w:val="center"/>
            <w:hideMark/>
          </w:tcPr>
          <w:p w14:paraId="16ECA679"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0.807</w:t>
            </w:r>
          </w:p>
        </w:tc>
        <w:tc>
          <w:tcPr>
            <w:tcW w:w="1066" w:type="dxa"/>
            <w:vAlign w:val="center"/>
            <w:hideMark/>
          </w:tcPr>
          <w:p w14:paraId="0FBB3C89"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0.819</w:t>
            </w:r>
          </w:p>
        </w:tc>
        <w:tc>
          <w:tcPr>
            <w:tcW w:w="1066" w:type="dxa"/>
            <w:vAlign w:val="center"/>
            <w:hideMark/>
          </w:tcPr>
          <w:p w14:paraId="1D0E1FAD"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1E1E366" w14:textId="77777777" w:rsidR="001A3FC7" w:rsidRPr="00367991" w:rsidRDefault="001A3FC7">
            <w:pPr>
              <w:jc w:val="center"/>
              <w:rPr>
                <w:rFonts w:asciiTheme="majorBidi" w:hAnsiTheme="majorBidi" w:cstheme="majorBidi"/>
                <w:color w:val="000000"/>
                <w:sz w:val="20"/>
                <w:szCs w:val="20"/>
              </w:rPr>
            </w:pPr>
          </w:p>
        </w:tc>
      </w:tr>
      <w:tr w:rsidR="001A3FC7" w:rsidRPr="00367991" w14:paraId="3DA16A0A" w14:textId="77777777" w:rsidTr="001A3FC7">
        <w:trPr>
          <w:trHeight w:val="340"/>
        </w:trPr>
        <w:tc>
          <w:tcPr>
            <w:tcW w:w="1555" w:type="dxa"/>
            <w:vAlign w:val="center"/>
            <w:hideMark/>
          </w:tcPr>
          <w:p w14:paraId="7D37B9EE"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RMSA</w:t>
            </w:r>
          </w:p>
        </w:tc>
        <w:tc>
          <w:tcPr>
            <w:tcW w:w="1065" w:type="dxa"/>
            <w:vAlign w:val="center"/>
            <w:hideMark/>
          </w:tcPr>
          <w:p w14:paraId="5DE4D46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0.993</w:t>
            </w:r>
          </w:p>
        </w:tc>
        <w:tc>
          <w:tcPr>
            <w:tcW w:w="1066" w:type="dxa"/>
            <w:vAlign w:val="center"/>
            <w:hideMark/>
          </w:tcPr>
          <w:p w14:paraId="2EB621E8"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0.954</w:t>
            </w:r>
          </w:p>
        </w:tc>
        <w:tc>
          <w:tcPr>
            <w:tcW w:w="1066" w:type="dxa"/>
            <w:vAlign w:val="center"/>
            <w:hideMark/>
          </w:tcPr>
          <w:p w14:paraId="1C3F7FA0"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0.962</w:t>
            </w:r>
          </w:p>
        </w:tc>
        <w:tc>
          <w:tcPr>
            <w:tcW w:w="1066" w:type="dxa"/>
            <w:vAlign w:val="center"/>
            <w:hideMark/>
          </w:tcPr>
          <w:p w14:paraId="4B0FD565"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0.717</w:t>
            </w:r>
          </w:p>
        </w:tc>
        <w:tc>
          <w:tcPr>
            <w:tcW w:w="1066" w:type="dxa"/>
            <w:vAlign w:val="center"/>
            <w:hideMark/>
          </w:tcPr>
          <w:p w14:paraId="397A6D57"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0.867</w:t>
            </w:r>
          </w:p>
        </w:tc>
        <w:tc>
          <w:tcPr>
            <w:tcW w:w="1066" w:type="dxa"/>
            <w:vAlign w:val="center"/>
            <w:hideMark/>
          </w:tcPr>
          <w:p w14:paraId="28C180CB"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0.914</w:t>
            </w:r>
          </w:p>
        </w:tc>
        <w:tc>
          <w:tcPr>
            <w:tcW w:w="1066" w:type="dxa"/>
            <w:vAlign w:val="center"/>
            <w:hideMark/>
          </w:tcPr>
          <w:p w14:paraId="2276AB9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1A3FC7" w:rsidRPr="00367991" w14:paraId="2072D263" w14:textId="77777777" w:rsidTr="001A3FC7">
        <w:trPr>
          <w:trHeight w:val="340"/>
        </w:trPr>
        <w:tc>
          <w:tcPr>
            <w:tcW w:w="1555" w:type="dxa"/>
            <w:vAlign w:val="center"/>
          </w:tcPr>
          <w:p w14:paraId="746DE596" w14:textId="77777777" w:rsidR="001A3FC7" w:rsidRPr="00367991" w:rsidRDefault="001A3FC7">
            <w:pPr>
              <w:rPr>
                <w:rFonts w:asciiTheme="majorBidi" w:hAnsiTheme="majorBidi" w:cstheme="majorBidi"/>
                <w:sz w:val="20"/>
                <w:szCs w:val="20"/>
              </w:rPr>
            </w:pPr>
          </w:p>
        </w:tc>
        <w:tc>
          <w:tcPr>
            <w:tcW w:w="1065" w:type="dxa"/>
            <w:vAlign w:val="center"/>
          </w:tcPr>
          <w:p w14:paraId="370D912C"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E870B3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3DC53835"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20A283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AB4989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D4EF34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8D7F8DB" w14:textId="77777777" w:rsidR="001A3FC7" w:rsidRPr="00367991" w:rsidRDefault="001A3FC7">
            <w:pPr>
              <w:jc w:val="center"/>
              <w:rPr>
                <w:rFonts w:asciiTheme="majorBidi" w:hAnsiTheme="majorBidi" w:cstheme="majorBidi"/>
                <w:color w:val="000000"/>
                <w:sz w:val="20"/>
                <w:szCs w:val="20"/>
              </w:rPr>
            </w:pPr>
          </w:p>
        </w:tc>
      </w:tr>
      <w:tr w:rsidR="001A3FC7" w:rsidRPr="00367991" w14:paraId="1946CF5E" w14:textId="77777777" w:rsidTr="001A3FC7">
        <w:trPr>
          <w:trHeight w:val="340"/>
        </w:trPr>
        <w:tc>
          <w:tcPr>
            <w:tcW w:w="1555" w:type="dxa"/>
            <w:vAlign w:val="center"/>
            <w:hideMark/>
          </w:tcPr>
          <w:p w14:paraId="6FFDD7DC" w14:textId="77777777" w:rsidR="001A3FC7" w:rsidRPr="00367991" w:rsidRDefault="001A3FC7">
            <w:pPr>
              <w:rPr>
                <w:rFonts w:asciiTheme="majorBidi" w:hAnsiTheme="majorBidi" w:cstheme="majorBidi"/>
                <w:sz w:val="20"/>
                <w:szCs w:val="20"/>
              </w:rPr>
            </w:pPr>
            <w:r w:rsidRPr="00367991">
              <w:rPr>
                <w:rFonts w:asciiTheme="majorBidi" w:hAnsiTheme="majorBidi" w:cstheme="majorBidi"/>
                <w:b/>
                <w:bCs/>
                <w:color w:val="000000"/>
                <w:sz w:val="20"/>
                <w:szCs w:val="20"/>
              </w:rPr>
              <w:t>2020</w:t>
            </w:r>
          </w:p>
        </w:tc>
        <w:tc>
          <w:tcPr>
            <w:tcW w:w="1065" w:type="dxa"/>
            <w:vAlign w:val="center"/>
          </w:tcPr>
          <w:p w14:paraId="784F001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9C3653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80F00B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29B517B"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B91D63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4D2EEF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B265990" w14:textId="77777777" w:rsidR="001A3FC7" w:rsidRPr="00367991" w:rsidRDefault="001A3FC7">
            <w:pPr>
              <w:jc w:val="center"/>
              <w:rPr>
                <w:rFonts w:asciiTheme="majorBidi" w:hAnsiTheme="majorBidi" w:cstheme="majorBidi"/>
                <w:color w:val="000000"/>
                <w:sz w:val="20"/>
                <w:szCs w:val="20"/>
              </w:rPr>
            </w:pPr>
          </w:p>
        </w:tc>
      </w:tr>
      <w:tr w:rsidR="001A3FC7" w:rsidRPr="00367991" w14:paraId="460F5EEE" w14:textId="77777777" w:rsidTr="001A3FC7">
        <w:trPr>
          <w:trHeight w:val="340"/>
        </w:trPr>
        <w:tc>
          <w:tcPr>
            <w:tcW w:w="1555" w:type="dxa"/>
            <w:vAlign w:val="center"/>
            <w:hideMark/>
          </w:tcPr>
          <w:p w14:paraId="4C8E0BC2"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0065FDAD"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3C1946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46773B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FCDEC3F"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9ED0766"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541BE15"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625E002" w14:textId="77777777" w:rsidR="001A3FC7" w:rsidRPr="00367991" w:rsidRDefault="001A3FC7">
            <w:pPr>
              <w:jc w:val="center"/>
              <w:rPr>
                <w:rFonts w:asciiTheme="majorBidi" w:hAnsiTheme="majorBidi" w:cstheme="majorBidi"/>
                <w:color w:val="000000"/>
                <w:sz w:val="20"/>
                <w:szCs w:val="20"/>
              </w:rPr>
            </w:pPr>
          </w:p>
        </w:tc>
      </w:tr>
      <w:tr w:rsidR="001A3FC7" w:rsidRPr="00367991" w14:paraId="006299FD" w14:textId="77777777" w:rsidTr="001A3FC7">
        <w:trPr>
          <w:trHeight w:val="340"/>
        </w:trPr>
        <w:tc>
          <w:tcPr>
            <w:tcW w:w="1555" w:type="dxa"/>
            <w:vAlign w:val="center"/>
            <w:hideMark/>
          </w:tcPr>
          <w:p w14:paraId="56B99EC3"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2A0C7190"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0.995</w:t>
            </w:r>
          </w:p>
        </w:tc>
        <w:tc>
          <w:tcPr>
            <w:tcW w:w="1066" w:type="dxa"/>
            <w:vAlign w:val="center"/>
            <w:hideMark/>
          </w:tcPr>
          <w:p w14:paraId="3A6D692B"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26877E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CCBC3BC"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020EAB3"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9D8A1FA"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6CAE291" w14:textId="77777777" w:rsidR="001A3FC7" w:rsidRPr="00367991" w:rsidRDefault="001A3FC7">
            <w:pPr>
              <w:jc w:val="center"/>
              <w:rPr>
                <w:rFonts w:asciiTheme="majorBidi" w:hAnsiTheme="majorBidi" w:cstheme="majorBidi"/>
                <w:color w:val="000000"/>
                <w:sz w:val="20"/>
                <w:szCs w:val="20"/>
              </w:rPr>
            </w:pPr>
          </w:p>
        </w:tc>
      </w:tr>
      <w:tr w:rsidR="001A3FC7" w:rsidRPr="00367991" w14:paraId="50C4D3EA" w14:textId="77777777" w:rsidTr="001A3FC7">
        <w:trPr>
          <w:trHeight w:val="340"/>
        </w:trPr>
        <w:tc>
          <w:tcPr>
            <w:tcW w:w="1555" w:type="dxa"/>
            <w:vAlign w:val="center"/>
            <w:hideMark/>
          </w:tcPr>
          <w:p w14:paraId="61BA330F"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3F45B079"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0.946</w:t>
            </w:r>
          </w:p>
        </w:tc>
        <w:tc>
          <w:tcPr>
            <w:tcW w:w="1066" w:type="dxa"/>
            <w:vAlign w:val="center"/>
            <w:hideMark/>
          </w:tcPr>
          <w:p w14:paraId="6F8FFB01"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0.928</w:t>
            </w:r>
          </w:p>
        </w:tc>
        <w:tc>
          <w:tcPr>
            <w:tcW w:w="1066" w:type="dxa"/>
            <w:vAlign w:val="center"/>
            <w:hideMark/>
          </w:tcPr>
          <w:p w14:paraId="019D4888"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9F443EE"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ADEAF9D"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C04218B"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587AB56" w14:textId="77777777" w:rsidR="001A3FC7" w:rsidRPr="00367991" w:rsidRDefault="001A3FC7">
            <w:pPr>
              <w:jc w:val="center"/>
              <w:rPr>
                <w:rFonts w:asciiTheme="majorBidi" w:hAnsiTheme="majorBidi" w:cstheme="majorBidi"/>
                <w:color w:val="000000"/>
                <w:sz w:val="20"/>
                <w:szCs w:val="20"/>
              </w:rPr>
            </w:pPr>
          </w:p>
        </w:tc>
      </w:tr>
      <w:tr w:rsidR="001A3FC7" w:rsidRPr="00367991" w14:paraId="7147834F" w14:textId="77777777" w:rsidTr="001A3FC7">
        <w:trPr>
          <w:trHeight w:val="340"/>
        </w:trPr>
        <w:tc>
          <w:tcPr>
            <w:tcW w:w="1555" w:type="dxa"/>
            <w:vAlign w:val="center"/>
            <w:hideMark/>
          </w:tcPr>
          <w:p w14:paraId="2A029166"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3F90C448"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0.874</w:t>
            </w:r>
          </w:p>
        </w:tc>
        <w:tc>
          <w:tcPr>
            <w:tcW w:w="1066" w:type="dxa"/>
            <w:vAlign w:val="center"/>
            <w:hideMark/>
          </w:tcPr>
          <w:p w14:paraId="2FC6C9E9"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0.858</w:t>
            </w:r>
          </w:p>
        </w:tc>
        <w:tc>
          <w:tcPr>
            <w:tcW w:w="1066" w:type="dxa"/>
            <w:vAlign w:val="center"/>
            <w:hideMark/>
          </w:tcPr>
          <w:p w14:paraId="783CBB9E"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0.950</w:t>
            </w:r>
          </w:p>
        </w:tc>
        <w:tc>
          <w:tcPr>
            <w:tcW w:w="1066" w:type="dxa"/>
            <w:vAlign w:val="center"/>
            <w:hideMark/>
          </w:tcPr>
          <w:p w14:paraId="4CF6A3A5"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CF0C58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BD6F56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090778E" w14:textId="77777777" w:rsidR="001A3FC7" w:rsidRPr="00367991" w:rsidRDefault="001A3FC7">
            <w:pPr>
              <w:jc w:val="center"/>
              <w:rPr>
                <w:rFonts w:asciiTheme="majorBidi" w:hAnsiTheme="majorBidi" w:cstheme="majorBidi"/>
                <w:color w:val="000000"/>
                <w:sz w:val="20"/>
                <w:szCs w:val="20"/>
              </w:rPr>
            </w:pPr>
          </w:p>
        </w:tc>
      </w:tr>
      <w:tr w:rsidR="001A3FC7" w:rsidRPr="00367991" w14:paraId="08F19B0D" w14:textId="77777777" w:rsidTr="001A3FC7">
        <w:trPr>
          <w:trHeight w:val="340"/>
        </w:trPr>
        <w:tc>
          <w:tcPr>
            <w:tcW w:w="1555" w:type="dxa"/>
            <w:vAlign w:val="center"/>
            <w:hideMark/>
          </w:tcPr>
          <w:p w14:paraId="5F85704C"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1D320487"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0.903</w:t>
            </w:r>
          </w:p>
        </w:tc>
        <w:tc>
          <w:tcPr>
            <w:tcW w:w="1066" w:type="dxa"/>
            <w:vAlign w:val="center"/>
            <w:hideMark/>
          </w:tcPr>
          <w:p w14:paraId="22E47E9E"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0.892</w:t>
            </w:r>
          </w:p>
        </w:tc>
        <w:tc>
          <w:tcPr>
            <w:tcW w:w="1066" w:type="dxa"/>
            <w:vAlign w:val="center"/>
            <w:hideMark/>
          </w:tcPr>
          <w:p w14:paraId="32DA497E"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0.776</w:t>
            </w:r>
          </w:p>
        </w:tc>
        <w:tc>
          <w:tcPr>
            <w:tcW w:w="1066" w:type="dxa"/>
            <w:vAlign w:val="center"/>
            <w:hideMark/>
          </w:tcPr>
          <w:p w14:paraId="7B42354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0.680</w:t>
            </w:r>
          </w:p>
        </w:tc>
        <w:tc>
          <w:tcPr>
            <w:tcW w:w="1066" w:type="dxa"/>
            <w:vAlign w:val="center"/>
            <w:hideMark/>
          </w:tcPr>
          <w:p w14:paraId="36038C3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127BBBA"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C59B7EC" w14:textId="77777777" w:rsidR="001A3FC7" w:rsidRPr="00367991" w:rsidRDefault="001A3FC7">
            <w:pPr>
              <w:jc w:val="center"/>
              <w:rPr>
                <w:rFonts w:asciiTheme="majorBidi" w:hAnsiTheme="majorBidi" w:cstheme="majorBidi"/>
                <w:color w:val="000000"/>
                <w:sz w:val="20"/>
                <w:szCs w:val="20"/>
              </w:rPr>
            </w:pPr>
          </w:p>
        </w:tc>
      </w:tr>
      <w:tr w:rsidR="001A3FC7" w:rsidRPr="00367991" w14:paraId="6822013F" w14:textId="77777777" w:rsidTr="001A3FC7">
        <w:trPr>
          <w:trHeight w:val="340"/>
        </w:trPr>
        <w:tc>
          <w:tcPr>
            <w:tcW w:w="1555" w:type="dxa"/>
            <w:vAlign w:val="center"/>
            <w:hideMark/>
          </w:tcPr>
          <w:p w14:paraId="37D5EBAF" w14:textId="77777777" w:rsidR="001A3FC7" w:rsidRPr="00367991" w:rsidRDefault="001A3FC7">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24BF67A0"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0.920</w:t>
            </w:r>
          </w:p>
        </w:tc>
        <w:tc>
          <w:tcPr>
            <w:tcW w:w="1066" w:type="dxa"/>
            <w:vAlign w:val="center"/>
            <w:hideMark/>
          </w:tcPr>
          <w:p w14:paraId="5DF730CD"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0.901</w:t>
            </w:r>
          </w:p>
        </w:tc>
        <w:tc>
          <w:tcPr>
            <w:tcW w:w="1066" w:type="dxa"/>
            <w:vAlign w:val="center"/>
            <w:hideMark/>
          </w:tcPr>
          <w:p w14:paraId="6F1813D8"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0.996</w:t>
            </w:r>
          </w:p>
        </w:tc>
        <w:tc>
          <w:tcPr>
            <w:tcW w:w="1066" w:type="dxa"/>
            <w:vAlign w:val="center"/>
            <w:hideMark/>
          </w:tcPr>
          <w:p w14:paraId="09BE2A7A"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0.957</w:t>
            </w:r>
          </w:p>
        </w:tc>
        <w:tc>
          <w:tcPr>
            <w:tcW w:w="1066" w:type="dxa"/>
            <w:vAlign w:val="center"/>
            <w:hideMark/>
          </w:tcPr>
          <w:p w14:paraId="5F70381A"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0.739</w:t>
            </w:r>
          </w:p>
        </w:tc>
        <w:tc>
          <w:tcPr>
            <w:tcW w:w="1066" w:type="dxa"/>
            <w:vAlign w:val="center"/>
            <w:hideMark/>
          </w:tcPr>
          <w:p w14:paraId="6F25169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CE13E5A" w14:textId="77777777" w:rsidR="001A3FC7" w:rsidRPr="00367991" w:rsidRDefault="001A3FC7">
            <w:pPr>
              <w:jc w:val="center"/>
              <w:rPr>
                <w:rFonts w:asciiTheme="majorBidi" w:hAnsiTheme="majorBidi" w:cstheme="majorBidi"/>
                <w:color w:val="000000"/>
                <w:sz w:val="20"/>
                <w:szCs w:val="20"/>
              </w:rPr>
            </w:pPr>
          </w:p>
        </w:tc>
      </w:tr>
      <w:tr w:rsidR="001A3FC7" w:rsidRPr="00367991" w14:paraId="3E508231" w14:textId="77777777" w:rsidTr="001A3FC7">
        <w:trPr>
          <w:trHeight w:val="340"/>
        </w:trPr>
        <w:tc>
          <w:tcPr>
            <w:tcW w:w="1555" w:type="dxa"/>
            <w:vAlign w:val="center"/>
            <w:hideMark/>
          </w:tcPr>
          <w:p w14:paraId="7B96C625" w14:textId="77777777" w:rsidR="001A3FC7" w:rsidRPr="00367991" w:rsidRDefault="001A3FC7">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623C67B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0.998</w:t>
            </w:r>
          </w:p>
        </w:tc>
        <w:tc>
          <w:tcPr>
            <w:tcW w:w="1066" w:type="dxa"/>
            <w:vAlign w:val="center"/>
            <w:hideMark/>
          </w:tcPr>
          <w:p w14:paraId="42647F8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0.989</w:t>
            </w:r>
          </w:p>
        </w:tc>
        <w:tc>
          <w:tcPr>
            <w:tcW w:w="1066" w:type="dxa"/>
            <w:vAlign w:val="center"/>
            <w:hideMark/>
          </w:tcPr>
          <w:p w14:paraId="247D048F"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0.957</w:t>
            </w:r>
          </w:p>
        </w:tc>
        <w:tc>
          <w:tcPr>
            <w:tcW w:w="1066" w:type="dxa"/>
            <w:vAlign w:val="center"/>
            <w:hideMark/>
          </w:tcPr>
          <w:p w14:paraId="6B24A35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0.886</w:t>
            </w:r>
          </w:p>
        </w:tc>
        <w:tc>
          <w:tcPr>
            <w:tcW w:w="1066" w:type="dxa"/>
            <w:vAlign w:val="center"/>
            <w:hideMark/>
          </w:tcPr>
          <w:p w14:paraId="779BF03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0.905</w:t>
            </w:r>
          </w:p>
        </w:tc>
        <w:tc>
          <w:tcPr>
            <w:tcW w:w="1066" w:type="dxa"/>
            <w:vAlign w:val="center"/>
            <w:hideMark/>
          </w:tcPr>
          <w:p w14:paraId="345B481F"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0.934</w:t>
            </w:r>
          </w:p>
        </w:tc>
        <w:tc>
          <w:tcPr>
            <w:tcW w:w="1066" w:type="dxa"/>
            <w:vAlign w:val="center"/>
            <w:hideMark/>
          </w:tcPr>
          <w:p w14:paraId="2CEA9485"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1A3FC7" w:rsidRPr="00367991" w14:paraId="5CA3C146" w14:textId="77777777" w:rsidTr="001A3FC7">
        <w:trPr>
          <w:trHeight w:val="340"/>
        </w:trPr>
        <w:tc>
          <w:tcPr>
            <w:tcW w:w="1555" w:type="dxa"/>
            <w:vAlign w:val="center"/>
          </w:tcPr>
          <w:p w14:paraId="319F5D68" w14:textId="77777777" w:rsidR="001A3FC7" w:rsidRPr="00367991" w:rsidRDefault="001A3FC7">
            <w:pPr>
              <w:rPr>
                <w:rFonts w:asciiTheme="majorBidi" w:hAnsiTheme="majorBidi" w:cstheme="majorBidi"/>
                <w:sz w:val="20"/>
                <w:szCs w:val="20"/>
              </w:rPr>
            </w:pPr>
          </w:p>
        </w:tc>
        <w:tc>
          <w:tcPr>
            <w:tcW w:w="1065" w:type="dxa"/>
            <w:vAlign w:val="center"/>
          </w:tcPr>
          <w:p w14:paraId="49CF1CD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9918D6A"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FEAEF4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2EA537C"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291639B"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EA72DEB"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E995D78" w14:textId="77777777" w:rsidR="001A3FC7" w:rsidRPr="00367991" w:rsidRDefault="001A3FC7">
            <w:pPr>
              <w:jc w:val="center"/>
              <w:rPr>
                <w:rFonts w:asciiTheme="majorBidi" w:hAnsiTheme="majorBidi" w:cstheme="majorBidi"/>
                <w:color w:val="000000"/>
                <w:sz w:val="20"/>
                <w:szCs w:val="20"/>
              </w:rPr>
            </w:pPr>
          </w:p>
        </w:tc>
      </w:tr>
      <w:tr w:rsidR="001A3FC7" w:rsidRPr="00367991" w14:paraId="0B5AE1D1" w14:textId="77777777" w:rsidTr="001A3FC7">
        <w:trPr>
          <w:trHeight w:val="340"/>
        </w:trPr>
        <w:tc>
          <w:tcPr>
            <w:tcW w:w="1555" w:type="dxa"/>
            <w:vAlign w:val="center"/>
            <w:hideMark/>
          </w:tcPr>
          <w:p w14:paraId="113A7DDD" w14:textId="77777777" w:rsidR="001A3FC7" w:rsidRPr="00367991" w:rsidRDefault="001A3FC7">
            <w:pPr>
              <w:rPr>
                <w:rFonts w:asciiTheme="majorBidi" w:hAnsiTheme="majorBidi" w:cstheme="majorBidi"/>
                <w:sz w:val="20"/>
                <w:szCs w:val="20"/>
              </w:rPr>
            </w:pPr>
            <w:r w:rsidRPr="00367991">
              <w:rPr>
                <w:rFonts w:asciiTheme="majorBidi" w:hAnsiTheme="majorBidi" w:cstheme="majorBidi"/>
                <w:b/>
                <w:bCs/>
                <w:color w:val="000000"/>
                <w:sz w:val="20"/>
                <w:szCs w:val="20"/>
              </w:rPr>
              <w:t>2100</w:t>
            </w:r>
          </w:p>
        </w:tc>
        <w:tc>
          <w:tcPr>
            <w:tcW w:w="1065" w:type="dxa"/>
            <w:vAlign w:val="center"/>
          </w:tcPr>
          <w:p w14:paraId="0BFB3C3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040BA0E"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E2E82E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960AD43"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CE3B8E8"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73986C1"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4F3784D" w14:textId="77777777" w:rsidR="001A3FC7" w:rsidRPr="00367991" w:rsidRDefault="001A3FC7">
            <w:pPr>
              <w:jc w:val="center"/>
              <w:rPr>
                <w:rFonts w:asciiTheme="majorBidi" w:hAnsiTheme="majorBidi" w:cstheme="majorBidi"/>
                <w:color w:val="000000"/>
                <w:sz w:val="20"/>
                <w:szCs w:val="20"/>
              </w:rPr>
            </w:pPr>
          </w:p>
        </w:tc>
      </w:tr>
      <w:tr w:rsidR="001A3FC7" w:rsidRPr="00367991" w14:paraId="22138025" w14:textId="77777777" w:rsidTr="001A3FC7">
        <w:trPr>
          <w:trHeight w:val="340"/>
        </w:trPr>
        <w:tc>
          <w:tcPr>
            <w:tcW w:w="1555" w:type="dxa"/>
            <w:vAlign w:val="center"/>
            <w:hideMark/>
          </w:tcPr>
          <w:p w14:paraId="3895B91C"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62EB4B20"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7ADF04D"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6E8A67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6472409"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23E29F5"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5DCA127"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0C1F2678" w14:textId="77777777" w:rsidR="001A3FC7" w:rsidRPr="00367991" w:rsidRDefault="001A3FC7">
            <w:pPr>
              <w:jc w:val="center"/>
              <w:rPr>
                <w:rFonts w:asciiTheme="majorBidi" w:hAnsiTheme="majorBidi" w:cstheme="majorBidi"/>
                <w:color w:val="000000"/>
                <w:sz w:val="20"/>
                <w:szCs w:val="20"/>
              </w:rPr>
            </w:pPr>
          </w:p>
        </w:tc>
      </w:tr>
      <w:tr w:rsidR="001A3FC7" w:rsidRPr="00367991" w14:paraId="515ED5F5" w14:textId="77777777" w:rsidTr="001A3FC7">
        <w:trPr>
          <w:trHeight w:val="340"/>
        </w:trPr>
        <w:tc>
          <w:tcPr>
            <w:tcW w:w="1555" w:type="dxa"/>
            <w:vAlign w:val="center"/>
            <w:hideMark/>
          </w:tcPr>
          <w:p w14:paraId="6127C7E8"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4E2CFF8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0.995</w:t>
            </w:r>
          </w:p>
        </w:tc>
        <w:tc>
          <w:tcPr>
            <w:tcW w:w="1066" w:type="dxa"/>
            <w:vAlign w:val="center"/>
            <w:hideMark/>
          </w:tcPr>
          <w:p w14:paraId="2F539544"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4922686"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65DCADD5"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E05A556"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19A4AFBB"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5DF66A74" w14:textId="77777777" w:rsidR="001A3FC7" w:rsidRPr="00367991" w:rsidRDefault="001A3FC7">
            <w:pPr>
              <w:jc w:val="center"/>
              <w:rPr>
                <w:rFonts w:asciiTheme="majorBidi" w:hAnsiTheme="majorBidi" w:cstheme="majorBidi"/>
                <w:color w:val="000000"/>
                <w:sz w:val="20"/>
                <w:szCs w:val="20"/>
              </w:rPr>
            </w:pPr>
          </w:p>
        </w:tc>
      </w:tr>
      <w:tr w:rsidR="001A3FC7" w:rsidRPr="00367991" w14:paraId="05F6B85F" w14:textId="77777777" w:rsidTr="001A3FC7">
        <w:trPr>
          <w:trHeight w:val="340"/>
        </w:trPr>
        <w:tc>
          <w:tcPr>
            <w:tcW w:w="1555" w:type="dxa"/>
            <w:vAlign w:val="center"/>
            <w:hideMark/>
          </w:tcPr>
          <w:p w14:paraId="3E42EE79"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28C362F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0.996</w:t>
            </w:r>
          </w:p>
        </w:tc>
        <w:tc>
          <w:tcPr>
            <w:tcW w:w="1066" w:type="dxa"/>
            <w:vAlign w:val="center"/>
            <w:hideMark/>
          </w:tcPr>
          <w:p w14:paraId="6AB84A63"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0.991</w:t>
            </w:r>
          </w:p>
        </w:tc>
        <w:tc>
          <w:tcPr>
            <w:tcW w:w="1066" w:type="dxa"/>
            <w:vAlign w:val="center"/>
            <w:hideMark/>
          </w:tcPr>
          <w:p w14:paraId="3B0A9BB2"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103CC70"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9C6B72F"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476E5F63"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704E4695" w14:textId="77777777" w:rsidR="001A3FC7" w:rsidRPr="00367991" w:rsidRDefault="001A3FC7">
            <w:pPr>
              <w:jc w:val="center"/>
              <w:rPr>
                <w:rFonts w:asciiTheme="majorBidi" w:hAnsiTheme="majorBidi" w:cstheme="majorBidi"/>
                <w:color w:val="000000"/>
                <w:sz w:val="20"/>
                <w:szCs w:val="20"/>
              </w:rPr>
            </w:pPr>
          </w:p>
        </w:tc>
      </w:tr>
      <w:tr w:rsidR="001A3FC7" w:rsidRPr="00367991" w14:paraId="30ED408C" w14:textId="77777777" w:rsidTr="001A3FC7">
        <w:trPr>
          <w:trHeight w:val="340"/>
        </w:trPr>
        <w:tc>
          <w:tcPr>
            <w:tcW w:w="1555" w:type="dxa"/>
            <w:vAlign w:val="center"/>
            <w:hideMark/>
          </w:tcPr>
          <w:p w14:paraId="650BB9E6"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0DE79EE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0.936</w:t>
            </w:r>
          </w:p>
        </w:tc>
        <w:tc>
          <w:tcPr>
            <w:tcW w:w="1066" w:type="dxa"/>
            <w:vAlign w:val="center"/>
            <w:hideMark/>
          </w:tcPr>
          <w:p w14:paraId="09C79814"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0.917</w:t>
            </w:r>
          </w:p>
        </w:tc>
        <w:tc>
          <w:tcPr>
            <w:tcW w:w="1066" w:type="dxa"/>
            <w:vAlign w:val="center"/>
            <w:hideMark/>
          </w:tcPr>
          <w:p w14:paraId="4921E56C"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0.950</w:t>
            </w:r>
          </w:p>
        </w:tc>
        <w:tc>
          <w:tcPr>
            <w:tcW w:w="1066" w:type="dxa"/>
            <w:vAlign w:val="center"/>
            <w:hideMark/>
          </w:tcPr>
          <w:p w14:paraId="346B35E1"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FFEC3D2"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3BAB02EA"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2A9BAA9E" w14:textId="77777777" w:rsidR="001A3FC7" w:rsidRPr="00367991" w:rsidRDefault="001A3FC7">
            <w:pPr>
              <w:jc w:val="center"/>
              <w:rPr>
                <w:rFonts w:asciiTheme="majorBidi" w:hAnsiTheme="majorBidi" w:cstheme="majorBidi"/>
                <w:color w:val="000000"/>
                <w:sz w:val="20"/>
                <w:szCs w:val="20"/>
              </w:rPr>
            </w:pPr>
          </w:p>
        </w:tc>
      </w:tr>
      <w:tr w:rsidR="001A3FC7" w:rsidRPr="00367991" w14:paraId="5E3DA863" w14:textId="77777777" w:rsidTr="001A3FC7">
        <w:trPr>
          <w:trHeight w:val="340"/>
        </w:trPr>
        <w:tc>
          <w:tcPr>
            <w:tcW w:w="1555" w:type="dxa"/>
            <w:vAlign w:val="center"/>
            <w:hideMark/>
          </w:tcPr>
          <w:p w14:paraId="18D209D6" w14:textId="77777777" w:rsidR="001A3FC7" w:rsidRPr="00367991" w:rsidRDefault="001A3FC7">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4CD01B73"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0.940</w:t>
            </w:r>
          </w:p>
        </w:tc>
        <w:tc>
          <w:tcPr>
            <w:tcW w:w="1066" w:type="dxa"/>
            <w:vAlign w:val="center"/>
            <w:hideMark/>
          </w:tcPr>
          <w:p w14:paraId="66B9FA45"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0.930</w:t>
            </w:r>
          </w:p>
        </w:tc>
        <w:tc>
          <w:tcPr>
            <w:tcW w:w="1066" w:type="dxa"/>
            <w:vAlign w:val="center"/>
            <w:hideMark/>
          </w:tcPr>
          <w:p w14:paraId="07C30DB3"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0.913</w:t>
            </w:r>
          </w:p>
        </w:tc>
        <w:tc>
          <w:tcPr>
            <w:tcW w:w="1066" w:type="dxa"/>
            <w:vAlign w:val="center"/>
            <w:hideMark/>
          </w:tcPr>
          <w:p w14:paraId="60F13D54"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0.797</w:t>
            </w:r>
          </w:p>
        </w:tc>
        <w:tc>
          <w:tcPr>
            <w:tcW w:w="1066" w:type="dxa"/>
            <w:vAlign w:val="center"/>
            <w:hideMark/>
          </w:tcPr>
          <w:p w14:paraId="21CAAD4A"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766A754" w14:textId="77777777" w:rsidR="001A3FC7" w:rsidRPr="00367991" w:rsidRDefault="001A3FC7">
            <w:pPr>
              <w:jc w:val="center"/>
              <w:rPr>
                <w:rFonts w:asciiTheme="majorBidi" w:hAnsiTheme="majorBidi" w:cstheme="majorBidi"/>
                <w:color w:val="000000"/>
                <w:sz w:val="20"/>
                <w:szCs w:val="20"/>
              </w:rPr>
            </w:pPr>
          </w:p>
        </w:tc>
        <w:tc>
          <w:tcPr>
            <w:tcW w:w="1066" w:type="dxa"/>
            <w:vAlign w:val="center"/>
          </w:tcPr>
          <w:p w14:paraId="382E2B3E" w14:textId="77777777" w:rsidR="001A3FC7" w:rsidRPr="00367991" w:rsidRDefault="001A3FC7">
            <w:pPr>
              <w:jc w:val="center"/>
              <w:rPr>
                <w:rFonts w:asciiTheme="majorBidi" w:hAnsiTheme="majorBidi" w:cstheme="majorBidi"/>
                <w:color w:val="000000"/>
                <w:sz w:val="20"/>
                <w:szCs w:val="20"/>
              </w:rPr>
            </w:pPr>
          </w:p>
        </w:tc>
      </w:tr>
      <w:tr w:rsidR="001A3FC7" w:rsidRPr="00367991" w14:paraId="42AED2E4" w14:textId="77777777" w:rsidTr="001A3FC7">
        <w:trPr>
          <w:trHeight w:val="340"/>
        </w:trPr>
        <w:tc>
          <w:tcPr>
            <w:tcW w:w="1555" w:type="dxa"/>
            <w:vAlign w:val="center"/>
            <w:hideMark/>
          </w:tcPr>
          <w:p w14:paraId="7E71C703" w14:textId="77777777" w:rsidR="001A3FC7" w:rsidRPr="00367991" w:rsidRDefault="001A3FC7">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6DECB141"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0.979</w:t>
            </w:r>
          </w:p>
        </w:tc>
        <w:tc>
          <w:tcPr>
            <w:tcW w:w="1066" w:type="dxa"/>
            <w:vAlign w:val="center"/>
            <w:hideMark/>
          </w:tcPr>
          <w:p w14:paraId="2C58EB7F"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0.979</w:t>
            </w:r>
          </w:p>
        </w:tc>
        <w:tc>
          <w:tcPr>
            <w:tcW w:w="1066" w:type="dxa"/>
            <w:vAlign w:val="center"/>
            <w:hideMark/>
          </w:tcPr>
          <w:p w14:paraId="6A4F3BBA"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0.991</w:t>
            </w:r>
          </w:p>
        </w:tc>
        <w:tc>
          <w:tcPr>
            <w:tcW w:w="1066" w:type="dxa"/>
            <w:vAlign w:val="center"/>
            <w:hideMark/>
          </w:tcPr>
          <w:p w14:paraId="7CB3518B"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0.962</w:t>
            </w:r>
          </w:p>
        </w:tc>
        <w:tc>
          <w:tcPr>
            <w:tcW w:w="1066" w:type="dxa"/>
            <w:vAlign w:val="center"/>
            <w:hideMark/>
          </w:tcPr>
          <w:p w14:paraId="064C2ED2"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0.861</w:t>
            </w:r>
          </w:p>
        </w:tc>
        <w:tc>
          <w:tcPr>
            <w:tcW w:w="1066" w:type="dxa"/>
            <w:vAlign w:val="center"/>
            <w:hideMark/>
          </w:tcPr>
          <w:p w14:paraId="33ACE25E"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A74ECD8" w14:textId="77777777" w:rsidR="001A3FC7" w:rsidRPr="00367991" w:rsidRDefault="001A3FC7">
            <w:pPr>
              <w:jc w:val="center"/>
              <w:rPr>
                <w:rFonts w:asciiTheme="majorBidi" w:hAnsiTheme="majorBidi" w:cstheme="majorBidi"/>
                <w:color w:val="000000"/>
                <w:sz w:val="20"/>
                <w:szCs w:val="20"/>
              </w:rPr>
            </w:pPr>
          </w:p>
        </w:tc>
      </w:tr>
      <w:tr w:rsidR="001A3FC7" w:rsidRPr="00367991" w14:paraId="35C247A7" w14:textId="77777777" w:rsidTr="001A3FC7">
        <w:trPr>
          <w:trHeight w:val="340"/>
        </w:trPr>
        <w:tc>
          <w:tcPr>
            <w:tcW w:w="1555" w:type="dxa"/>
            <w:vAlign w:val="center"/>
            <w:hideMark/>
          </w:tcPr>
          <w:p w14:paraId="47DD460D" w14:textId="77777777" w:rsidR="001A3FC7" w:rsidRPr="00367991" w:rsidRDefault="001A3FC7">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0ED536AB"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0.999</w:t>
            </w:r>
          </w:p>
        </w:tc>
        <w:tc>
          <w:tcPr>
            <w:tcW w:w="1066" w:type="dxa"/>
            <w:vAlign w:val="center"/>
            <w:hideMark/>
          </w:tcPr>
          <w:p w14:paraId="249EFEB6"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0.992</w:t>
            </w:r>
          </w:p>
        </w:tc>
        <w:tc>
          <w:tcPr>
            <w:tcW w:w="1066" w:type="dxa"/>
            <w:vAlign w:val="center"/>
            <w:hideMark/>
          </w:tcPr>
          <w:p w14:paraId="029E55A0"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0.997</w:t>
            </w:r>
          </w:p>
        </w:tc>
        <w:tc>
          <w:tcPr>
            <w:tcW w:w="1066" w:type="dxa"/>
            <w:vAlign w:val="center"/>
            <w:hideMark/>
          </w:tcPr>
          <w:p w14:paraId="0F4795DF"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0.943</w:t>
            </w:r>
          </w:p>
        </w:tc>
        <w:tc>
          <w:tcPr>
            <w:tcW w:w="1066" w:type="dxa"/>
            <w:vAlign w:val="center"/>
            <w:hideMark/>
          </w:tcPr>
          <w:p w14:paraId="484D4F13"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0.939</w:t>
            </w:r>
          </w:p>
        </w:tc>
        <w:tc>
          <w:tcPr>
            <w:tcW w:w="1066" w:type="dxa"/>
            <w:vAlign w:val="center"/>
            <w:hideMark/>
          </w:tcPr>
          <w:p w14:paraId="58DF6C2F"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0.979</w:t>
            </w:r>
          </w:p>
        </w:tc>
        <w:tc>
          <w:tcPr>
            <w:tcW w:w="1066" w:type="dxa"/>
            <w:vAlign w:val="center"/>
            <w:hideMark/>
          </w:tcPr>
          <w:p w14:paraId="0E463094" w14:textId="77777777" w:rsidR="001A3FC7" w:rsidRPr="00367991" w:rsidRDefault="001A3FC7">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bl>
    <w:p w14:paraId="2CBC9F47" w14:textId="77777777" w:rsidR="001A3FC7" w:rsidRDefault="001A3FC7" w:rsidP="001A3FC7">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227F498E" w14:textId="0980220E" w:rsidR="001A3FC7" w:rsidRDefault="001A3FC7" w:rsidP="001A3FC7"/>
    <w:p w14:paraId="13A73746" w14:textId="0A8490EA" w:rsidR="001A3FC7" w:rsidRDefault="001A3FC7" w:rsidP="001A3FC7">
      <w:r>
        <w:br w:type="page"/>
      </w:r>
    </w:p>
    <w:p w14:paraId="4AA30EC6" w14:textId="3183C181" w:rsidR="00F37018" w:rsidRPr="00994234" w:rsidRDefault="00F37018" w:rsidP="00F37018">
      <w:pPr>
        <w:spacing w:line="360" w:lineRule="auto"/>
        <w:rPr>
          <w:b/>
          <w:bCs/>
          <w:lang w:val="mi-NZ"/>
        </w:rPr>
      </w:pPr>
      <w:r w:rsidRPr="00994234">
        <w:rPr>
          <w:b/>
          <w:bCs/>
          <w:lang w:val="mi-NZ"/>
        </w:rPr>
        <w:lastRenderedPageBreak/>
        <w:t xml:space="preserve">Table </w:t>
      </w:r>
      <w:r>
        <w:rPr>
          <w:b/>
          <w:bCs/>
          <w:lang w:val="mi-NZ"/>
        </w:rPr>
        <w:t>A2</w:t>
      </w:r>
      <w:r w:rsidRPr="00994234">
        <w:rPr>
          <w:b/>
          <w:bCs/>
          <w:lang w:val="mi-NZ"/>
        </w:rPr>
        <w:t xml:space="preserve">. </w:t>
      </w:r>
      <w:r w:rsidRPr="00F37018">
        <w:rPr>
          <w:b/>
          <w:bCs/>
          <w:lang w:val="mi-NZ"/>
        </w:rPr>
        <w:t>Spearman rank correlations between measures of structural ageing based on country-level data 1950, 2020, and 2100</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F37018" w:rsidRPr="00367991" w14:paraId="51C1A7AB" w14:textId="77777777" w:rsidTr="00F37018">
        <w:trPr>
          <w:trHeight w:val="470"/>
        </w:trPr>
        <w:tc>
          <w:tcPr>
            <w:tcW w:w="1555" w:type="dxa"/>
            <w:tcBorders>
              <w:top w:val="single" w:sz="4" w:space="0" w:color="auto"/>
              <w:bottom w:val="single" w:sz="4" w:space="0" w:color="auto"/>
            </w:tcBorders>
            <w:vAlign w:val="center"/>
            <w:hideMark/>
          </w:tcPr>
          <w:p w14:paraId="0B5D3E04" w14:textId="77777777" w:rsidR="00F37018" w:rsidRPr="00367991" w:rsidRDefault="00F37018">
            <w:pPr>
              <w:rPr>
                <w:rFonts w:asciiTheme="majorBidi" w:hAnsiTheme="majorBidi" w:cstheme="majorBidi"/>
                <w:b/>
                <w:bCs/>
                <w:sz w:val="20"/>
                <w:szCs w:val="20"/>
                <w:lang w:val="en-NZ" w:eastAsia="zh-CN"/>
              </w:rPr>
            </w:pPr>
            <w:r w:rsidRPr="00367991">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1320CDFD"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6C8B0EAA"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DBE92F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3189CF2"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62499E8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CER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D532D69"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OADR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B01DE80" w14:textId="77777777" w:rsidR="00F37018" w:rsidRPr="00367991" w:rsidRDefault="00F37018">
            <w:pPr>
              <w:jc w:val="center"/>
              <w:rPr>
                <w:rFonts w:asciiTheme="majorBidi" w:hAnsiTheme="majorBidi" w:cstheme="majorBidi"/>
                <w:b/>
                <w:bCs/>
                <w:color w:val="000000"/>
                <w:sz w:val="20"/>
                <w:szCs w:val="20"/>
              </w:rPr>
            </w:pPr>
            <w:r w:rsidRPr="00367991">
              <w:rPr>
                <w:rFonts w:asciiTheme="majorBidi" w:hAnsiTheme="majorBidi" w:cstheme="majorBidi"/>
                <w:b/>
                <w:bCs/>
                <w:color w:val="000000"/>
                <w:sz w:val="20"/>
                <w:szCs w:val="20"/>
              </w:rPr>
              <w:t>RMSA</w:t>
            </w:r>
            <w:r w:rsidRPr="00367991">
              <w:rPr>
                <w:rFonts w:asciiTheme="majorBidi" w:hAnsiTheme="majorBidi" w:cstheme="majorBidi"/>
                <w:b/>
                <w:bCs/>
                <w:color w:val="000000"/>
                <w:sz w:val="20"/>
                <w:szCs w:val="20"/>
                <w:vertAlign w:val="superscript"/>
              </w:rPr>
              <w:t>***</w:t>
            </w:r>
          </w:p>
        </w:tc>
      </w:tr>
      <w:tr w:rsidR="00F37018" w:rsidRPr="00367991" w14:paraId="082D49C1" w14:textId="77777777" w:rsidTr="00F37018">
        <w:trPr>
          <w:trHeight w:val="340"/>
        </w:trPr>
        <w:tc>
          <w:tcPr>
            <w:tcW w:w="1555" w:type="dxa"/>
            <w:tcBorders>
              <w:top w:val="single" w:sz="4" w:space="0" w:color="auto"/>
            </w:tcBorders>
            <w:vAlign w:val="center"/>
            <w:hideMark/>
          </w:tcPr>
          <w:p w14:paraId="0D4A3CCA" w14:textId="77777777" w:rsidR="00F37018" w:rsidRPr="00367991" w:rsidRDefault="00F37018">
            <w:pPr>
              <w:rPr>
                <w:rFonts w:asciiTheme="majorBidi" w:hAnsiTheme="majorBidi" w:cstheme="majorBidi"/>
                <w:b/>
                <w:bCs/>
                <w:sz w:val="20"/>
                <w:szCs w:val="20"/>
              </w:rPr>
            </w:pPr>
            <w:r w:rsidRPr="00367991">
              <w:rPr>
                <w:rFonts w:asciiTheme="majorBidi" w:hAnsiTheme="majorBidi" w:cstheme="majorBidi"/>
                <w:b/>
                <w:bCs/>
                <w:color w:val="000000"/>
                <w:sz w:val="20"/>
                <w:szCs w:val="20"/>
              </w:rPr>
              <w:t>1950</w:t>
            </w:r>
          </w:p>
        </w:tc>
        <w:tc>
          <w:tcPr>
            <w:tcW w:w="1065" w:type="dxa"/>
            <w:tcBorders>
              <w:top w:val="single" w:sz="4" w:space="0" w:color="auto"/>
            </w:tcBorders>
            <w:vAlign w:val="center"/>
          </w:tcPr>
          <w:p w14:paraId="740AD9E9"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5F56B940"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1D0DC4F6"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3449DCBF"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10A65AE4"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58F98597"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7786C480" w14:textId="77777777" w:rsidR="00F37018" w:rsidRPr="00367991" w:rsidRDefault="00F37018">
            <w:pPr>
              <w:jc w:val="center"/>
              <w:rPr>
                <w:rFonts w:asciiTheme="majorBidi" w:hAnsiTheme="majorBidi" w:cstheme="majorBidi"/>
                <w:b/>
                <w:bCs/>
                <w:color w:val="000000"/>
                <w:sz w:val="20"/>
                <w:szCs w:val="20"/>
              </w:rPr>
            </w:pPr>
          </w:p>
        </w:tc>
      </w:tr>
      <w:tr w:rsidR="00F37018" w:rsidRPr="00367991" w14:paraId="3A1EC485" w14:textId="77777777" w:rsidTr="00F37018">
        <w:trPr>
          <w:trHeight w:val="340"/>
        </w:trPr>
        <w:tc>
          <w:tcPr>
            <w:tcW w:w="1555" w:type="dxa"/>
            <w:vAlign w:val="center"/>
            <w:hideMark/>
          </w:tcPr>
          <w:p w14:paraId="4C73304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7A0FF25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50D14960" w14:textId="77777777" w:rsidR="00F37018" w:rsidRPr="00367991" w:rsidRDefault="00F37018">
            <w:pPr>
              <w:jc w:val="center"/>
              <w:rPr>
                <w:rFonts w:asciiTheme="majorBidi" w:hAnsiTheme="majorBidi" w:cstheme="majorBidi"/>
                <w:sz w:val="20"/>
                <w:szCs w:val="20"/>
              </w:rPr>
            </w:pPr>
          </w:p>
        </w:tc>
        <w:tc>
          <w:tcPr>
            <w:tcW w:w="1066" w:type="dxa"/>
            <w:vAlign w:val="center"/>
          </w:tcPr>
          <w:p w14:paraId="07F8CA42" w14:textId="77777777" w:rsidR="00F37018" w:rsidRPr="00367991" w:rsidRDefault="00F37018">
            <w:pPr>
              <w:jc w:val="center"/>
              <w:rPr>
                <w:rFonts w:asciiTheme="majorBidi" w:hAnsiTheme="majorBidi" w:cstheme="majorBidi"/>
                <w:sz w:val="20"/>
                <w:szCs w:val="20"/>
              </w:rPr>
            </w:pPr>
          </w:p>
        </w:tc>
        <w:tc>
          <w:tcPr>
            <w:tcW w:w="1066" w:type="dxa"/>
            <w:vAlign w:val="center"/>
          </w:tcPr>
          <w:p w14:paraId="6E740C6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50CE81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B30B35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65DDE1C" w14:textId="77777777" w:rsidR="00F37018" w:rsidRPr="00367991" w:rsidRDefault="00F37018">
            <w:pPr>
              <w:jc w:val="center"/>
              <w:rPr>
                <w:rFonts w:asciiTheme="majorBidi" w:hAnsiTheme="majorBidi" w:cstheme="majorBidi"/>
                <w:color w:val="000000"/>
                <w:sz w:val="20"/>
                <w:szCs w:val="20"/>
              </w:rPr>
            </w:pPr>
          </w:p>
        </w:tc>
      </w:tr>
      <w:tr w:rsidR="00F37018" w:rsidRPr="00367991" w14:paraId="4282004E" w14:textId="77777777" w:rsidTr="00F37018">
        <w:trPr>
          <w:trHeight w:val="340"/>
        </w:trPr>
        <w:tc>
          <w:tcPr>
            <w:tcW w:w="1555" w:type="dxa"/>
            <w:vAlign w:val="center"/>
            <w:hideMark/>
          </w:tcPr>
          <w:p w14:paraId="4965EED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6687B33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0.973</w:t>
            </w:r>
          </w:p>
        </w:tc>
        <w:tc>
          <w:tcPr>
            <w:tcW w:w="1066" w:type="dxa"/>
            <w:vAlign w:val="center"/>
            <w:hideMark/>
          </w:tcPr>
          <w:p w14:paraId="7EF36FBD"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5C12A44A" w14:textId="77777777" w:rsidR="00F37018" w:rsidRPr="00367991" w:rsidRDefault="00F37018">
            <w:pPr>
              <w:jc w:val="center"/>
              <w:rPr>
                <w:rFonts w:asciiTheme="majorBidi" w:hAnsiTheme="majorBidi" w:cstheme="majorBidi"/>
                <w:sz w:val="20"/>
                <w:szCs w:val="20"/>
              </w:rPr>
            </w:pPr>
          </w:p>
        </w:tc>
        <w:tc>
          <w:tcPr>
            <w:tcW w:w="1066" w:type="dxa"/>
            <w:vAlign w:val="center"/>
          </w:tcPr>
          <w:p w14:paraId="523583D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A0F006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C90607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9D098C8" w14:textId="77777777" w:rsidR="00F37018" w:rsidRPr="00367991" w:rsidRDefault="00F37018">
            <w:pPr>
              <w:jc w:val="center"/>
              <w:rPr>
                <w:rFonts w:asciiTheme="majorBidi" w:hAnsiTheme="majorBidi" w:cstheme="majorBidi"/>
                <w:color w:val="000000"/>
                <w:sz w:val="20"/>
                <w:szCs w:val="20"/>
              </w:rPr>
            </w:pPr>
          </w:p>
        </w:tc>
      </w:tr>
      <w:tr w:rsidR="00F37018" w:rsidRPr="00367991" w14:paraId="6AC93C08" w14:textId="77777777" w:rsidTr="00F37018">
        <w:trPr>
          <w:trHeight w:val="340"/>
        </w:trPr>
        <w:tc>
          <w:tcPr>
            <w:tcW w:w="1555" w:type="dxa"/>
            <w:vAlign w:val="center"/>
            <w:hideMark/>
          </w:tcPr>
          <w:p w14:paraId="10528D66"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4A074C7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0.898</w:t>
            </w:r>
          </w:p>
        </w:tc>
        <w:tc>
          <w:tcPr>
            <w:tcW w:w="1066" w:type="dxa"/>
            <w:vAlign w:val="center"/>
            <w:hideMark/>
          </w:tcPr>
          <w:p w14:paraId="150D0C8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0.799</w:t>
            </w:r>
          </w:p>
        </w:tc>
        <w:tc>
          <w:tcPr>
            <w:tcW w:w="1066" w:type="dxa"/>
            <w:vAlign w:val="center"/>
            <w:hideMark/>
          </w:tcPr>
          <w:p w14:paraId="30A58F33"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5A73654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80229A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6045D4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07B71CB" w14:textId="77777777" w:rsidR="00F37018" w:rsidRPr="00367991" w:rsidRDefault="00F37018">
            <w:pPr>
              <w:jc w:val="center"/>
              <w:rPr>
                <w:rFonts w:asciiTheme="majorBidi" w:hAnsiTheme="majorBidi" w:cstheme="majorBidi"/>
                <w:color w:val="000000"/>
                <w:sz w:val="20"/>
                <w:szCs w:val="20"/>
              </w:rPr>
            </w:pPr>
          </w:p>
        </w:tc>
      </w:tr>
      <w:tr w:rsidR="00F37018" w:rsidRPr="00367991" w14:paraId="66AAB0FC" w14:textId="77777777" w:rsidTr="00F37018">
        <w:trPr>
          <w:trHeight w:val="340"/>
        </w:trPr>
        <w:tc>
          <w:tcPr>
            <w:tcW w:w="1555" w:type="dxa"/>
            <w:vAlign w:val="center"/>
            <w:hideMark/>
          </w:tcPr>
          <w:p w14:paraId="4510DD1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32FEA1A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0.753</w:t>
            </w:r>
          </w:p>
        </w:tc>
        <w:tc>
          <w:tcPr>
            <w:tcW w:w="1066" w:type="dxa"/>
            <w:vAlign w:val="center"/>
            <w:hideMark/>
          </w:tcPr>
          <w:p w14:paraId="6D8B9B5E"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0.660</w:t>
            </w:r>
          </w:p>
        </w:tc>
        <w:tc>
          <w:tcPr>
            <w:tcW w:w="1066" w:type="dxa"/>
            <w:vAlign w:val="center"/>
            <w:hideMark/>
          </w:tcPr>
          <w:p w14:paraId="1FD444FC"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0.857</w:t>
            </w:r>
          </w:p>
        </w:tc>
        <w:tc>
          <w:tcPr>
            <w:tcW w:w="1066" w:type="dxa"/>
            <w:vAlign w:val="center"/>
            <w:hideMark/>
          </w:tcPr>
          <w:p w14:paraId="2D67375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BC1C1A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32E98A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DA3240C" w14:textId="77777777" w:rsidR="00F37018" w:rsidRPr="00367991" w:rsidRDefault="00F37018">
            <w:pPr>
              <w:jc w:val="center"/>
              <w:rPr>
                <w:rFonts w:asciiTheme="majorBidi" w:hAnsiTheme="majorBidi" w:cstheme="majorBidi"/>
                <w:color w:val="000000"/>
                <w:sz w:val="20"/>
                <w:szCs w:val="20"/>
              </w:rPr>
            </w:pPr>
          </w:p>
        </w:tc>
      </w:tr>
      <w:tr w:rsidR="00F37018" w:rsidRPr="00367991" w14:paraId="1A9026CD" w14:textId="77777777" w:rsidTr="00F37018">
        <w:trPr>
          <w:trHeight w:val="340"/>
        </w:trPr>
        <w:tc>
          <w:tcPr>
            <w:tcW w:w="1555" w:type="dxa"/>
            <w:vAlign w:val="center"/>
            <w:hideMark/>
          </w:tcPr>
          <w:p w14:paraId="3D548F1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7002FDA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0.961</w:t>
            </w:r>
          </w:p>
        </w:tc>
        <w:tc>
          <w:tcPr>
            <w:tcW w:w="1066" w:type="dxa"/>
            <w:vAlign w:val="center"/>
            <w:hideMark/>
          </w:tcPr>
          <w:p w14:paraId="3DCA2A17"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0.889</w:t>
            </w:r>
          </w:p>
        </w:tc>
        <w:tc>
          <w:tcPr>
            <w:tcW w:w="1066" w:type="dxa"/>
            <w:vAlign w:val="center"/>
            <w:hideMark/>
          </w:tcPr>
          <w:p w14:paraId="0FBD8B33"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0.976</w:t>
            </w:r>
          </w:p>
        </w:tc>
        <w:tc>
          <w:tcPr>
            <w:tcW w:w="1066" w:type="dxa"/>
            <w:vAlign w:val="center"/>
            <w:hideMark/>
          </w:tcPr>
          <w:p w14:paraId="7591EB0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0.819</w:t>
            </w:r>
          </w:p>
        </w:tc>
        <w:tc>
          <w:tcPr>
            <w:tcW w:w="1066" w:type="dxa"/>
            <w:vAlign w:val="center"/>
            <w:hideMark/>
          </w:tcPr>
          <w:p w14:paraId="79F1908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3418A8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46CBCB4" w14:textId="77777777" w:rsidR="00F37018" w:rsidRPr="00367991" w:rsidRDefault="00F37018">
            <w:pPr>
              <w:jc w:val="center"/>
              <w:rPr>
                <w:rFonts w:asciiTheme="majorBidi" w:hAnsiTheme="majorBidi" w:cstheme="majorBidi"/>
                <w:color w:val="000000"/>
                <w:sz w:val="20"/>
                <w:szCs w:val="20"/>
              </w:rPr>
            </w:pPr>
          </w:p>
        </w:tc>
      </w:tr>
      <w:tr w:rsidR="00F37018" w:rsidRPr="00367991" w14:paraId="48D598B4" w14:textId="77777777" w:rsidTr="00F37018">
        <w:trPr>
          <w:trHeight w:val="340"/>
        </w:trPr>
        <w:tc>
          <w:tcPr>
            <w:tcW w:w="1555" w:type="dxa"/>
            <w:vAlign w:val="center"/>
            <w:hideMark/>
          </w:tcPr>
          <w:p w14:paraId="272D3F0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OADR</w:t>
            </w:r>
          </w:p>
        </w:tc>
        <w:tc>
          <w:tcPr>
            <w:tcW w:w="1065" w:type="dxa"/>
            <w:vAlign w:val="center"/>
            <w:hideMark/>
          </w:tcPr>
          <w:p w14:paraId="0DD8682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0.827</w:t>
            </w:r>
          </w:p>
        </w:tc>
        <w:tc>
          <w:tcPr>
            <w:tcW w:w="1066" w:type="dxa"/>
            <w:vAlign w:val="center"/>
            <w:hideMark/>
          </w:tcPr>
          <w:p w14:paraId="4220943B"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0.709</w:t>
            </w:r>
          </w:p>
        </w:tc>
        <w:tc>
          <w:tcPr>
            <w:tcW w:w="1066" w:type="dxa"/>
            <w:vAlign w:val="center"/>
            <w:hideMark/>
          </w:tcPr>
          <w:p w14:paraId="76E3832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0.987</w:t>
            </w:r>
          </w:p>
        </w:tc>
        <w:tc>
          <w:tcPr>
            <w:tcW w:w="1066" w:type="dxa"/>
            <w:vAlign w:val="center"/>
            <w:hideMark/>
          </w:tcPr>
          <w:p w14:paraId="112A982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0.860</w:t>
            </w:r>
          </w:p>
        </w:tc>
        <w:tc>
          <w:tcPr>
            <w:tcW w:w="1066" w:type="dxa"/>
            <w:vAlign w:val="center"/>
            <w:hideMark/>
          </w:tcPr>
          <w:p w14:paraId="2A1CD4A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0.933</w:t>
            </w:r>
          </w:p>
        </w:tc>
        <w:tc>
          <w:tcPr>
            <w:tcW w:w="1066" w:type="dxa"/>
            <w:vAlign w:val="center"/>
            <w:hideMark/>
          </w:tcPr>
          <w:p w14:paraId="2F180B5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8784400" w14:textId="77777777" w:rsidR="00F37018" w:rsidRPr="00367991" w:rsidRDefault="00F37018">
            <w:pPr>
              <w:jc w:val="center"/>
              <w:rPr>
                <w:rFonts w:asciiTheme="majorBidi" w:hAnsiTheme="majorBidi" w:cstheme="majorBidi"/>
                <w:color w:val="000000"/>
                <w:sz w:val="20"/>
                <w:szCs w:val="20"/>
              </w:rPr>
            </w:pPr>
          </w:p>
        </w:tc>
      </w:tr>
      <w:tr w:rsidR="00F37018" w:rsidRPr="00367991" w14:paraId="32980F98" w14:textId="77777777" w:rsidTr="00F37018">
        <w:trPr>
          <w:trHeight w:val="340"/>
        </w:trPr>
        <w:tc>
          <w:tcPr>
            <w:tcW w:w="1555" w:type="dxa"/>
            <w:vAlign w:val="center"/>
            <w:hideMark/>
          </w:tcPr>
          <w:p w14:paraId="45501006"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RMSA</w:t>
            </w:r>
          </w:p>
        </w:tc>
        <w:tc>
          <w:tcPr>
            <w:tcW w:w="1065" w:type="dxa"/>
            <w:vAlign w:val="center"/>
            <w:hideMark/>
          </w:tcPr>
          <w:p w14:paraId="2B839FD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0.986</w:t>
            </w:r>
          </w:p>
        </w:tc>
        <w:tc>
          <w:tcPr>
            <w:tcW w:w="1066" w:type="dxa"/>
            <w:vAlign w:val="center"/>
            <w:hideMark/>
          </w:tcPr>
          <w:p w14:paraId="7397663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0.930</w:t>
            </w:r>
          </w:p>
        </w:tc>
        <w:tc>
          <w:tcPr>
            <w:tcW w:w="1066" w:type="dxa"/>
            <w:vAlign w:val="center"/>
            <w:hideMark/>
          </w:tcPr>
          <w:p w14:paraId="123898B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0.948</w:t>
            </w:r>
          </w:p>
        </w:tc>
        <w:tc>
          <w:tcPr>
            <w:tcW w:w="1066" w:type="dxa"/>
            <w:vAlign w:val="center"/>
            <w:hideMark/>
          </w:tcPr>
          <w:p w14:paraId="20480E7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0.802</w:t>
            </w:r>
          </w:p>
        </w:tc>
        <w:tc>
          <w:tcPr>
            <w:tcW w:w="1066" w:type="dxa"/>
            <w:vAlign w:val="center"/>
            <w:hideMark/>
          </w:tcPr>
          <w:p w14:paraId="076068A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189B1AE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0.893</w:t>
            </w:r>
          </w:p>
        </w:tc>
        <w:tc>
          <w:tcPr>
            <w:tcW w:w="1066" w:type="dxa"/>
            <w:vAlign w:val="center"/>
            <w:hideMark/>
          </w:tcPr>
          <w:p w14:paraId="1163895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76FD1CE0" w14:textId="77777777" w:rsidTr="00F37018">
        <w:trPr>
          <w:trHeight w:val="340"/>
        </w:trPr>
        <w:tc>
          <w:tcPr>
            <w:tcW w:w="1555" w:type="dxa"/>
            <w:vAlign w:val="center"/>
          </w:tcPr>
          <w:p w14:paraId="0E9AF6EA" w14:textId="77777777" w:rsidR="00F37018" w:rsidRPr="00367991" w:rsidRDefault="00F37018">
            <w:pPr>
              <w:rPr>
                <w:rFonts w:asciiTheme="majorBidi" w:hAnsiTheme="majorBidi" w:cstheme="majorBidi"/>
                <w:sz w:val="20"/>
                <w:szCs w:val="20"/>
              </w:rPr>
            </w:pPr>
          </w:p>
        </w:tc>
        <w:tc>
          <w:tcPr>
            <w:tcW w:w="1065" w:type="dxa"/>
            <w:vAlign w:val="center"/>
          </w:tcPr>
          <w:p w14:paraId="69FF276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C98782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047790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0FA757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379C02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0CDA9E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CFBE7EC" w14:textId="77777777" w:rsidR="00F37018" w:rsidRPr="00367991" w:rsidRDefault="00F37018">
            <w:pPr>
              <w:jc w:val="center"/>
              <w:rPr>
                <w:rFonts w:asciiTheme="majorBidi" w:hAnsiTheme="majorBidi" w:cstheme="majorBidi"/>
                <w:color w:val="000000"/>
                <w:sz w:val="20"/>
                <w:szCs w:val="20"/>
              </w:rPr>
            </w:pPr>
          </w:p>
        </w:tc>
      </w:tr>
      <w:tr w:rsidR="00F37018" w:rsidRPr="00367991" w14:paraId="2AAF242B" w14:textId="77777777" w:rsidTr="00F37018">
        <w:trPr>
          <w:trHeight w:val="340"/>
        </w:trPr>
        <w:tc>
          <w:tcPr>
            <w:tcW w:w="1555" w:type="dxa"/>
            <w:vAlign w:val="center"/>
            <w:hideMark/>
          </w:tcPr>
          <w:p w14:paraId="6749BCE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2020</w:t>
            </w:r>
          </w:p>
        </w:tc>
        <w:tc>
          <w:tcPr>
            <w:tcW w:w="1065" w:type="dxa"/>
            <w:vAlign w:val="center"/>
          </w:tcPr>
          <w:p w14:paraId="12E0C9C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4A8B0C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693917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63FAE9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41A7B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704901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519D28C" w14:textId="77777777" w:rsidR="00F37018" w:rsidRPr="00367991" w:rsidRDefault="00F37018">
            <w:pPr>
              <w:jc w:val="center"/>
              <w:rPr>
                <w:rFonts w:asciiTheme="majorBidi" w:hAnsiTheme="majorBidi" w:cstheme="majorBidi"/>
                <w:color w:val="000000"/>
                <w:sz w:val="20"/>
                <w:szCs w:val="20"/>
              </w:rPr>
            </w:pPr>
          </w:p>
        </w:tc>
      </w:tr>
      <w:tr w:rsidR="00F37018" w:rsidRPr="00367991" w14:paraId="23259595" w14:textId="77777777" w:rsidTr="00F37018">
        <w:trPr>
          <w:trHeight w:val="340"/>
        </w:trPr>
        <w:tc>
          <w:tcPr>
            <w:tcW w:w="1555" w:type="dxa"/>
            <w:vAlign w:val="center"/>
            <w:hideMark/>
          </w:tcPr>
          <w:p w14:paraId="1C0B6143"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7B9F006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DE08BE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A63CDD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1DCC8C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E0EACE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40B8EC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A70597A" w14:textId="77777777" w:rsidR="00F37018" w:rsidRPr="00367991" w:rsidRDefault="00F37018">
            <w:pPr>
              <w:jc w:val="center"/>
              <w:rPr>
                <w:rFonts w:asciiTheme="majorBidi" w:hAnsiTheme="majorBidi" w:cstheme="majorBidi"/>
                <w:color w:val="000000"/>
                <w:sz w:val="20"/>
                <w:szCs w:val="20"/>
              </w:rPr>
            </w:pPr>
          </w:p>
        </w:tc>
      </w:tr>
      <w:tr w:rsidR="00F37018" w:rsidRPr="00367991" w14:paraId="0E57E4DF" w14:textId="77777777" w:rsidTr="00F37018">
        <w:trPr>
          <w:trHeight w:val="340"/>
        </w:trPr>
        <w:tc>
          <w:tcPr>
            <w:tcW w:w="1555" w:type="dxa"/>
            <w:vAlign w:val="center"/>
            <w:hideMark/>
          </w:tcPr>
          <w:p w14:paraId="73E83D0F"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2F7B50A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0.995</w:t>
            </w:r>
          </w:p>
        </w:tc>
        <w:tc>
          <w:tcPr>
            <w:tcW w:w="1066" w:type="dxa"/>
            <w:vAlign w:val="center"/>
            <w:hideMark/>
          </w:tcPr>
          <w:p w14:paraId="28D2C9C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99485D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1DFE7D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5CF0A2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2C5B0E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5210208" w14:textId="77777777" w:rsidR="00F37018" w:rsidRPr="00367991" w:rsidRDefault="00F37018">
            <w:pPr>
              <w:jc w:val="center"/>
              <w:rPr>
                <w:rFonts w:asciiTheme="majorBidi" w:hAnsiTheme="majorBidi" w:cstheme="majorBidi"/>
                <w:color w:val="000000"/>
                <w:sz w:val="20"/>
                <w:szCs w:val="20"/>
              </w:rPr>
            </w:pPr>
          </w:p>
        </w:tc>
      </w:tr>
      <w:tr w:rsidR="00F37018" w:rsidRPr="00367991" w14:paraId="740252DB" w14:textId="77777777" w:rsidTr="00F37018">
        <w:trPr>
          <w:trHeight w:val="340"/>
        </w:trPr>
        <w:tc>
          <w:tcPr>
            <w:tcW w:w="1555" w:type="dxa"/>
            <w:vAlign w:val="center"/>
            <w:hideMark/>
          </w:tcPr>
          <w:p w14:paraId="5CF40212"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18005C2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0.949</w:t>
            </w:r>
          </w:p>
        </w:tc>
        <w:tc>
          <w:tcPr>
            <w:tcW w:w="1066" w:type="dxa"/>
            <w:vAlign w:val="center"/>
            <w:hideMark/>
          </w:tcPr>
          <w:p w14:paraId="60DD434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0.925</w:t>
            </w:r>
          </w:p>
        </w:tc>
        <w:tc>
          <w:tcPr>
            <w:tcW w:w="1066" w:type="dxa"/>
            <w:vAlign w:val="center"/>
            <w:hideMark/>
          </w:tcPr>
          <w:p w14:paraId="236ACA3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2DC8E8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2539B4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C78669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20424BF" w14:textId="77777777" w:rsidR="00F37018" w:rsidRPr="00367991" w:rsidRDefault="00F37018">
            <w:pPr>
              <w:jc w:val="center"/>
              <w:rPr>
                <w:rFonts w:asciiTheme="majorBidi" w:hAnsiTheme="majorBidi" w:cstheme="majorBidi"/>
                <w:color w:val="000000"/>
                <w:sz w:val="20"/>
                <w:szCs w:val="20"/>
              </w:rPr>
            </w:pPr>
          </w:p>
        </w:tc>
      </w:tr>
      <w:tr w:rsidR="00F37018" w:rsidRPr="00367991" w14:paraId="26521244" w14:textId="77777777" w:rsidTr="00F37018">
        <w:trPr>
          <w:trHeight w:val="340"/>
        </w:trPr>
        <w:tc>
          <w:tcPr>
            <w:tcW w:w="1555" w:type="dxa"/>
            <w:vAlign w:val="center"/>
            <w:hideMark/>
          </w:tcPr>
          <w:p w14:paraId="1831807E"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3E1B1F9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0.929</w:t>
            </w:r>
          </w:p>
        </w:tc>
        <w:tc>
          <w:tcPr>
            <w:tcW w:w="1066" w:type="dxa"/>
            <w:vAlign w:val="center"/>
            <w:hideMark/>
          </w:tcPr>
          <w:p w14:paraId="3197B81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0.904</w:t>
            </w:r>
          </w:p>
        </w:tc>
        <w:tc>
          <w:tcPr>
            <w:tcW w:w="1066" w:type="dxa"/>
            <w:vAlign w:val="center"/>
            <w:hideMark/>
          </w:tcPr>
          <w:p w14:paraId="247D910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0.975</w:t>
            </w:r>
          </w:p>
        </w:tc>
        <w:tc>
          <w:tcPr>
            <w:tcW w:w="1066" w:type="dxa"/>
            <w:vAlign w:val="center"/>
            <w:hideMark/>
          </w:tcPr>
          <w:p w14:paraId="0031E1D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4B180D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8A9B25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12BBF2E" w14:textId="77777777" w:rsidR="00F37018" w:rsidRPr="00367991" w:rsidRDefault="00F37018">
            <w:pPr>
              <w:jc w:val="center"/>
              <w:rPr>
                <w:rFonts w:asciiTheme="majorBidi" w:hAnsiTheme="majorBidi" w:cstheme="majorBidi"/>
                <w:color w:val="000000"/>
                <w:sz w:val="20"/>
                <w:szCs w:val="20"/>
              </w:rPr>
            </w:pPr>
          </w:p>
        </w:tc>
      </w:tr>
      <w:tr w:rsidR="00F37018" w:rsidRPr="00367991" w14:paraId="14CC7D8B" w14:textId="77777777" w:rsidTr="00F37018">
        <w:trPr>
          <w:trHeight w:val="340"/>
        </w:trPr>
        <w:tc>
          <w:tcPr>
            <w:tcW w:w="1555" w:type="dxa"/>
            <w:vAlign w:val="center"/>
            <w:hideMark/>
          </w:tcPr>
          <w:p w14:paraId="35938A4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782C9BE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0.991</w:t>
            </w:r>
          </w:p>
        </w:tc>
        <w:tc>
          <w:tcPr>
            <w:tcW w:w="1066" w:type="dxa"/>
            <w:vAlign w:val="center"/>
            <w:hideMark/>
          </w:tcPr>
          <w:p w14:paraId="626521F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0.978</w:t>
            </w:r>
          </w:p>
        </w:tc>
        <w:tc>
          <w:tcPr>
            <w:tcW w:w="1066" w:type="dxa"/>
            <w:vAlign w:val="center"/>
            <w:hideMark/>
          </w:tcPr>
          <w:p w14:paraId="5CD5CE8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0.974</w:t>
            </w:r>
          </w:p>
        </w:tc>
        <w:tc>
          <w:tcPr>
            <w:tcW w:w="1066" w:type="dxa"/>
            <w:vAlign w:val="center"/>
            <w:hideMark/>
          </w:tcPr>
          <w:p w14:paraId="11613FA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0.950</w:t>
            </w:r>
          </w:p>
        </w:tc>
        <w:tc>
          <w:tcPr>
            <w:tcW w:w="1066" w:type="dxa"/>
            <w:vAlign w:val="center"/>
            <w:hideMark/>
          </w:tcPr>
          <w:p w14:paraId="5AD2BF8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209A4A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6FEB758" w14:textId="77777777" w:rsidR="00F37018" w:rsidRPr="00367991" w:rsidRDefault="00F37018">
            <w:pPr>
              <w:jc w:val="center"/>
              <w:rPr>
                <w:rFonts w:asciiTheme="majorBidi" w:hAnsiTheme="majorBidi" w:cstheme="majorBidi"/>
                <w:color w:val="000000"/>
                <w:sz w:val="20"/>
                <w:szCs w:val="20"/>
              </w:rPr>
            </w:pPr>
          </w:p>
        </w:tc>
      </w:tr>
      <w:tr w:rsidR="00F37018" w:rsidRPr="00367991" w14:paraId="12742A77" w14:textId="77777777" w:rsidTr="00F37018">
        <w:trPr>
          <w:trHeight w:val="340"/>
        </w:trPr>
        <w:tc>
          <w:tcPr>
            <w:tcW w:w="1555" w:type="dxa"/>
            <w:vAlign w:val="center"/>
            <w:hideMark/>
          </w:tcPr>
          <w:p w14:paraId="03F8F76B"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0138870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0.923</w:t>
            </w:r>
          </w:p>
        </w:tc>
        <w:tc>
          <w:tcPr>
            <w:tcW w:w="1066" w:type="dxa"/>
            <w:vAlign w:val="center"/>
            <w:hideMark/>
          </w:tcPr>
          <w:p w14:paraId="70A027F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0.893</w:t>
            </w:r>
          </w:p>
        </w:tc>
        <w:tc>
          <w:tcPr>
            <w:tcW w:w="1066" w:type="dxa"/>
            <w:vAlign w:val="center"/>
            <w:hideMark/>
          </w:tcPr>
          <w:p w14:paraId="4B2A69E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0.994</w:t>
            </w:r>
          </w:p>
        </w:tc>
        <w:tc>
          <w:tcPr>
            <w:tcW w:w="1066" w:type="dxa"/>
            <w:vAlign w:val="center"/>
            <w:hideMark/>
          </w:tcPr>
          <w:p w14:paraId="352D9E4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0.969</w:t>
            </w:r>
          </w:p>
        </w:tc>
        <w:tc>
          <w:tcPr>
            <w:tcW w:w="1066" w:type="dxa"/>
            <w:vAlign w:val="center"/>
            <w:hideMark/>
          </w:tcPr>
          <w:p w14:paraId="321D0D9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0.953</w:t>
            </w:r>
          </w:p>
        </w:tc>
        <w:tc>
          <w:tcPr>
            <w:tcW w:w="1066" w:type="dxa"/>
            <w:vAlign w:val="center"/>
            <w:hideMark/>
          </w:tcPr>
          <w:p w14:paraId="1F9E210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0651F73" w14:textId="77777777" w:rsidR="00F37018" w:rsidRPr="00367991" w:rsidRDefault="00F37018">
            <w:pPr>
              <w:jc w:val="center"/>
              <w:rPr>
                <w:rFonts w:asciiTheme="majorBidi" w:hAnsiTheme="majorBidi" w:cstheme="majorBidi"/>
                <w:color w:val="000000"/>
                <w:sz w:val="20"/>
                <w:szCs w:val="20"/>
              </w:rPr>
            </w:pPr>
          </w:p>
        </w:tc>
      </w:tr>
      <w:tr w:rsidR="00F37018" w:rsidRPr="00367991" w14:paraId="6FF164F8" w14:textId="77777777" w:rsidTr="00F37018">
        <w:trPr>
          <w:trHeight w:val="340"/>
        </w:trPr>
        <w:tc>
          <w:tcPr>
            <w:tcW w:w="1555" w:type="dxa"/>
            <w:vAlign w:val="center"/>
            <w:hideMark/>
          </w:tcPr>
          <w:p w14:paraId="0D8DC6BD"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130DFA4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0.997</w:t>
            </w:r>
          </w:p>
        </w:tc>
        <w:tc>
          <w:tcPr>
            <w:tcW w:w="1066" w:type="dxa"/>
            <w:vAlign w:val="center"/>
            <w:hideMark/>
          </w:tcPr>
          <w:p w14:paraId="1A4769C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0.987</w:t>
            </w:r>
          </w:p>
        </w:tc>
        <w:tc>
          <w:tcPr>
            <w:tcW w:w="1066" w:type="dxa"/>
            <w:vAlign w:val="center"/>
            <w:hideMark/>
          </w:tcPr>
          <w:p w14:paraId="40B1FE6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0.968</w:t>
            </w:r>
          </w:p>
        </w:tc>
        <w:tc>
          <w:tcPr>
            <w:tcW w:w="1066" w:type="dxa"/>
            <w:vAlign w:val="center"/>
            <w:hideMark/>
          </w:tcPr>
          <w:p w14:paraId="077908E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0.947</w:t>
            </w:r>
          </w:p>
        </w:tc>
        <w:tc>
          <w:tcPr>
            <w:tcW w:w="1066" w:type="dxa"/>
            <w:vAlign w:val="center"/>
            <w:hideMark/>
          </w:tcPr>
          <w:p w14:paraId="4957B08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0.994</w:t>
            </w:r>
          </w:p>
        </w:tc>
        <w:tc>
          <w:tcPr>
            <w:tcW w:w="1066" w:type="dxa"/>
            <w:vAlign w:val="center"/>
            <w:hideMark/>
          </w:tcPr>
          <w:p w14:paraId="441C1BB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0.945</w:t>
            </w:r>
          </w:p>
        </w:tc>
        <w:tc>
          <w:tcPr>
            <w:tcW w:w="1066" w:type="dxa"/>
            <w:vAlign w:val="center"/>
            <w:hideMark/>
          </w:tcPr>
          <w:p w14:paraId="0560DC5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1264D414" w14:textId="77777777" w:rsidTr="00F37018">
        <w:trPr>
          <w:trHeight w:val="340"/>
        </w:trPr>
        <w:tc>
          <w:tcPr>
            <w:tcW w:w="1555" w:type="dxa"/>
            <w:vAlign w:val="center"/>
          </w:tcPr>
          <w:p w14:paraId="1ABB71DC" w14:textId="77777777" w:rsidR="00F37018" w:rsidRPr="00367991" w:rsidRDefault="00F37018">
            <w:pPr>
              <w:rPr>
                <w:rFonts w:asciiTheme="majorBidi" w:hAnsiTheme="majorBidi" w:cstheme="majorBidi"/>
                <w:sz w:val="20"/>
                <w:szCs w:val="20"/>
              </w:rPr>
            </w:pPr>
          </w:p>
        </w:tc>
        <w:tc>
          <w:tcPr>
            <w:tcW w:w="1065" w:type="dxa"/>
            <w:vAlign w:val="center"/>
          </w:tcPr>
          <w:p w14:paraId="240BD0D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457089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9F07B5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9B7A7C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5AC062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37430D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B81ECC4" w14:textId="77777777" w:rsidR="00F37018" w:rsidRPr="00367991" w:rsidRDefault="00F37018">
            <w:pPr>
              <w:jc w:val="center"/>
              <w:rPr>
                <w:rFonts w:asciiTheme="majorBidi" w:hAnsiTheme="majorBidi" w:cstheme="majorBidi"/>
                <w:color w:val="000000"/>
                <w:sz w:val="20"/>
                <w:szCs w:val="20"/>
              </w:rPr>
            </w:pPr>
          </w:p>
        </w:tc>
      </w:tr>
      <w:tr w:rsidR="00F37018" w:rsidRPr="00367991" w14:paraId="2A207BC2" w14:textId="77777777" w:rsidTr="00F37018">
        <w:trPr>
          <w:trHeight w:val="340"/>
        </w:trPr>
        <w:tc>
          <w:tcPr>
            <w:tcW w:w="1555" w:type="dxa"/>
            <w:vAlign w:val="center"/>
            <w:hideMark/>
          </w:tcPr>
          <w:p w14:paraId="4128B192"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2100</w:t>
            </w:r>
          </w:p>
        </w:tc>
        <w:tc>
          <w:tcPr>
            <w:tcW w:w="1065" w:type="dxa"/>
            <w:vAlign w:val="center"/>
          </w:tcPr>
          <w:p w14:paraId="5131119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27DC39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DC59F5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17DE55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5D4A25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965763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475112B" w14:textId="77777777" w:rsidR="00F37018" w:rsidRPr="00367991" w:rsidRDefault="00F37018">
            <w:pPr>
              <w:jc w:val="center"/>
              <w:rPr>
                <w:rFonts w:asciiTheme="majorBidi" w:hAnsiTheme="majorBidi" w:cstheme="majorBidi"/>
                <w:color w:val="000000"/>
                <w:sz w:val="20"/>
                <w:szCs w:val="20"/>
              </w:rPr>
            </w:pPr>
          </w:p>
        </w:tc>
      </w:tr>
      <w:tr w:rsidR="00F37018" w:rsidRPr="00367991" w14:paraId="6B21A4F8" w14:textId="77777777" w:rsidTr="00F37018">
        <w:trPr>
          <w:trHeight w:val="340"/>
        </w:trPr>
        <w:tc>
          <w:tcPr>
            <w:tcW w:w="1555" w:type="dxa"/>
            <w:vAlign w:val="center"/>
            <w:hideMark/>
          </w:tcPr>
          <w:p w14:paraId="3B3892D9"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046672B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94B8ED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2B3254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DA9A22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FBDB29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B7831C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D1A75B0" w14:textId="77777777" w:rsidR="00F37018" w:rsidRPr="00367991" w:rsidRDefault="00F37018">
            <w:pPr>
              <w:jc w:val="center"/>
              <w:rPr>
                <w:rFonts w:asciiTheme="majorBidi" w:hAnsiTheme="majorBidi" w:cstheme="majorBidi"/>
                <w:color w:val="000000"/>
                <w:sz w:val="20"/>
                <w:szCs w:val="20"/>
              </w:rPr>
            </w:pPr>
          </w:p>
        </w:tc>
      </w:tr>
      <w:tr w:rsidR="00F37018" w:rsidRPr="00367991" w14:paraId="7AF266B7" w14:textId="77777777" w:rsidTr="00F37018">
        <w:trPr>
          <w:trHeight w:val="340"/>
        </w:trPr>
        <w:tc>
          <w:tcPr>
            <w:tcW w:w="1555" w:type="dxa"/>
            <w:vAlign w:val="center"/>
            <w:hideMark/>
          </w:tcPr>
          <w:p w14:paraId="04C2BB9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3DA3C00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0.992</w:t>
            </w:r>
          </w:p>
        </w:tc>
        <w:tc>
          <w:tcPr>
            <w:tcW w:w="1066" w:type="dxa"/>
            <w:vAlign w:val="center"/>
            <w:hideMark/>
          </w:tcPr>
          <w:p w14:paraId="4E0A0E5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2D575A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21045A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54D601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46C9B0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583C392" w14:textId="77777777" w:rsidR="00F37018" w:rsidRPr="00367991" w:rsidRDefault="00F37018">
            <w:pPr>
              <w:jc w:val="center"/>
              <w:rPr>
                <w:rFonts w:asciiTheme="majorBidi" w:hAnsiTheme="majorBidi" w:cstheme="majorBidi"/>
                <w:color w:val="000000"/>
                <w:sz w:val="20"/>
                <w:szCs w:val="20"/>
              </w:rPr>
            </w:pPr>
          </w:p>
        </w:tc>
      </w:tr>
      <w:tr w:rsidR="00F37018" w:rsidRPr="00367991" w14:paraId="6B312F5D" w14:textId="77777777" w:rsidTr="00F37018">
        <w:trPr>
          <w:trHeight w:val="340"/>
        </w:trPr>
        <w:tc>
          <w:tcPr>
            <w:tcW w:w="1555" w:type="dxa"/>
            <w:vAlign w:val="center"/>
            <w:hideMark/>
          </w:tcPr>
          <w:p w14:paraId="405B80E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116CF2A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0.998</w:t>
            </w:r>
          </w:p>
        </w:tc>
        <w:tc>
          <w:tcPr>
            <w:tcW w:w="1066" w:type="dxa"/>
            <w:vAlign w:val="center"/>
            <w:hideMark/>
          </w:tcPr>
          <w:p w14:paraId="1BA627F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0.991</w:t>
            </w:r>
          </w:p>
        </w:tc>
        <w:tc>
          <w:tcPr>
            <w:tcW w:w="1066" w:type="dxa"/>
            <w:vAlign w:val="center"/>
            <w:hideMark/>
          </w:tcPr>
          <w:p w14:paraId="50572DA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B7E54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8806CF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1E205F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70BCFD7" w14:textId="77777777" w:rsidR="00F37018" w:rsidRPr="00367991" w:rsidRDefault="00F37018">
            <w:pPr>
              <w:jc w:val="center"/>
              <w:rPr>
                <w:rFonts w:asciiTheme="majorBidi" w:hAnsiTheme="majorBidi" w:cstheme="majorBidi"/>
                <w:color w:val="000000"/>
                <w:sz w:val="20"/>
                <w:szCs w:val="20"/>
              </w:rPr>
            </w:pPr>
          </w:p>
        </w:tc>
      </w:tr>
      <w:tr w:rsidR="00F37018" w:rsidRPr="00367991" w14:paraId="23A88595" w14:textId="77777777" w:rsidTr="00F37018">
        <w:trPr>
          <w:trHeight w:val="340"/>
        </w:trPr>
        <w:tc>
          <w:tcPr>
            <w:tcW w:w="1555" w:type="dxa"/>
            <w:vAlign w:val="center"/>
            <w:hideMark/>
          </w:tcPr>
          <w:p w14:paraId="58F2EED5"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7AC1388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0.961</w:t>
            </w:r>
          </w:p>
        </w:tc>
        <w:tc>
          <w:tcPr>
            <w:tcW w:w="1066" w:type="dxa"/>
            <w:vAlign w:val="center"/>
            <w:hideMark/>
          </w:tcPr>
          <w:p w14:paraId="61A229A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0.930</w:t>
            </w:r>
          </w:p>
        </w:tc>
        <w:tc>
          <w:tcPr>
            <w:tcW w:w="1066" w:type="dxa"/>
            <w:vAlign w:val="center"/>
            <w:hideMark/>
          </w:tcPr>
          <w:p w14:paraId="25257FE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0.964</w:t>
            </w:r>
          </w:p>
        </w:tc>
        <w:tc>
          <w:tcPr>
            <w:tcW w:w="1066" w:type="dxa"/>
            <w:vAlign w:val="center"/>
            <w:hideMark/>
          </w:tcPr>
          <w:p w14:paraId="2AA99C2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7D7B9E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A041F9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B3DF9E4" w14:textId="77777777" w:rsidR="00F37018" w:rsidRPr="00367991" w:rsidRDefault="00F37018">
            <w:pPr>
              <w:jc w:val="center"/>
              <w:rPr>
                <w:rFonts w:asciiTheme="majorBidi" w:hAnsiTheme="majorBidi" w:cstheme="majorBidi"/>
                <w:color w:val="000000"/>
                <w:sz w:val="20"/>
                <w:szCs w:val="20"/>
              </w:rPr>
            </w:pPr>
          </w:p>
        </w:tc>
      </w:tr>
      <w:tr w:rsidR="00F37018" w:rsidRPr="00367991" w14:paraId="0000D373" w14:textId="77777777" w:rsidTr="00F37018">
        <w:trPr>
          <w:trHeight w:val="340"/>
        </w:trPr>
        <w:tc>
          <w:tcPr>
            <w:tcW w:w="1555" w:type="dxa"/>
            <w:vAlign w:val="center"/>
            <w:hideMark/>
          </w:tcPr>
          <w:p w14:paraId="1319723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524017C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0.994</w:t>
            </w:r>
          </w:p>
        </w:tc>
        <w:tc>
          <w:tcPr>
            <w:tcW w:w="1066" w:type="dxa"/>
            <w:vAlign w:val="center"/>
            <w:hideMark/>
          </w:tcPr>
          <w:p w14:paraId="7FDC042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0.990</w:t>
            </w:r>
          </w:p>
        </w:tc>
        <w:tc>
          <w:tcPr>
            <w:tcW w:w="1066" w:type="dxa"/>
            <w:vAlign w:val="center"/>
            <w:hideMark/>
          </w:tcPr>
          <w:p w14:paraId="369933F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2E6BBA9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0.942</w:t>
            </w:r>
          </w:p>
        </w:tc>
        <w:tc>
          <w:tcPr>
            <w:tcW w:w="1066" w:type="dxa"/>
            <w:vAlign w:val="center"/>
            <w:hideMark/>
          </w:tcPr>
          <w:p w14:paraId="75E1F23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81727F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B65EB4E" w14:textId="77777777" w:rsidR="00F37018" w:rsidRPr="00367991" w:rsidRDefault="00F37018">
            <w:pPr>
              <w:jc w:val="center"/>
              <w:rPr>
                <w:rFonts w:asciiTheme="majorBidi" w:hAnsiTheme="majorBidi" w:cstheme="majorBidi"/>
                <w:color w:val="000000"/>
                <w:sz w:val="20"/>
                <w:szCs w:val="20"/>
              </w:rPr>
            </w:pPr>
          </w:p>
        </w:tc>
      </w:tr>
      <w:tr w:rsidR="00F37018" w:rsidRPr="00367991" w14:paraId="1403886C" w14:textId="77777777" w:rsidTr="00F37018">
        <w:trPr>
          <w:trHeight w:val="340"/>
        </w:trPr>
        <w:tc>
          <w:tcPr>
            <w:tcW w:w="1555" w:type="dxa"/>
            <w:vAlign w:val="center"/>
            <w:hideMark/>
          </w:tcPr>
          <w:p w14:paraId="3ABC9A86"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7080E5E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0.995</w:t>
            </w:r>
          </w:p>
        </w:tc>
        <w:tc>
          <w:tcPr>
            <w:tcW w:w="1066" w:type="dxa"/>
            <w:vAlign w:val="center"/>
            <w:hideMark/>
          </w:tcPr>
          <w:p w14:paraId="1C01247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72E0B6C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0.999</w:t>
            </w:r>
          </w:p>
        </w:tc>
        <w:tc>
          <w:tcPr>
            <w:tcW w:w="1066" w:type="dxa"/>
            <w:vAlign w:val="center"/>
            <w:hideMark/>
          </w:tcPr>
          <w:p w14:paraId="31D0F06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0.966</w:t>
            </w:r>
          </w:p>
        </w:tc>
        <w:tc>
          <w:tcPr>
            <w:tcW w:w="1066" w:type="dxa"/>
            <w:vAlign w:val="center"/>
            <w:hideMark/>
          </w:tcPr>
          <w:p w14:paraId="37A42A1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0.984</w:t>
            </w:r>
          </w:p>
        </w:tc>
        <w:tc>
          <w:tcPr>
            <w:tcW w:w="1066" w:type="dxa"/>
            <w:vAlign w:val="center"/>
            <w:hideMark/>
          </w:tcPr>
          <w:p w14:paraId="2FEF797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112A9AA" w14:textId="77777777" w:rsidR="00F37018" w:rsidRPr="00367991" w:rsidRDefault="00F37018">
            <w:pPr>
              <w:jc w:val="center"/>
              <w:rPr>
                <w:rFonts w:asciiTheme="majorBidi" w:hAnsiTheme="majorBidi" w:cstheme="majorBidi"/>
                <w:color w:val="000000"/>
                <w:sz w:val="20"/>
                <w:szCs w:val="20"/>
              </w:rPr>
            </w:pPr>
          </w:p>
        </w:tc>
      </w:tr>
      <w:tr w:rsidR="00F37018" w:rsidRPr="00367991" w14:paraId="0ACAB9B3" w14:textId="77777777" w:rsidTr="00F37018">
        <w:trPr>
          <w:trHeight w:val="340"/>
        </w:trPr>
        <w:tc>
          <w:tcPr>
            <w:tcW w:w="1555" w:type="dxa"/>
            <w:vAlign w:val="center"/>
            <w:hideMark/>
          </w:tcPr>
          <w:p w14:paraId="66954A69"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08547A4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0.998</w:t>
            </w:r>
          </w:p>
        </w:tc>
        <w:tc>
          <w:tcPr>
            <w:tcW w:w="1066" w:type="dxa"/>
            <w:vAlign w:val="center"/>
            <w:hideMark/>
          </w:tcPr>
          <w:p w14:paraId="2BE4EC3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0846A05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0.998</w:t>
            </w:r>
          </w:p>
        </w:tc>
        <w:tc>
          <w:tcPr>
            <w:tcW w:w="1066" w:type="dxa"/>
            <w:vAlign w:val="center"/>
            <w:hideMark/>
          </w:tcPr>
          <w:p w14:paraId="188229C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0.972</w:t>
            </w:r>
          </w:p>
        </w:tc>
        <w:tc>
          <w:tcPr>
            <w:tcW w:w="1066" w:type="dxa"/>
            <w:vAlign w:val="center"/>
            <w:hideMark/>
          </w:tcPr>
          <w:p w14:paraId="548ABBD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6956336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0.997</w:t>
            </w:r>
          </w:p>
        </w:tc>
        <w:tc>
          <w:tcPr>
            <w:tcW w:w="1066" w:type="dxa"/>
            <w:vAlign w:val="center"/>
            <w:hideMark/>
          </w:tcPr>
          <w:p w14:paraId="2AFEC4A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bl>
    <w:p w14:paraId="3CEA9BD0" w14:textId="77777777" w:rsidR="00F37018" w:rsidRDefault="00F37018" w:rsidP="00F37018">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1AB82678" w14:textId="131678AE" w:rsidR="001A3FC7" w:rsidRDefault="001A3FC7" w:rsidP="001A3FC7"/>
    <w:p w14:paraId="60205FCF" w14:textId="17ECEE90" w:rsidR="00F37018" w:rsidRDefault="00F37018" w:rsidP="001A3FC7">
      <w:r>
        <w:br w:type="page"/>
      </w:r>
    </w:p>
    <w:p w14:paraId="6A5CB2E2" w14:textId="7A41E11B" w:rsidR="00F37018" w:rsidRPr="00994234" w:rsidRDefault="00F37018" w:rsidP="00F37018">
      <w:pPr>
        <w:spacing w:line="360" w:lineRule="auto"/>
        <w:rPr>
          <w:b/>
          <w:bCs/>
          <w:lang w:val="mi-NZ"/>
        </w:rPr>
      </w:pPr>
      <w:r w:rsidRPr="00994234">
        <w:rPr>
          <w:b/>
          <w:bCs/>
          <w:lang w:val="mi-NZ"/>
        </w:rPr>
        <w:lastRenderedPageBreak/>
        <w:t xml:space="preserve">Table </w:t>
      </w:r>
      <w:r>
        <w:rPr>
          <w:b/>
          <w:bCs/>
          <w:lang w:val="mi-NZ"/>
        </w:rPr>
        <w:t>A3</w:t>
      </w:r>
      <w:r w:rsidRPr="00994234">
        <w:rPr>
          <w:b/>
          <w:bCs/>
          <w:lang w:val="mi-NZ"/>
        </w:rPr>
        <w:t xml:space="preserve">. </w:t>
      </w:r>
      <w:r w:rsidRPr="00F37018">
        <w:rPr>
          <w:b/>
          <w:bCs/>
          <w:lang w:val="mi-NZ"/>
        </w:rPr>
        <w:t>Pearson correlations between measures of structural ageing based on state-level data 1980, 2000, and 2018</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F37018" w:rsidRPr="00367991" w14:paraId="4B35E39A" w14:textId="77777777" w:rsidTr="00F37018">
        <w:trPr>
          <w:trHeight w:val="470"/>
        </w:trPr>
        <w:tc>
          <w:tcPr>
            <w:tcW w:w="1555" w:type="dxa"/>
            <w:tcBorders>
              <w:top w:val="single" w:sz="4" w:space="0" w:color="auto"/>
              <w:bottom w:val="single" w:sz="4" w:space="0" w:color="auto"/>
            </w:tcBorders>
            <w:vAlign w:val="center"/>
            <w:hideMark/>
          </w:tcPr>
          <w:p w14:paraId="2F4AA8D5" w14:textId="77777777" w:rsidR="00F37018" w:rsidRPr="00367991" w:rsidRDefault="00F37018">
            <w:pPr>
              <w:rPr>
                <w:rFonts w:asciiTheme="majorBidi" w:hAnsiTheme="majorBidi" w:cstheme="majorBidi"/>
                <w:b/>
                <w:bCs/>
                <w:sz w:val="20"/>
                <w:szCs w:val="20"/>
                <w:lang w:val="en-NZ" w:eastAsia="zh-CN"/>
              </w:rPr>
            </w:pPr>
            <w:r w:rsidRPr="00367991">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5E3BAD72"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279E5DA"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973A434"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46F27B9"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753ACF7"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CER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501F4184"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OADR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5A215139" w14:textId="77777777" w:rsidR="00F37018" w:rsidRPr="00367991" w:rsidRDefault="00F37018">
            <w:pPr>
              <w:jc w:val="center"/>
              <w:rPr>
                <w:rFonts w:asciiTheme="majorBidi" w:hAnsiTheme="majorBidi" w:cstheme="majorBidi"/>
                <w:b/>
                <w:bCs/>
                <w:color w:val="000000"/>
                <w:sz w:val="20"/>
                <w:szCs w:val="20"/>
              </w:rPr>
            </w:pPr>
            <w:r w:rsidRPr="00367991">
              <w:rPr>
                <w:rFonts w:asciiTheme="majorBidi" w:hAnsiTheme="majorBidi" w:cstheme="majorBidi"/>
                <w:b/>
                <w:bCs/>
                <w:color w:val="000000"/>
                <w:sz w:val="20"/>
                <w:szCs w:val="20"/>
              </w:rPr>
              <w:t>RMSA</w:t>
            </w:r>
            <w:r w:rsidRPr="00367991">
              <w:rPr>
                <w:rFonts w:asciiTheme="majorBidi" w:hAnsiTheme="majorBidi" w:cstheme="majorBidi"/>
                <w:b/>
                <w:bCs/>
                <w:color w:val="000000"/>
                <w:sz w:val="20"/>
                <w:szCs w:val="20"/>
                <w:vertAlign w:val="superscript"/>
              </w:rPr>
              <w:t>***</w:t>
            </w:r>
          </w:p>
        </w:tc>
      </w:tr>
      <w:tr w:rsidR="00F37018" w:rsidRPr="00367991" w14:paraId="603E837F" w14:textId="77777777" w:rsidTr="00F37018">
        <w:trPr>
          <w:trHeight w:val="340"/>
        </w:trPr>
        <w:tc>
          <w:tcPr>
            <w:tcW w:w="1555" w:type="dxa"/>
            <w:tcBorders>
              <w:top w:val="single" w:sz="4" w:space="0" w:color="auto"/>
            </w:tcBorders>
            <w:vAlign w:val="center"/>
            <w:hideMark/>
          </w:tcPr>
          <w:p w14:paraId="6D697A5C" w14:textId="77777777" w:rsidR="00F37018" w:rsidRPr="00367991" w:rsidRDefault="00F37018">
            <w:pPr>
              <w:rPr>
                <w:rFonts w:asciiTheme="majorBidi" w:hAnsiTheme="majorBidi" w:cstheme="majorBidi"/>
                <w:b/>
                <w:bCs/>
                <w:sz w:val="20"/>
                <w:szCs w:val="20"/>
              </w:rPr>
            </w:pPr>
            <w:r w:rsidRPr="00367991">
              <w:rPr>
                <w:rFonts w:asciiTheme="majorBidi" w:hAnsiTheme="majorBidi" w:cstheme="majorBidi"/>
                <w:b/>
                <w:bCs/>
                <w:color w:val="000000"/>
                <w:sz w:val="20"/>
                <w:szCs w:val="20"/>
              </w:rPr>
              <w:t>1980</w:t>
            </w:r>
          </w:p>
        </w:tc>
        <w:tc>
          <w:tcPr>
            <w:tcW w:w="1065" w:type="dxa"/>
            <w:tcBorders>
              <w:top w:val="single" w:sz="4" w:space="0" w:color="auto"/>
            </w:tcBorders>
            <w:vAlign w:val="center"/>
          </w:tcPr>
          <w:p w14:paraId="02881F73"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3B2B345A"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038435AC"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020BAADB"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14A63CD9"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48790788"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6622CDD0" w14:textId="77777777" w:rsidR="00F37018" w:rsidRPr="00367991" w:rsidRDefault="00F37018">
            <w:pPr>
              <w:jc w:val="center"/>
              <w:rPr>
                <w:rFonts w:asciiTheme="majorBidi" w:hAnsiTheme="majorBidi" w:cstheme="majorBidi"/>
                <w:b/>
                <w:bCs/>
                <w:color w:val="000000"/>
                <w:sz w:val="20"/>
                <w:szCs w:val="20"/>
              </w:rPr>
            </w:pPr>
          </w:p>
        </w:tc>
      </w:tr>
      <w:tr w:rsidR="00F37018" w:rsidRPr="00367991" w14:paraId="7F5F5CAA" w14:textId="77777777" w:rsidTr="00F37018">
        <w:trPr>
          <w:trHeight w:val="340"/>
        </w:trPr>
        <w:tc>
          <w:tcPr>
            <w:tcW w:w="1555" w:type="dxa"/>
            <w:vAlign w:val="center"/>
            <w:hideMark/>
          </w:tcPr>
          <w:p w14:paraId="59477E4B"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26C4F750"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6D507966" w14:textId="77777777" w:rsidR="00F37018" w:rsidRPr="00367991" w:rsidRDefault="00F37018">
            <w:pPr>
              <w:jc w:val="center"/>
              <w:rPr>
                <w:rFonts w:asciiTheme="majorBidi" w:hAnsiTheme="majorBidi" w:cstheme="majorBidi"/>
                <w:sz w:val="20"/>
                <w:szCs w:val="20"/>
              </w:rPr>
            </w:pPr>
          </w:p>
        </w:tc>
        <w:tc>
          <w:tcPr>
            <w:tcW w:w="1066" w:type="dxa"/>
            <w:vAlign w:val="center"/>
          </w:tcPr>
          <w:p w14:paraId="434E26E1" w14:textId="77777777" w:rsidR="00F37018" w:rsidRPr="00367991" w:rsidRDefault="00F37018">
            <w:pPr>
              <w:jc w:val="center"/>
              <w:rPr>
                <w:rFonts w:asciiTheme="majorBidi" w:hAnsiTheme="majorBidi" w:cstheme="majorBidi"/>
                <w:sz w:val="20"/>
                <w:szCs w:val="20"/>
              </w:rPr>
            </w:pPr>
          </w:p>
        </w:tc>
        <w:tc>
          <w:tcPr>
            <w:tcW w:w="1066" w:type="dxa"/>
            <w:vAlign w:val="center"/>
          </w:tcPr>
          <w:p w14:paraId="2836641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9A9FAA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02AD8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6C785A9" w14:textId="77777777" w:rsidR="00F37018" w:rsidRPr="00367991" w:rsidRDefault="00F37018">
            <w:pPr>
              <w:jc w:val="center"/>
              <w:rPr>
                <w:rFonts w:asciiTheme="majorBidi" w:hAnsiTheme="majorBidi" w:cstheme="majorBidi"/>
                <w:color w:val="000000"/>
                <w:sz w:val="20"/>
                <w:szCs w:val="20"/>
              </w:rPr>
            </w:pPr>
          </w:p>
        </w:tc>
      </w:tr>
      <w:tr w:rsidR="00F37018" w:rsidRPr="00367991" w14:paraId="5DC01CD5" w14:textId="77777777" w:rsidTr="00F37018">
        <w:trPr>
          <w:trHeight w:val="340"/>
        </w:trPr>
        <w:tc>
          <w:tcPr>
            <w:tcW w:w="1555" w:type="dxa"/>
            <w:vAlign w:val="center"/>
            <w:hideMark/>
          </w:tcPr>
          <w:p w14:paraId="0872CF69"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378BA71E"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0.941</w:t>
            </w:r>
          </w:p>
        </w:tc>
        <w:tc>
          <w:tcPr>
            <w:tcW w:w="1066" w:type="dxa"/>
            <w:vAlign w:val="center"/>
            <w:hideMark/>
          </w:tcPr>
          <w:p w14:paraId="0396F7AE"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51A87027" w14:textId="77777777" w:rsidR="00F37018" w:rsidRPr="00367991" w:rsidRDefault="00F37018">
            <w:pPr>
              <w:jc w:val="center"/>
              <w:rPr>
                <w:rFonts w:asciiTheme="majorBidi" w:hAnsiTheme="majorBidi" w:cstheme="majorBidi"/>
                <w:sz w:val="20"/>
                <w:szCs w:val="20"/>
              </w:rPr>
            </w:pPr>
          </w:p>
        </w:tc>
        <w:tc>
          <w:tcPr>
            <w:tcW w:w="1066" w:type="dxa"/>
            <w:vAlign w:val="center"/>
          </w:tcPr>
          <w:p w14:paraId="45E36CD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0D485A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417F49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60F230B" w14:textId="77777777" w:rsidR="00F37018" w:rsidRPr="00367991" w:rsidRDefault="00F37018">
            <w:pPr>
              <w:jc w:val="center"/>
              <w:rPr>
                <w:rFonts w:asciiTheme="majorBidi" w:hAnsiTheme="majorBidi" w:cstheme="majorBidi"/>
                <w:color w:val="000000"/>
                <w:sz w:val="20"/>
                <w:szCs w:val="20"/>
              </w:rPr>
            </w:pPr>
          </w:p>
        </w:tc>
      </w:tr>
      <w:tr w:rsidR="00F37018" w:rsidRPr="00367991" w14:paraId="64B2451B" w14:textId="77777777" w:rsidTr="00F37018">
        <w:trPr>
          <w:trHeight w:val="340"/>
        </w:trPr>
        <w:tc>
          <w:tcPr>
            <w:tcW w:w="1555" w:type="dxa"/>
            <w:vAlign w:val="center"/>
            <w:hideMark/>
          </w:tcPr>
          <w:p w14:paraId="2E1F0E4B"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787410D6"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0.899</w:t>
            </w:r>
          </w:p>
        </w:tc>
        <w:tc>
          <w:tcPr>
            <w:tcW w:w="1066" w:type="dxa"/>
            <w:vAlign w:val="center"/>
            <w:hideMark/>
          </w:tcPr>
          <w:p w14:paraId="17B6C76C"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0.734</w:t>
            </w:r>
          </w:p>
        </w:tc>
        <w:tc>
          <w:tcPr>
            <w:tcW w:w="1066" w:type="dxa"/>
            <w:vAlign w:val="center"/>
            <w:hideMark/>
          </w:tcPr>
          <w:p w14:paraId="5A0D4071"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496E107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E7A377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1ADA2D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D4D2C89" w14:textId="77777777" w:rsidR="00F37018" w:rsidRPr="00367991" w:rsidRDefault="00F37018">
            <w:pPr>
              <w:jc w:val="center"/>
              <w:rPr>
                <w:rFonts w:asciiTheme="majorBidi" w:hAnsiTheme="majorBidi" w:cstheme="majorBidi"/>
                <w:color w:val="000000"/>
                <w:sz w:val="20"/>
                <w:szCs w:val="20"/>
              </w:rPr>
            </w:pPr>
          </w:p>
        </w:tc>
      </w:tr>
      <w:tr w:rsidR="00F37018" w:rsidRPr="00367991" w14:paraId="69BC7A63" w14:textId="77777777" w:rsidTr="00F37018">
        <w:trPr>
          <w:trHeight w:val="340"/>
        </w:trPr>
        <w:tc>
          <w:tcPr>
            <w:tcW w:w="1555" w:type="dxa"/>
            <w:vAlign w:val="center"/>
            <w:hideMark/>
          </w:tcPr>
          <w:p w14:paraId="261205A3"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1C6EF61D"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0.722</w:t>
            </w:r>
          </w:p>
        </w:tc>
        <w:tc>
          <w:tcPr>
            <w:tcW w:w="1066" w:type="dxa"/>
            <w:vAlign w:val="center"/>
            <w:hideMark/>
          </w:tcPr>
          <w:p w14:paraId="67E47D57"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0.515</w:t>
            </w:r>
          </w:p>
        </w:tc>
        <w:tc>
          <w:tcPr>
            <w:tcW w:w="1066" w:type="dxa"/>
            <w:vAlign w:val="center"/>
            <w:hideMark/>
          </w:tcPr>
          <w:p w14:paraId="43A9656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0.852</w:t>
            </w:r>
          </w:p>
        </w:tc>
        <w:tc>
          <w:tcPr>
            <w:tcW w:w="1066" w:type="dxa"/>
            <w:vAlign w:val="center"/>
            <w:hideMark/>
          </w:tcPr>
          <w:p w14:paraId="54A3B80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7D779F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06F1D5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1C5BBA6" w14:textId="77777777" w:rsidR="00F37018" w:rsidRPr="00367991" w:rsidRDefault="00F37018">
            <w:pPr>
              <w:jc w:val="center"/>
              <w:rPr>
                <w:rFonts w:asciiTheme="majorBidi" w:hAnsiTheme="majorBidi" w:cstheme="majorBidi"/>
                <w:color w:val="000000"/>
                <w:sz w:val="20"/>
                <w:szCs w:val="20"/>
              </w:rPr>
            </w:pPr>
          </w:p>
        </w:tc>
      </w:tr>
      <w:tr w:rsidR="00F37018" w:rsidRPr="00367991" w14:paraId="44543B3E" w14:textId="77777777" w:rsidTr="00F37018">
        <w:trPr>
          <w:trHeight w:val="340"/>
        </w:trPr>
        <w:tc>
          <w:tcPr>
            <w:tcW w:w="1555" w:type="dxa"/>
            <w:vAlign w:val="center"/>
            <w:hideMark/>
          </w:tcPr>
          <w:p w14:paraId="7EB012CF"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43CE9027"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0.860</w:t>
            </w:r>
          </w:p>
        </w:tc>
        <w:tc>
          <w:tcPr>
            <w:tcW w:w="1066" w:type="dxa"/>
            <w:vAlign w:val="center"/>
            <w:hideMark/>
          </w:tcPr>
          <w:p w14:paraId="667CF2DF"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0.697</w:t>
            </w:r>
          </w:p>
        </w:tc>
        <w:tc>
          <w:tcPr>
            <w:tcW w:w="1066" w:type="dxa"/>
            <w:vAlign w:val="center"/>
            <w:hideMark/>
          </w:tcPr>
          <w:p w14:paraId="627E328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0.833</w:t>
            </w:r>
          </w:p>
        </w:tc>
        <w:tc>
          <w:tcPr>
            <w:tcW w:w="1066" w:type="dxa"/>
            <w:vAlign w:val="center"/>
            <w:hideMark/>
          </w:tcPr>
          <w:p w14:paraId="1E650C8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0.691</w:t>
            </w:r>
          </w:p>
        </w:tc>
        <w:tc>
          <w:tcPr>
            <w:tcW w:w="1066" w:type="dxa"/>
            <w:vAlign w:val="center"/>
            <w:hideMark/>
          </w:tcPr>
          <w:p w14:paraId="259E8CA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E87CFC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B3B7DC1" w14:textId="77777777" w:rsidR="00F37018" w:rsidRPr="00367991" w:rsidRDefault="00F37018">
            <w:pPr>
              <w:jc w:val="center"/>
              <w:rPr>
                <w:rFonts w:asciiTheme="majorBidi" w:hAnsiTheme="majorBidi" w:cstheme="majorBidi"/>
                <w:color w:val="000000"/>
                <w:sz w:val="20"/>
                <w:szCs w:val="20"/>
              </w:rPr>
            </w:pPr>
          </w:p>
        </w:tc>
      </w:tr>
      <w:tr w:rsidR="00F37018" w:rsidRPr="00367991" w14:paraId="0A7CBFD0" w14:textId="77777777" w:rsidTr="00F37018">
        <w:trPr>
          <w:trHeight w:val="340"/>
        </w:trPr>
        <w:tc>
          <w:tcPr>
            <w:tcW w:w="1555" w:type="dxa"/>
            <w:vAlign w:val="center"/>
            <w:hideMark/>
          </w:tcPr>
          <w:p w14:paraId="6E71831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OADR</w:t>
            </w:r>
          </w:p>
        </w:tc>
        <w:tc>
          <w:tcPr>
            <w:tcW w:w="1065" w:type="dxa"/>
            <w:vAlign w:val="center"/>
            <w:hideMark/>
          </w:tcPr>
          <w:p w14:paraId="13BF6486"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0.842</w:t>
            </w:r>
          </w:p>
        </w:tc>
        <w:tc>
          <w:tcPr>
            <w:tcW w:w="1066" w:type="dxa"/>
            <w:vAlign w:val="center"/>
            <w:hideMark/>
          </w:tcPr>
          <w:p w14:paraId="308027B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0.661</w:t>
            </w:r>
          </w:p>
        </w:tc>
        <w:tc>
          <w:tcPr>
            <w:tcW w:w="1066" w:type="dxa"/>
            <w:vAlign w:val="center"/>
            <w:hideMark/>
          </w:tcPr>
          <w:p w14:paraId="3F7FA84A"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0.992</w:t>
            </w:r>
          </w:p>
        </w:tc>
        <w:tc>
          <w:tcPr>
            <w:tcW w:w="1066" w:type="dxa"/>
            <w:vAlign w:val="center"/>
            <w:hideMark/>
          </w:tcPr>
          <w:p w14:paraId="1F67E37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0.849</w:t>
            </w:r>
          </w:p>
        </w:tc>
        <w:tc>
          <w:tcPr>
            <w:tcW w:w="1066" w:type="dxa"/>
            <w:vAlign w:val="center"/>
            <w:hideMark/>
          </w:tcPr>
          <w:p w14:paraId="6F8D479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0.786</w:t>
            </w:r>
          </w:p>
        </w:tc>
        <w:tc>
          <w:tcPr>
            <w:tcW w:w="1066" w:type="dxa"/>
            <w:vAlign w:val="center"/>
            <w:hideMark/>
          </w:tcPr>
          <w:p w14:paraId="1A00F22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157A5B4" w14:textId="77777777" w:rsidR="00F37018" w:rsidRPr="00367991" w:rsidRDefault="00F37018">
            <w:pPr>
              <w:jc w:val="center"/>
              <w:rPr>
                <w:rFonts w:asciiTheme="majorBidi" w:hAnsiTheme="majorBidi" w:cstheme="majorBidi"/>
                <w:color w:val="000000"/>
                <w:sz w:val="20"/>
                <w:szCs w:val="20"/>
              </w:rPr>
            </w:pPr>
          </w:p>
        </w:tc>
      </w:tr>
      <w:tr w:rsidR="00F37018" w:rsidRPr="00367991" w14:paraId="51D78DBE" w14:textId="77777777" w:rsidTr="00F37018">
        <w:trPr>
          <w:trHeight w:val="340"/>
        </w:trPr>
        <w:tc>
          <w:tcPr>
            <w:tcW w:w="1555" w:type="dxa"/>
            <w:vAlign w:val="center"/>
            <w:hideMark/>
          </w:tcPr>
          <w:p w14:paraId="6ED744B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RMSA</w:t>
            </w:r>
          </w:p>
        </w:tc>
        <w:tc>
          <w:tcPr>
            <w:tcW w:w="1065" w:type="dxa"/>
            <w:vAlign w:val="center"/>
            <w:hideMark/>
          </w:tcPr>
          <w:p w14:paraId="5374C6A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0.984</w:t>
            </w:r>
          </w:p>
        </w:tc>
        <w:tc>
          <w:tcPr>
            <w:tcW w:w="1066" w:type="dxa"/>
            <w:vAlign w:val="center"/>
            <w:hideMark/>
          </w:tcPr>
          <w:p w14:paraId="41F5ACF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0.874</w:t>
            </w:r>
          </w:p>
        </w:tc>
        <w:tc>
          <w:tcPr>
            <w:tcW w:w="1066" w:type="dxa"/>
            <w:vAlign w:val="center"/>
            <w:hideMark/>
          </w:tcPr>
          <w:p w14:paraId="08F85CD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0.955</w:t>
            </w:r>
          </w:p>
        </w:tc>
        <w:tc>
          <w:tcPr>
            <w:tcW w:w="1066" w:type="dxa"/>
            <w:vAlign w:val="center"/>
            <w:hideMark/>
          </w:tcPr>
          <w:p w14:paraId="3B0E5BE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0.796</w:t>
            </w:r>
          </w:p>
        </w:tc>
        <w:tc>
          <w:tcPr>
            <w:tcW w:w="1066" w:type="dxa"/>
            <w:vAlign w:val="center"/>
            <w:hideMark/>
          </w:tcPr>
          <w:p w14:paraId="30E9794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0.897</w:t>
            </w:r>
          </w:p>
        </w:tc>
        <w:tc>
          <w:tcPr>
            <w:tcW w:w="1066" w:type="dxa"/>
            <w:vAlign w:val="center"/>
            <w:hideMark/>
          </w:tcPr>
          <w:p w14:paraId="07DF4F8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0.915</w:t>
            </w:r>
          </w:p>
        </w:tc>
        <w:tc>
          <w:tcPr>
            <w:tcW w:w="1066" w:type="dxa"/>
            <w:vAlign w:val="center"/>
            <w:hideMark/>
          </w:tcPr>
          <w:p w14:paraId="1CFA854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661AB612" w14:textId="77777777" w:rsidTr="00F37018">
        <w:trPr>
          <w:trHeight w:val="340"/>
        </w:trPr>
        <w:tc>
          <w:tcPr>
            <w:tcW w:w="1555" w:type="dxa"/>
            <w:vAlign w:val="center"/>
          </w:tcPr>
          <w:p w14:paraId="55659E85" w14:textId="77777777" w:rsidR="00F37018" w:rsidRPr="00367991" w:rsidRDefault="00F37018">
            <w:pPr>
              <w:rPr>
                <w:rFonts w:asciiTheme="majorBidi" w:hAnsiTheme="majorBidi" w:cstheme="majorBidi"/>
                <w:sz w:val="20"/>
                <w:szCs w:val="20"/>
              </w:rPr>
            </w:pPr>
          </w:p>
        </w:tc>
        <w:tc>
          <w:tcPr>
            <w:tcW w:w="1065" w:type="dxa"/>
            <w:vAlign w:val="center"/>
          </w:tcPr>
          <w:p w14:paraId="367F2EC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31852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ECEA16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12E40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7C1D04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161274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72D0B64" w14:textId="77777777" w:rsidR="00F37018" w:rsidRPr="00367991" w:rsidRDefault="00F37018">
            <w:pPr>
              <w:jc w:val="center"/>
              <w:rPr>
                <w:rFonts w:asciiTheme="majorBidi" w:hAnsiTheme="majorBidi" w:cstheme="majorBidi"/>
                <w:color w:val="000000"/>
                <w:sz w:val="20"/>
                <w:szCs w:val="20"/>
              </w:rPr>
            </w:pPr>
          </w:p>
        </w:tc>
      </w:tr>
      <w:tr w:rsidR="00F37018" w:rsidRPr="00367991" w14:paraId="3C345CB6" w14:textId="77777777" w:rsidTr="00F37018">
        <w:trPr>
          <w:trHeight w:val="340"/>
        </w:trPr>
        <w:tc>
          <w:tcPr>
            <w:tcW w:w="1555" w:type="dxa"/>
            <w:vAlign w:val="center"/>
            <w:hideMark/>
          </w:tcPr>
          <w:p w14:paraId="29C7C57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2000</w:t>
            </w:r>
          </w:p>
        </w:tc>
        <w:tc>
          <w:tcPr>
            <w:tcW w:w="1065" w:type="dxa"/>
            <w:vAlign w:val="center"/>
          </w:tcPr>
          <w:p w14:paraId="6FEF3E3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31E77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D88CDD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44C96C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9403D0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073453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132FD83" w14:textId="77777777" w:rsidR="00F37018" w:rsidRPr="00367991" w:rsidRDefault="00F37018">
            <w:pPr>
              <w:jc w:val="center"/>
              <w:rPr>
                <w:rFonts w:asciiTheme="majorBidi" w:hAnsiTheme="majorBidi" w:cstheme="majorBidi"/>
                <w:color w:val="000000"/>
                <w:sz w:val="20"/>
                <w:szCs w:val="20"/>
              </w:rPr>
            </w:pPr>
          </w:p>
        </w:tc>
      </w:tr>
      <w:tr w:rsidR="00F37018" w:rsidRPr="00367991" w14:paraId="2B85AC54" w14:textId="77777777" w:rsidTr="00F37018">
        <w:trPr>
          <w:trHeight w:val="340"/>
        </w:trPr>
        <w:tc>
          <w:tcPr>
            <w:tcW w:w="1555" w:type="dxa"/>
            <w:vAlign w:val="center"/>
            <w:hideMark/>
          </w:tcPr>
          <w:p w14:paraId="3FD58EF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7EDA028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C9EDCD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58BE79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33FAB5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C9D50F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A38198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5391FCB" w14:textId="77777777" w:rsidR="00F37018" w:rsidRPr="00367991" w:rsidRDefault="00F37018">
            <w:pPr>
              <w:jc w:val="center"/>
              <w:rPr>
                <w:rFonts w:asciiTheme="majorBidi" w:hAnsiTheme="majorBidi" w:cstheme="majorBidi"/>
                <w:color w:val="000000"/>
                <w:sz w:val="20"/>
                <w:szCs w:val="20"/>
              </w:rPr>
            </w:pPr>
          </w:p>
        </w:tc>
      </w:tr>
      <w:tr w:rsidR="00F37018" w:rsidRPr="00367991" w14:paraId="3CE914B0" w14:textId="77777777" w:rsidTr="00F37018">
        <w:trPr>
          <w:trHeight w:val="340"/>
        </w:trPr>
        <w:tc>
          <w:tcPr>
            <w:tcW w:w="1555" w:type="dxa"/>
            <w:vAlign w:val="center"/>
            <w:hideMark/>
          </w:tcPr>
          <w:p w14:paraId="4230D67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66A0D67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0.954</w:t>
            </w:r>
          </w:p>
        </w:tc>
        <w:tc>
          <w:tcPr>
            <w:tcW w:w="1066" w:type="dxa"/>
            <w:vAlign w:val="center"/>
            <w:hideMark/>
          </w:tcPr>
          <w:p w14:paraId="4351874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9BE762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AC83A3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E6F489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E3FE00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3826854" w14:textId="77777777" w:rsidR="00F37018" w:rsidRPr="00367991" w:rsidRDefault="00F37018">
            <w:pPr>
              <w:jc w:val="center"/>
              <w:rPr>
                <w:rFonts w:asciiTheme="majorBidi" w:hAnsiTheme="majorBidi" w:cstheme="majorBidi"/>
                <w:color w:val="000000"/>
                <w:sz w:val="20"/>
                <w:szCs w:val="20"/>
              </w:rPr>
            </w:pPr>
          </w:p>
        </w:tc>
      </w:tr>
      <w:tr w:rsidR="00F37018" w:rsidRPr="00367991" w14:paraId="2BEDAED1" w14:textId="77777777" w:rsidTr="00F37018">
        <w:trPr>
          <w:trHeight w:val="340"/>
        </w:trPr>
        <w:tc>
          <w:tcPr>
            <w:tcW w:w="1555" w:type="dxa"/>
            <w:vAlign w:val="center"/>
            <w:hideMark/>
          </w:tcPr>
          <w:p w14:paraId="54CB8A4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1F85175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0.908</w:t>
            </w:r>
          </w:p>
        </w:tc>
        <w:tc>
          <w:tcPr>
            <w:tcW w:w="1066" w:type="dxa"/>
            <w:vAlign w:val="center"/>
            <w:hideMark/>
          </w:tcPr>
          <w:p w14:paraId="4FDE4CD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0.770</w:t>
            </w:r>
          </w:p>
        </w:tc>
        <w:tc>
          <w:tcPr>
            <w:tcW w:w="1066" w:type="dxa"/>
            <w:vAlign w:val="center"/>
            <w:hideMark/>
          </w:tcPr>
          <w:p w14:paraId="1E377A5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15D8DC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D152F9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0D05A7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42BB5E3" w14:textId="77777777" w:rsidR="00F37018" w:rsidRPr="00367991" w:rsidRDefault="00F37018">
            <w:pPr>
              <w:jc w:val="center"/>
              <w:rPr>
                <w:rFonts w:asciiTheme="majorBidi" w:hAnsiTheme="majorBidi" w:cstheme="majorBidi"/>
                <w:color w:val="000000"/>
                <w:sz w:val="20"/>
                <w:szCs w:val="20"/>
              </w:rPr>
            </w:pPr>
          </w:p>
        </w:tc>
      </w:tr>
      <w:tr w:rsidR="00F37018" w:rsidRPr="00367991" w14:paraId="76D51B3D" w14:textId="77777777" w:rsidTr="00F37018">
        <w:trPr>
          <w:trHeight w:val="340"/>
        </w:trPr>
        <w:tc>
          <w:tcPr>
            <w:tcW w:w="1555" w:type="dxa"/>
            <w:vAlign w:val="center"/>
            <w:hideMark/>
          </w:tcPr>
          <w:p w14:paraId="585855B3"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4FDCA2B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0.753</w:t>
            </w:r>
          </w:p>
        </w:tc>
        <w:tc>
          <w:tcPr>
            <w:tcW w:w="1066" w:type="dxa"/>
            <w:vAlign w:val="center"/>
            <w:hideMark/>
          </w:tcPr>
          <w:p w14:paraId="5E5A6B5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0.615</w:t>
            </w:r>
          </w:p>
        </w:tc>
        <w:tc>
          <w:tcPr>
            <w:tcW w:w="1066" w:type="dxa"/>
            <w:vAlign w:val="center"/>
            <w:hideMark/>
          </w:tcPr>
          <w:p w14:paraId="4DD5D3C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0.884</w:t>
            </w:r>
          </w:p>
        </w:tc>
        <w:tc>
          <w:tcPr>
            <w:tcW w:w="1066" w:type="dxa"/>
            <w:vAlign w:val="center"/>
            <w:hideMark/>
          </w:tcPr>
          <w:p w14:paraId="1F2A894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DE2538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EAAFB8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07FEDDD" w14:textId="77777777" w:rsidR="00F37018" w:rsidRPr="00367991" w:rsidRDefault="00F37018">
            <w:pPr>
              <w:jc w:val="center"/>
              <w:rPr>
                <w:rFonts w:asciiTheme="majorBidi" w:hAnsiTheme="majorBidi" w:cstheme="majorBidi"/>
                <w:color w:val="000000"/>
                <w:sz w:val="20"/>
                <w:szCs w:val="20"/>
              </w:rPr>
            </w:pPr>
          </w:p>
        </w:tc>
      </w:tr>
      <w:tr w:rsidR="00F37018" w:rsidRPr="00367991" w14:paraId="603183D0" w14:textId="77777777" w:rsidTr="00F37018">
        <w:trPr>
          <w:trHeight w:val="340"/>
        </w:trPr>
        <w:tc>
          <w:tcPr>
            <w:tcW w:w="1555" w:type="dxa"/>
            <w:vAlign w:val="center"/>
            <w:hideMark/>
          </w:tcPr>
          <w:p w14:paraId="6882D8F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7ECB360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0.916</w:t>
            </w:r>
          </w:p>
        </w:tc>
        <w:tc>
          <w:tcPr>
            <w:tcW w:w="1066" w:type="dxa"/>
            <w:vAlign w:val="center"/>
            <w:hideMark/>
          </w:tcPr>
          <w:p w14:paraId="54E5904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0.797</w:t>
            </w:r>
          </w:p>
        </w:tc>
        <w:tc>
          <w:tcPr>
            <w:tcW w:w="1066" w:type="dxa"/>
            <w:vAlign w:val="center"/>
            <w:hideMark/>
          </w:tcPr>
          <w:p w14:paraId="05DBC71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0.907</w:t>
            </w:r>
          </w:p>
        </w:tc>
        <w:tc>
          <w:tcPr>
            <w:tcW w:w="1066" w:type="dxa"/>
            <w:vAlign w:val="center"/>
            <w:hideMark/>
          </w:tcPr>
          <w:p w14:paraId="5B7156A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0.768</w:t>
            </w:r>
          </w:p>
        </w:tc>
        <w:tc>
          <w:tcPr>
            <w:tcW w:w="1066" w:type="dxa"/>
            <w:vAlign w:val="center"/>
            <w:hideMark/>
          </w:tcPr>
          <w:p w14:paraId="26173A3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420094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C1080FF" w14:textId="77777777" w:rsidR="00F37018" w:rsidRPr="00367991" w:rsidRDefault="00F37018">
            <w:pPr>
              <w:jc w:val="center"/>
              <w:rPr>
                <w:rFonts w:asciiTheme="majorBidi" w:hAnsiTheme="majorBidi" w:cstheme="majorBidi"/>
                <w:color w:val="000000"/>
                <w:sz w:val="20"/>
                <w:szCs w:val="20"/>
              </w:rPr>
            </w:pPr>
          </w:p>
        </w:tc>
      </w:tr>
      <w:tr w:rsidR="00F37018" w:rsidRPr="00367991" w14:paraId="260AA41B" w14:textId="77777777" w:rsidTr="00F37018">
        <w:trPr>
          <w:trHeight w:val="340"/>
        </w:trPr>
        <w:tc>
          <w:tcPr>
            <w:tcW w:w="1555" w:type="dxa"/>
            <w:vAlign w:val="center"/>
            <w:hideMark/>
          </w:tcPr>
          <w:p w14:paraId="669A9FD9"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54F3272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0.870</w:t>
            </w:r>
          </w:p>
        </w:tc>
        <w:tc>
          <w:tcPr>
            <w:tcW w:w="1066" w:type="dxa"/>
            <w:vAlign w:val="center"/>
            <w:hideMark/>
          </w:tcPr>
          <w:p w14:paraId="0F316BB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0.728</w:t>
            </w:r>
          </w:p>
        </w:tc>
        <w:tc>
          <w:tcPr>
            <w:tcW w:w="1066" w:type="dxa"/>
            <w:vAlign w:val="center"/>
            <w:hideMark/>
          </w:tcPr>
          <w:p w14:paraId="75FE2AF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0.995</w:t>
            </w:r>
          </w:p>
        </w:tc>
        <w:tc>
          <w:tcPr>
            <w:tcW w:w="1066" w:type="dxa"/>
            <w:vAlign w:val="center"/>
            <w:hideMark/>
          </w:tcPr>
          <w:p w14:paraId="32C222C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0.887</w:t>
            </w:r>
          </w:p>
        </w:tc>
        <w:tc>
          <w:tcPr>
            <w:tcW w:w="1066" w:type="dxa"/>
            <w:vAlign w:val="center"/>
            <w:hideMark/>
          </w:tcPr>
          <w:p w14:paraId="5CBC6A2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0.868</w:t>
            </w:r>
          </w:p>
        </w:tc>
        <w:tc>
          <w:tcPr>
            <w:tcW w:w="1066" w:type="dxa"/>
            <w:vAlign w:val="center"/>
            <w:hideMark/>
          </w:tcPr>
          <w:p w14:paraId="4340654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87A4736" w14:textId="77777777" w:rsidR="00F37018" w:rsidRPr="00367991" w:rsidRDefault="00F37018">
            <w:pPr>
              <w:jc w:val="center"/>
              <w:rPr>
                <w:rFonts w:asciiTheme="majorBidi" w:hAnsiTheme="majorBidi" w:cstheme="majorBidi"/>
                <w:color w:val="000000"/>
                <w:sz w:val="20"/>
                <w:szCs w:val="20"/>
              </w:rPr>
            </w:pPr>
          </w:p>
        </w:tc>
      </w:tr>
      <w:tr w:rsidR="00F37018" w:rsidRPr="00367991" w14:paraId="7F0616C3" w14:textId="77777777" w:rsidTr="00F37018">
        <w:trPr>
          <w:trHeight w:val="340"/>
        </w:trPr>
        <w:tc>
          <w:tcPr>
            <w:tcW w:w="1555" w:type="dxa"/>
            <w:vAlign w:val="center"/>
            <w:hideMark/>
          </w:tcPr>
          <w:p w14:paraId="01467036"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064B774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0.990</w:t>
            </w:r>
          </w:p>
        </w:tc>
        <w:tc>
          <w:tcPr>
            <w:tcW w:w="1066" w:type="dxa"/>
            <w:vAlign w:val="center"/>
            <w:hideMark/>
          </w:tcPr>
          <w:p w14:paraId="182B7FF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0.918</w:t>
            </w:r>
          </w:p>
        </w:tc>
        <w:tc>
          <w:tcPr>
            <w:tcW w:w="1066" w:type="dxa"/>
            <w:vAlign w:val="center"/>
            <w:hideMark/>
          </w:tcPr>
          <w:p w14:paraId="57D9DDC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0.955</w:t>
            </w:r>
          </w:p>
        </w:tc>
        <w:tc>
          <w:tcPr>
            <w:tcW w:w="1066" w:type="dxa"/>
            <w:vAlign w:val="center"/>
            <w:hideMark/>
          </w:tcPr>
          <w:p w14:paraId="5C1E76E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0.818</w:t>
            </w:r>
          </w:p>
        </w:tc>
        <w:tc>
          <w:tcPr>
            <w:tcW w:w="1066" w:type="dxa"/>
            <w:vAlign w:val="center"/>
            <w:hideMark/>
          </w:tcPr>
          <w:p w14:paraId="17C3D31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0.936</w:t>
            </w:r>
          </w:p>
        </w:tc>
        <w:tc>
          <w:tcPr>
            <w:tcW w:w="1066" w:type="dxa"/>
            <w:vAlign w:val="center"/>
            <w:hideMark/>
          </w:tcPr>
          <w:p w14:paraId="4E85A6B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0.927</w:t>
            </w:r>
          </w:p>
        </w:tc>
        <w:tc>
          <w:tcPr>
            <w:tcW w:w="1066" w:type="dxa"/>
            <w:vAlign w:val="center"/>
            <w:hideMark/>
          </w:tcPr>
          <w:p w14:paraId="7858BAE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5AD7AB91" w14:textId="77777777" w:rsidTr="00F37018">
        <w:trPr>
          <w:trHeight w:val="340"/>
        </w:trPr>
        <w:tc>
          <w:tcPr>
            <w:tcW w:w="1555" w:type="dxa"/>
            <w:vAlign w:val="center"/>
          </w:tcPr>
          <w:p w14:paraId="27A42C8E" w14:textId="77777777" w:rsidR="00F37018" w:rsidRPr="00367991" w:rsidRDefault="00F37018">
            <w:pPr>
              <w:rPr>
                <w:rFonts w:asciiTheme="majorBidi" w:hAnsiTheme="majorBidi" w:cstheme="majorBidi"/>
                <w:sz w:val="20"/>
                <w:szCs w:val="20"/>
              </w:rPr>
            </w:pPr>
          </w:p>
        </w:tc>
        <w:tc>
          <w:tcPr>
            <w:tcW w:w="1065" w:type="dxa"/>
            <w:vAlign w:val="center"/>
          </w:tcPr>
          <w:p w14:paraId="604E04D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C1CDAB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9FE745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1C1343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BFD3EA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D5985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E67453A" w14:textId="77777777" w:rsidR="00F37018" w:rsidRPr="00367991" w:rsidRDefault="00F37018">
            <w:pPr>
              <w:jc w:val="center"/>
              <w:rPr>
                <w:rFonts w:asciiTheme="majorBidi" w:hAnsiTheme="majorBidi" w:cstheme="majorBidi"/>
                <w:color w:val="000000"/>
                <w:sz w:val="20"/>
                <w:szCs w:val="20"/>
              </w:rPr>
            </w:pPr>
          </w:p>
        </w:tc>
      </w:tr>
      <w:tr w:rsidR="00F37018" w:rsidRPr="00367991" w14:paraId="572CBCCE" w14:textId="77777777" w:rsidTr="00F37018">
        <w:trPr>
          <w:trHeight w:val="340"/>
        </w:trPr>
        <w:tc>
          <w:tcPr>
            <w:tcW w:w="1555" w:type="dxa"/>
            <w:vAlign w:val="center"/>
            <w:hideMark/>
          </w:tcPr>
          <w:p w14:paraId="1EDDD04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2018</w:t>
            </w:r>
          </w:p>
        </w:tc>
        <w:tc>
          <w:tcPr>
            <w:tcW w:w="1065" w:type="dxa"/>
            <w:vAlign w:val="center"/>
          </w:tcPr>
          <w:p w14:paraId="3E8C6EF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C89C98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D052B0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A51072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18C724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4090B7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A0905B5" w14:textId="77777777" w:rsidR="00F37018" w:rsidRPr="00367991" w:rsidRDefault="00F37018">
            <w:pPr>
              <w:jc w:val="center"/>
              <w:rPr>
                <w:rFonts w:asciiTheme="majorBidi" w:hAnsiTheme="majorBidi" w:cstheme="majorBidi"/>
                <w:color w:val="000000"/>
                <w:sz w:val="20"/>
                <w:szCs w:val="20"/>
              </w:rPr>
            </w:pPr>
          </w:p>
        </w:tc>
      </w:tr>
      <w:tr w:rsidR="00F37018" w:rsidRPr="00367991" w14:paraId="1672E992" w14:textId="77777777" w:rsidTr="00F37018">
        <w:trPr>
          <w:trHeight w:val="340"/>
        </w:trPr>
        <w:tc>
          <w:tcPr>
            <w:tcW w:w="1555" w:type="dxa"/>
            <w:vAlign w:val="center"/>
            <w:hideMark/>
          </w:tcPr>
          <w:p w14:paraId="6A5412AF"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365DBA5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4C24B4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CCE10E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86B0CF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DDC34D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3E329C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CC61726" w14:textId="77777777" w:rsidR="00F37018" w:rsidRPr="00367991" w:rsidRDefault="00F37018">
            <w:pPr>
              <w:jc w:val="center"/>
              <w:rPr>
                <w:rFonts w:asciiTheme="majorBidi" w:hAnsiTheme="majorBidi" w:cstheme="majorBidi"/>
                <w:color w:val="000000"/>
                <w:sz w:val="20"/>
                <w:szCs w:val="20"/>
              </w:rPr>
            </w:pPr>
          </w:p>
        </w:tc>
      </w:tr>
      <w:tr w:rsidR="00F37018" w:rsidRPr="00367991" w14:paraId="757E11C8" w14:textId="77777777" w:rsidTr="00F37018">
        <w:trPr>
          <w:trHeight w:val="340"/>
        </w:trPr>
        <w:tc>
          <w:tcPr>
            <w:tcW w:w="1555" w:type="dxa"/>
            <w:vAlign w:val="center"/>
            <w:hideMark/>
          </w:tcPr>
          <w:p w14:paraId="51773492"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6528972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0.985</w:t>
            </w:r>
          </w:p>
        </w:tc>
        <w:tc>
          <w:tcPr>
            <w:tcW w:w="1066" w:type="dxa"/>
            <w:vAlign w:val="center"/>
            <w:hideMark/>
          </w:tcPr>
          <w:p w14:paraId="613BDCB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08FCDC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7D6D91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53E46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56D5BF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F6D0C4F" w14:textId="77777777" w:rsidR="00F37018" w:rsidRPr="00367991" w:rsidRDefault="00F37018">
            <w:pPr>
              <w:jc w:val="center"/>
              <w:rPr>
                <w:rFonts w:asciiTheme="majorBidi" w:hAnsiTheme="majorBidi" w:cstheme="majorBidi"/>
                <w:color w:val="000000"/>
                <w:sz w:val="20"/>
                <w:szCs w:val="20"/>
              </w:rPr>
            </w:pPr>
          </w:p>
        </w:tc>
      </w:tr>
      <w:tr w:rsidR="00F37018" w:rsidRPr="00367991" w14:paraId="22C24A06" w14:textId="77777777" w:rsidTr="00F37018">
        <w:trPr>
          <w:trHeight w:val="340"/>
        </w:trPr>
        <w:tc>
          <w:tcPr>
            <w:tcW w:w="1555" w:type="dxa"/>
            <w:vAlign w:val="center"/>
            <w:hideMark/>
          </w:tcPr>
          <w:p w14:paraId="007D12C2"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59453B9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0.934</w:t>
            </w:r>
          </w:p>
        </w:tc>
        <w:tc>
          <w:tcPr>
            <w:tcW w:w="1066" w:type="dxa"/>
            <w:vAlign w:val="center"/>
            <w:hideMark/>
          </w:tcPr>
          <w:p w14:paraId="500B387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0.899</w:t>
            </w:r>
          </w:p>
        </w:tc>
        <w:tc>
          <w:tcPr>
            <w:tcW w:w="1066" w:type="dxa"/>
            <w:vAlign w:val="center"/>
            <w:hideMark/>
          </w:tcPr>
          <w:p w14:paraId="598300A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1BD006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AC635C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10B025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E66A484" w14:textId="77777777" w:rsidR="00F37018" w:rsidRPr="00367991" w:rsidRDefault="00F37018">
            <w:pPr>
              <w:jc w:val="center"/>
              <w:rPr>
                <w:rFonts w:asciiTheme="majorBidi" w:hAnsiTheme="majorBidi" w:cstheme="majorBidi"/>
                <w:color w:val="000000"/>
                <w:sz w:val="20"/>
                <w:szCs w:val="20"/>
              </w:rPr>
            </w:pPr>
          </w:p>
        </w:tc>
      </w:tr>
      <w:tr w:rsidR="00F37018" w:rsidRPr="00367991" w14:paraId="23ADC929" w14:textId="77777777" w:rsidTr="00F37018">
        <w:trPr>
          <w:trHeight w:val="340"/>
        </w:trPr>
        <w:tc>
          <w:tcPr>
            <w:tcW w:w="1555" w:type="dxa"/>
            <w:vAlign w:val="center"/>
            <w:hideMark/>
          </w:tcPr>
          <w:p w14:paraId="129E9B8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69C056B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0.696</w:t>
            </w:r>
          </w:p>
        </w:tc>
        <w:tc>
          <w:tcPr>
            <w:tcW w:w="1066" w:type="dxa"/>
            <w:vAlign w:val="center"/>
            <w:hideMark/>
          </w:tcPr>
          <w:p w14:paraId="12CC775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0.612</w:t>
            </w:r>
          </w:p>
        </w:tc>
        <w:tc>
          <w:tcPr>
            <w:tcW w:w="1066" w:type="dxa"/>
            <w:vAlign w:val="center"/>
            <w:hideMark/>
          </w:tcPr>
          <w:p w14:paraId="490A0C0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0.717</w:t>
            </w:r>
          </w:p>
        </w:tc>
        <w:tc>
          <w:tcPr>
            <w:tcW w:w="1066" w:type="dxa"/>
            <w:vAlign w:val="center"/>
            <w:hideMark/>
          </w:tcPr>
          <w:p w14:paraId="217D66A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2D8E2C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5809D4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21F3E82" w14:textId="77777777" w:rsidR="00F37018" w:rsidRPr="00367991" w:rsidRDefault="00F37018">
            <w:pPr>
              <w:jc w:val="center"/>
              <w:rPr>
                <w:rFonts w:asciiTheme="majorBidi" w:hAnsiTheme="majorBidi" w:cstheme="majorBidi"/>
                <w:color w:val="000000"/>
                <w:sz w:val="20"/>
                <w:szCs w:val="20"/>
              </w:rPr>
            </w:pPr>
          </w:p>
        </w:tc>
      </w:tr>
      <w:tr w:rsidR="00F37018" w:rsidRPr="00367991" w14:paraId="595B7E5A" w14:textId="77777777" w:rsidTr="00F37018">
        <w:trPr>
          <w:trHeight w:val="340"/>
        </w:trPr>
        <w:tc>
          <w:tcPr>
            <w:tcW w:w="1555" w:type="dxa"/>
            <w:vAlign w:val="center"/>
            <w:hideMark/>
          </w:tcPr>
          <w:p w14:paraId="5D0AEBC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07033E5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0.971</w:t>
            </w:r>
          </w:p>
        </w:tc>
        <w:tc>
          <w:tcPr>
            <w:tcW w:w="1066" w:type="dxa"/>
            <w:vAlign w:val="center"/>
            <w:hideMark/>
          </w:tcPr>
          <w:p w14:paraId="227BEA7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0.929</w:t>
            </w:r>
          </w:p>
        </w:tc>
        <w:tc>
          <w:tcPr>
            <w:tcW w:w="1066" w:type="dxa"/>
            <w:vAlign w:val="center"/>
            <w:hideMark/>
          </w:tcPr>
          <w:p w14:paraId="06DEED6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0.891</w:t>
            </w:r>
          </w:p>
        </w:tc>
        <w:tc>
          <w:tcPr>
            <w:tcW w:w="1066" w:type="dxa"/>
            <w:vAlign w:val="center"/>
            <w:hideMark/>
          </w:tcPr>
          <w:p w14:paraId="3145C91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0.691</w:t>
            </w:r>
          </w:p>
        </w:tc>
        <w:tc>
          <w:tcPr>
            <w:tcW w:w="1066" w:type="dxa"/>
            <w:vAlign w:val="center"/>
            <w:hideMark/>
          </w:tcPr>
          <w:p w14:paraId="5D40D7F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BAAF42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8665870" w14:textId="77777777" w:rsidR="00F37018" w:rsidRPr="00367991" w:rsidRDefault="00F37018">
            <w:pPr>
              <w:jc w:val="center"/>
              <w:rPr>
                <w:rFonts w:asciiTheme="majorBidi" w:hAnsiTheme="majorBidi" w:cstheme="majorBidi"/>
                <w:color w:val="000000"/>
                <w:sz w:val="20"/>
                <w:szCs w:val="20"/>
              </w:rPr>
            </w:pPr>
          </w:p>
        </w:tc>
      </w:tr>
      <w:tr w:rsidR="00F37018" w:rsidRPr="00367991" w14:paraId="2ABEC56A" w14:textId="77777777" w:rsidTr="00F37018">
        <w:trPr>
          <w:trHeight w:val="340"/>
        </w:trPr>
        <w:tc>
          <w:tcPr>
            <w:tcW w:w="1555" w:type="dxa"/>
            <w:vAlign w:val="center"/>
            <w:hideMark/>
          </w:tcPr>
          <w:p w14:paraId="260B2F58"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162404F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0.876</w:t>
            </w:r>
          </w:p>
        </w:tc>
        <w:tc>
          <w:tcPr>
            <w:tcW w:w="1066" w:type="dxa"/>
            <w:vAlign w:val="center"/>
            <w:hideMark/>
          </w:tcPr>
          <w:p w14:paraId="7EDFEBF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0.841</w:t>
            </w:r>
          </w:p>
        </w:tc>
        <w:tc>
          <w:tcPr>
            <w:tcW w:w="1066" w:type="dxa"/>
            <w:vAlign w:val="center"/>
            <w:hideMark/>
          </w:tcPr>
          <w:p w14:paraId="6F6D752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0.989</w:t>
            </w:r>
          </w:p>
        </w:tc>
        <w:tc>
          <w:tcPr>
            <w:tcW w:w="1066" w:type="dxa"/>
            <w:vAlign w:val="center"/>
            <w:hideMark/>
          </w:tcPr>
          <w:p w14:paraId="5534E33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0.695</w:t>
            </w:r>
          </w:p>
        </w:tc>
        <w:tc>
          <w:tcPr>
            <w:tcW w:w="1066" w:type="dxa"/>
            <w:vAlign w:val="center"/>
            <w:hideMark/>
          </w:tcPr>
          <w:p w14:paraId="68FE754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0.823</w:t>
            </w:r>
          </w:p>
        </w:tc>
        <w:tc>
          <w:tcPr>
            <w:tcW w:w="1066" w:type="dxa"/>
            <w:vAlign w:val="center"/>
            <w:hideMark/>
          </w:tcPr>
          <w:p w14:paraId="04E6D22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6191170" w14:textId="77777777" w:rsidR="00F37018" w:rsidRPr="00367991" w:rsidRDefault="00F37018">
            <w:pPr>
              <w:jc w:val="center"/>
              <w:rPr>
                <w:rFonts w:asciiTheme="majorBidi" w:hAnsiTheme="majorBidi" w:cstheme="majorBidi"/>
                <w:color w:val="000000"/>
                <w:sz w:val="20"/>
                <w:szCs w:val="20"/>
              </w:rPr>
            </w:pPr>
          </w:p>
        </w:tc>
      </w:tr>
      <w:tr w:rsidR="00F37018" w:rsidRPr="00367991" w14:paraId="04CF7DBA" w14:textId="77777777" w:rsidTr="00F37018">
        <w:trPr>
          <w:trHeight w:val="340"/>
        </w:trPr>
        <w:tc>
          <w:tcPr>
            <w:tcW w:w="1555" w:type="dxa"/>
            <w:vAlign w:val="center"/>
            <w:hideMark/>
          </w:tcPr>
          <w:p w14:paraId="73A8312C"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167351A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0.991</w:t>
            </w:r>
          </w:p>
        </w:tc>
        <w:tc>
          <w:tcPr>
            <w:tcW w:w="1066" w:type="dxa"/>
            <w:vAlign w:val="center"/>
            <w:hideMark/>
          </w:tcPr>
          <w:p w14:paraId="610F760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0.970</w:t>
            </w:r>
          </w:p>
        </w:tc>
        <w:tc>
          <w:tcPr>
            <w:tcW w:w="1066" w:type="dxa"/>
            <w:vAlign w:val="center"/>
            <w:hideMark/>
          </w:tcPr>
          <w:p w14:paraId="292F39D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0.965</w:t>
            </w:r>
          </w:p>
        </w:tc>
        <w:tc>
          <w:tcPr>
            <w:tcW w:w="1066" w:type="dxa"/>
            <w:vAlign w:val="center"/>
            <w:hideMark/>
          </w:tcPr>
          <w:p w14:paraId="13CAC46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0.734</w:t>
            </w:r>
          </w:p>
        </w:tc>
        <w:tc>
          <w:tcPr>
            <w:tcW w:w="1066" w:type="dxa"/>
            <w:vAlign w:val="center"/>
            <w:hideMark/>
          </w:tcPr>
          <w:p w14:paraId="64DD47F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0.958</w:t>
            </w:r>
          </w:p>
        </w:tc>
        <w:tc>
          <w:tcPr>
            <w:tcW w:w="1066" w:type="dxa"/>
            <w:vAlign w:val="center"/>
            <w:hideMark/>
          </w:tcPr>
          <w:p w14:paraId="181F5A9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0.923</w:t>
            </w:r>
          </w:p>
        </w:tc>
        <w:tc>
          <w:tcPr>
            <w:tcW w:w="1066" w:type="dxa"/>
            <w:vAlign w:val="center"/>
            <w:hideMark/>
          </w:tcPr>
          <w:p w14:paraId="05E3877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bl>
    <w:p w14:paraId="1DB17426" w14:textId="77777777" w:rsidR="00F37018" w:rsidRDefault="00F37018" w:rsidP="00F37018">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7788C966" w14:textId="0CEAA87F" w:rsidR="00F37018" w:rsidRDefault="00F37018" w:rsidP="001A3FC7"/>
    <w:p w14:paraId="214EBBF9" w14:textId="41D93510" w:rsidR="00F37018" w:rsidRDefault="00F37018" w:rsidP="001A3FC7">
      <w:r>
        <w:br w:type="page"/>
      </w:r>
    </w:p>
    <w:p w14:paraId="4253D9AD" w14:textId="0BDC7666" w:rsidR="00F37018" w:rsidRPr="00994234" w:rsidRDefault="00F37018" w:rsidP="00F37018">
      <w:pPr>
        <w:spacing w:line="360" w:lineRule="auto"/>
        <w:rPr>
          <w:b/>
          <w:bCs/>
          <w:lang w:val="mi-NZ"/>
        </w:rPr>
      </w:pPr>
      <w:r w:rsidRPr="00994234">
        <w:rPr>
          <w:b/>
          <w:bCs/>
          <w:lang w:val="mi-NZ"/>
        </w:rPr>
        <w:lastRenderedPageBreak/>
        <w:t xml:space="preserve">Table </w:t>
      </w:r>
      <w:r>
        <w:rPr>
          <w:b/>
          <w:bCs/>
          <w:lang w:val="mi-NZ"/>
        </w:rPr>
        <w:t>A4</w:t>
      </w:r>
      <w:r w:rsidRPr="00994234">
        <w:rPr>
          <w:b/>
          <w:bCs/>
          <w:lang w:val="mi-NZ"/>
        </w:rPr>
        <w:t xml:space="preserve">. </w:t>
      </w:r>
      <w:r w:rsidRPr="00F37018">
        <w:rPr>
          <w:b/>
          <w:bCs/>
          <w:lang w:val="mi-NZ"/>
        </w:rPr>
        <w:t>Spearman rank correlations between measures of structural ageing based on state-level data 1980, 2000, and 2018</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F37018" w:rsidRPr="00367991" w14:paraId="526F5751" w14:textId="77777777" w:rsidTr="00F37018">
        <w:trPr>
          <w:trHeight w:val="470"/>
        </w:trPr>
        <w:tc>
          <w:tcPr>
            <w:tcW w:w="1555" w:type="dxa"/>
            <w:tcBorders>
              <w:top w:val="single" w:sz="4" w:space="0" w:color="auto"/>
              <w:bottom w:val="single" w:sz="4" w:space="0" w:color="auto"/>
            </w:tcBorders>
            <w:vAlign w:val="center"/>
            <w:hideMark/>
          </w:tcPr>
          <w:p w14:paraId="73158063" w14:textId="77777777" w:rsidR="00F37018" w:rsidRPr="00367991" w:rsidRDefault="00F37018">
            <w:pPr>
              <w:rPr>
                <w:rFonts w:asciiTheme="majorBidi" w:hAnsiTheme="majorBidi" w:cstheme="majorBidi"/>
                <w:b/>
                <w:bCs/>
                <w:sz w:val="20"/>
                <w:szCs w:val="20"/>
                <w:lang w:val="en-NZ" w:eastAsia="zh-CN"/>
              </w:rPr>
            </w:pPr>
            <w:r w:rsidRPr="00367991">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1AEB5618"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5152A192"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6A0D497C"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1AC9060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CF8BDD7"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CER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5D97BAA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OADR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0E0281B" w14:textId="77777777" w:rsidR="00F37018" w:rsidRPr="00367991" w:rsidRDefault="00F37018">
            <w:pPr>
              <w:jc w:val="center"/>
              <w:rPr>
                <w:rFonts w:asciiTheme="majorBidi" w:hAnsiTheme="majorBidi" w:cstheme="majorBidi"/>
                <w:b/>
                <w:bCs/>
                <w:color w:val="000000"/>
                <w:sz w:val="20"/>
                <w:szCs w:val="20"/>
              </w:rPr>
            </w:pPr>
            <w:r w:rsidRPr="00367991">
              <w:rPr>
                <w:rFonts w:asciiTheme="majorBidi" w:hAnsiTheme="majorBidi" w:cstheme="majorBidi"/>
                <w:b/>
                <w:bCs/>
                <w:color w:val="000000"/>
                <w:sz w:val="20"/>
                <w:szCs w:val="20"/>
              </w:rPr>
              <w:t>RMSA</w:t>
            </w:r>
            <w:r w:rsidRPr="00367991">
              <w:rPr>
                <w:rFonts w:asciiTheme="majorBidi" w:hAnsiTheme="majorBidi" w:cstheme="majorBidi"/>
                <w:b/>
                <w:bCs/>
                <w:color w:val="000000"/>
                <w:sz w:val="20"/>
                <w:szCs w:val="20"/>
                <w:vertAlign w:val="superscript"/>
              </w:rPr>
              <w:t>***</w:t>
            </w:r>
          </w:p>
        </w:tc>
      </w:tr>
      <w:tr w:rsidR="00F37018" w:rsidRPr="00367991" w14:paraId="3549AF57" w14:textId="77777777" w:rsidTr="00F37018">
        <w:trPr>
          <w:trHeight w:val="340"/>
        </w:trPr>
        <w:tc>
          <w:tcPr>
            <w:tcW w:w="1555" w:type="dxa"/>
            <w:tcBorders>
              <w:top w:val="single" w:sz="4" w:space="0" w:color="auto"/>
            </w:tcBorders>
            <w:vAlign w:val="center"/>
            <w:hideMark/>
          </w:tcPr>
          <w:p w14:paraId="1475B185" w14:textId="7D904E25" w:rsidR="00F37018" w:rsidRPr="00367991" w:rsidRDefault="00367991">
            <w:pPr>
              <w:rPr>
                <w:rFonts w:asciiTheme="majorBidi" w:hAnsiTheme="majorBidi" w:cstheme="majorBidi"/>
                <w:b/>
                <w:bCs/>
                <w:sz w:val="20"/>
                <w:szCs w:val="20"/>
              </w:rPr>
            </w:pPr>
            <w:r>
              <w:rPr>
                <w:rFonts w:asciiTheme="majorBidi" w:hAnsiTheme="majorBidi" w:cstheme="majorBidi"/>
                <w:b/>
                <w:bCs/>
                <w:color w:val="000000"/>
                <w:sz w:val="20"/>
                <w:szCs w:val="20"/>
              </w:rPr>
              <w:t>1980</w:t>
            </w:r>
          </w:p>
        </w:tc>
        <w:tc>
          <w:tcPr>
            <w:tcW w:w="1065" w:type="dxa"/>
            <w:tcBorders>
              <w:top w:val="single" w:sz="4" w:space="0" w:color="auto"/>
            </w:tcBorders>
            <w:vAlign w:val="center"/>
          </w:tcPr>
          <w:p w14:paraId="0227EECC"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5100B36B"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22EFE944"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68D49491"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3E5467BA"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471C175F"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1BB97852" w14:textId="77777777" w:rsidR="00F37018" w:rsidRPr="00367991" w:rsidRDefault="00F37018">
            <w:pPr>
              <w:jc w:val="center"/>
              <w:rPr>
                <w:rFonts w:asciiTheme="majorBidi" w:hAnsiTheme="majorBidi" w:cstheme="majorBidi"/>
                <w:b/>
                <w:bCs/>
                <w:color w:val="000000"/>
                <w:sz w:val="20"/>
                <w:szCs w:val="20"/>
              </w:rPr>
            </w:pPr>
          </w:p>
        </w:tc>
      </w:tr>
      <w:tr w:rsidR="00F37018" w:rsidRPr="00367991" w14:paraId="23628C66" w14:textId="77777777" w:rsidTr="00F37018">
        <w:trPr>
          <w:trHeight w:val="340"/>
        </w:trPr>
        <w:tc>
          <w:tcPr>
            <w:tcW w:w="1555" w:type="dxa"/>
            <w:vAlign w:val="center"/>
            <w:hideMark/>
          </w:tcPr>
          <w:p w14:paraId="66D8765E"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1941E538"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10034C7F" w14:textId="77777777" w:rsidR="00F37018" w:rsidRPr="00367991" w:rsidRDefault="00F37018">
            <w:pPr>
              <w:jc w:val="center"/>
              <w:rPr>
                <w:rFonts w:asciiTheme="majorBidi" w:hAnsiTheme="majorBidi" w:cstheme="majorBidi"/>
                <w:sz w:val="20"/>
                <w:szCs w:val="20"/>
              </w:rPr>
            </w:pPr>
          </w:p>
        </w:tc>
        <w:tc>
          <w:tcPr>
            <w:tcW w:w="1066" w:type="dxa"/>
            <w:vAlign w:val="center"/>
          </w:tcPr>
          <w:p w14:paraId="699A4B9F" w14:textId="77777777" w:rsidR="00F37018" w:rsidRPr="00367991" w:rsidRDefault="00F37018">
            <w:pPr>
              <w:jc w:val="center"/>
              <w:rPr>
                <w:rFonts w:asciiTheme="majorBidi" w:hAnsiTheme="majorBidi" w:cstheme="majorBidi"/>
                <w:sz w:val="20"/>
                <w:szCs w:val="20"/>
              </w:rPr>
            </w:pPr>
          </w:p>
        </w:tc>
        <w:tc>
          <w:tcPr>
            <w:tcW w:w="1066" w:type="dxa"/>
            <w:vAlign w:val="center"/>
          </w:tcPr>
          <w:p w14:paraId="5F54086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5D311A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D58793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62F65D6" w14:textId="77777777" w:rsidR="00F37018" w:rsidRPr="00367991" w:rsidRDefault="00F37018">
            <w:pPr>
              <w:jc w:val="center"/>
              <w:rPr>
                <w:rFonts w:asciiTheme="majorBidi" w:hAnsiTheme="majorBidi" w:cstheme="majorBidi"/>
                <w:color w:val="000000"/>
                <w:sz w:val="20"/>
                <w:szCs w:val="20"/>
              </w:rPr>
            </w:pPr>
          </w:p>
        </w:tc>
      </w:tr>
      <w:tr w:rsidR="00F37018" w:rsidRPr="00367991" w14:paraId="1E8E1AE4" w14:textId="77777777" w:rsidTr="00F37018">
        <w:trPr>
          <w:trHeight w:val="340"/>
        </w:trPr>
        <w:tc>
          <w:tcPr>
            <w:tcW w:w="1555" w:type="dxa"/>
            <w:vAlign w:val="center"/>
            <w:hideMark/>
          </w:tcPr>
          <w:p w14:paraId="16B0EDBD"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1C9D267B"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0.901</w:t>
            </w:r>
          </w:p>
        </w:tc>
        <w:tc>
          <w:tcPr>
            <w:tcW w:w="1066" w:type="dxa"/>
            <w:vAlign w:val="center"/>
            <w:hideMark/>
          </w:tcPr>
          <w:p w14:paraId="53DA06B6"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6E405FA3" w14:textId="77777777" w:rsidR="00F37018" w:rsidRPr="00367991" w:rsidRDefault="00F37018">
            <w:pPr>
              <w:jc w:val="center"/>
              <w:rPr>
                <w:rFonts w:asciiTheme="majorBidi" w:hAnsiTheme="majorBidi" w:cstheme="majorBidi"/>
                <w:sz w:val="20"/>
                <w:szCs w:val="20"/>
              </w:rPr>
            </w:pPr>
          </w:p>
        </w:tc>
        <w:tc>
          <w:tcPr>
            <w:tcW w:w="1066" w:type="dxa"/>
            <w:vAlign w:val="center"/>
          </w:tcPr>
          <w:p w14:paraId="36A1E32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B94419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1A4D8F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C24E5BC" w14:textId="77777777" w:rsidR="00F37018" w:rsidRPr="00367991" w:rsidRDefault="00F37018">
            <w:pPr>
              <w:jc w:val="center"/>
              <w:rPr>
                <w:rFonts w:asciiTheme="majorBidi" w:hAnsiTheme="majorBidi" w:cstheme="majorBidi"/>
                <w:color w:val="000000"/>
                <w:sz w:val="20"/>
                <w:szCs w:val="20"/>
              </w:rPr>
            </w:pPr>
          </w:p>
        </w:tc>
      </w:tr>
      <w:tr w:rsidR="00F37018" w:rsidRPr="00367991" w14:paraId="241EF3D5" w14:textId="77777777" w:rsidTr="00F37018">
        <w:trPr>
          <w:trHeight w:val="340"/>
        </w:trPr>
        <w:tc>
          <w:tcPr>
            <w:tcW w:w="1555" w:type="dxa"/>
            <w:vAlign w:val="center"/>
            <w:hideMark/>
          </w:tcPr>
          <w:p w14:paraId="4CAA67A5"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4056F9B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0.874</w:t>
            </w:r>
          </w:p>
        </w:tc>
        <w:tc>
          <w:tcPr>
            <w:tcW w:w="1066" w:type="dxa"/>
            <w:vAlign w:val="center"/>
            <w:hideMark/>
          </w:tcPr>
          <w:p w14:paraId="63B7090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0.639</w:t>
            </w:r>
          </w:p>
        </w:tc>
        <w:tc>
          <w:tcPr>
            <w:tcW w:w="1066" w:type="dxa"/>
            <w:vAlign w:val="center"/>
            <w:hideMark/>
          </w:tcPr>
          <w:p w14:paraId="7FE1E459"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18021AE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3CDD69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AAF640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59D71AE" w14:textId="77777777" w:rsidR="00F37018" w:rsidRPr="00367991" w:rsidRDefault="00F37018">
            <w:pPr>
              <w:jc w:val="center"/>
              <w:rPr>
                <w:rFonts w:asciiTheme="majorBidi" w:hAnsiTheme="majorBidi" w:cstheme="majorBidi"/>
                <w:color w:val="000000"/>
                <w:sz w:val="20"/>
                <w:szCs w:val="20"/>
              </w:rPr>
            </w:pPr>
          </w:p>
        </w:tc>
      </w:tr>
      <w:tr w:rsidR="00F37018" w:rsidRPr="00367991" w14:paraId="460E29C4" w14:textId="77777777" w:rsidTr="00F37018">
        <w:trPr>
          <w:trHeight w:val="340"/>
        </w:trPr>
        <w:tc>
          <w:tcPr>
            <w:tcW w:w="1555" w:type="dxa"/>
            <w:vAlign w:val="center"/>
            <w:hideMark/>
          </w:tcPr>
          <w:p w14:paraId="527D012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20A12528"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0.777</w:t>
            </w:r>
          </w:p>
        </w:tc>
        <w:tc>
          <w:tcPr>
            <w:tcW w:w="1066" w:type="dxa"/>
            <w:vAlign w:val="center"/>
            <w:hideMark/>
          </w:tcPr>
          <w:p w14:paraId="611B4506"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0.520</w:t>
            </w:r>
          </w:p>
        </w:tc>
        <w:tc>
          <w:tcPr>
            <w:tcW w:w="1066" w:type="dxa"/>
            <w:vAlign w:val="center"/>
            <w:hideMark/>
          </w:tcPr>
          <w:p w14:paraId="6E33DAAF"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0.892</w:t>
            </w:r>
          </w:p>
        </w:tc>
        <w:tc>
          <w:tcPr>
            <w:tcW w:w="1066" w:type="dxa"/>
            <w:vAlign w:val="center"/>
            <w:hideMark/>
          </w:tcPr>
          <w:p w14:paraId="56594DC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B0AB6C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51282B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22DE745" w14:textId="77777777" w:rsidR="00F37018" w:rsidRPr="00367991" w:rsidRDefault="00F37018">
            <w:pPr>
              <w:jc w:val="center"/>
              <w:rPr>
                <w:rFonts w:asciiTheme="majorBidi" w:hAnsiTheme="majorBidi" w:cstheme="majorBidi"/>
                <w:color w:val="000000"/>
                <w:sz w:val="20"/>
                <w:szCs w:val="20"/>
              </w:rPr>
            </w:pPr>
          </w:p>
        </w:tc>
      </w:tr>
      <w:tr w:rsidR="00F37018" w:rsidRPr="00367991" w14:paraId="79AEC91C" w14:textId="77777777" w:rsidTr="00F37018">
        <w:trPr>
          <w:trHeight w:val="340"/>
        </w:trPr>
        <w:tc>
          <w:tcPr>
            <w:tcW w:w="1555" w:type="dxa"/>
            <w:vAlign w:val="center"/>
            <w:hideMark/>
          </w:tcPr>
          <w:p w14:paraId="28652D08"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4C7D43CD"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0.981</w:t>
            </w:r>
          </w:p>
        </w:tc>
        <w:tc>
          <w:tcPr>
            <w:tcW w:w="1066" w:type="dxa"/>
            <w:vAlign w:val="center"/>
            <w:hideMark/>
          </w:tcPr>
          <w:p w14:paraId="7C9EFCA4"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0.838</w:t>
            </w:r>
          </w:p>
        </w:tc>
        <w:tc>
          <w:tcPr>
            <w:tcW w:w="1066" w:type="dxa"/>
            <w:vAlign w:val="center"/>
            <w:hideMark/>
          </w:tcPr>
          <w:p w14:paraId="7A4F125D"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0.921</w:t>
            </w:r>
          </w:p>
        </w:tc>
        <w:tc>
          <w:tcPr>
            <w:tcW w:w="1066" w:type="dxa"/>
            <w:vAlign w:val="center"/>
            <w:hideMark/>
          </w:tcPr>
          <w:p w14:paraId="4680847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0.825</w:t>
            </w:r>
          </w:p>
        </w:tc>
        <w:tc>
          <w:tcPr>
            <w:tcW w:w="1066" w:type="dxa"/>
            <w:vAlign w:val="center"/>
            <w:hideMark/>
          </w:tcPr>
          <w:p w14:paraId="4B671E8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E0BE61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9868BD2" w14:textId="77777777" w:rsidR="00F37018" w:rsidRPr="00367991" w:rsidRDefault="00F37018">
            <w:pPr>
              <w:jc w:val="center"/>
              <w:rPr>
                <w:rFonts w:asciiTheme="majorBidi" w:hAnsiTheme="majorBidi" w:cstheme="majorBidi"/>
                <w:color w:val="000000"/>
                <w:sz w:val="20"/>
                <w:szCs w:val="20"/>
              </w:rPr>
            </w:pPr>
          </w:p>
        </w:tc>
      </w:tr>
      <w:tr w:rsidR="00F37018" w:rsidRPr="00367991" w14:paraId="61023FD7" w14:textId="77777777" w:rsidTr="00F37018">
        <w:trPr>
          <w:trHeight w:val="340"/>
        </w:trPr>
        <w:tc>
          <w:tcPr>
            <w:tcW w:w="1555" w:type="dxa"/>
            <w:vAlign w:val="center"/>
            <w:hideMark/>
          </w:tcPr>
          <w:p w14:paraId="41661E80"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OADR</w:t>
            </w:r>
          </w:p>
        </w:tc>
        <w:tc>
          <w:tcPr>
            <w:tcW w:w="1065" w:type="dxa"/>
            <w:vAlign w:val="center"/>
            <w:hideMark/>
          </w:tcPr>
          <w:p w14:paraId="05ACDA90"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0.808</w:t>
            </w:r>
          </w:p>
        </w:tc>
        <w:tc>
          <w:tcPr>
            <w:tcW w:w="1066" w:type="dxa"/>
            <w:vAlign w:val="center"/>
            <w:hideMark/>
          </w:tcPr>
          <w:p w14:paraId="5349736B"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0.555</w:t>
            </w:r>
          </w:p>
        </w:tc>
        <w:tc>
          <w:tcPr>
            <w:tcW w:w="1066" w:type="dxa"/>
            <w:vAlign w:val="center"/>
            <w:hideMark/>
          </w:tcPr>
          <w:p w14:paraId="43DDB70C"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0.987</w:t>
            </w:r>
          </w:p>
        </w:tc>
        <w:tc>
          <w:tcPr>
            <w:tcW w:w="1066" w:type="dxa"/>
            <w:vAlign w:val="center"/>
            <w:hideMark/>
          </w:tcPr>
          <w:p w14:paraId="2BC425C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0.872</w:t>
            </w:r>
          </w:p>
        </w:tc>
        <w:tc>
          <w:tcPr>
            <w:tcW w:w="1066" w:type="dxa"/>
            <w:vAlign w:val="center"/>
            <w:hideMark/>
          </w:tcPr>
          <w:p w14:paraId="1EE9CB5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0.860</w:t>
            </w:r>
          </w:p>
        </w:tc>
        <w:tc>
          <w:tcPr>
            <w:tcW w:w="1066" w:type="dxa"/>
            <w:vAlign w:val="center"/>
            <w:hideMark/>
          </w:tcPr>
          <w:p w14:paraId="0A29804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529D5F6" w14:textId="77777777" w:rsidR="00F37018" w:rsidRPr="00367991" w:rsidRDefault="00F37018">
            <w:pPr>
              <w:jc w:val="center"/>
              <w:rPr>
                <w:rFonts w:asciiTheme="majorBidi" w:hAnsiTheme="majorBidi" w:cstheme="majorBidi"/>
                <w:color w:val="000000"/>
                <w:sz w:val="20"/>
                <w:szCs w:val="20"/>
              </w:rPr>
            </w:pPr>
          </w:p>
        </w:tc>
      </w:tr>
      <w:tr w:rsidR="00F37018" w:rsidRPr="00367991" w14:paraId="660E35FD" w14:textId="77777777" w:rsidTr="00F37018">
        <w:trPr>
          <w:trHeight w:val="340"/>
        </w:trPr>
        <w:tc>
          <w:tcPr>
            <w:tcW w:w="1555" w:type="dxa"/>
            <w:vAlign w:val="center"/>
            <w:hideMark/>
          </w:tcPr>
          <w:p w14:paraId="2E58168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RMSA</w:t>
            </w:r>
          </w:p>
        </w:tc>
        <w:tc>
          <w:tcPr>
            <w:tcW w:w="1065" w:type="dxa"/>
            <w:vAlign w:val="center"/>
            <w:hideMark/>
          </w:tcPr>
          <w:p w14:paraId="04647FA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0.976</w:t>
            </w:r>
          </w:p>
        </w:tc>
        <w:tc>
          <w:tcPr>
            <w:tcW w:w="1066" w:type="dxa"/>
            <w:vAlign w:val="center"/>
            <w:hideMark/>
          </w:tcPr>
          <w:p w14:paraId="1E81D7E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0.827</w:t>
            </w:r>
          </w:p>
        </w:tc>
        <w:tc>
          <w:tcPr>
            <w:tcW w:w="1066" w:type="dxa"/>
            <w:vAlign w:val="center"/>
            <w:hideMark/>
          </w:tcPr>
          <w:p w14:paraId="76446F2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0.941</w:t>
            </w:r>
          </w:p>
        </w:tc>
        <w:tc>
          <w:tcPr>
            <w:tcW w:w="1066" w:type="dxa"/>
            <w:vAlign w:val="center"/>
            <w:hideMark/>
          </w:tcPr>
          <w:p w14:paraId="3A698B9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0.840</w:t>
            </w:r>
          </w:p>
        </w:tc>
        <w:tc>
          <w:tcPr>
            <w:tcW w:w="1066" w:type="dxa"/>
            <w:vAlign w:val="center"/>
            <w:hideMark/>
          </w:tcPr>
          <w:p w14:paraId="7E1C873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0.982</w:t>
            </w:r>
          </w:p>
        </w:tc>
        <w:tc>
          <w:tcPr>
            <w:tcW w:w="1066" w:type="dxa"/>
            <w:vAlign w:val="center"/>
            <w:hideMark/>
          </w:tcPr>
          <w:p w14:paraId="277BB8F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0.896</w:t>
            </w:r>
          </w:p>
        </w:tc>
        <w:tc>
          <w:tcPr>
            <w:tcW w:w="1066" w:type="dxa"/>
            <w:vAlign w:val="center"/>
            <w:hideMark/>
          </w:tcPr>
          <w:p w14:paraId="5072FAD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782F5FD6" w14:textId="77777777" w:rsidTr="00F37018">
        <w:trPr>
          <w:trHeight w:val="340"/>
        </w:trPr>
        <w:tc>
          <w:tcPr>
            <w:tcW w:w="1555" w:type="dxa"/>
            <w:vAlign w:val="center"/>
          </w:tcPr>
          <w:p w14:paraId="4A3A1EF9" w14:textId="77777777" w:rsidR="00F37018" w:rsidRPr="00367991" w:rsidRDefault="00F37018">
            <w:pPr>
              <w:rPr>
                <w:rFonts w:asciiTheme="majorBidi" w:hAnsiTheme="majorBidi" w:cstheme="majorBidi"/>
                <w:sz w:val="20"/>
                <w:szCs w:val="20"/>
              </w:rPr>
            </w:pPr>
          </w:p>
        </w:tc>
        <w:tc>
          <w:tcPr>
            <w:tcW w:w="1065" w:type="dxa"/>
            <w:vAlign w:val="center"/>
          </w:tcPr>
          <w:p w14:paraId="32C31E2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268CD5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99AFA5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81E2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6DEEB0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0EA516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40C76C" w14:textId="77777777" w:rsidR="00F37018" w:rsidRPr="00367991" w:rsidRDefault="00F37018">
            <w:pPr>
              <w:jc w:val="center"/>
              <w:rPr>
                <w:rFonts w:asciiTheme="majorBidi" w:hAnsiTheme="majorBidi" w:cstheme="majorBidi"/>
                <w:color w:val="000000"/>
                <w:sz w:val="20"/>
                <w:szCs w:val="20"/>
              </w:rPr>
            </w:pPr>
          </w:p>
        </w:tc>
      </w:tr>
      <w:tr w:rsidR="00F37018" w:rsidRPr="00367991" w14:paraId="2612BD85" w14:textId="77777777" w:rsidTr="00F37018">
        <w:trPr>
          <w:trHeight w:val="340"/>
        </w:trPr>
        <w:tc>
          <w:tcPr>
            <w:tcW w:w="1555" w:type="dxa"/>
            <w:vAlign w:val="center"/>
            <w:hideMark/>
          </w:tcPr>
          <w:p w14:paraId="4C7C7A45" w14:textId="240BDC0F" w:rsidR="00F37018" w:rsidRPr="00367991" w:rsidRDefault="00F37018" w:rsidP="00367991">
            <w:pPr>
              <w:rPr>
                <w:rFonts w:asciiTheme="majorBidi" w:hAnsiTheme="majorBidi" w:cstheme="majorBidi"/>
                <w:sz w:val="20"/>
                <w:szCs w:val="20"/>
              </w:rPr>
            </w:pPr>
            <w:r w:rsidRPr="00367991">
              <w:rPr>
                <w:rFonts w:asciiTheme="majorBidi" w:hAnsiTheme="majorBidi" w:cstheme="majorBidi"/>
                <w:b/>
                <w:bCs/>
                <w:color w:val="000000"/>
                <w:sz w:val="20"/>
                <w:szCs w:val="20"/>
              </w:rPr>
              <w:t>20</w:t>
            </w:r>
            <w:r w:rsidR="00367991">
              <w:rPr>
                <w:rFonts w:asciiTheme="majorBidi" w:hAnsiTheme="majorBidi" w:cstheme="majorBidi"/>
                <w:b/>
                <w:bCs/>
                <w:color w:val="000000"/>
                <w:sz w:val="20"/>
                <w:szCs w:val="20"/>
              </w:rPr>
              <w:t>0</w:t>
            </w:r>
            <w:r w:rsidRPr="00367991">
              <w:rPr>
                <w:rFonts w:asciiTheme="majorBidi" w:hAnsiTheme="majorBidi" w:cstheme="majorBidi"/>
                <w:b/>
                <w:bCs/>
                <w:color w:val="000000"/>
                <w:sz w:val="20"/>
                <w:szCs w:val="20"/>
              </w:rPr>
              <w:t>0</w:t>
            </w:r>
          </w:p>
        </w:tc>
        <w:tc>
          <w:tcPr>
            <w:tcW w:w="1065" w:type="dxa"/>
            <w:vAlign w:val="center"/>
          </w:tcPr>
          <w:p w14:paraId="5E6B87B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E41C7A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C96160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4D8171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0FB5DB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6473FC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6675AC9" w14:textId="77777777" w:rsidR="00F37018" w:rsidRPr="00367991" w:rsidRDefault="00F37018">
            <w:pPr>
              <w:jc w:val="center"/>
              <w:rPr>
                <w:rFonts w:asciiTheme="majorBidi" w:hAnsiTheme="majorBidi" w:cstheme="majorBidi"/>
                <w:color w:val="000000"/>
                <w:sz w:val="20"/>
                <w:szCs w:val="20"/>
              </w:rPr>
            </w:pPr>
          </w:p>
        </w:tc>
      </w:tr>
      <w:tr w:rsidR="00F37018" w:rsidRPr="00367991" w14:paraId="287072CD" w14:textId="77777777" w:rsidTr="00F37018">
        <w:trPr>
          <w:trHeight w:val="340"/>
        </w:trPr>
        <w:tc>
          <w:tcPr>
            <w:tcW w:w="1555" w:type="dxa"/>
            <w:vAlign w:val="center"/>
            <w:hideMark/>
          </w:tcPr>
          <w:p w14:paraId="37FD4B6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0B421E6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294746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441CB3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B1CC66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9F3753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BE3BF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B3A58E1" w14:textId="77777777" w:rsidR="00F37018" w:rsidRPr="00367991" w:rsidRDefault="00F37018">
            <w:pPr>
              <w:jc w:val="center"/>
              <w:rPr>
                <w:rFonts w:asciiTheme="majorBidi" w:hAnsiTheme="majorBidi" w:cstheme="majorBidi"/>
                <w:color w:val="000000"/>
                <w:sz w:val="20"/>
                <w:szCs w:val="20"/>
              </w:rPr>
            </w:pPr>
          </w:p>
        </w:tc>
      </w:tr>
      <w:tr w:rsidR="00F37018" w:rsidRPr="00367991" w14:paraId="0DBC255B" w14:textId="77777777" w:rsidTr="00F37018">
        <w:trPr>
          <w:trHeight w:val="340"/>
        </w:trPr>
        <w:tc>
          <w:tcPr>
            <w:tcW w:w="1555" w:type="dxa"/>
            <w:vAlign w:val="center"/>
            <w:hideMark/>
          </w:tcPr>
          <w:p w14:paraId="7CF0EBC0"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4191175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0.936</w:t>
            </w:r>
          </w:p>
        </w:tc>
        <w:tc>
          <w:tcPr>
            <w:tcW w:w="1066" w:type="dxa"/>
            <w:vAlign w:val="center"/>
            <w:hideMark/>
          </w:tcPr>
          <w:p w14:paraId="76384DE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9124C3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E02F95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324D8F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7A3A17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B754A9C" w14:textId="77777777" w:rsidR="00F37018" w:rsidRPr="00367991" w:rsidRDefault="00F37018">
            <w:pPr>
              <w:jc w:val="center"/>
              <w:rPr>
                <w:rFonts w:asciiTheme="majorBidi" w:hAnsiTheme="majorBidi" w:cstheme="majorBidi"/>
                <w:color w:val="000000"/>
                <w:sz w:val="20"/>
                <w:szCs w:val="20"/>
              </w:rPr>
            </w:pPr>
          </w:p>
        </w:tc>
      </w:tr>
      <w:tr w:rsidR="00F37018" w:rsidRPr="00367991" w14:paraId="7A742E89" w14:textId="77777777" w:rsidTr="00F37018">
        <w:trPr>
          <w:trHeight w:val="340"/>
        </w:trPr>
        <w:tc>
          <w:tcPr>
            <w:tcW w:w="1555" w:type="dxa"/>
            <w:vAlign w:val="center"/>
            <w:hideMark/>
          </w:tcPr>
          <w:p w14:paraId="05F1D01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28C855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0.870</w:t>
            </w:r>
          </w:p>
        </w:tc>
        <w:tc>
          <w:tcPr>
            <w:tcW w:w="1066" w:type="dxa"/>
            <w:vAlign w:val="center"/>
            <w:hideMark/>
          </w:tcPr>
          <w:p w14:paraId="288C83F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0.743</w:t>
            </w:r>
          </w:p>
        </w:tc>
        <w:tc>
          <w:tcPr>
            <w:tcW w:w="1066" w:type="dxa"/>
            <w:vAlign w:val="center"/>
            <w:hideMark/>
          </w:tcPr>
          <w:p w14:paraId="31AFE06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3403C9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262162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7F9663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5D3D3E1" w14:textId="77777777" w:rsidR="00F37018" w:rsidRPr="00367991" w:rsidRDefault="00F37018">
            <w:pPr>
              <w:jc w:val="center"/>
              <w:rPr>
                <w:rFonts w:asciiTheme="majorBidi" w:hAnsiTheme="majorBidi" w:cstheme="majorBidi"/>
                <w:color w:val="000000"/>
                <w:sz w:val="20"/>
                <w:szCs w:val="20"/>
              </w:rPr>
            </w:pPr>
          </w:p>
        </w:tc>
      </w:tr>
      <w:tr w:rsidR="00F37018" w:rsidRPr="00367991" w14:paraId="06CA8D0E" w14:textId="77777777" w:rsidTr="00F37018">
        <w:trPr>
          <w:trHeight w:val="340"/>
        </w:trPr>
        <w:tc>
          <w:tcPr>
            <w:tcW w:w="1555" w:type="dxa"/>
            <w:vAlign w:val="center"/>
            <w:hideMark/>
          </w:tcPr>
          <w:p w14:paraId="562A28C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2A6ACFB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0.777</w:t>
            </w:r>
          </w:p>
        </w:tc>
        <w:tc>
          <w:tcPr>
            <w:tcW w:w="1066" w:type="dxa"/>
            <w:vAlign w:val="center"/>
            <w:hideMark/>
          </w:tcPr>
          <w:p w14:paraId="5EAFFB5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0.642</w:t>
            </w:r>
          </w:p>
        </w:tc>
        <w:tc>
          <w:tcPr>
            <w:tcW w:w="1066" w:type="dxa"/>
            <w:vAlign w:val="center"/>
            <w:hideMark/>
          </w:tcPr>
          <w:p w14:paraId="2049501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0.897</w:t>
            </w:r>
          </w:p>
        </w:tc>
        <w:tc>
          <w:tcPr>
            <w:tcW w:w="1066" w:type="dxa"/>
            <w:vAlign w:val="center"/>
            <w:hideMark/>
          </w:tcPr>
          <w:p w14:paraId="3792008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72C3A0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6B9F9D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7B2F0BE" w14:textId="77777777" w:rsidR="00F37018" w:rsidRPr="00367991" w:rsidRDefault="00F37018">
            <w:pPr>
              <w:jc w:val="center"/>
              <w:rPr>
                <w:rFonts w:asciiTheme="majorBidi" w:hAnsiTheme="majorBidi" w:cstheme="majorBidi"/>
                <w:color w:val="000000"/>
                <w:sz w:val="20"/>
                <w:szCs w:val="20"/>
              </w:rPr>
            </w:pPr>
          </w:p>
        </w:tc>
      </w:tr>
      <w:tr w:rsidR="00F37018" w:rsidRPr="00367991" w14:paraId="43B7133E" w14:textId="77777777" w:rsidTr="00F37018">
        <w:trPr>
          <w:trHeight w:val="340"/>
        </w:trPr>
        <w:tc>
          <w:tcPr>
            <w:tcW w:w="1555" w:type="dxa"/>
            <w:vAlign w:val="center"/>
            <w:hideMark/>
          </w:tcPr>
          <w:p w14:paraId="2392185F"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36BDB68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0.954</w:t>
            </w:r>
          </w:p>
        </w:tc>
        <w:tc>
          <w:tcPr>
            <w:tcW w:w="1066" w:type="dxa"/>
            <w:vAlign w:val="center"/>
            <w:hideMark/>
          </w:tcPr>
          <w:p w14:paraId="27100D7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0.818</w:t>
            </w:r>
          </w:p>
        </w:tc>
        <w:tc>
          <w:tcPr>
            <w:tcW w:w="1066" w:type="dxa"/>
            <w:vAlign w:val="center"/>
            <w:hideMark/>
          </w:tcPr>
          <w:p w14:paraId="2DE27A4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0.911</w:t>
            </w:r>
          </w:p>
        </w:tc>
        <w:tc>
          <w:tcPr>
            <w:tcW w:w="1066" w:type="dxa"/>
            <w:vAlign w:val="center"/>
            <w:hideMark/>
          </w:tcPr>
          <w:p w14:paraId="647AF2E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0.792</w:t>
            </w:r>
          </w:p>
        </w:tc>
        <w:tc>
          <w:tcPr>
            <w:tcW w:w="1066" w:type="dxa"/>
            <w:vAlign w:val="center"/>
            <w:hideMark/>
          </w:tcPr>
          <w:p w14:paraId="5BC474D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AC2FA1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5009DEB" w14:textId="77777777" w:rsidR="00F37018" w:rsidRPr="00367991" w:rsidRDefault="00F37018">
            <w:pPr>
              <w:jc w:val="center"/>
              <w:rPr>
                <w:rFonts w:asciiTheme="majorBidi" w:hAnsiTheme="majorBidi" w:cstheme="majorBidi"/>
                <w:color w:val="000000"/>
                <w:sz w:val="20"/>
                <w:szCs w:val="20"/>
              </w:rPr>
            </w:pPr>
          </w:p>
        </w:tc>
      </w:tr>
      <w:tr w:rsidR="00F37018" w:rsidRPr="00367991" w14:paraId="3E11C8B3" w14:textId="77777777" w:rsidTr="00F37018">
        <w:trPr>
          <w:trHeight w:val="340"/>
        </w:trPr>
        <w:tc>
          <w:tcPr>
            <w:tcW w:w="1555" w:type="dxa"/>
            <w:vAlign w:val="center"/>
            <w:hideMark/>
          </w:tcPr>
          <w:p w14:paraId="616A0751"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3BA7877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0.820</w:t>
            </w:r>
          </w:p>
        </w:tc>
        <w:tc>
          <w:tcPr>
            <w:tcW w:w="1066" w:type="dxa"/>
            <w:vAlign w:val="center"/>
            <w:hideMark/>
          </w:tcPr>
          <w:p w14:paraId="2503CBC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0.703</w:t>
            </w:r>
          </w:p>
        </w:tc>
        <w:tc>
          <w:tcPr>
            <w:tcW w:w="1066" w:type="dxa"/>
            <w:vAlign w:val="center"/>
            <w:hideMark/>
          </w:tcPr>
          <w:p w14:paraId="1DAE317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0.990</w:t>
            </w:r>
          </w:p>
        </w:tc>
        <w:tc>
          <w:tcPr>
            <w:tcW w:w="1066" w:type="dxa"/>
            <w:vAlign w:val="center"/>
            <w:hideMark/>
          </w:tcPr>
          <w:p w14:paraId="3EAC92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0.893</w:t>
            </w:r>
          </w:p>
        </w:tc>
        <w:tc>
          <w:tcPr>
            <w:tcW w:w="1066" w:type="dxa"/>
            <w:vAlign w:val="center"/>
            <w:hideMark/>
          </w:tcPr>
          <w:p w14:paraId="7D84A92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0.860</w:t>
            </w:r>
          </w:p>
        </w:tc>
        <w:tc>
          <w:tcPr>
            <w:tcW w:w="1066" w:type="dxa"/>
            <w:vAlign w:val="center"/>
            <w:hideMark/>
          </w:tcPr>
          <w:p w14:paraId="655A2BF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F565543" w14:textId="77777777" w:rsidR="00F37018" w:rsidRPr="00367991" w:rsidRDefault="00F37018">
            <w:pPr>
              <w:jc w:val="center"/>
              <w:rPr>
                <w:rFonts w:asciiTheme="majorBidi" w:hAnsiTheme="majorBidi" w:cstheme="majorBidi"/>
                <w:color w:val="000000"/>
                <w:sz w:val="20"/>
                <w:szCs w:val="20"/>
              </w:rPr>
            </w:pPr>
          </w:p>
        </w:tc>
      </w:tr>
      <w:tr w:rsidR="00F37018" w:rsidRPr="00367991" w14:paraId="0119B964" w14:textId="77777777" w:rsidTr="00F37018">
        <w:trPr>
          <w:trHeight w:val="340"/>
        </w:trPr>
        <w:tc>
          <w:tcPr>
            <w:tcW w:w="1555" w:type="dxa"/>
            <w:vAlign w:val="center"/>
            <w:hideMark/>
          </w:tcPr>
          <w:p w14:paraId="4B4D614E"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729AC4D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0.976</w:t>
            </w:r>
          </w:p>
        </w:tc>
        <w:tc>
          <w:tcPr>
            <w:tcW w:w="1066" w:type="dxa"/>
            <w:vAlign w:val="center"/>
            <w:hideMark/>
          </w:tcPr>
          <w:p w14:paraId="367EBF0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0.900</w:t>
            </w:r>
          </w:p>
        </w:tc>
        <w:tc>
          <w:tcPr>
            <w:tcW w:w="1066" w:type="dxa"/>
            <w:vAlign w:val="center"/>
            <w:hideMark/>
          </w:tcPr>
          <w:p w14:paraId="377355A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0.945</w:t>
            </w:r>
          </w:p>
        </w:tc>
        <w:tc>
          <w:tcPr>
            <w:tcW w:w="1066" w:type="dxa"/>
            <w:vAlign w:val="center"/>
            <w:hideMark/>
          </w:tcPr>
          <w:p w14:paraId="5EAA711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0.855</w:t>
            </w:r>
          </w:p>
        </w:tc>
        <w:tc>
          <w:tcPr>
            <w:tcW w:w="1066" w:type="dxa"/>
            <w:vAlign w:val="center"/>
            <w:hideMark/>
          </w:tcPr>
          <w:p w14:paraId="4BC05AE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0.953</w:t>
            </w:r>
          </w:p>
        </w:tc>
        <w:tc>
          <w:tcPr>
            <w:tcW w:w="1066" w:type="dxa"/>
            <w:vAlign w:val="center"/>
            <w:hideMark/>
          </w:tcPr>
          <w:p w14:paraId="2D6B9BC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0.912</w:t>
            </w:r>
          </w:p>
        </w:tc>
        <w:tc>
          <w:tcPr>
            <w:tcW w:w="1066" w:type="dxa"/>
            <w:vAlign w:val="center"/>
            <w:hideMark/>
          </w:tcPr>
          <w:p w14:paraId="14439E3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4CC649CC" w14:textId="77777777" w:rsidTr="00F37018">
        <w:trPr>
          <w:trHeight w:val="340"/>
        </w:trPr>
        <w:tc>
          <w:tcPr>
            <w:tcW w:w="1555" w:type="dxa"/>
            <w:vAlign w:val="center"/>
          </w:tcPr>
          <w:p w14:paraId="52E9EC25" w14:textId="77777777" w:rsidR="00F37018" w:rsidRPr="00367991" w:rsidRDefault="00F37018">
            <w:pPr>
              <w:rPr>
                <w:rFonts w:asciiTheme="majorBidi" w:hAnsiTheme="majorBidi" w:cstheme="majorBidi"/>
                <w:sz w:val="20"/>
                <w:szCs w:val="20"/>
              </w:rPr>
            </w:pPr>
          </w:p>
        </w:tc>
        <w:tc>
          <w:tcPr>
            <w:tcW w:w="1065" w:type="dxa"/>
            <w:vAlign w:val="center"/>
          </w:tcPr>
          <w:p w14:paraId="731537D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00BDD5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23823B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EBEB85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5B19B9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9AA06F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AD9B374" w14:textId="77777777" w:rsidR="00F37018" w:rsidRPr="00367991" w:rsidRDefault="00F37018">
            <w:pPr>
              <w:jc w:val="center"/>
              <w:rPr>
                <w:rFonts w:asciiTheme="majorBidi" w:hAnsiTheme="majorBidi" w:cstheme="majorBidi"/>
                <w:color w:val="000000"/>
                <w:sz w:val="20"/>
                <w:szCs w:val="20"/>
              </w:rPr>
            </w:pPr>
          </w:p>
        </w:tc>
      </w:tr>
      <w:tr w:rsidR="00F37018" w:rsidRPr="00367991" w14:paraId="21DCC080" w14:textId="77777777" w:rsidTr="00F37018">
        <w:trPr>
          <w:trHeight w:val="340"/>
        </w:trPr>
        <w:tc>
          <w:tcPr>
            <w:tcW w:w="1555" w:type="dxa"/>
            <w:vAlign w:val="center"/>
            <w:hideMark/>
          </w:tcPr>
          <w:p w14:paraId="6E09FD16" w14:textId="2D9F42D2" w:rsidR="00F37018" w:rsidRPr="00367991" w:rsidRDefault="00367991">
            <w:pPr>
              <w:rPr>
                <w:rFonts w:asciiTheme="majorBidi" w:hAnsiTheme="majorBidi" w:cstheme="majorBidi"/>
                <w:sz w:val="20"/>
                <w:szCs w:val="20"/>
              </w:rPr>
            </w:pPr>
            <w:r>
              <w:rPr>
                <w:rFonts w:asciiTheme="majorBidi" w:hAnsiTheme="majorBidi" w:cstheme="majorBidi"/>
                <w:b/>
                <w:bCs/>
                <w:color w:val="000000"/>
                <w:sz w:val="20"/>
                <w:szCs w:val="20"/>
              </w:rPr>
              <w:t>2018</w:t>
            </w:r>
          </w:p>
        </w:tc>
        <w:tc>
          <w:tcPr>
            <w:tcW w:w="1065" w:type="dxa"/>
            <w:vAlign w:val="center"/>
          </w:tcPr>
          <w:p w14:paraId="103F170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F6224F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330893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80C13D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262D0D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3F1990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6875BE2" w14:textId="77777777" w:rsidR="00F37018" w:rsidRPr="00367991" w:rsidRDefault="00F37018">
            <w:pPr>
              <w:jc w:val="center"/>
              <w:rPr>
                <w:rFonts w:asciiTheme="majorBidi" w:hAnsiTheme="majorBidi" w:cstheme="majorBidi"/>
                <w:color w:val="000000"/>
                <w:sz w:val="20"/>
                <w:szCs w:val="20"/>
              </w:rPr>
            </w:pPr>
          </w:p>
        </w:tc>
      </w:tr>
      <w:tr w:rsidR="00F37018" w:rsidRPr="00367991" w14:paraId="7AC0D966" w14:textId="77777777" w:rsidTr="00F37018">
        <w:trPr>
          <w:trHeight w:val="340"/>
        </w:trPr>
        <w:tc>
          <w:tcPr>
            <w:tcW w:w="1555" w:type="dxa"/>
            <w:vAlign w:val="center"/>
            <w:hideMark/>
          </w:tcPr>
          <w:p w14:paraId="2CD1A859"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02341A8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3E974D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E3556B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F4CBB2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DB530C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B1DC35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FDCF572" w14:textId="77777777" w:rsidR="00F37018" w:rsidRPr="00367991" w:rsidRDefault="00F37018">
            <w:pPr>
              <w:jc w:val="center"/>
              <w:rPr>
                <w:rFonts w:asciiTheme="majorBidi" w:hAnsiTheme="majorBidi" w:cstheme="majorBidi"/>
                <w:color w:val="000000"/>
                <w:sz w:val="20"/>
                <w:szCs w:val="20"/>
              </w:rPr>
            </w:pPr>
          </w:p>
        </w:tc>
      </w:tr>
      <w:tr w:rsidR="00F37018" w:rsidRPr="00367991" w14:paraId="3BB64C56" w14:textId="77777777" w:rsidTr="00F37018">
        <w:trPr>
          <w:trHeight w:val="340"/>
        </w:trPr>
        <w:tc>
          <w:tcPr>
            <w:tcW w:w="1555" w:type="dxa"/>
            <w:vAlign w:val="center"/>
            <w:hideMark/>
          </w:tcPr>
          <w:p w14:paraId="536106BB"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4C4C045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0.984</w:t>
            </w:r>
          </w:p>
        </w:tc>
        <w:tc>
          <w:tcPr>
            <w:tcW w:w="1066" w:type="dxa"/>
            <w:vAlign w:val="center"/>
            <w:hideMark/>
          </w:tcPr>
          <w:p w14:paraId="1B4F06E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1C86D1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10EB6E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C8C36D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A212F1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618AD1F" w14:textId="77777777" w:rsidR="00F37018" w:rsidRPr="00367991" w:rsidRDefault="00F37018">
            <w:pPr>
              <w:jc w:val="center"/>
              <w:rPr>
                <w:rFonts w:asciiTheme="majorBidi" w:hAnsiTheme="majorBidi" w:cstheme="majorBidi"/>
                <w:color w:val="000000"/>
                <w:sz w:val="20"/>
                <w:szCs w:val="20"/>
              </w:rPr>
            </w:pPr>
          </w:p>
        </w:tc>
      </w:tr>
      <w:tr w:rsidR="00F37018" w:rsidRPr="00367991" w14:paraId="0BAEA5A4" w14:textId="77777777" w:rsidTr="00F37018">
        <w:trPr>
          <w:trHeight w:val="340"/>
        </w:trPr>
        <w:tc>
          <w:tcPr>
            <w:tcW w:w="1555" w:type="dxa"/>
            <w:vAlign w:val="center"/>
            <w:hideMark/>
          </w:tcPr>
          <w:p w14:paraId="5B9B636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7341FA7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0.895</w:t>
            </w:r>
          </w:p>
        </w:tc>
        <w:tc>
          <w:tcPr>
            <w:tcW w:w="1066" w:type="dxa"/>
            <w:vAlign w:val="center"/>
            <w:hideMark/>
          </w:tcPr>
          <w:p w14:paraId="4532144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0.838</w:t>
            </w:r>
          </w:p>
        </w:tc>
        <w:tc>
          <w:tcPr>
            <w:tcW w:w="1066" w:type="dxa"/>
            <w:vAlign w:val="center"/>
            <w:hideMark/>
          </w:tcPr>
          <w:p w14:paraId="2D409D1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2D674A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845546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6C4B0D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2C005E3" w14:textId="77777777" w:rsidR="00F37018" w:rsidRPr="00367991" w:rsidRDefault="00F37018">
            <w:pPr>
              <w:jc w:val="center"/>
              <w:rPr>
                <w:rFonts w:asciiTheme="majorBidi" w:hAnsiTheme="majorBidi" w:cstheme="majorBidi"/>
                <w:color w:val="000000"/>
                <w:sz w:val="20"/>
                <w:szCs w:val="20"/>
              </w:rPr>
            </w:pPr>
          </w:p>
        </w:tc>
      </w:tr>
      <w:tr w:rsidR="00F37018" w:rsidRPr="00367991" w14:paraId="5B2DCE66" w14:textId="77777777" w:rsidTr="00F37018">
        <w:trPr>
          <w:trHeight w:val="340"/>
        </w:trPr>
        <w:tc>
          <w:tcPr>
            <w:tcW w:w="1555" w:type="dxa"/>
            <w:vAlign w:val="center"/>
            <w:hideMark/>
          </w:tcPr>
          <w:p w14:paraId="461545B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391F6B3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0.646</w:t>
            </w:r>
          </w:p>
        </w:tc>
        <w:tc>
          <w:tcPr>
            <w:tcW w:w="1066" w:type="dxa"/>
            <w:vAlign w:val="center"/>
            <w:hideMark/>
          </w:tcPr>
          <w:p w14:paraId="05612DF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0.598</w:t>
            </w:r>
          </w:p>
        </w:tc>
        <w:tc>
          <w:tcPr>
            <w:tcW w:w="1066" w:type="dxa"/>
            <w:vAlign w:val="center"/>
            <w:hideMark/>
          </w:tcPr>
          <w:p w14:paraId="7C2D48C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0.648</w:t>
            </w:r>
          </w:p>
        </w:tc>
        <w:tc>
          <w:tcPr>
            <w:tcW w:w="1066" w:type="dxa"/>
            <w:vAlign w:val="center"/>
            <w:hideMark/>
          </w:tcPr>
          <w:p w14:paraId="704DD14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462B30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97A5DA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6685265" w14:textId="77777777" w:rsidR="00F37018" w:rsidRPr="00367991" w:rsidRDefault="00F37018">
            <w:pPr>
              <w:jc w:val="center"/>
              <w:rPr>
                <w:rFonts w:asciiTheme="majorBidi" w:hAnsiTheme="majorBidi" w:cstheme="majorBidi"/>
                <w:color w:val="000000"/>
                <w:sz w:val="20"/>
                <w:szCs w:val="20"/>
              </w:rPr>
            </w:pPr>
          </w:p>
        </w:tc>
      </w:tr>
      <w:tr w:rsidR="00F37018" w:rsidRPr="00367991" w14:paraId="4C57E300" w14:textId="77777777" w:rsidTr="00F37018">
        <w:trPr>
          <w:trHeight w:val="340"/>
        </w:trPr>
        <w:tc>
          <w:tcPr>
            <w:tcW w:w="1555" w:type="dxa"/>
            <w:vAlign w:val="center"/>
            <w:hideMark/>
          </w:tcPr>
          <w:p w14:paraId="0753F38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3AB1442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0.990</w:t>
            </w:r>
          </w:p>
        </w:tc>
        <w:tc>
          <w:tcPr>
            <w:tcW w:w="1066" w:type="dxa"/>
            <w:vAlign w:val="center"/>
            <w:hideMark/>
          </w:tcPr>
          <w:p w14:paraId="3D91418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0.963</w:t>
            </w:r>
          </w:p>
        </w:tc>
        <w:tc>
          <w:tcPr>
            <w:tcW w:w="1066" w:type="dxa"/>
            <w:vAlign w:val="center"/>
            <w:hideMark/>
          </w:tcPr>
          <w:p w14:paraId="088C717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0.903</w:t>
            </w:r>
          </w:p>
        </w:tc>
        <w:tc>
          <w:tcPr>
            <w:tcW w:w="1066" w:type="dxa"/>
            <w:vAlign w:val="center"/>
            <w:hideMark/>
          </w:tcPr>
          <w:p w14:paraId="0EEA121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0.639</w:t>
            </w:r>
          </w:p>
        </w:tc>
        <w:tc>
          <w:tcPr>
            <w:tcW w:w="1066" w:type="dxa"/>
            <w:vAlign w:val="center"/>
            <w:hideMark/>
          </w:tcPr>
          <w:p w14:paraId="44C4BBB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4A635B7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0B9A0BA" w14:textId="77777777" w:rsidR="00F37018" w:rsidRPr="00367991" w:rsidRDefault="00F37018">
            <w:pPr>
              <w:jc w:val="center"/>
              <w:rPr>
                <w:rFonts w:asciiTheme="majorBidi" w:hAnsiTheme="majorBidi" w:cstheme="majorBidi"/>
                <w:color w:val="000000"/>
                <w:sz w:val="20"/>
                <w:szCs w:val="20"/>
              </w:rPr>
            </w:pPr>
          </w:p>
        </w:tc>
      </w:tr>
      <w:tr w:rsidR="00F37018" w:rsidRPr="00367991" w14:paraId="534311CC" w14:textId="77777777" w:rsidTr="00F37018">
        <w:trPr>
          <w:trHeight w:val="340"/>
        </w:trPr>
        <w:tc>
          <w:tcPr>
            <w:tcW w:w="1555" w:type="dxa"/>
            <w:vAlign w:val="center"/>
            <w:hideMark/>
          </w:tcPr>
          <w:p w14:paraId="62AC5243"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07DCB75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0.799</w:t>
            </w:r>
          </w:p>
        </w:tc>
        <w:tc>
          <w:tcPr>
            <w:tcW w:w="1066" w:type="dxa"/>
            <w:vAlign w:val="center"/>
            <w:hideMark/>
          </w:tcPr>
          <w:p w14:paraId="39719C9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0.737</w:t>
            </w:r>
          </w:p>
        </w:tc>
        <w:tc>
          <w:tcPr>
            <w:tcW w:w="1066" w:type="dxa"/>
            <w:vAlign w:val="center"/>
            <w:hideMark/>
          </w:tcPr>
          <w:p w14:paraId="5691BBA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0.975</w:t>
            </w:r>
          </w:p>
        </w:tc>
        <w:tc>
          <w:tcPr>
            <w:tcW w:w="1066" w:type="dxa"/>
            <w:vAlign w:val="center"/>
            <w:hideMark/>
          </w:tcPr>
          <w:p w14:paraId="2FD8CB3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0.595</w:t>
            </w:r>
          </w:p>
        </w:tc>
        <w:tc>
          <w:tcPr>
            <w:tcW w:w="1066" w:type="dxa"/>
            <w:vAlign w:val="center"/>
            <w:hideMark/>
          </w:tcPr>
          <w:p w14:paraId="2AF9A74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0.804</w:t>
            </w:r>
          </w:p>
        </w:tc>
        <w:tc>
          <w:tcPr>
            <w:tcW w:w="1066" w:type="dxa"/>
            <w:vAlign w:val="center"/>
            <w:hideMark/>
          </w:tcPr>
          <w:p w14:paraId="4692E02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BAEFD96" w14:textId="77777777" w:rsidR="00F37018" w:rsidRPr="00367991" w:rsidRDefault="00F37018">
            <w:pPr>
              <w:jc w:val="center"/>
              <w:rPr>
                <w:rFonts w:asciiTheme="majorBidi" w:hAnsiTheme="majorBidi" w:cstheme="majorBidi"/>
                <w:color w:val="000000"/>
                <w:sz w:val="20"/>
                <w:szCs w:val="20"/>
              </w:rPr>
            </w:pPr>
          </w:p>
        </w:tc>
      </w:tr>
      <w:tr w:rsidR="00F37018" w:rsidRPr="00367991" w14:paraId="3853F1E0" w14:textId="77777777" w:rsidTr="00F37018">
        <w:trPr>
          <w:trHeight w:val="340"/>
        </w:trPr>
        <w:tc>
          <w:tcPr>
            <w:tcW w:w="1555" w:type="dxa"/>
            <w:vAlign w:val="center"/>
            <w:hideMark/>
          </w:tcPr>
          <w:p w14:paraId="4F0EA2B0"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7F84232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0.988</w:t>
            </w:r>
          </w:p>
        </w:tc>
        <w:tc>
          <w:tcPr>
            <w:tcW w:w="1066" w:type="dxa"/>
            <w:vAlign w:val="center"/>
            <w:hideMark/>
          </w:tcPr>
          <w:p w14:paraId="0B44D07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0.964</w:t>
            </w:r>
          </w:p>
        </w:tc>
        <w:tc>
          <w:tcPr>
            <w:tcW w:w="1066" w:type="dxa"/>
            <w:vAlign w:val="center"/>
            <w:hideMark/>
          </w:tcPr>
          <w:p w14:paraId="69FDCAC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0.937</w:t>
            </w:r>
          </w:p>
        </w:tc>
        <w:tc>
          <w:tcPr>
            <w:tcW w:w="1066" w:type="dxa"/>
            <w:vAlign w:val="center"/>
            <w:hideMark/>
          </w:tcPr>
          <w:p w14:paraId="48592FE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0.687</w:t>
            </w:r>
          </w:p>
        </w:tc>
        <w:tc>
          <w:tcPr>
            <w:tcW w:w="1066" w:type="dxa"/>
            <w:vAlign w:val="center"/>
            <w:hideMark/>
          </w:tcPr>
          <w:p w14:paraId="209065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0.982</w:t>
            </w:r>
          </w:p>
        </w:tc>
        <w:tc>
          <w:tcPr>
            <w:tcW w:w="1066" w:type="dxa"/>
            <w:vAlign w:val="center"/>
            <w:hideMark/>
          </w:tcPr>
          <w:p w14:paraId="5E9A4C4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0.860</w:t>
            </w:r>
          </w:p>
        </w:tc>
        <w:tc>
          <w:tcPr>
            <w:tcW w:w="1066" w:type="dxa"/>
            <w:vAlign w:val="center"/>
            <w:hideMark/>
          </w:tcPr>
          <w:p w14:paraId="606C5DB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bl>
    <w:p w14:paraId="708B2B9B" w14:textId="77777777" w:rsidR="00F37018" w:rsidRDefault="00F37018" w:rsidP="00F37018">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44D58838" w14:textId="707E8DB9" w:rsidR="00F37018" w:rsidRDefault="00F37018" w:rsidP="001A3FC7"/>
    <w:p w14:paraId="420FD6D6" w14:textId="7003323A" w:rsidR="00F37018" w:rsidRDefault="00F37018" w:rsidP="001A3FC7">
      <w:r>
        <w:br w:type="page"/>
      </w:r>
    </w:p>
    <w:p w14:paraId="21D880ED" w14:textId="7761AE01" w:rsidR="00F37018" w:rsidRPr="00994234" w:rsidRDefault="00F37018" w:rsidP="00F37018">
      <w:pPr>
        <w:spacing w:line="360" w:lineRule="auto"/>
        <w:rPr>
          <w:b/>
          <w:bCs/>
          <w:lang w:val="mi-NZ"/>
        </w:rPr>
      </w:pPr>
      <w:r w:rsidRPr="00994234">
        <w:rPr>
          <w:b/>
          <w:bCs/>
          <w:lang w:val="mi-NZ"/>
        </w:rPr>
        <w:lastRenderedPageBreak/>
        <w:t xml:space="preserve">Table </w:t>
      </w:r>
      <w:r>
        <w:rPr>
          <w:b/>
          <w:bCs/>
          <w:lang w:val="mi-NZ"/>
        </w:rPr>
        <w:t>A5</w:t>
      </w:r>
      <w:r w:rsidRPr="00994234">
        <w:rPr>
          <w:b/>
          <w:bCs/>
          <w:lang w:val="mi-NZ"/>
        </w:rPr>
        <w:t xml:space="preserve">. </w:t>
      </w:r>
      <w:r w:rsidRPr="00F37018">
        <w:rPr>
          <w:b/>
          <w:bCs/>
          <w:lang w:val="mi-NZ"/>
        </w:rPr>
        <w:t>Pearson correlations between measures of structural ageing based on New Zealand territorial authority and local board data 1996, 2018, and 20</w:t>
      </w:r>
      <w:r>
        <w:rPr>
          <w:b/>
          <w:bCs/>
          <w:lang w:val="mi-NZ"/>
        </w:rPr>
        <w:t>4</w:t>
      </w:r>
      <w:r w:rsidRPr="00F37018">
        <w:rPr>
          <w:b/>
          <w:bCs/>
          <w:lang w:val="mi-NZ"/>
        </w:rPr>
        <w:t>8</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F37018" w:rsidRPr="00367991" w14:paraId="59215840" w14:textId="77777777" w:rsidTr="00F37018">
        <w:trPr>
          <w:trHeight w:val="470"/>
        </w:trPr>
        <w:tc>
          <w:tcPr>
            <w:tcW w:w="1555" w:type="dxa"/>
            <w:tcBorders>
              <w:top w:val="single" w:sz="4" w:space="0" w:color="auto"/>
              <w:bottom w:val="single" w:sz="4" w:space="0" w:color="auto"/>
            </w:tcBorders>
            <w:vAlign w:val="center"/>
            <w:hideMark/>
          </w:tcPr>
          <w:p w14:paraId="6C291CC5" w14:textId="77777777" w:rsidR="00F37018" w:rsidRPr="00367991" w:rsidRDefault="00F37018">
            <w:pPr>
              <w:rPr>
                <w:rFonts w:asciiTheme="majorBidi" w:hAnsiTheme="majorBidi" w:cstheme="majorBidi"/>
                <w:b/>
                <w:bCs/>
                <w:sz w:val="20"/>
                <w:szCs w:val="20"/>
                <w:lang w:val="en-NZ" w:eastAsia="zh-CN"/>
              </w:rPr>
            </w:pPr>
            <w:r w:rsidRPr="00367991">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00419CA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702308C8"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B14CC42"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37ECBB8C"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FE3ACD9"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CER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C6AC325" w14:textId="77777777" w:rsidR="00F37018" w:rsidRPr="00367991" w:rsidRDefault="00F37018">
            <w:pPr>
              <w:jc w:val="center"/>
              <w:rPr>
                <w:rFonts w:asciiTheme="majorBidi" w:hAnsiTheme="majorBidi" w:cstheme="majorBidi"/>
                <w:b/>
                <w:bCs/>
                <w:sz w:val="20"/>
                <w:szCs w:val="20"/>
              </w:rPr>
            </w:pPr>
            <w:r w:rsidRPr="00367991">
              <w:rPr>
                <w:rFonts w:asciiTheme="majorBidi" w:hAnsiTheme="majorBidi" w:cstheme="majorBidi"/>
                <w:b/>
                <w:bCs/>
                <w:color w:val="000000"/>
                <w:sz w:val="20"/>
                <w:szCs w:val="20"/>
              </w:rPr>
              <w:t>OADR</w:t>
            </w:r>
            <w:r w:rsidRPr="00367991">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16CD32C4" w14:textId="77777777" w:rsidR="00F37018" w:rsidRPr="00367991" w:rsidRDefault="00F37018">
            <w:pPr>
              <w:jc w:val="center"/>
              <w:rPr>
                <w:rFonts w:asciiTheme="majorBidi" w:hAnsiTheme="majorBidi" w:cstheme="majorBidi"/>
                <w:b/>
                <w:bCs/>
                <w:color w:val="000000"/>
                <w:sz w:val="20"/>
                <w:szCs w:val="20"/>
              </w:rPr>
            </w:pPr>
            <w:r w:rsidRPr="00367991">
              <w:rPr>
                <w:rFonts w:asciiTheme="majorBidi" w:hAnsiTheme="majorBidi" w:cstheme="majorBidi"/>
                <w:b/>
                <w:bCs/>
                <w:color w:val="000000"/>
                <w:sz w:val="20"/>
                <w:szCs w:val="20"/>
              </w:rPr>
              <w:t>RMSA</w:t>
            </w:r>
            <w:r w:rsidRPr="00367991">
              <w:rPr>
                <w:rFonts w:asciiTheme="majorBidi" w:hAnsiTheme="majorBidi" w:cstheme="majorBidi"/>
                <w:b/>
                <w:bCs/>
                <w:color w:val="000000"/>
                <w:sz w:val="20"/>
                <w:szCs w:val="20"/>
                <w:vertAlign w:val="superscript"/>
              </w:rPr>
              <w:t>***</w:t>
            </w:r>
          </w:p>
        </w:tc>
      </w:tr>
      <w:tr w:rsidR="00F37018" w:rsidRPr="00367991" w14:paraId="5265003E" w14:textId="77777777" w:rsidTr="00F37018">
        <w:trPr>
          <w:trHeight w:val="340"/>
        </w:trPr>
        <w:tc>
          <w:tcPr>
            <w:tcW w:w="1555" w:type="dxa"/>
            <w:tcBorders>
              <w:top w:val="single" w:sz="4" w:space="0" w:color="auto"/>
            </w:tcBorders>
            <w:vAlign w:val="center"/>
            <w:hideMark/>
          </w:tcPr>
          <w:p w14:paraId="6F43814A" w14:textId="77777777" w:rsidR="00F37018" w:rsidRPr="00367991" w:rsidRDefault="00F37018">
            <w:pPr>
              <w:rPr>
                <w:rFonts w:asciiTheme="majorBidi" w:hAnsiTheme="majorBidi" w:cstheme="majorBidi"/>
                <w:b/>
                <w:bCs/>
                <w:sz w:val="20"/>
                <w:szCs w:val="20"/>
              </w:rPr>
            </w:pPr>
            <w:r w:rsidRPr="00367991">
              <w:rPr>
                <w:rFonts w:asciiTheme="majorBidi" w:hAnsiTheme="majorBidi" w:cstheme="majorBidi"/>
                <w:b/>
                <w:bCs/>
                <w:color w:val="000000"/>
                <w:sz w:val="20"/>
                <w:szCs w:val="20"/>
              </w:rPr>
              <w:t>1996</w:t>
            </w:r>
          </w:p>
        </w:tc>
        <w:tc>
          <w:tcPr>
            <w:tcW w:w="1065" w:type="dxa"/>
            <w:tcBorders>
              <w:top w:val="single" w:sz="4" w:space="0" w:color="auto"/>
            </w:tcBorders>
            <w:vAlign w:val="center"/>
          </w:tcPr>
          <w:p w14:paraId="0BC3DF42"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7458A5B0"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07D9526B" w14:textId="77777777" w:rsidR="00F37018" w:rsidRPr="00367991" w:rsidRDefault="00F37018">
            <w:pPr>
              <w:jc w:val="center"/>
              <w:rPr>
                <w:rFonts w:asciiTheme="majorBidi" w:hAnsiTheme="majorBidi" w:cstheme="majorBidi"/>
                <w:b/>
                <w:bCs/>
                <w:sz w:val="20"/>
                <w:szCs w:val="20"/>
              </w:rPr>
            </w:pPr>
          </w:p>
        </w:tc>
        <w:tc>
          <w:tcPr>
            <w:tcW w:w="1066" w:type="dxa"/>
            <w:tcBorders>
              <w:top w:val="single" w:sz="4" w:space="0" w:color="auto"/>
            </w:tcBorders>
            <w:vAlign w:val="center"/>
          </w:tcPr>
          <w:p w14:paraId="373B818D"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00E5DE49"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0D8D44C1" w14:textId="77777777" w:rsidR="00F37018" w:rsidRPr="00367991" w:rsidRDefault="00F37018">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7F93565C" w14:textId="77777777" w:rsidR="00F37018" w:rsidRPr="00367991" w:rsidRDefault="00F37018">
            <w:pPr>
              <w:jc w:val="center"/>
              <w:rPr>
                <w:rFonts w:asciiTheme="majorBidi" w:hAnsiTheme="majorBidi" w:cstheme="majorBidi"/>
                <w:b/>
                <w:bCs/>
                <w:color w:val="000000"/>
                <w:sz w:val="20"/>
                <w:szCs w:val="20"/>
              </w:rPr>
            </w:pPr>
          </w:p>
        </w:tc>
      </w:tr>
      <w:tr w:rsidR="00F37018" w:rsidRPr="00367991" w14:paraId="60AC56D3" w14:textId="77777777" w:rsidTr="00F37018">
        <w:trPr>
          <w:trHeight w:val="340"/>
        </w:trPr>
        <w:tc>
          <w:tcPr>
            <w:tcW w:w="1555" w:type="dxa"/>
            <w:vAlign w:val="center"/>
            <w:hideMark/>
          </w:tcPr>
          <w:p w14:paraId="07C733A7"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00153B14"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49882497" w14:textId="77777777" w:rsidR="00F37018" w:rsidRPr="00367991" w:rsidRDefault="00F37018">
            <w:pPr>
              <w:jc w:val="center"/>
              <w:rPr>
                <w:rFonts w:asciiTheme="majorBidi" w:hAnsiTheme="majorBidi" w:cstheme="majorBidi"/>
                <w:sz w:val="20"/>
                <w:szCs w:val="20"/>
              </w:rPr>
            </w:pPr>
          </w:p>
        </w:tc>
        <w:tc>
          <w:tcPr>
            <w:tcW w:w="1066" w:type="dxa"/>
            <w:vAlign w:val="center"/>
          </w:tcPr>
          <w:p w14:paraId="06F082C9" w14:textId="77777777" w:rsidR="00F37018" w:rsidRPr="00367991" w:rsidRDefault="00F37018">
            <w:pPr>
              <w:jc w:val="center"/>
              <w:rPr>
                <w:rFonts w:asciiTheme="majorBidi" w:hAnsiTheme="majorBidi" w:cstheme="majorBidi"/>
                <w:sz w:val="20"/>
                <w:szCs w:val="20"/>
              </w:rPr>
            </w:pPr>
          </w:p>
        </w:tc>
        <w:tc>
          <w:tcPr>
            <w:tcW w:w="1066" w:type="dxa"/>
            <w:vAlign w:val="center"/>
          </w:tcPr>
          <w:p w14:paraId="53D6168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72B647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6BA8CF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DBDAD41" w14:textId="77777777" w:rsidR="00F37018" w:rsidRPr="00367991" w:rsidRDefault="00F37018">
            <w:pPr>
              <w:jc w:val="center"/>
              <w:rPr>
                <w:rFonts w:asciiTheme="majorBidi" w:hAnsiTheme="majorBidi" w:cstheme="majorBidi"/>
                <w:color w:val="000000"/>
                <w:sz w:val="20"/>
                <w:szCs w:val="20"/>
              </w:rPr>
            </w:pPr>
          </w:p>
        </w:tc>
      </w:tr>
      <w:tr w:rsidR="00F37018" w:rsidRPr="00367991" w14:paraId="5D6EF2B9" w14:textId="77777777" w:rsidTr="00F37018">
        <w:trPr>
          <w:trHeight w:val="340"/>
        </w:trPr>
        <w:tc>
          <w:tcPr>
            <w:tcW w:w="1555" w:type="dxa"/>
            <w:vAlign w:val="center"/>
            <w:hideMark/>
          </w:tcPr>
          <w:p w14:paraId="4E8BD00B"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64B90558"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0.958</w:t>
            </w:r>
          </w:p>
        </w:tc>
        <w:tc>
          <w:tcPr>
            <w:tcW w:w="1066" w:type="dxa"/>
            <w:vAlign w:val="center"/>
            <w:hideMark/>
          </w:tcPr>
          <w:p w14:paraId="290EE88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3BFB1134" w14:textId="77777777" w:rsidR="00F37018" w:rsidRPr="00367991" w:rsidRDefault="00F37018">
            <w:pPr>
              <w:jc w:val="center"/>
              <w:rPr>
                <w:rFonts w:asciiTheme="majorBidi" w:hAnsiTheme="majorBidi" w:cstheme="majorBidi"/>
                <w:sz w:val="20"/>
                <w:szCs w:val="20"/>
              </w:rPr>
            </w:pPr>
          </w:p>
        </w:tc>
        <w:tc>
          <w:tcPr>
            <w:tcW w:w="1066" w:type="dxa"/>
            <w:vAlign w:val="center"/>
          </w:tcPr>
          <w:p w14:paraId="29CFDE6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6938EC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5D82F3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1985E85" w14:textId="77777777" w:rsidR="00F37018" w:rsidRPr="00367991" w:rsidRDefault="00F37018">
            <w:pPr>
              <w:jc w:val="center"/>
              <w:rPr>
                <w:rFonts w:asciiTheme="majorBidi" w:hAnsiTheme="majorBidi" w:cstheme="majorBidi"/>
                <w:color w:val="000000"/>
                <w:sz w:val="20"/>
                <w:szCs w:val="20"/>
              </w:rPr>
            </w:pPr>
          </w:p>
        </w:tc>
      </w:tr>
      <w:tr w:rsidR="00F37018" w:rsidRPr="00367991" w14:paraId="77C81734" w14:textId="77777777" w:rsidTr="00F37018">
        <w:trPr>
          <w:trHeight w:val="340"/>
        </w:trPr>
        <w:tc>
          <w:tcPr>
            <w:tcW w:w="1555" w:type="dxa"/>
            <w:vAlign w:val="center"/>
            <w:hideMark/>
          </w:tcPr>
          <w:p w14:paraId="04629E51"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56604D9C"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0.921</w:t>
            </w:r>
          </w:p>
        </w:tc>
        <w:tc>
          <w:tcPr>
            <w:tcW w:w="1066" w:type="dxa"/>
            <w:vAlign w:val="center"/>
            <w:hideMark/>
          </w:tcPr>
          <w:p w14:paraId="478E3EC0"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0.832</w:t>
            </w:r>
          </w:p>
        </w:tc>
        <w:tc>
          <w:tcPr>
            <w:tcW w:w="1066" w:type="dxa"/>
            <w:vAlign w:val="center"/>
            <w:hideMark/>
          </w:tcPr>
          <w:p w14:paraId="370A26DD"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1.000</w:t>
            </w:r>
          </w:p>
        </w:tc>
        <w:tc>
          <w:tcPr>
            <w:tcW w:w="1066" w:type="dxa"/>
            <w:vAlign w:val="center"/>
          </w:tcPr>
          <w:p w14:paraId="1B81C15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BE2939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E44430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BCB0D40" w14:textId="77777777" w:rsidR="00F37018" w:rsidRPr="00367991" w:rsidRDefault="00F37018">
            <w:pPr>
              <w:jc w:val="center"/>
              <w:rPr>
                <w:rFonts w:asciiTheme="majorBidi" w:hAnsiTheme="majorBidi" w:cstheme="majorBidi"/>
                <w:color w:val="000000"/>
                <w:sz w:val="20"/>
                <w:szCs w:val="20"/>
              </w:rPr>
            </w:pPr>
          </w:p>
        </w:tc>
      </w:tr>
      <w:tr w:rsidR="00F37018" w:rsidRPr="00367991" w14:paraId="4BED6B86" w14:textId="77777777" w:rsidTr="00F37018">
        <w:trPr>
          <w:trHeight w:val="340"/>
        </w:trPr>
        <w:tc>
          <w:tcPr>
            <w:tcW w:w="1555" w:type="dxa"/>
            <w:vAlign w:val="center"/>
            <w:hideMark/>
          </w:tcPr>
          <w:p w14:paraId="522F269E"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75E957A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0.779</w:t>
            </w:r>
          </w:p>
        </w:tc>
        <w:tc>
          <w:tcPr>
            <w:tcW w:w="1066" w:type="dxa"/>
            <w:vAlign w:val="center"/>
            <w:hideMark/>
          </w:tcPr>
          <w:p w14:paraId="13D3D2B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0.626</w:t>
            </w:r>
          </w:p>
        </w:tc>
        <w:tc>
          <w:tcPr>
            <w:tcW w:w="1066" w:type="dxa"/>
            <w:vAlign w:val="center"/>
            <w:hideMark/>
          </w:tcPr>
          <w:p w14:paraId="4046BF6B"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0.859</w:t>
            </w:r>
          </w:p>
        </w:tc>
        <w:tc>
          <w:tcPr>
            <w:tcW w:w="1066" w:type="dxa"/>
            <w:vAlign w:val="center"/>
            <w:hideMark/>
          </w:tcPr>
          <w:p w14:paraId="752A540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3E6301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0CFA7F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6B7ED5" w14:textId="77777777" w:rsidR="00F37018" w:rsidRPr="00367991" w:rsidRDefault="00F37018">
            <w:pPr>
              <w:jc w:val="center"/>
              <w:rPr>
                <w:rFonts w:asciiTheme="majorBidi" w:hAnsiTheme="majorBidi" w:cstheme="majorBidi"/>
                <w:color w:val="000000"/>
                <w:sz w:val="20"/>
                <w:szCs w:val="20"/>
              </w:rPr>
            </w:pPr>
          </w:p>
        </w:tc>
      </w:tr>
      <w:tr w:rsidR="00F37018" w:rsidRPr="00367991" w14:paraId="62738281" w14:textId="77777777" w:rsidTr="00F37018">
        <w:trPr>
          <w:trHeight w:val="340"/>
        </w:trPr>
        <w:tc>
          <w:tcPr>
            <w:tcW w:w="1555" w:type="dxa"/>
            <w:vAlign w:val="center"/>
            <w:hideMark/>
          </w:tcPr>
          <w:p w14:paraId="6E42CBB8"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138E3C18"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0.912</w:t>
            </w:r>
          </w:p>
        </w:tc>
        <w:tc>
          <w:tcPr>
            <w:tcW w:w="1066" w:type="dxa"/>
            <w:vAlign w:val="center"/>
            <w:hideMark/>
          </w:tcPr>
          <w:p w14:paraId="52A42E13"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0.797</w:t>
            </w:r>
          </w:p>
        </w:tc>
        <w:tc>
          <w:tcPr>
            <w:tcW w:w="1066" w:type="dxa"/>
            <w:vAlign w:val="center"/>
            <w:hideMark/>
          </w:tcPr>
          <w:p w14:paraId="7F88621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0.863</w:t>
            </w:r>
          </w:p>
        </w:tc>
        <w:tc>
          <w:tcPr>
            <w:tcW w:w="1066" w:type="dxa"/>
            <w:vAlign w:val="center"/>
            <w:hideMark/>
          </w:tcPr>
          <w:p w14:paraId="2E273E3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0.809</w:t>
            </w:r>
          </w:p>
        </w:tc>
        <w:tc>
          <w:tcPr>
            <w:tcW w:w="1066" w:type="dxa"/>
            <w:vAlign w:val="center"/>
            <w:hideMark/>
          </w:tcPr>
          <w:p w14:paraId="328A3FD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CC0B52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7F1CDDE" w14:textId="77777777" w:rsidR="00F37018" w:rsidRPr="00367991" w:rsidRDefault="00F37018">
            <w:pPr>
              <w:jc w:val="center"/>
              <w:rPr>
                <w:rFonts w:asciiTheme="majorBidi" w:hAnsiTheme="majorBidi" w:cstheme="majorBidi"/>
                <w:color w:val="000000"/>
                <w:sz w:val="20"/>
                <w:szCs w:val="20"/>
              </w:rPr>
            </w:pPr>
          </w:p>
        </w:tc>
      </w:tr>
      <w:tr w:rsidR="00F37018" w:rsidRPr="00367991" w14:paraId="1F38DF99" w14:textId="77777777" w:rsidTr="00F37018">
        <w:trPr>
          <w:trHeight w:val="340"/>
        </w:trPr>
        <w:tc>
          <w:tcPr>
            <w:tcW w:w="1555" w:type="dxa"/>
            <w:vAlign w:val="center"/>
            <w:hideMark/>
          </w:tcPr>
          <w:p w14:paraId="04628C4C"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OADR</w:t>
            </w:r>
          </w:p>
        </w:tc>
        <w:tc>
          <w:tcPr>
            <w:tcW w:w="1065" w:type="dxa"/>
            <w:vAlign w:val="center"/>
            <w:hideMark/>
          </w:tcPr>
          <w:p w14:paraId="53ACF5A2"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0.876</w:t>
            </w:r>
          </w:p>
        </w:tc>
        <w:tc>
          <w:tcPr>
            <w:tcW w:w="1066" w:type="dxa"/>
            <w:vAlign w:val="center"/>
            <w:hideMark/>
          </w:tcPr>
          <w:p w14:paraId="2D582045"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0.802</w:t>
            </w:r>
          </w:p>
        </w:tc>
        <w:tc>
          <w:tcPr>
            <w:tcW w:w="1066" w:type="dxa"/>
            <w:vAlign w:val="center"/>
            <w:hideMark/>
          </w:tcPr>
          <w:p w14:paraId="28DAB76E" w14:textId="77777777" w:rsidR="00F37018" w:rsidRPr="00367991" w:rsidRDefault="00F37018">
            <w:pPr>
              <w:jc w:val="center"/>
              <w:rPr>
                <w:rFonts w:asciiTheme="majorBidi" w:hAnsiTheme="majorBidi" w:cstheme="majorBidi"/>
                <w:sz w:val="20"/>
                <w:szCs w:val="20"/>
              </w:rPr>
            </w:pPr>
            <w:r w:rsidRPr="00367991">
              <w:rPr>
                <w:rFonts w:asciiTheme="majorBidi" w:hAnsiTheme="majorBidi" w:cstheme="majorBidi"/>
                <w:color w:val="000000"/>
                <w:sz w:val="20"/>
                <w:szCs w:val="20"/>
              </w:rPr>
              <w:t>0.990</w:t>
            </w:r>
          </w:p>
        </w:tc>
        <w:tc>
          <w:tcPr>
            <w:tcW w:w="1066" w:type="dxa"/>
            <w:vAlign w:val="center"/>
            <w:hideMark/>
          </w:tcPr>
          <w:p w14:paraId="69BBD1E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0.822</w:t>
            </w:r>
          </w:p>
        </w:tc>
        <w:tc>
          <w:tcPr>
            <w:tcW w:w="1066" w:type="dxa"/>
            <w:vAlign w:val="center"/>
            <w:hideMark/>
          </w:tcPr>
          <w:p w14:paraId="6571383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0.799</w:t>
            </w:r>
          </w:p>
        </w:tc>
        <w:tc>
          <w:tcPr>
            <w:tcW w:w="1066" w:type="dxa"/>
            <w:vAlign w:val="center"/>
            <w:hideMark/>
          </w:tcPr>
          <w:p w14:paraId="43860B3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08682AA6" w14:textId="77777777" w:rsidR="00F37018" w:rsidRPr="00367991" w:rsidRDefault="00F37018">
            <w:pPr>
              <w:jc w:val="center"/>
              <w:rPr>
                <w:rFonts w:asciiTheme="majorBidi" w:hAnsiTheme="majorBidi" w:cstheme="majorBidi"/>
                <w:color w:val="000000"/>
                <w:sz w:val="20"/>
                <w:szCs w:val="20"/>
              </w:rPr>
            </w:pPr>
          </w:p>
        </w:tc>
      </w:tr>
      <w:tr w:rsidR="00F37018" w:rsidRPr="00367991" w14:paraId="12DF199D" w14:textId="77777777" w:rsidTr="00F37018">
        <w:trPr>
          <w:trHeight w:val="340"/>
        </w:trPr>
        <w:tc>
          <w:tcPr>
            <w:tcW w:w="1555" w:type="dxa"/>
            <w:vAlign w:val="center"/>
            <w:hideMark/>
          </w:tcPr>
          <w:p w14:paraId="63E6BA62"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RMSA</w:t>
            </w:r>
          </w:p>
        </w:tc>
        <w:tc>
          <w:tcPr>
            <w:tcW w:w="1065" w:type="dxa"/>
            <w:vAlign w:val="center"/>
            <w:hideMark/>
          </w:tcPr>
          <w:p w14:paraId="25893E9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0.987</w:t>
            </w:r>
          </w:p>
        </w:tc>
        <w:tc>
          <w:tcPr>
            <w:tcW w:w="1066" w:type="dxa"/>
            <w:vAlign w:val="center"/>
            <w:hideMark/>
          </w:tcPr>
          <w:p w14:paraId="1D32B31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0.941</w:t>
            </w:r>
          </w:p>
        </w:tc>
        <w:tc>
          <w:tcPr>
            <w:tcW w:w="1066" w:type="dxa"/>
            <w:vAlign w:val="center"/>
            <w:hideMark/>
          </w:tcPr>
          <w:p w14:paraId="3D0C845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0.963</w:t>
            </w:r>
          </w:p>
        </w:tc>
        <w:tc>
          <w:tcPr>
            <w:tcW w:w="1066" w:type="dxa"/>
            <w:vAlign w:val="center"/>
            <w:hideMark/>
          </w:tcPr>
          <w:p w14:paraId="243CFBE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0.808</w:t>
            </w:r>
          </w:p>
        </w:tc>
        <w:tc>
          <w:tcPr>
            <w:tcW w:w="1066" w:type="dxa"/>
            <w:vAlign w:val="center"/>
            <w:hideMark/>
          </w:tcPr>
          <w:p w14:paraId="5298BD0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0.905</w:t>
            </w:r>
          </w:p>
        </w:tc>
        <w:tc>
          <w:tcPr>
            <w:tcW w:w="1066" w:type="dxa"/>
            <w:vAlign w:val="center"/>
            <w:hideMark/>
          </w:tcPr>
          <w:p w14:paraId="4897EBB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0.934</w:t>
            </w:r>
          </w:p>
        </w:tc>
        <w:tc>
          <w:tcPr>
            <w:tcW w:w="1066" w:type="dxa"/>
            <w:vAlign w:val="center"/>
            <w:hideMark/>
          </w:tcPr>
          <w:p w14:paraId="073B8EB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4319F59A" w14:textId="77777777" w:rsidTr="00F37018">
        <w:trPr>
          <w:trHeight w:val="340"/>
        </w:trPr>
        <w:tc>
          <w:tcPr>
            <w:tcW w:w="1555" w:type="dxa"/>
            <w:vAlign w:val="center"/>
          </w:tcPr>
          <w:p w14:paraId="13E65DAD" w14:textId="77777777" w:rsidR="00F37018" w:rsidRPr="00367991" w:rsidRDefault="00F37018">
            <w:pPr>
              <w:rPr>
                <w:rFonts w:asciiTheme="majorBidi" w:hAnsiTheme="majorBidi" w:cstheme="majorBidi"/>
                <w:sz w:val="20"/>
                <w:szCs w:val="20"/>
              </w:rPr>
            </w:pPr>
          </w:p>
        </w:tc>
        <w:tc>
          <w:tcPr>
            <w:tcW w:w="1065" w:type="dxa"/>
            <w:vAlign w:val="center"/>
          </w:tcPr>
          <w:p w14:paraId="07A46DD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A15DF1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41B577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7F7EE6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D812A9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F4C193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570CA9F" w14:textId="77777777" w:rsidR="00F37018" w:rsidRPr="00367991" w:rsidRDefault="00F37018">
            <w:pPr>
              <w:jc w:val="center"/>
              <w:rPr>
                <w:rFonts w:asciiTheme="majorBidi" w:hAnsiTheme="majorBidi" w:cstheme="majorBidi"/>
                <w:color w:val="000000"/>
                <w:sz w:val="20"/>
                <w:szCs w:val="20"/>
              </w:rPr>
            </w:pPr>
          </w:p>
        </w:tc>
      </w:tr>
      <w:tr w:rsidR="00F37018" w:rsidRPr="00367991" w14:paraId="41B17CCF" w14:textId="77777777" w:rsidTr="00F37018">
        <w:trPr>
          <w:trHeight w:val="340"/>
        </w:trPr>
        <w:tc>
          <w:tcPr>
            <w:tcW w:w="1555" w:type="dxa"/>
            <w:vAlign w:val="center"/>
            <w:hideMark/>
          </w:tcPr>
          <w:p w14:paraId="55EFE57E"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2018</w:t>
            </w:r>
          </w:p>
        </w:tc>
        <w:tc>
          <w:tcPr>
            <w:tcW w:w="1065" w:type="dxa"/>
            <w:vAlign w:val="center"/>
          </w:tcPr>
          <w:p w14:paraId="6F43F6B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D5D234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1E147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203ADE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233A29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1F0E6E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1D7DFCD" w14:textId="77777777" w:rsidR="00F37018" w:rsidRPr="00367991" w:rsidRDefault="00F37018">
            <w:pPr>
              <w:jc w:val="center"/>
              <w:rPr>
                <w:rFonts w:asciiTheme="majorBidi" w:hAnsiTheme="majorBidi" w:cstheme="majorBidi"/>
                <w:color w:val="000000"/>
                <w:sz w:val="20"/>
                <w:szCs w:val="20"/>
              </w:rPr>
            </w:pPr>
          </w:p>
        </w:tc>
      </w:tr>
      <w:tr w:rsidR="00F37018" w:rsidRPr="00367991" w14:paraId="1B2C6D27" w14:textId="77777777" w:rsidTr="00F37018">
        <w:trPr>
          <w:trHeight w:val="340"/>
        </w:trPr>
        <w:tc>
          <w:tcPr>
            <w:tcW w:w="1555" w:type="dxa"/>
            <w:vAlign w:val="center"/>
            <w:hideMark/>
          </w:tcPr>
          <w:p w14:paraId="510DFA06"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203D967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5C133D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FEF4B5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A2A79A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A8A2A8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218F3B1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EDBA3ED" w14:textId="77777777" w:rsidR="00F37018" w:rsidRPr="00367991" w:rsidRDefault="00F37018">
            <w:pPr>
              <w:jc w:val="center"/>
              <w:rPr>
                <w:rFonts w:asciiTheme="majorBidi" w:hAnsiTheme="majorBidi" w:cstheme="majorBidi"/>
                <w:color w:val="000000"/>
                <w:sz w:val="20"/>
                <w:szCs w:val="20"/>
              </w:rPr>
            </w:pPr>
          </w:p>
        </w:tc>
      </w:tr>
      <w:tr w:rsidR="00F37018" w:rsidRPr="00367991" w14:paraId="14B86D6C" w14:textId="77777777" w:rsidTr="00F37018">
        <w:trPr>
          <w:trHeight w:val="340"/>
        </w:trPr>
        <w:tc>
          <w:tcPr>
            <w:tcW w:w="1555" w:type="dxa"/>
            <w:vAlign w:val="center"/>
            <w:hideMark/>
          </w:tcPr>
          <w:p w14:paraId="12643189"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28CD095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0.986</w:t>
            </w:r>
          </w:p>
        </w:tc>
        <w:tc>
          <w:tcPr>
            <w:tcW w:w="1066" w:type="dxa"/>
            <w:vAlign w:val="center"/>
            <w:hideMark/>
          </w:tcPr>
          <w:p w14:paraId="5CED489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607BDB4"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2054FD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0D601A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D0AC6E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717E48B6" w14:textId="77777777" w:rsidR="00F37018" w:rsidRPr="00367991" w:rsidRDefault="00F37018">
            <w:pPr>
              <w:jc w:val="center"/>
              <w:rPr>
                <w:rFonts w:asciiTheme="majorBidi" w:hAnsiTheme="majorBidi" w:cstheme="majorBidi"/>
                <w:color w:val="000000"/>
                <w:sz w:val="20"/>
                <w:szCs w:val="20"/>
              </w:rPr>
            </w:pPr>
          </w:p>
        </w:tc>
      </w:tr>
      <w:tr w:rsidR="00F37018" w:rsidRPr="00367991" w14:paraId="4FE92C48" w14:textId="77777777" w:rsidTr="00F37018">
        <w:trPr>
          <w:trHeight w:val="340"/>
        </w:trPr>
        <w:tc>
          <w:tcPr>
            <w:tcW w:w="1555" w:type="dxa"/>
            <w:vAlign w:val="center"/>
            <w:hideMark/>
          </w:tcPr>
          <w:p w14:paraId="024A9318"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01F99E7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0.954</w:t>
            </w:r>
          </w:p>
        </w:tc>
        <w:tc>
          <w:tcPr>
            <w:tcW w:w="1066" w:type="dxa"/>
            <w:vAlign w:val="center"/>
            <w:hideMark/>
          </w:tcPr>
          <w:p w14:paraId="60401AA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0.939</w:t>
            </w:r>
          </w:p>
        </w:tc>
        <w:tc>
          <w:tcPr>
            <w:tcW w:w="1066" w:type="dxa"/>
            <w:vAlign w:val="center"/>
            <w:hideMark/>
          </w:tcPr>
          <w:p w14:paraId="164BAC6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0224DB3"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F0BBB2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01762A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C310713" w14:textId="77777777" w:rsidR="00F37018" w:rsidRPr="00367991" w:rsidRDefault="00F37018">
            <w:pPr>
              <w:jc w:val="center"/>
              <w:rPr>
                <w:rFonts w:asciiTheme="majorBidi" w:hAnsiTheme="majorBidi" w:cstheme="majorBidi"/>
                <w:color w:val="000000"/>
                <w:sz w:val="20"/>
                <w:szCs w:val="20"/>
              </w:rPr>
            </w:pPr>
          </w:p>
        </w:tc>
      </w:tr>
      <w:tr w:rsidR="00F37018" w:rsidRPr="00367991" w14:paraId="504A0F8C" w14:textId="77777777" w:rsidTr="00F37018">
        <w:trPr>
          <w:trHeight w:val="340"/>
        </w:trPr>
        <w:tc>
          <w:tcPr>
            <w:tcW w:w="1555" w:type="dxa"/>
            <w:vAlign w:val="center"/>
            <w:hideMark/>
          </w:tcPr>
          <w:p w14:paraId="3F54B1D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2F36EC8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0.656</w:t>
            </w:r>
          </w:p>
        </w:tc>
        <w:tc>
          <w:tcPr>
            <w:tcW w:w="1066" w:type="dxa"/>
            <w:vAlign w:val="center"/>
            <w:hideMark/>
          </w:tcPr>
          <w:p w14:paraId="691CE11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0.584</w:t>
            </w:r>
          </w:p>
        </w:tc>
        <w:tc>
          <w:tcPr>
            <w:tcW w:w="1066" w:type="dxa"/>
            <w:vAlign w:val="center"/>
            <w:hideMark/>
          </w:tcPr>
          <w:p w14:paraId="13F323D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0.741</w:t>
            </w:r>
          </w:p>
        </w:tc>
        <w:tc>
          <w:tcPr>
            <w:tcW w:w="1066" w:type="dxa"/>
            <w:vAlign w:val="center"/>
            <w:hideMark/>
          </w:tcPr>
          <w:p w14:paraId="71B2C0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1978BC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DDB7CE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853C219" w14:textId="77777777" w:rsidR="00F37018" w:rsidRPr="00367991" w:rsidRDefault="00F37018">
            <w:pPr>
              <w:jc w:val="center"/>
              <w:rPr>
                <w:rFonts w:asciiTheme="majorBidi" w:hAnsiTheme="majorBidi" w:cstheme="majorBidi"/>
                <w:color w:val="000000"/>
                <w:sz w:val="20"/>
                <w:szCs w:val="20"/>
              </w:rPr>
            </w:pPr>
          </w:p>
        </w:tc>
      </w:tr>
      <w:tr w:rsidR="00F37018" w:rsidRPr="00367991" w14:paraId="1D09A064" w14:textId="77777777" w:rsidTr="00F37018">
        <w:trPr>
          <w:trHeight w:val="340"/>
        </w:trPr>
        <w:tc>
          <w:tcPr>
            <w:tcW w:w="1555" w:type="dxa"/>
            <w:vAlign w:val="center"/>
            <w:hideMark/>
          </w:tcPr>
          <w:p w14:paraId="44435F3A"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67A9071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0.920</w:t>
            </w:r>
          </w:p>
        </w:tc>
        <w:tc>
          <w:tcPr>
            <w:tcW w:w="1066" w:type="dxa"/>
            <w:vAlign w:val="center"/>
            <w:hideMark/>
          </w:tcPr>
          <w:p w14:paraId="5A81E11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0.865</w:t>
            </w:r>
          </w:p>
        </w:tc>
        <w:tc>
          <w:tcPr>
            <w:tcW w:w="1066" w:type="dxa"/>
            <w:vAlign w:val="center"/>
            <w:hideMark/>
          </w:tcPr>
          <w:p w14:paraId="43A4D9C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0.837</w:t>
            </w:r>
          </w:p>
        </w:tc>
        <w:tc>
          <w:tcPr>
            <w:tcW w:w="1066" w:type="dxa"/>
            <w:vAlign w:val="center"/>
            <w:hideMark/>
          </w:tcPr>
          <w:p w14:paraId="264306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0.633</w:t>
            </w:r>
          </w:p>
        </w:tc>
        <w:tc>
          <w:tcPr>
            <w:tcW w:w="1066" w:type="dxa"/>
            <w:vAlign w:val="center"/>
            <w:hideMark/>
          </w:tcPr>
          <w:p w14:paraId="7464DA5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C19293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C4F6605" w14:textId="77777777" w:rsidR="00F37018" w:rsidRPr="00367991" w:rsidRDefault="00F37018">
            <w:pPr>
              <w:jc w:val="center"/>
              <w:rPr>
                <w:rFonts w:asciiTheme="majorBidi" w:hAnsiTheme="majorBidi" w:cstheme="majorBidi"/>
                <w:color w:val="000000"/>
                <w:sz w:val="20"/>
                <w:szCs w:val="20"/>
              </w:rPr>
            </w:pPr>
          </w:p>
        </w:tc>
      </w:tr>
      <w:tr w:rsidR="00F37018" w:rsidRPr="00367991" w14:paraId="5B507798" w14:textId="77777777" w:rsidTr="00F37018">
        <w:trPr>
          <w:trHeight w:val="340"/>
        </w:trPr>
        <w:tc>
          <w:tcPr>
            <w:tcW w:w="1555" w:type="dxa"/>
            <w:vAlign w:val="center"/>
            <w:hideMark/>
          </w:tcPr>
          <w:p w14:paraId="155AD640"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58DA186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0.923</w:t>
            </w:r>
          </w:p>
        </w:tc>
        <w:tc>
          <w:tcPr>
            <w:tcW w:w="1066" w:type="dxa"/>
            <w:vAlign w:val="center"/>
            <w:hideMark/>
          </w:tcPr>
          <w:p w14:paraId="41E65E3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0.914</w:t>
            </w:r>
          </w:p>
        </w:tc>
        <w:tc>
          <w:tcPr>
            <w:tcW w:w="1066" w:type="dxa"/>
            <w:vAlign w:val="center"/>
            <w:hideMark/>
          </w:tcPr>
          <w:p w14:paraId="3DB92C1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0.994</w:t>
            </w:r>
          </w:p>
        </w:tc>
        <w:tc>
          <w:tcPr>
            <w:tcW w:w="1066" w:type="dxa"/>
            <w:vAlign w:val="center"/>
            <w:hideMark/>
          </w:tcPr>
          <w:p w14:paraId="03DC319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0.736</w:t>
            </w:r>
          </w:p>
        </w:tc>
        <w:tc>
          <w:tcPr>
            <w:tcW w:w="1066" w:type="dxa"/>
            <w:vAlign w:val="center"/>
            <w:hideMark/>
          </w:tcPr>
          <w:p w14:paraId="316818A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0.787</w:t>
            </w:r>
          </w:p>
        </w:tc>
        <w:tc>
          <w:tcPr>
            <w:tcW w:w="1066" w:type="dxa"/>
            <w:vAlign w:val="center"/>
            <w:hideMark/>
          </w:tcPr>
          <w:p w14:paraId="018740A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3CC7E2B1" w14:textId="77777777" w:rsidR="00F37018" w:rsidRPr="00367991" w:rsidRDefault="00F37018">
            <w:pPr>
              <w:jc w:val="center"/>
              <w:rPr>
                <w:rFonts w:asciiTheme="majorBidi" w:hAnsiTheme="majorBidi" w:cstheme="majorBidi"/>
                <w:color w:val="000000"/>
                <w:sz w:val="20"/>
                <w:szCs w:val="20"/>
              </w:rPr>
            </w:pPr>
          </w:p>
        </w:tc>
      </w:tr>
      <w:tr w:rsidR="00F37018" w:rsidRPr="00367991" w14:paraId="3988C34F" w14:textId="77777777" w:rsidTr="00F37018">
        <w:trPr>
          <w:trHeight w:val="340"/>
        </w:trPr>
        <w:tc>
          <w:tcPr>
            <w:tcW w:w="1555" w:type="dxa"/>
            <w:vAlign w:val="center"/>
            <w:hideMark/>
          </w:tcPr>
          <w:p w14:paraId="3908D89D"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236AC31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0.989</w:t>
            </w:r>
          </w:p>
        </w:tc>
        <w:tc>
          <w:tcPr>
            <w:tcW w:w="1066" w:type="dxa"/>
            <w:vAlign w:val="center"/>
            <w:hideMark/>
          </w:tcPr>
          <w:p w14:paraId="51CA60A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0.977</w:t>
            </w:r>
          </w:p>
        </w:tc>
        <w:tc>
          <w:tcPr>
            <w:tcW w:w="1066" w:type="dxa"/>
            <w:vAlign w:val="center"/>
            <w:hideMark/>
          </w:tcPr>
          <w:p w14:paraId="5BEBD69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0.979</w:t>
            </w:r>
          </w:p>
        </w:tc>
        <w:tc>
          <w:tcPr>
            <w:tcW w:w="1066" w:type="dxa"/>
            <w:vAlign w:val="center"/>
            <w:hideMark/>
          </w:tcPr>
          <w:p w14:paraId="01934CF9"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0.708</w:t>
            </w:r>
          </w:p>
        </w:tc>
        <w:tc>
          <w:tcPr>
            <w:tcW w:w="1066" w:type="dxa"/>
            <w:vAlign w:val="center"/>
            <w:hideMark/>
          </w:tcPr>
          <w:p w14:paraId="0AFCAD3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0.899</w:t>
            </w:r>
          </w:p>
        </w:tc>
        <w:tc>
          <w:tcPr>
            <w:tcW w:w="1066" w:type="dxa"/>
            <w:vAlign w:val="center"/>
            <w:hideMark/>
          </w:tcPr>
          <w:p w14:paraId="1A8D2E9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0.956</w:t>
            </w:r>
          </w:p>
        </w:tc>
        <w:tc>
          <w:tcPr>
            <w:tcW w:w="1066" w:type="dxa"/>
            <w:vAlign w:val="center"/>
            <w:hideMark/>
          </w:tcPr>
          <w:p w14:paraId="3541D4AD"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r w:rsidR="00F37018" w:rsidRPr="00367991" w14:paraId="52C49D1B" w14:textId="77777777" w:rsidTr="00F37018">
        <w:trPr>
          <w:trHeight w:val="340"/>
        </w:trPr>
        <w:tc>
          <w:tcPr>
            <w:tcW w:w="1555" w:type="dxa"/>
            <w:vAlign w:val="center"/>
          </w:tcPr>
          <w:p w14:paraId="4EB97059" w14:textId="77777777" w:rsidR="00F37018" w:rsidRPr="00367991" w:rsidRDefault="00F37018">
            <w:pPr>
              <w:rPr>
                <w:rFonts w:asciiTheme="majorBidi" w:hAnsiTheme="majorBidi" w:cstheme="majorBidi"/>
                <w:sz w:val="20"/>
                <w:szCs w:val="20"/>
              </w:rPr>
            </w:pPr>
          </w:p>
        </w:tc>
        <w:tc>
          <w:tcPr>
            <w:tcW w:w="1065" w:type="dxa"/>
            <w:vAlign w:val="center"/>
          </w:tcPr>
          <w:p w14:paraId="3B17E2C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E64652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C88859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C79F38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D81788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0AF9F39E"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203B1B1" w14:textId="77777777" w:rsidR="00F37018" w:rsidRPr="00367991" w:rsidRDefault="00F37018">
            <w:pPr>
              <w:jc w:val="center"/>
              <w:rPr>
                <w:rFonts w:asciiTheme="majorBidi" w:hAnsiTheme="majorBidi" w:cstheme="majorBidi"/>
                <w:color w:val="000000"/>
                <w:sz w:val="20"/>
                <w:szCs w:val="20"/>
              </w:rPr>
            </w:pPr>
          </w:p>
        </w:tc>
      </w:tr>
      <w:tr w:rsidR="00F37018" w:rsidRPr="00367991" w14:paraId="34C35198" w14:textId="77777777" w:rsidTr="00F37018">
        <w:trPr>
          <w:trHeight w:val="340"/>
        </w:trPr>
        <w:tc>
          <w:tcPr>
            <w:tcW w:w="1555" w:type="dxa"/>
            <w:vAlign w:val="center"/>
            <w:hideMark/>
          </w:tcPr>
          <w:p w14:paraId="5BCBEB6D" w14:textId="77777777" w:rsidR="00F37018" w:rsidRPr="00367991" w:rsidRDefault="00F37018">
            <w:pPr>
              <w:rPr>
                <w:rFonts w:asciiTheme="majorBidi" w:hAnsiTheme="majorBidi" w:cstheme="majorBidi"/>
                <w:sz w:val="20"/>
                <w:szCs w:val="20"/>
              </w:rPr>
            </w:pPr>
            <w:r w:rsidRPr="00367991">
              <w:rPr>
                <w:rFonts w:asciiTheme="majorBidi" w:hAnsiTheme="majorBidi" w:cstheme="majorBidi"/>
                <w:b/>
                <w:bCs/>
                <w:color w:val="000000"/>
                <w:sz w:val="20"/>
                <w:szCs w:val="20"/>
              </w:rPr>
              <w:t>2048</w:t>
            </w:r>
          </w:p>
        </w:tc>
        <w:tc>
          <w:tcPr>
            <w:tcW w:w="1065" w:type="dxa"/>
            <w:vAlign w:val="center"/>
          </w:tcPr>
          <w:p w14:paraId="39138D8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E29B1E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09B1C1F"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992C15B"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E108FB5"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C65EFD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DADEF55" w14:textId="77777777" w:rsidR="00F37018" w:rsidRPr="00367991" w:rsidRDefault="00F37018">
            <w:pPr>
              <w:jc w:val="center"/>
              <w:rPr>
                <w:rFonts w:asciiTheme="majorBidi" w:hAnsiTheme="majorBidi" w:cstheme="majorBidi"/>
                <w:color w:val="000000"/>
                <w:sz w:val="20"/>
                <w:szCs w:val="20"/>
              </w:rPr>
            </w:pPr>
          </w:p>
        </w:tc>
      </w:tr>
      <w:tr w:rsidR="00F37018" w:rsidRPr="00367991" w14:paraId="2ABF0270" w14:textId="77777777" w:rsidTr="00F37018">
        <w:trPr>
          <w:trHeight w:val="340"/>
        </w:trPr>
        <w:tc>
          <w:tcPr>
            <w:tcW w:w="1555" w:type="dxa"/>
            <w:vAlign w:val="center"/>
            <w:hideMark/>
          </w:tcPr>
          <w:p w14:paraId="441DF329"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Mean age</w:t>
            </w:r>
          </w:p>
        </w:tc>
        <w:tc>
          <w:tcPr>
            <w:tcW w:w="1065" w:type="dxa"/>
            <w:vAlign w:val="center"/>
            <w:hideMark/>
          </w:tcPr>
          <w:p w14:paraId="4C06358C"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25412AE8"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017C119"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A57CC7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54C297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5E02042"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6242763E" w14:textId="77777777" w:rsidR="00F37018" w:rsidRPr="00367991" w:rsidRDefault="00F37018">
            <w:pPr>
              <w:jc w:val="center"/>
              <w:rPr>
                <w:rFonts w:asciiTheme="majorBidi" w:hAnsiTheme="majorBidi" w:cstheme="majorBidi"/>
                <w:color w:val="000000"/>
                <w:sz w:val="20"/>
                <w:szCs w:val="20"/>
              </w:rPr>
            </w:pPr>
          </w:p>
        </w:tc>
      </w:tr>
      <w:tr w:rsidR="00F37018" w:rsidRPr="00367991" w14:paraId="6DF443C6" w14:textId="77777777" w:rsidTr="00F37018">
        <w:trPr>
          <w:trHeight w:val="340"/>
        </w:trPr>
        <w:tc>
          <w:tcPr>
            <w:tcW w:w="1555" w:type="dxa"/>
            <w:vAlign w:val="center"/>
            <w:hideMark/>
          </w:tcPr>
          <w:p w14:paraId="7CCD5B53"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Median age</w:t>
            </w:r>
          </w:p>
        </w:tc>
        <w:tc>
          <w:tcPr>
            <w:tcW w:w="1065" w:type="dxa"/>
            <w:vAlign w:val="center"/>
            <w:hideMark/>
          </w:tcPr>
          <w:p w14:paraId="6D357AC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0.987</w:t>
            </w:r>
          </w:p>
        </w:tc>
        <w:tc>
          <w:tcPr>
            <w:tcW w:w="1066" w:type="dxa"/>
            <w:vAlign w:val="center"/>
            <w:hideMark/>
          </w:tcPr>
          <w:p w14:paraId="37B43FC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18FF3ED0"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31967AA"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0AA9DC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C73BDE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F48FBE5" w14:textId="77777777" w:rsidR="00F37018" w:rsidRPr="00367991" w:rsidRDefault="00F37018">
            <w:pPr>
              <w:jc w:val="center"/>
              <w:rPr>
                <w:rFonts w:asciiTheme="majorBidi" w:hAnsiTheme="majorBidi" w:cstheme="majorBidi"/>
                <w:color w:val="000000"/>
                <w:sz w:val="20"/>
                <w:szCs w:val="20"/>
              </w:rPr>
            </w:pPr>
          </w:p>
        </w:tc>
      </w:tr>
      <w:tr w:rsidR="00F37018" w:rsidRPr="00367991" w14:paraId="57E31EB6" w14:textId="77777777" w:rsidTr="00F37018">
        <w:trPr>
          <w:trHeight w:val="340"/>
        </w:trPr>
        <w:tc>
          <w:tcPr>
            <w:tcW w:w="1555" w:type="dxa"/>
            <w:vAlign w:val="center"/>
            <w:hideMark/>
          </w:tcPr>
          <w:p w14:paraId="4ED8FCFD"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65+</w:t>
            </w:r>
          </w:p>
        </w:tc>
        <w:tc>
          <w:tcPr>
            <w:tcW w:w="1065" w:type="dxa"/>
            <w:vAlign w:val="center"/>
            <w:hideMark/>
          </w:tcPr>
          <w:p w14:paraId="756E4BB3"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0.959</w:t>
            </w:r>
          </w:p>
        </w:tc>
        <w:tc>
          <w:tcPr>
            <w:tcW w:w="1066" w:type="dxa"/>
            <w:vAlign w:val="center"/>
            <w:hideMark/>
          </w:tcPr>
          <w:p w14:paraId="235B116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0.963</w:t>
            </w:r>
          </w:p>
        </w:tc>
        <w:tc>
          <w:tcPr>
            <w:tcW w:w="1066" w:type="dxa"/>
            <w:vAlign w:val="center"/>
            <w:hideMark/>
          </w:tcPr>
          <w:p w14:paraId="77B7948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8C9DF66"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538C3CA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46006C8C"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511D70" w14:textId="77777777" w:rsidR="00F37018" w:rsidRPr="00367991" w:rsidRDefault="00F37018">
            <w:pPr>
              <w:jc w:val="center"/>
              <w:rPr>
                <w:rFonts w:asciiTheme="majorBidi" w:hAnsiTheme="majorBidi" w:cstheme="majorBidi"/>
                <w:color w:val="000000"/>
                <w:sz w:val="20"/>
                <w:szCs w:val="20"/>
              </w:rPr>
            </w:pPr>
          </w:p>
        </w:tc>
      </w:tr>
      <w:tr w:rsidR="00F37018" w:rsidRPr="00367991" w14:paraId="39EFB595" w14:textId="77777777" w:rsidTr="00F37018">
        <w:trPr>
          <w:trHeight w:val="340"/>
        </w:trPr>
        <w:tc>
          <w:tcPr>
            <w:tcW w:w="1555" w:type="dxa"/>
            <w:vAlign w:val="center"/>
            <w:hideMark/>
          </w:tcPr>
          <w:p w14:paraId="3F1E21D4"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Proportion 85+</w:t>
            </w:r>
          </w:p>
        </w:tc>
        <w:tc>
          <w:tcPr>
            <w:tcW w:w="1065" w:type="dxa"/>
            <w:vAlign w:val="center"/>
            <w:hideMark/>
          </w:tcPr>
          <w:p w14:paraId="0204A99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0.926</w:t>
            </w:r>
          </w:p>
        </w:tc>
        <w:tc>
          <w:tcPr>
            <w:tcW w:w="1066" w:type="dxa"/>
            <w:vAlign w:val="center"/>
            <w:hideMark/>
          </w:tcPr>
          <w:p w14:paraId="07E9FA9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0.896</w:t>
            </w:r>
          </w:p>
        </w:tc>
        <w:tc>
          <w:tcPr>
            <w:tcW w:w="1066" w:type="dxa"/>
            <w:vAlign w:val="center"/>
            <w:hideMark/>
          </w:tcPr>
          <w:p w14:paraId="363E4CD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0.928</w:t>
            </w:r>
          </w:p>
        </w:tc>
        <w:tc>
          <w:tcPr>
            <w:tcW w:w="1066" w:type="dxa"/>
            <w:vAlign w:val="center"/>
            <w:hideMark/>
          </w:tcPr>
          <w:p w14:paraId="0F15CAF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5218BA4D"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9B001E1"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1044C96B" w14:textId="77777777" w:rsidR="00F37018" w:rsidRPr="00367991" w:rsidRDefault="00F37018">
            <w:pPr>
              <w:jc w:val="center"/>
              <w:rPr>
                <w:rFonts w:asciiTheme="majorBidi" w:hAnsiTheme="majorBidi" w:cstheme="majorBidi"/>
                <w:color w:val="000000"/>
                <w:sz w:val="20"/>
                <w:szCs w:val="20"/>
              </w:rPr>
            </w:pPr>
          </w:p>
        </w:tc>
      </w:tr>
      <w:tr w:rsidR="00F37018" w:rsidRPr="00367991" w14:paraId="36342B01" w14:textId="77777777" w:rsidTr="00F37018">
        <w:trPr>
          <w:trHeight w:val="340"/>
        </w:trPr>
        <w:tc>
          <w:tcPr>
            <w:tcW w:w="1555" w:type="dxa"/>
            <w:vAlign w:val="center"/>
            <w:hideMark/>
          </w:tcPr>
          <w:p w14:paraId="3C15F94F" w14:textId="77777777" w:rsidR="00F37018" w:rsidRPr="00367991" w:rsidRDefault="00F37018">
            <w:pPr>
              <w:rPr>
                <w:rFonts w:asciiTheme="majorBidi" w:hAnsiTheme="majorBidi" w:cstheme="majorBidi"/>
                <w:sz w:val="20"/>
                <w:szCs w:val="20"/>
              </w:rPr>
            </w:pPr>
            <w:r w:rsidRPr="00367991">
              <w:rPr>
                <w:rFonts w:asciiTheme="majorBidi" w:hAnsiTheme="majorBidi" w:cstheme="majorBidi"/>
                <w:color w:val="000000"/>
                <w:sz w:val="20"/>
                <w:szCs w:val="20"/>
              </w:rPr>
              <w:t>CER</w:t>
            </w:r>
          </w:p>
        </w:tc>
        <w:tc>
          <w:tcPr>
            <w:tcW w:w="1065" w:type="dxa"/>
            <w:vAlign w:val="center"/>
            <w:hideMark/>
          </w:tcPr>
          <w:p w14:paraId="320A1FE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0.912</w:t>
            </w:r>
          </w:p>
        </w:tc>
        <w:tc>
          <w:tcPr>
            <w:tcW w:w="1066" w:type="dxa"/>
            <w:vAlign w:val="center"/>
            <w:hideMark/>
          </w:tcPr>
          <w:p w14:paraId="49775A8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0.857</w:t>
            </w:r>
          </w:p>
        </w:tc>
        <w:tc>
          <w:tcPr>
            <w:tcW w:w="1066" w:type="dxa"/>
            <w:vAlign w:val="center"/>
            <w:hideMark/>
          </w:tcPr>
          <w:p w14:paraId="02D7E26E"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0.830</w:t>
            </w:r>
          </w:p>
        </w:tc>
        <w:tc>
          <w:tcPr>
            <w:tcW w:w="1066" w:type="dxa"/>
            <w:vAlign w:val="center"/>
            <w:hideMark/>
          </w:tcPr>
          <w:p w14:paraId="2F16481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0.841</w:t>
            </w:r>
          </w:p>
        </w:tc>
        <w:tc>
          <w:tcPr>
            <w:tcW w:w="1066" w:type="dxa"/>
            <w:vAlign w:val="center"/>
            <w:hideMark/>
          </w:tcPr>
          <w:p w14:paraId="04D861B2"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7C288AC7" w14:textId="77777777" w:rsidR="00F37018" w:rsidRPr="00367991" w:rsidRDefault="00F37018">
            <w:pPr>
              <w:jc w:val="center"/>
              <w:rPr>
                <w:rFonts w:asciiTheme="majorBidi" w:hAnsiTheme="majorBidi" w:cstheme="majorBidi"/>
                <w:color w:val="000000"/>
                <w:sz w:val="20"/>
                <w:szCs w:val="20"/>
              </w:rPr>
            </w:pPr>
          </w:p>
        </w:tc>
        <w:tc>
          <w:tcPr>
            <w:tcW w:w="1066" w:type="dxa"/>
            <w:vAlign w:val="center"/>
          </w:tcPr>
          <w:p w14:paraId="3A60FF6F" w14:textId="77777777" w:rsidR="00F37018" w:rsidRPr="00367991" w:rsidRDefault="00F37018">
            <w:pPr>
              <w:jc w:val="center"/>
              <w:rPr>
                <w:rFonts w:asciiTheme="majorBidi" w:hAnsiTheme="majorBidi" w:cstheme="majorBidi"/>
                <w:color w:val="000000"/>
                <w:sz w:val="20"/>
                <w:szCs w:val="20"/>
              </w:rPr>
            </w:pPr>
          </w:p>
        </w:tc>
      </w:tr>
      <w:tr w:rsidR="00F37018" w:rsidRPr="00367991" w14:paraId="402C46B3" w14:textId="77777777" w:rsidTr="00F37018">
        <w:trPr>
          <w:trHeight w:val="340"/>
        </w:trPr>
        <w:tc>
          <w:tcPr>
            <w:tcW w:w="1555" w:type="dxa"/>
            <w:vAlign w:val="center"/>
            <w:hideMark/>
          </w:tcPr>
          <w:p w14:paraId="0A628B80"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OADR</w:t>
            </w:r>
          </w:p>
        </w:tc>
        <w:tc>
          <w:tcPr>
            <w:tcW w:w="1065" w:type="dxa"/>
            <w:vAlign w:val="center"/>
            <w:hideMark/>
          </w:tcPr>
          <w:p w14:paraId="018E619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0.936</w:t>
            </w:r>
          </w:p>
        </w:tc>
        <w:tc>
          <w:tcPr>
            <w:tcW w:w="1066" w:type="dxa"/>
            <w:vAlign w:val="center"/>
            <w:hideMark/>
          </w:tcPr>
          <w:p w14:paraId="4E42277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0.951</w:t>
            </w:r>
          </w:p>
        </w:tc>
        <w:tc>
          <w:tcPr>
            <w:tcW w:w="1066" w:type="dxa"/>
            <w:vAlign w:val="center"/>
            <w:hideMark/>
          </w:tcPr>
          <w:p w14:paraId="5AF0924A"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0.992</w:t>
            </w:r>
          </w:p>
        </w:tc>
        <w:tc>
          <w:tcPr>
            <w:tcW w:w="1066" w:type="dxa"/>
            <w:vAlign w:val="center"/>
            <w:hideMark/>
          </w:tcPr>
          <w:p w14:paraId="5A28FD91"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0.917</w:t>
            </w:r>
          </w:p>
        </w:tc>
        <w:tc>
          <w:tcPr>
            <w:tcW w:w="1066" w:type="dxa"/>
            <w:vAlign w:val="center"/>
            <w:hideMark/>
          </w:tcPr>
          <w:p w14:paraId="719497F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0.782</w:t>
            </w:r>
          </w:p>
        </w:tc>
        <w:tc>
          <w:tcPr>
            <w:tcW w:w="1066" w:type="dxa"/>
            <w:vAlign w:val="center"/>
            <w:hideMark/>
          </w:tcPr>
          <w:p w14:paraId="6C96B4F8"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c>
          <w:tcPr>
            <w:tcW w:w="1066" w:type="dxa"/>
            <w:vAlign w:val="center"/>
          </w:tcPr>
          <w:p w14:paraId="6CA990FE" w14:textId="77777777" w:rsidR="00F37018" w:rsidRPr="00367991" w:rsidRDefault="00F37018">
            <w:pPr>
              <w:jc w:val="center"/>
              <w:rPr>
                <w:rFonts w:asciiTheme="majorBidi" w:hAnsiTheme="majorBidi" w:cstheme="majorBidi"/>
                <w:color w:val="000000"/>
                <w:sz w:val="20"/>
                <w:szCs w:val="20"/>
              </w:rPr>
            </w:pPr>
          </w:p>
        </w:tc>
      </w:tr>
      <w:tr w:rsidR="00F37018" w:rsidRPr="00367991" w14:paraId="743D318C" w14:textId="77777777" w:rsidTr="00F37018">
        <w:trPr>
          <w:trHeight w:val="340"/>
        </w:trPr>
        <w:tc>
          <w:tcPr>
            <w:tcW w:w="1555" w:type="dxa"/>
            <w:vAlign w:val="center"/>
            <w:hideMark/>
          </w:tcPr>
          <w:p w14:paraId="7DA1268D" w14:textId="77777777" w:rsidR="00F37018" w:rsidRPr="00367991" w:rsidRDefault="00F37018">
            <w:pPr>
              <w:rPr>
                <w:rFonts w:asciiTheme="majorBidi" w:hAnsiTheme="majorBidi" w:cstheme="majorBidi"/>
                <w:color w:val="000000"/>
                <w:sz w:val="20"/>
                <w:szCs w:val="20"/>
              </w:rPr>
            </w:pPr>
            <w:r w:rsidRPr="00367991">
              <w:rPr>
                <w:rFonts w:asciiTheme="majorBidi" w:hAnsiTheme="majorBidi" w:cstheme="majorBidi"/>
                <w:color w:val="000000"/>
                <w:sz w:val="20"/>
                <w:szCs w:val="20"/>
              </w:rPr>
              <w:t>RMSA</w:t>
            </w:r>
          </w:p>
        </w:tc>
        <w:tc>
          <w:tcPr>
            <w:tcW w:w="1065" w:type="dxa"/>
            <w:vAlign w:val="center"/>
            <w:hideMark/>
          </w:tcPr>
          <w:p w14:paraId="2A50F426"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0.990</w:t>
            </w:r>
          </w:p>
        </w:tc>
        <w:tc>
          <w:tcPr>
            <w:tcW w:w="1066" w:type="dxa"/>
            <w:vAlign w:val="center"/>
            <w:hideMark/>
          </w:tcPr>
          <w:p w14:paraId="7EB31245"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0.985</w:t>
            </w:r>
          </w:p>
        </w:tc>
        <w:tc>
          <w:tcPr>
            <w:tcW w:w="1066" w:type="dxa"/>
            <w:vAlign w:val="center"/>
            <w:hideMark/>
          </w:tcPr>
          <w:p w14:paraId="36D0D14F"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0.986</w:t>
            </w:r>
          </w:p>
        </w:tc>
        <w:tc>
          <w:tcPr>
            <w:tcW w:w="1066" w:type="dxa"/>
            <w:vAlign w:val="center"/>
            <w:hideMark/>
          </w:tcPr>
          <w:p w14:paraId="03FAA170"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0.939</w:t>
            </w:r>
          </w:p>
        </w:tc>
        <w:tc>
          <w:tcPr>
            <w:tcW w:w="1066" w:type="dxa"/>
            <w:vAlign w:val="center"/>
            <w:hideMark/>
          </w:tcPr>
          <w:p w14:paraId="41100214"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0.883</w:t>
            </w:r>
          </w:p>
        </w:tc>
        <w:tc>
          <w:tcPr>
            <w:tcW w:w="1066" w:type="dxa"/>
            <w:vAlign w:val="center"/>
            <w:hideMark/>
          </w:tcPr>
          <w:p w14:paraId="1E2CA28B"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0.966</w:t>
            </w:r>
          </w:p>
        </w:tc>
        <w:tc>
          <w:tcPr>
            <w:tcW w:w="1066" w:type="dxa"/>
            <w:vAlign w:val="center"/>
            <w:hideMark/>
          </w:tcPr>
          <w:p w14:paraId="316469D7" w14:textId="77777777" w:rsidR="00F37018" w:rsidRPr="00367991" w:rsidRDefault="00F37018">
            <w:pPr>
              <w:jc w:val="center"/>
              <w:rPr>
                <w:rFonts w:asciiTheme="majorBidi" w:hAnsiTheme="majorBidi" w:cstheme="majorBidi"/>
                <w:color w:val="000000"/>
                <w:sz w:val="20"/>
                <w:szCs w:val="20"/>
              </w:rPr>
            </w:pPr>
            <w:r w:rsidRPr="00367991">
              <w:rPr>
                <w:rFonts w:asciiTheme="majorBidi" w:hAnsiTheme="majorBidi" w:cstheme="majorBidi"/>
                <w:color w:val="000000"/>
                <w:sz w:val="20"/>
                <w:szCs w:val="20"/>
              </w:rPr>
              <w:t>1.000</w:t>
            </w:r>
          </w:p>
        </w:tc>
      </w:tr>
    </w:tbl>
    <w:p w14:paraId="3B46C54F" w14:textId="77777777" w:rsidR="00F37018" w:rsidRDefault="00F37018" w:rsidP="00F37018">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45AAD3EE" w14:textId="6802828C" w:rsidR="00F37018" w:rsidRDefault="00F37018" w:rsidP="001A3FC7"/>
    <w:p w14:paraId="43572BD8" w14:textId="2812301E" w:rsidR="00F37018" w:rsidRDefault="00F37018" w:rsidP="001A3FC7">
      <w:r>
        <w:br w:type="page"/>
      </w:r>
    </w:p>
    <w:p w14:paraId="49B03A5A" w14:textId="327E5A2C" w:rsidR="00F37018" w:rsidRPr="00994234" w:rsidRDefault="00F37018" w:rsidP="00F37018">
      <w:pPr>
        <w:spacing w:line="360" w:lineRule="auto"/>
        <w:rPr>
          <w:b/>
          <w:bCs/>
          <w:lang w:val="mi-NZ"/>
        </w:rPr>
      </w:pPr>
      <w:r w:rsidRPr="00994234">
        <w:rPr>
          <w:b/>
          <w:bCs/>
          <w:lang w:val="mi-NZ"/>
        </w:rPr>
        <w:lastRenderedPageBreak/>
        <w:t xml:space="preserve">Table </w:t>
      </w:r>
      <w:r>
        <w:rPr>
          <w:b/>
          <w:bCs/>
          <w:lang w:val="mi-NZ"/>
        </w:rPr>
        <w:t>A6</w:t>
      </w:r>
      <w:r w:rsidRPr="00994234">
        <w:rPr>
          <w:b/>
          <w:bCs/>
          <w:lang w:val="mi-NZ"/>
        </w:rPr>
        <w:t xml:space="preserve">. </w:t>
      </w:r>
      <w:r w:rsidRPr="00F37018">
        <w:rPr>
          <w:b/>
          <w:bCs/>
          <w:lang w:val="mi-NZ"/>
        </w:rPr>
        <w:t>Spearman rank correlations between measures of structural ageing based on New Zealand territorial authority and local board data 1996, 2018, and 20</w:t>
      </w:r>
      <w:r>
        <w:rPr>
          <w:b/>
          <w:bCs/>
          <w:lang w:val="mi-NZ"/>
        </w:rPr>
        <w:t>4</w:t>
      </w:r>
      <w:r w:rsidRPr="00F37018">
        <w:rPr>
          <w:b/>
          <w:bCs/>
          <w:lang w:val="mi-NZ"/>
        </w:rPr>
        <w:t>8</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065"/>
        <w:gridCol w:w="1066"/>
        <w:gridCol w:w="1066"/>
        <w:gridCol w:w="1066"/>
        <w:gridCol w:w="1066"/>
        <w:gridCol w:w="1066"/>
        <w:gridCol w:w="1066"/>
      </w:tblGrid>
      <w:tr w:rsidR="00367991" w14:paraId="02184C1E" w14:textId="77777777" w:rsidTr="00367991">
        <w:trPr>
          <w:trHeight w:val="470"/>
        </w:trPr>
        <w:tc>
          <w:tcPr>
            <w:tcW w:w="1555" w:type="dxa"/>
            <w:tcBorders>
              <w:top w:val="single" w:sz="4" w:space="0" w:color="auto"/>
              <w:bottom w:val="single" w:sz="4" w:space="0" w:color="auto"/>
            </w:tcBorders>
            <w:vAlign w:val="center"/>
            <w:hideMark/>
          </w:tcPr>
          <w:p w14:paraId="449795F4" w14:textId="77777777" w:rsidR="00367991" w:rsidRDefault="00367991">
            <w:pPr>
              <w:rPr>
                <w:rFonts w:asciiTheme="majorBidi" w:hAnsiTheme="majorBidi" w:cstheme="majorBidi"/>
                <w:b/>
                <w:bCs/>
                <w:sz w:val="20"/>
                <w:szCs w:val="20"/>
                <w:lang w:val="en-NZ" w:eastAsia="zh-CN"/>
              </w:rPr>
            </w:pPr>
            <w:r>
              <w:rPr>
                <w:rFonts w:asciiTheme="majorBidi" w:hAnsiTheme="majorBidi" w:cstheme="majorBidi"/>
                <w:b/>
                <w:bCs/>
                <w:sz w:val="20"/>
                <w:szCs w:val="20"/>
              </w:rPr>
              <w:t>Year</w:t>
            </w:r>
          </w:p>
        </w:tc>
        <w:tc>
          <w:tcPr>
            <w:tcW w:w="1065" w:type="dxa"/>
            <w:tcBorders>
              <w:top w:val="single" w:sz="4" w:space="0" w:color="auto"/>
              <w:bottom w:val="single" w:sz="4" w:space="0" w:color="auto"/>
            </w:tcBorders>
            <w:tcMar>
              <w:top w:w="0" w:type="dxa"/>
              <w:left w:w="57" w:type="dxa"/>
              <w:bottom w:w="0" w:type="dxa"/>
              <w:right w:w="57" w:type="dxa"/>
            </w:tcMar>
            <w:vAlign w:val="center"/>
            <w:hideMark/>
          </w:tcPr>
          <w:p w14:paraId="06608EC8"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Mean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415239AA"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Median age</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A7B12A4"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Proportion 65+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E86D5ED"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Proportion 85+</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05C9AF5B"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CER</w:t>
            </w:r>
            <w:r>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2558E9C3" w14:textId="77777777" w:rsidR="00367991" w:rsidRDefault="00367991">
            <w:pPr>
              <w:jc w:val="center"/>
              <w:rPr>
                <w:rFonts w:asciiTheme="majorBidi" w:hAnsiTheme="majorBidi" w:cstheme="majorBidi"/>
                <w:b/>
                <w:bCs/>
                <w:sz w:val="20"/>
                <w:szCs w:val="20"/>
              </w:rPr>
            </w:pPr>
            <w:r>
              <w:rPr>
                <w:rFonts w:asciiTheme="majorBidi" w:hAnsiTheme="majorBidi" w:cstheme="majorBidi"/>
                <w:b/>
                <w:bCs/>
                <w:color w:val="000000"/>
                <w:sz w:val="20"/>
                <w:szCs w:val="20"/>
              </w:rPr>
              <w:t>OADR</w:t>
            </w:r>
            <w:r>
              <w:rPr>
                <w:rFonts w:asciiTheme="majorBidi" w:hAnsiTheme="majorBidi" w:cstheme="majorBidi"/>
                <w:b/>
                <w:bCs/>
                <w:color w:val="000000"/>
                <w:sz w:val="20"/>
                <w:szCs w:val="20"/>
                <w:vertAlign w:val="superscript"/>
              </w:rPr>
              <w:t>**</w:t>
            </w:r>
          </w:p>
        </w:tc>
        <w:tc>
          <w:tcPr>
            <w:tcW w:w="1066" w:type="dxa"/>
            <w:tcBorders>
              <w:top w:val="single" w:sz="4" w:space="0" w:color="auto"/>
              <w:bottom w:val="single" w:sz="4" w:space="0" w:color="auto"/>
            </w:tcBorders>
            <w:tcMar>
              <w:top w:w="0" w:type="dxa"/>
              <w:left w:w="57" w:type="dxa"/>
              <w:bottom w:w="0" w:type="dxa"/>
              <w:right w:w="57" w:type="dxa"/>
            </w:tcMar>
            <w:vAlign w:val="center"/>
            <w:hideMark/>
          </w:tcPr>
          <w:p w14:paraId="5F0C9E0D" w14:textId="77777777" w:rsidR="00367991" w:rsidRDefault="00367991">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RMSA</w:t>
            </w:r>
            <w:r>
              <w:rPr>
                <w:rFonts w:asciiTheme="majorBidi" w:hAnsiTheme="majorBidi" w:cstheme="majorBidi"/>
                <w:b/>
                <w:bCs/>
                <w:color w:val="000000"/>
                <w:sz w:val="20"/>
                <w:szCs w:val="20"/>
                <w:vertAlign w:val="superscript"/>
              </w:rPr>
              <w:t>***</w:t>
            </w:r>
          </w:p>
        </w:tc>
      </w:tr>
      <w:tr w:rsidR="00367991" w14:paraId="12E5F28D" w14:textId="77777777" w:rsidTr="00367991">
        <w:trPr>
          <w:trHeight w:val="340"/>
        </w:trPr>
        <w:tc>
          <w:tcPr>
            <w:tcW w:w="1555" w:type="dxa"/>
            <w:tcBorders>
              <w:top w:val="single" w:sz="4" w:space="0" w:color="auto"/>
            </w:tcBorders>
            <w:vAlign w:val="center"/>
            <w:hideMark/>
          </w:tcPr>
          <w:p w14:paraId="792CC3E2" w14:textId="1AA2435F" w:rsidR="00367991" w:rsidRDefault="00367991">
            <w:pPr>
              <w:rPr>
                <w:rFonts w:asciiTheme="majorBidi" w:hAnsiTheme="majorBidi" w:cstheme="majorBidi"/>
                <w:b/>
                <w:bCs/>
                <w:sz w:val="20"/>
                <w:szCs w:val="20"/>
              </w:rPr>
            </w:pPr>
            <w:r>
              <w:rPr>
                <w:rFonts w:asciiTheme="majorBidi" w:hAnsiTheme="majorBidi" w:cstheme="majorBidi"/>
                <w:b/>
                <w:bCs/>
                <w:color w:val="000000"/>
                <w:sz w:val="20"/>
                <w:szCs w:val="20"/>
              </w:rPr>
              <w:t>1996</w:t>
            </w:r>
          </w:p>
        </w:tc>
        <w:tc>
          <w:tcPr>
            <w:tcW w:w="1065" w:type="dxa"/>
            <w:tcBorders>
              <w:top w:val="single" w:sz="4" w:space="0" w:color="auto"/>
            </w:tcBorders>
            <w:vAlign w:val="center"/>
          </w:tcPr>
          <w:p w14:paraId="45639CA8" w14:textId="77777777" w:rsidR="00367991" w:rsidRDefault="00367991">
            <w:pPr>
              <w:jc w:val="center"/>
              <w:rPr>
                <w:rFonts w:asciiTheme="majorBidi" w:hAnsiTheme="majorBidi" w:cstheme="majorBidi"/>
                <w:b/>
                <w:bCs/>
                <w:sz w:val="20"/>
                <w:szCs w:val="20"/>
              </w:rPr>
            </w:pPr>
          </w:p>
        </w:tc>
        <w:tc>
          <w:tcPr>
            <w:tcW w:w="1066" w:type="dxa"/>
            <w:tcBorders>
              <w:top w:val="single" w:sz="4" w:space="0" w:color="auto"/>
            </w:tcBorders>
            <w:vAlign w:val="center"/>
          </w:tcPr>
          <w:p w14:paraId="197DA4A3" w14:textId="77777777" w:rsidR="00367991" w:rsidRDefault="00367991">
            <w:pPr>
              <w:jc w:val="center"/>
              <w:rPr>
                <w:rFonts w:asciiTheme="majorBidi" w:hAnsiTheme="majorBidi" w:cstheme="majorBidi"/>
                <w:b/>
                <w:bCs/>
                <w:sz w:val="20"/>
                <w:szCs w:val="20"/>
              </w:rPr>
            </w:pPr>
          </w:p>
        </w:tc>
        <w:tc>
          <w:tcPr>
            <w:tcW w:w="1066" w:type="dxa"/>
            <w:tcBorders>
              <w:top w:val="single" w:sz="4" w:space="0" w:color="auto"/>
            </w:tcBorders>
            <w:vAlign w:val="center"/>
          </w:tcPr>
          <w:p w14:paraId="0421BF42" w14:textId="77777777" w:rsidR="00367991" w:rsidRDefault="00367991">
            <w:pPr>
              <w:jc w:val="center"/>
              <w:rPr>
                <w:rFonts w:asciiTheme="majorBidi" w:hAnsiTheme="majorBidi" w:cstheme="majorBidi"/>
                <w:b/>
                <w:bCs/>
                <w:sz w:val="20"/>
                <w:szCs w:val="20"/>
              </w:rPr>
            </w:pPr>
          </w:p>
        </w:tc>
        <w:tc>
          <w:tcPr>
            <w:tcW w:w="1066" w:type="dxa"/>
            <w:tcBorders>
              <w:top w:val="single" w:sz="4" w:space="0" w:color="auto"/>
            </w:tcBorders>
            <w:vAlign w:val="center"/>
          </w:tcPr>
          <w:p w14:paraId="1DB309BD" w14:textId="77777777" w:rsidR="00367991" w:rsidRDefault="00367991">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78896B6D" w14:textId="77777777" w:rsidR="00367991" w:rsidRDefault="00367991">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4AEB37A6" w14:textId="77777777" w:rsidR="00367991" w:rsidRDefault="00367991">
            <w:pPr>
              <w:jc w:val="center"/>
              <w:rPr>
                <w:rFonts w:asciiTheme="majorBidi" w:hAnsiTheme="majorBidi" w:cstheme="majorBidi"/>
                <w:b/>
                <w:bCs/>
                <w:color w:val="000000"/>
                <w:sz w:val="20"/>
                <w:szCs w:val="20"/>
              </w:rPr>
            </w:pPr>
          </w:p>
        </w:tc>
        <w:tc>
          <w:tcPr>
            <w:tcW w:w="1066" w:type="dxa"/>
            <w:tcBorders>
              <w:top w:val="single" w:sz="4" w:space="0" w:color="auto"/>
            </w:tcBorders>
            <w:vAlign w:val="center"/>
          </w:tcPr>
          <w:p w14:paraId="3CC2A94E" w14:textId="77777777" w:rsidR="00367991" w:rsidRDefault="00367991">
            <w:pPr>
              <w:jc w:val="center"/>
              <w:rPr>
                <w:rFonts w:asciiTheme="majorBidi" w:hAnsiTheme="majorBidi" w:cstheme="majorBidi"/>
                <w:b/>
                <w:bCs/>
                <w:color w:val="000000"/>
                <w:sz w:val="20"/>
                <w:szCs w:val="20"/>
              </w:rPr>
            </w:pPr>
          </w:p>
        </w:tc>
      </w:tr>
      <w:tr w:rsidR="00367991" w14:paraId="5B4B8122" w14:textId="77777777" w:rsidTr="00367991">
        <w:trPr>
          <w:trHeight w:val="340"/>
        </w:trPr>
        <w:tc>
          <w:tcPr>
            <w:tcW w:w="1555" w:type="dxa"/>
            <w:vAlign w:val="center"/>
            <w:hideMark/>
          </w:tcPr>
          <w:p w14:paraId="1A96BD34"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Mean age</w:t>
            </w:r>
          </w:p>
        </w:tc>
        <w:tc>
          <w:tcPr>
            <w:tcW w:w="1065" w:type="dxa"/>
            <w:vAlign w:val="center"/>
            <w:hideMark/>
          </w:tcPr>
          <w:p w14:paraId="23E52D4A"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1.000</w:t>
            </w:r>
          </w:p>
        </w:tc>
        <w:tc>
          <w:tcPr>
            <w:tcW w:w="1066" w:type="dxa"/>
            <w:vAlign w:val="center"/>
          </w:tcPr>
          <w:p w14:paraId="2A07289B" w14:textId="77777777" w:rsidR="00367991" w:rsidRDefault="00367991">
            <w:pPr>
              <w:jc w:val="center"/>
              <w:rPr>
                <w:rFonts w:asciiTheme="majorBidi" w:hAnsiTheme="majorBidi" w:cstheme="majorBidi"/>
                <w:sz w:val="20"/>
                <w:szCs w:val="20"/>
              </w:rPr>
            </w:pPr>
          </w:p>
        </w:tc>
        <w:tc>
          <w:tcPr>
            <w:tcW w:w="1066" w:type="dxa"/>
            <w:vAlign w:val="center"/>
          </w:tcPr>
          <w:p w14:paraId="6FAD890A" w14:textId="77777777" w:rsidR="00367991" w:rsidRDefault="00367991">
            <w:pPr>
              <w:jc w:val="center"/>
              <w:rPr>
                <w:rFonts w:asciiTheme="majorBidi" w:hAnsiTheme="majorBidi" w:cstheme="majorBidi"/>
                <w:sz w:val="20"/>
                <w:szCs w:val="20"/>
              </w:rPr>
            </w:pPr>
          </w:p>
        </w:tc>
        <w:tc>
          <w:tcPr>
            <w:tcW w:w="1066" w:type="dxa"/>
            <w:vAlign w:val="center"/>
          </w:tcPr>
          <w:p w14:paraId="6F6F3074" w14:textId="77777777" w:rsidR="00367991" w:rsidRDefault="00367991">
            <w:pPr>
              <w:jc w:val="center"/>
              <w:rPr>
                <w:rFonts w:asciiTheme="majorBidi" w:hAnsiTheme="majorBidi" w:cstheme="majorBidi"/>
                <w:color w:val="000000"/>
                <w:sz w:val="20"/>
                <w:szCs w:val="20"/>
              </w:rPr>
            </w:pPr>
          </w:p>
        </w:tc>
        <w:tc>
          <w:tcPr>
            <w:tcW w:w="1066" w:type="dxa"/>
            <w:vAlign w:val="center"/>
          </w:tcPr>
          <w:p w14:paraId="17A2BAAB" w14:textId="77777777" w:rsidR="00367991" w:rsidRDefault="00367991">
            <w:pPr>
              <w:jc w:val="center"/>
              <w:rPr>
                <w:rFonts w:asciiTheme="majorBidi" w:hAnsiTheme="majorBidi" w:cstheme="majorBidi"/>
                <w:color w:val="000000"/>
                <w:sz w:val="20"/>
                <w:szCs w:val="20"/>
              </w:rPr>
            </w:pPr>
          </w:p>
        </w:tc>
        <w:tc>
          <w:tcPr>
            <w:tcW w:w="1066" w:type="dxa"/>
            <w:vAlign w:val="center"/>
          </w:tcPr>
          <w:p w14:paraId="58DFF495" w14:textId="77777777" w:rsidR="00367991" w:rsidRDefault="00367991">
            <w:pPr>
              <w:jc w:val="center"/>
              <w:rPr>
                <w:rFonts w:asciiTheme="majorBidi" w:hAnsiTheme="majorBidi" w:cstheme="majorBidi"/>
                <w:color w:val="000000"/>
                <w:sz w:val="20"/>
                <w:szCs w:val="20"/>
              </w:rPr>
            </w:pPr>
          </w:p>
        </w:tc>
        <w:tc>
          <w:tcPr>
            <w:tcW w:w="1066" w:type="dxa"/>
            <w:vAlign w:val="center"/>
          </w:tcPr>
          <w:p w14:paraId="22B6D664" w14:textId="77777777" w:rsidR="00367991" w:rsidRDefault="00367991">
            <w:pPr>
              <w:jc w:val="center"/>
              <w:rPr>
                <w:rFonts w:asciiTheme="majorBidi" w:hAnsiTheme="majorBidi" w:cstheme="majorBidi"/>
                <w:color w:val="000000"/>
                <w:sz w:val="20"/>
                <w:szCs w:val="20"/>
              </w:rPr>
            </w:pPr>
          </w:p>
        </w:tc>
      </w:tr>
      <w:tr w:rsidR="00367991" w14:paraId="1A181513" w14:textId="77777777" w:rsidTr="00367991">
        <w:trPr>
          <w:trHeight w:val="340"/>
        </w:trPr>
        <w:tc>
          <w:tcPr>
            <w:tcW w:w="1555" w:type="dxa"/>
            <w:vAlign w:val="center"/>
            <w:hideMark/>
          </w:tcPr>
          <w:p w14:paraId="7AA5E823"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Median age</w:t>
            </w:r>
          </w:p>
        </w:tc>
        <w:tc>
          <w:tcPr>
            <w:tcW w:w="1065" w:type="dxa"/>
            <w:vAlign w:val="center"/>
            <w:hideMark/>
          </w:tcPr>
          <w:p w14:paraId="49C79168"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0.944</w:t>
            </w:r>
          </w:p>
        </w:tc>
        <w:tc>
          <w:tcPr>
            <w:tcW w:w="1066" w:type="dxa"/>
            <w:vAlign w:val="center"/>
            <w:hideMark/>
          </w:tcPr>
          <w:p w14:paraId="08222504"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1.000</w:t>
            </w:r>
          </w:p>
        </w:tc>
        <w:tc>
          <w:tcPr>
            <w:tcW w:w="1066" w:type="dxa"/>
            <w:vAlign w:val="center"/>
          </w:tcPr>
          <w:p w14:paraId="20F2C2F4" w14:textId="77777777" w:rsidR="00367991" w:rsidRDefault="00367991">
            <w:pPr>
              <w:jc w:val="center"/>
              <w:rPr>
                <w:rFonts w:asciiTheme="majorBidi" w:hAnsiTheme="majorBidi" w:cstheme="majorBidi"/>
                <w:sz w:val="20"/>
                <w:szCs w:val="20"/>
              </w:rPr>
            </w:pPr>
          </w:p>
        </w:tc>
        <w:tc>
          <w:tcPr>
            <w:tcW w:w="1066" w:type="dxa"/>
            <w:vAlign w:val="center"/>
          </w:tcPr>
          <w:p w14:paraId="1C2DBC78" w14:textId="77777777" w:rsidR="00367991" w:rsidRDefault="00367991">
            <w:pPr>
              <w:jc w:val="center"/>
              <w:rPr>
                <w:rFonts w:asciiTheme="majorBidi" w:hAnsiTheme="majorBidi" w:cstheme="majorBidi"/>
                <w:color w:val="000000"/>
                <w:sz w:val="20"/>
                <w:szCs w:val="20"/>
              </w:rPr>
            </w:pPr>
          </w:p>
        </w:tc>
        <w:tc>
          <w:tcPr>
            <w:tcW w:w="1066" w:type="dxa"/>
            <w:vAlign w:val="center"/>
          </w:tcPr>
          <w:p w14:paraId="21A4196B" w14:textId="77777777" w:rsidR="00367991" w:rsidRDefault="00367991">
            <w:pPr>
              <w:jc w:val="center"/>
              <w:rPr>
                <w:rFonts w:asciiTheme="majorBidi" w:hAnsiTheme="majorBidi" w:cstheme="majorBidi"/>
                <w:color w:val="000000"/>
                <w:sz w:val="20"/>
                <w:szCs w:val="20"/>
              </w:rPr>
            </w:pPr>
          </w:p>
        </w:tc>
        <w:tc>
          <w:tcPr>
            <w:tcW w:w="1066" w:type="dxa"/>
            <w:vAlign w:val="center"/>
          </w:tcPr>
          <w:p w14:paraId="2F6FDED6" w14:textId="77777777" w:rsidR="00367991" w:rsidRDefault="00367991">
            <w:pPr>
              <w:jc w:val="center"/>
              <w:rPr>
                <w:rFonts w:asciiTheme="majorBidi" w:hAnsiTheme="majorBidi" w:cstheme="majorBidi"/>
                <w:color w:val="000000"/>
                <w:sz w:val="20"/>
                <w:szCs w:val="20"/>
              </w:rPr>
            </w:pPr>
          </w:p>
        </w:tc>
        <w:tc>
          <w:tcPr>
            <w:tcW w:w="1066" w:type="dxa"/>
            <w:vAlign w:val="center"/>
          </w:tcPr>
          <w:p w14:paraId="71C47DB9" w14:textId="77777777" w:rsidR="00367991" w:rsidRDefault="00367991">
            <w:pPr>
              <w:jc w:val="center"/>
              <w:rPr>
                <w:rFonts w:asciiTheme="majorBidi" w:hAnsiTheme="majorBidi" w:cstheme="majorBidi"/>
                <w:color w:val="000000"/>
                <w:sz w:val="20"/>
                <w:szCs w:val="20"/>
              </w:rPr>
            </w:pPr>
          </w:p>
        </w:tc>
      </w:tr>
      <w:tr w:rsidR="00367991" w14:paraId="14213320" w14:textId="77777777" w:rsidTr="00367991">
        <w:trPr>
          <w:trHeight w:val="340"/>
        </w:trPr>
        <w:tc>
          <w:tcPr>
            <w:tcW w:w="1555" w:type="dxa"/>
            <w:vAlign w:val="center"/>
            <w:hideMark/>
          </w:tcPr>
          <w:p w14:paraId="28ED3EEA"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65+</w:t>
            </w:r>
          </w:p>
        </w:tc>
        <w:tc>
          <w:tcPr>
            <w:tcW w:w="1065" w:type="dxa"/>
            <w:vAlign w:val="center"/>
            <w:hideMark/>
          </w:tcPr>
          <w:p w14:paraId="309355A6"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0.929</w:t>
            </w:r>
          </w:p>
        </w:tc>
        <w:tc>
          <w:tcPr>
            <w:tcW w:w="1066" w:type="dxa"/>
            <w:vAlign w:val="center"/>
            <w:hideMark/>
          </w:tcPr>
          <w:p w14:paraId="1F499574"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0.836</w:t>
            </w:r>
          </w:p>
        </w:tc>
        <w:tc>
          <w:tcPr>
            <w:tcW w:w="1066" w:type="dxa"/>
            <w:vAlign w:val="center"/>
            <w:hideMark/>
          </w:tcPr>
          <w:p w14:paraId="64F735F1"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1.000</w:t>
            </w:r>
          </w:p>
        </w:tc>
        <w:tc>
          <w:tcPr>
            <w:tcW w:w="1066" w:type="dxa"/>
            <w:vAlign w:val="center"/>
          </w:tcPr>
          <w:p w14:paraId="7ADD3E3B" w14:textId="77777777" w:rsidR="00367991" w:rsidRDefault="00367991">
            <w:pPr>
              <w:jc w:val="center"/>
              <w:rPr>
                <w:rFonts w:asciiTheme="majorBidi" w:hAnsiTheme="majorBidi" w:cstheme="majorBidi"/>
                <w:color w:val="000000"/>
                <w:sz w:val="20"/>
                <w:szCs w:val="20"/>
              </w:rPr>
            </w:pPr>
          </w:p>
        </w:tc>
        <w:tc>
          <w:tcPr>
            <w:tcW w:w="1066" w:type="dxa"/>
            <w:vAlign w:val="center"/>
          </w:tcPr>
          <w:p w14:paraId="14A95BEA" w14:textId="77777777" w:rsidR="00367991" w:rsidRDefault="00367991">
            <w:pPr>
              <w:jc w:val="center"/>
              <w:rPr>
                <w:rFonts w:asciiTheme="majorBidi" w:hAnsiTheme="majorBidi" w:cstheme="majorBidi"/>
                <w:color w:val="000000"/>
                <w:sz w:val="20"/>
                <w:szCs w:val="20"/>
              </w:rPr>
            </w:pPr>
          </w:p>
        </w:tc>
        <w:tc>
          <w:tcPr>
            <w:tcW w:w="1066" w:type="dxa"/>
            <w:vAlign w:val="center"/>
          </w:tcPr>
          <w:p w14:paraId="4037EADD" w14:textId="77777777" w:rsidR="00367991" w:rsidRDefault="00367991">
            <w:pPr>
              <w:jc w:val="center"/>
              <w:rPr>
                <w:rFonts w:asciiTheme="majorBidi" w:hAnsiTheme="majorBidi" w:cstheme="majorBidi"/>
                <w:color w:val="000000"/>
                <w:sz w:val="20"/>
                <w:szCs w:val="20"/>
              </w:rPr>
            </w:pPr>
          </w:p>
        </w:tc>
        <w:tc>
          <w:tcPr>
            <w:tcW w:w="1066" w:type="dxa"/>
            <w:vAlign w:val="center"/>
          </w:tcPr>
          <w:p w14:paraId="3C39E55F" w14:textId="77777777" w:rsidR="00367991" w:rsidRDefault="00367991">
            <w:pPr>
              <w:jc w:val="center"/>
              <w:rPr>
                <w:rFonts w:asciiTheme="majorBidi" w:hAnsiTheme="majorBidi" w:cstheme="majorBidi"/>
                <w:color w:val="000000"/>
                <w:sz w:val="20"/>
                <w:szCs w:val="20"/>
              </w:rPr>
            </w:pPr>
          </w:p>
        </w:tc>
      </w:tr>
      <w:tr w:rsidR="00367991" w14:paraId="7F8E5D26" w14:textId="77777777" w:rsidTr="00367991">
        <w:trPr>
          <w:trHeight w:val="340"/>
        </w:trPr>
        <w:tc>
          <w:tcPr>
            <w:tcW w:w="1555" w:type="dxa"/>
            <w:vAlign w:val="center"/>
            <w:hideMark/>
          </w:tcPr>
          <w:p w14:paraId="58B2FC49"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85+</w:t>
            </w:r>
          </w:p>
        </w:tc>
        <w:tc>
          <w:tcPr>
            <w:tcW w:w="1065" w:type="dxa"/>
            <w:vAlign w:val="center"/>
            <w:hideMark/>
          </w:tcPr>
          <w:p w14:paraId="6585560F"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0.778</w:t>
            </w:r>
          </w:p>
        </w:tc>
        <w:tc>
          <w:tcPr>
            <w:tcW w:w="1066" w:type="dxa"/>
            <w:vAlign w:val="center"/>
            <w:hideMark/>
          </w:tcPr>
          <w:p w14:paraId="4743599C"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0.623</w:t>
            </w:r>
          </w:p>
        </w:tc>
        <w:tc>
          <w:tcPr>
            <w:tcW w:w="1066" w:type="dxa"/>
            <w:vAlign w:val="center"/>
            <w:hideMark/>
          </w:tcPr>
          <w:p w14:paraId="7DD19F8B"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0.865</w:t>
            </w:r>
          </w:p>
        </w:tc>
        <w:tc>
          <w:tcPr>
            <w:tcW w:w="1066" w:type="dxa"/>
            <w:vAlign w:val="center"/>
            <w:hideMark/>
          </w:tcPr>
          <w:p w14:paraId="6DE28A95"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26EB7655" w14:textId="77777777" w:rsidR="00367991" w:rsidRDefault="00367991">
            <w:pPr>
              <w:jc w:val="center"/>
              <w:rPr>
                <w:rFonts w:asciiTheme="majorBidi" w:hAnsiTheme="majorBidi" w:cstheme="majorBidi"/>
                <w:color w:val="000000"/>
                <w:sz w:val="20"/>
                <w:szCs w:val="20"/>
              </w:rPr>
            </w:pPr>
          </w:p>
        </w:tc>
        <w:tc>
          <w:tcPr>
            <w:tcW w:w="1066" w:type="dxa"/>
            <w:vAlign w:val="center"/>
          </w:tcPr>
          <w:p w14:paraId="32276CA0" w14:textId="77777777" w:rsidR="00367991" w:rsidRDefault="00367991">
            <w:pPr>
              <w:jc w:val="center"/>
              <w:rPr>
                <w:rFonts w:asciiTheme="majorBidi" w:hAnsiTheme="majorBidi" w:cstheme="majorBidi"/>
                <w:color w:val="000000"/>
                <w:sz w:val="20"/>
                <w:szCs w:val="20"/>
              </w:rPr>
            </w:pPr>
          </w:p>
        </w:tc>
        <w:tc>
          <w:tcPr>
            <w:tcW w:w="1066" w:type="dxa"/>
            <w:vAlign w:val="center"/>
          </w:tcPr>
          <w:p w14:paraId="2D7F167C" w14:textId="77777777" w:rsidR="00367991" w:rsidRDefault="00367991">
            <w:pPr>
              <w:jc w:val="center"/>
              <w:rPr>
                <w:rFonts w:asciiTheme="majorBidi" w:hAnsiTheme="majorBidi" w:cstheme="majorBidi"/>
                <w:color w:val="000000"/>
                <w:sz w:val="20"/>
                <w:szCs w:val="20"/>
              </w:rPr>
            </w:pPr>
          </w:p>
        </w:tc>
      </w:tr>
      <w:tr w:rsidR="00367991" w14:paraId="00038BC2" w14:textId="77777777" w:rsidTr="00367991">
        <w:trPr>
          <w:trHeight w:val="340"/>
        </w:trPr>
        <w:tc>
          <w:tcPr>
            <w:tcW w:w="1555" w:type="dxa"/>
            <w:vAlign w:val="center"/>
            <w:hideMark/>
          </w:tcPr>
          <w:p w14:paraId="13986D4C"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CER</w:t>
            </w:r>
          </w:p>
        </w:tc>
        <w:tc>
          <w:tcPr>
            <w:tcW w:w="1065" w:type="dxa"/>
            <w:vAlign w:val="center"/>
            <w:hideMark/>
          </w:tcPr>
          <w:p w14:paraId="59A5C510"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0.958</w:t>
            </w:r>
          </w:p>
        </w:tc>
        <w:tc>
          <w:tcPr>
            <w:tcW w:w="1066" w:type="dxa"/>
            <w:vAlign w:val="center"/>
            <w:hideMark/>
          </w:tcPr>
          <w:p w14:paraId="4785E974"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0.831</w:t>
            </w:r>
          </w:p>
        </w:tc>
        <w:tc>
          <w:tcPr>
            <w:tcW w:w="1066" w:type="dxa"/>
            <w:vAlign w:val="center"/>
            <w:hideMark/>
          </w:tcPr>
          <w:p w14:paraId="7759DD88"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0.906</w:t>
            </w:r>
          </w:p>
        </w:tc>
        <w:tc>
          <w:tcPr>
            <w:tcW w:w="1066" w:type="dxa"/>
            <w:vAlign w:val="center"/>
            <w:hideMark/>
          </w:tcPr>
          <w:p w14:paraId="4D9494CE"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0.820</w:t>
            </w:r>
          </w:p>
        </w:tc>
        <w:tc>
          <w:tcPr>
            <w:tcW w:w="1066" w:type="dxa"/>
            <w:vAlign w:val="center"/>
            <w:hideMark/>
          </w:tcPr>
          <w:p w14:paraId="581D79F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7DDD4F2C" w14:textId="77777777" w:rsidR="00367991" w:rsidRDefault="00367991">
            <w:pPr>
              <w:jc w:val="center"/>
              <w:rPr>
                <w:rFonts w:asciiTheme="majorBidi" w:hAnsiTheme="majorBidi" w:cstheme="majorBidi"/>
                <w:color w:val="000000"/>
                <w:sz w:val="20"/>
                <w:szCs w:val="20"/>
              </w:rPr>
            </w:pPr>
          </w:p>
        </w:tc>
        <w:tc>
          <w:tcPr>
            <w:tcW w:w="1066" w:type="dxa"/>
            <w:vAlign w:val="center"/>
          </w:tcPr>
          <w:p w14:paraId="2E3345A5" w14:textId="77777777" w:rsidR="00367991" w:rsidRDefault="00367991">
            <w:pPr>
              <w:jc w:val="center"/>
              <w:rPr>
                <w:rFonts w:asciiTheme="majorBidi" w:hAnsiTheme="majorBidi" w:cstheme="majorBidi"/>
                <w:color w:val="000000"/>
                <w:sz w:val="20"/>
                <w:szCs w:val="20"/>
              </w:rPr>
            </w:pPr>
          </w:p>
        </w:tc>
      </w:tr>
      <w:tr w:rsidR="00367991" w14:paraId="2209BB59" w14:textId="77777777" w:rsidTr="00367991">
        <w:trPr>
          <w:trHeight w:val="340"/>
        </w:trPr>
        <w:tc>
          <w:tcPr>
            <w:tcW w:w="1555" w:type="dxa"/>
            <w:vAlign w:val="center"/>
            <w:hideMark/>
          </w:tcPr>
          <w:p w14:paraId="23154986"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OADR</w:t>
            </w:r>
          </w:p>
        </w:tc>
        <w:tc>
          <w:tcPr>
            <w:tcW w:w="1065" w:type="dxa"/>
            <w:vAlign w:val="center"/>
            <w:hideMark/>
          </w:tcPr>
          <w:p w14:paraId="02B26E6E"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0.886</w:t>
            </w:r>
          </w:p>
        </w:tc>
        <w:tc>
          <w:tcPr>
            <w:tcW w:w="1066" w:type="dxa"/>
            <w:vAlign w:val="center"/>
            <w:hideMark/>
          </w:tcPr>
          <w:p w14:paraId="12431D9C"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0.809</w:t>
            </w:r>
          </w:p>
        </w:tc>
        <w:tc>
          <w:tcPr>
            <w:tcW w:w="1066" w:type="dxa"/>
            <w:vAlign w:val="center"/>
            <w:hideMark/>
          </w:tcPr>
          <w:p w14:paraId="33D3A8E1" w14:textId="77777777" w:rsidR="00367991" w:rsidRDefault="00367991">
            <w:pPr>
              <w:jc w:val="center"/>
              <w:rPr>
                <w:rFonts w:asciiTheme="majorBidi" w:hAnsiTheme="majorBidi" w:cstheme="majorBidi"/>
                <w:sz w:val="20"/>
                <w:szCs w:val="20"/>
              </w:rPr>
            </w:pPr>
            <w:r>
              <w:rPr>
                <w:rFonts w:asciiTheme="majorBidi" w:hAnsiTheme="majorBidi" w:cstheme="majorBidi"/>
                <w:color w:val="000000"/>
                <w:sz w:val="20"/>
                <w:szCs w:val="20"/>
              </w:rPr>
              <w:t>0.988</w:t>
            </w:r>
          </w:p>
        </w:tc>
        <w:tc>
          <w:tcPr>
            <w:tcW w:w="1066" w:type="dxa"/>
            <w:vAlign w:val="center"/>
            <w:hideMark/>
          </w:tcPr>
          <w:p w14:paraId="5A027F3D"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0.833</w:t>
            </w:r>
          </w:p>
        </w:tc>
        <w:tc>
          <w:tcPr>
            <w:tcW w:w="1066" w:type="dxa"/>
            <w:vAlign w:val="center"/>
            <w:hideMark/>
          </w:tcPr>
          <w:p w14:paraId="2CD831E6"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0.846</w:t>
            </w:r>
          </w:p>
        </w:tc>
        <w:tc>
          <w:tcPr>
            <w:tcW w:w="1066" w:type="dxa"/>
            <w:vAlign w:val="center"/>
            <w:hideMark/>
          </w:tcPr>
          <w:p w14:paraId="7CFF018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5DEB2C27" w14:textId="77777777" w:rsidR="00367991" w:rsidRDefault="00367991">
            <w:pPr>
              <w:jc w:val="center"/>
              <w:rPr>
                <w:rFonts w:asciiTheme="majorBidi" w:hAnsiTheme="majorBidi" w:cstheme="majorBidi"/>
                <w:color w:val="000000"/>
                <w:sz w:val="20"/>
                <w:szCs w:val="20"/>
              </w:rPr>
            </w:pPr>
          </w:p>
        </w:tc>
      </w:tr>
      <w:tr w:rsidR="00367991" w14:paraId="68996804" w14:textId="77777777" w:rsidTr="00367991">
        <w:trPr>
          <w:trHeight w:val="340"/>
        </w:trPr>
        <w:tc>
          <w:tcPr>
            <w:tcW w:w="1555" w:type="dxa"/>
            <w:vAlign w:val="center"/>
            <w:hideMark/>
          </w:tcPr>
          <w:p w14:paraId="6A64FD60"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RMSA</w:t>
            </w:r>
          </w:p>
        </w:tc>
        <w:tc>
          <w:tcPr>
            <w:tcW w:w="1065" w:type="dxa"/>
            <w:vAlign w:val="center"/>
            <w:hideMark/>
          </w:tcPr>
          <w:p w14:paraId="3F5946F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0.984</w:t>
            </w:r>
          </w:p>
        </w:tc>
        <w:tc>
          <w:tcPr>
            <w:tcW w:w="1066" w:type="dxa"/>
            <w:vAlign w:val="center"/>
            <w:hideMark/>
          </w:tcPr>
          <w:p w14:paraId="5F04F5B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0.933</w:t>
            </w:r>
          </w:p>
        </w:tc>
        <w:tc>
          <w:tcPr>
            <w:tcW w:w="1066" w:type="dxa"/>
            <w:vAlign w:val="center"/>
            <w:hideMark/>
          </w:tcPr>
          <w:p w14:paraId="5C53EC03"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0.969</w:t>
            </w:r>
          </w:p>
        </w:tc>
        <w:tc>
          <w:tcPr>
            <w:tcW w:w="1066" w:type="dxa"/>
            <w:vAlign w:val="center"/>
            <w:hideMark/>
          </w:tcPr>
          <w:p w14:paraId="1A920A35"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0.806</w:t>
            </w:r>
          </w:p>
        </w:tc>
        <w:tc>
          <w:tcPr>
            <w:tcW w:w="1066" w:type="dxa"/>
            <w:vAlign w:val="center"/>
            <w:hideMark/>
          </w:tcPr>
          <w:p w14:paraId="6F9E41EF"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0.929</w:t>
            </w:r>
          </w:p>
        </w:tc>
        <w:tc>
          <w:tcPr>
            <w:tcW w:w="1066" w:type="dxa"/>
            <w:vAlign w:val="center"/>
            <w:hideMark/>
          </w:tcPr>
          <w:p w14:paraId="25544DE2"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0.942</w:t>
            </w:r>
          </w:p>
        </w:tc>
        <w:tc>
          <w:tcPr>
            <w:tcW w:w="1066" w:type="dxa"/>
            <w:vAlign w:val="center"/>
            <w:hideMark/>
          </w:tcPr>
          <w:p w14:paraId="2E3CABD9"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367991" w14:paraId="5F3D5815" w14:textId="77777777" w:rsidTr="00367991">
        <w:trPr>
          <w:trHeight w:val="340"/>
        </w:trPr>
        <w:tc>
          <w:tcPr>
            <w:tcW w:w="1555" w:type="dxa"/>
            <w:vAlign w:val="center"/>
          </w:tcPr>
          <w:p w14:paraId="60384688" w14:textId="77777777" w:rsidR="00367991" w:rsidRDefault="00367991">
            <w:pPr>
              <w:rPr>
                <w:rFonts w:asciiTheme="majorBidi" w:hAnsiTheme="majorBidi" w:cstheme="majorBidi"/>
                <w:sz w:val="20"/>
                <w:szCs w:val="20"/>
              </w:rPr>
            </w:pPr>
          </w:p>
        </w:tc>
        <w:tc>
          <w:tcPr>
            <w:tcW w:w="1065" w:type="dxa"/>
            <w:vAlign w:val="center"/>
          </w:tcPr>
          <w:p w14:paraId="69F6AA84" w14:textId="77777777" w:rsidR="00367991" w:rsidRDefault="00367991">
            <w:pPr>
              <w:jc w:val="center"/>
              <w:rPr>
                <w:rFonts w:asciiTheme="majorBidi" w:hAnsiTheme="majorBidi" w:cstheme="majorBidi"/>
                <w:color w:val="000000"/>
                <w:sz w:val="20"/>
                <w:szCs w:val="20"/>
              </w:rPr>
            </w:pPr>
          </w:p>
        </w:tc>
        <w:tc>
          <w:tcPr>
            <w:tcW w:w="1066" w:type="dxa"/>
            <w:vAlign w:val="center"/>
          </w:tcPr>
          <w:p w14:paraId="36F8855C" w14:textId="77777777" w:rsidR="00367991" w:rsidRDefault="00367991">
            <w:pPr>
              <w:jc w:val="center"/>
              <w:rPr>
                <w:rFonts w:asciiTheme="majorBidi" w:hAnsiTheme="majorBidi" w:cstheme="majorBidi"/>
                <w:color w:val="000000"/>
                <w:sz w:val="20"/>
                <w:szCs w:val="20"/>
              </w:rPr>
            </w:pPr>
          </w:p>
        </w:tc>
        <w:tc>
          <w:tcPr>
            <w:tcW w:w="1066" w:type="dxa"/>
            <w:vAlign w:val="center"/>
          </w:tcPr>
          <w:p w14:paraId="7720FA7A" w14:textId="77777777" w:rsidR="00367991" w:rsidRDefault="00367991">
            <w:pPr>
              <w:jc w:val="center"/>
              <w:rPr>
                <w:rFonts w:asciiTheme="majorBidi" w:hAnsiTheme="majorBidi" w:cstheme="majorBidi"/>
                <w:color w:val="000000"/>
                <w:sz w:val="20"/>
                <w:szCs w:val="20"/>
              </w:rPr>
            </w:pPr>
          </w:p>
        </w:tc>
        <w:tc>
          <w:tcPr>
            <w:tcW w:w="1066" w:type="dxa"/>
            <w:vAlign w:val="center"/>
          </w:tcPr>
          <w:p w14:paraId="47361547" w14:textId="77777777" w:rsidR="00367991" w:rsidRDefault="00367991">
            <w:pPr>
              <w:jc w:val="center"/>
              <w:rPr>
                <w:rFonts w:asciiTheme="majorBidi" w:hAnsiTheme="majorBidi" w:cstheme="majorBidi"/>
                <w:color w:val="000000"/>
                <w:sz w:val="20"/>
                <w:szCs w:val="20"/>
              </w:rPr>
            </w:pPr>
          </w:p>
        </w:tc>
        <w:tc>
          <w:tcPr>
            <w:tcW w:w="1066" w:type="dxa"/>
            <w:vAlign w:val="center"/>
          </w:tcPr>
          <w:p w14:paraId="00DB217C" w14:textId="77777777" w:rsidR="00367991" w:rsidRDefault="00367991">
            <w:pPr>
              <w:jc w:val="center"/>
              <w:rPr>
                <w:rFonts w:asciiTheme="majorBidi" w:hAnsiTheme="majorBidi" w:cstheme="majorBidi"/>
                <w:color w:val="000000"/>
                <w:sz w:val="20"/>
                <w:szCs w:val="20"/>
              </w:rPr>
            </w:pPr>
          </w:p>
        </w:tc>
        <w:tc>
          <w:tcPr>
            <w:tcW w:w="1066" w:type="dxa"/>
            <w:vAlign w:val="center"/>
          </w:tcPr>
          <w:p w14:paraId="71A0399B" w14:textId="77777777" w:rsidR="00367991" w:rsidRDefault="00367991">
            <w:pPr>
              <w:jc w:val="center"/>
              <w:rPr>
                <w:rFonts w:asciiTheme="majorBidi" w:hAnsiTheme="majorBidi" w:cstheme="majorBidi"/>
                <w:color w:val="000000"/>
                <w:sz w:val="20"/>
                <w:szCs w:val="20"/>
              </w:rPr>
            </w:pPr>
          </w:p>
        </w:tc>
        <w:tc>
          <w:tcPr>
            <w:tcW w:w="1066" w:type="dxa"/>
            <w:vAlign w:val="center"/>
          </w:tcPr>
          <w:p w14:paraId="2ACEEBEB" w14:textId="77777777" w:rsidR="00367991" w:rsidRDefault="00367991">
            <w:pPr>
              <w:jc w:val="center"/>
              <w:rPr>
                <w:rFonts w:asciiTheme="majorBidi" w:hAnsiTheme="majorBidi" w:cstheme="majorBidi"/>
                <w:color w:val="000000"/>
                <w:sz w:val="20"/>
                <w:szCs w:val="20"/>
              </w:rPr>
            </w:pPr>
          </w:p>
        </w:tc>
      </w:tr>
      <w:tr w:rsidR="00367991" w14:paraId="1018FE0A" w14:textId="77777777" w:rsidTr="00367991">
        <w:trPr>
          <w:trHeight w:val="340"/>
        </w:trPr>
        <w:tc>
          <w:tcPr>
            <w:tcW w:w="1555" w:type="dxa"/>
            <w:vAlign w:val="center"/>
            <w:hideMark/>
          </w:tcPr>
          <w:p w14:paraId="4F6902EE" w14:textId="1A097DF6" w:rsidR="00367991" w:rsidRDefault="00367991">
            <w:pPr>
              <w:rPr>
                <w:rFonts w:asciiTheme="majorBidi" w:hAnsiTheme="majorBidi" w:cstheme="majorBidi"/>
                <w:sz w:val="20"/>
                <w:szCs w:val="20"/>
              </w:rPr>
            </w:pPr>
            <w:r>
              <w:rPr>
                <w:rFonts w:asciiTheme="majorBidi" w:hAnsiTheme="majorBidi" w:cstheme="majorBidi"/>
                <w:b/>
                <w:bCs/>
                <w:color w:val="000000"/>
                <w:sz w:val="20"/>
                <w:szCs w:val="20"/>
              </w:rPr>
              <w:t>2018</w:t>
            </w:r>
          </w:p>
        </w:tc>
        <w:tc>
          <w:tcPr>
            <w:tcW w:w="1065" w:type="dxa"/>
            <w:vAlign w:val="center"/>
          </w:tcPr>
          <w:p w14:paraId="0AA2547B" w14:textId="77777777" w:rsidR="00367991" w:rsidRDefault="00367991">
            <w:pPr>
              <w:jc w:val="center"/>
              <w:rPr>
                <w:rFonts w:asciiTheme="majorBidi" w:hAnsiTheme="majorBidi" w:cstheme="majorBidi"/>
                <w:color w:val="000000"/>
                <w:sz w:val="20"/>
                <w:szCs w:val="20"/>
              </w:rPr>
            </w:pPr>
          </w:p>
        </w:tc>
        <w:tc>
          <w:tcPr>
            <w:tcW w:w="1066" w:type="dxa"/>
            <w:vAlign w:val="center"/>
          </w:tcPr>
          <w:p w14:paraId="108FBB5E" w14:textId="77777777" w:rsidR="00367991" w:rsidRDefault="00367991">
            <w:pPr>
              <w:jc w:val="center"/>
              <w:rPr>
                <w:rFonts w:asciiTheme="majorBidi" w:hAnsiTheme="majorBidi" w:cstheme="majorBidi"/>
                <w:color w:val="000000"/>
                <w:sz w:val="20"/>
                <w:szCs w:val="20"/>
              </w:rPr>
            </w:pPr>
          </w:p>
        </w:tc>
        <w:tc>
          <w:tcPr>
            <w:tcW w:w="1066" w:type="dxa"/>
            <w:vAlign w:val="center"/>
          </w:tcPr>
          <w:p w14:paraId="7513BFF7" w14:textId="77777777" w:rsidR="00367991" w:rsidRDefault="00367991">
            <w:pPr>
              <w:jc w:val="center"/>
              <w:rPr>
                <w:rFonts w:asciiTheme="majorBidi" w:hAnsiTheme="majorBidi" w:cstheme="majorBidi"/>
                <w:color w:val="000000"/>
                <w:sz w:val="20"/>
                <w:szCs w:val="20"/>
              </w:rPr>
            </w:pPr>
          </w:p>
        </w:tc>
        <w:tc>
          <w:tcPr>
            <w:tcW w:w="1066" w:type="dxa"/>
            <w:vAlign w:val="center"/>
          </w:tcPr>
          <w:p w14:paraId="11B85720" w14:textId="77777777" w:rsidR="00367991" w:rsidRDefault="00367991">
            <w:pPr>
              <w:jc w:val="center"/>
              <w:rPr>
                <w:rFonts w:asciiTheme="majorBidi" w:hAnsiTheme="majorBidi" w:cstheme="majorBidi"/>
                <w:color w:val="000000"/>
                <w:sz w:val="20"/>
                <w:szCs w:val="20"/>
              </w:rPr>
            </w:pPr>
          </w:p>
        </w:tc>
        <w:tc>
          <w:tcPr>
            <w:tcW w:w="1066" w:type="dxa"/>
            <w:vAlign w:val="center"/>
          </w:tcPr>
          <w:p w14:paraId="67F32BC8" w14:textId="77777777" w:rsidR="00367991" w:rsidRDefault="00367991">
            <w:pPr>
              <w:jc w:val="center"/>
              <w:rPr>
                <w:rFonts w:asciiTheme="majorBidi" w:hAnsiTheme="majorBidi" w:cstheme="majorBidi"/>
                <w:color w:val="000000"/>
                <w:sz w:val="20"/>
                <w:szCs w:val="20"/>
              </w:rPr>
            </w:pPr>
          </w:p>
        </w:tc>
        <w:tc>
          <w:tcPr>
            <w:tcW w:w="1066" w:type="dxa"/>
            <w:vAlign w:val="center"/>
          </w:tcPr>
          <w:p w14:paraId="76E38A98" w14:textId="77777777" w:rsidR="00367991" w:rsidRDefault="00367991">
            <w:pPr>
              <w:jc w:val="center"/>
              <w:rPr>
                <w:rFonts w:asciiTheme="majorBidi" w:hAnsiTheme="majorBidi" w:cstheme="majorBidi"/>
                <w:color w:val="000000"/>
                <w:sz w:val="20"/>
                <w:szCs w:val="20"/>
              </w:rPr>
            </w:pPr>
          </w:p>
        </w:tc>
        <w:tc>
          <w:tcPr>
            <w:tcW w:w="1066" w:type="dxa"/>
            <w:vAlign w:val="center"/>
          </w:tcPr>
          <w:p w14:paraId="1248DB7D" w14:textId="77777777" w:rsidR="00367991" w:rsidRDefault="00367991">
            <w:pPr>
              <w:jc w:val="center"/>
              <w:rPr>
                <w:rFonts w:asciiTheme="majorBidi" w:hAnsiTheme="majorBidi" w:cstheme="majorBidi"/>
                <w:color w:val="000000"/>
                <w:sz w:val="20"/>
                <w:szCs w:val="20"/>
              </w:rPr>
            </w:pPr>
          </w:p>
        </w:tc>
      </w:tr>
      <w:tr w:rsidR="00367991" w14:paraId="06C9AD78" w14:textId="77777777" w:rsidTr="00367991">
        <w:trPr>
          <w:trHeight w:val="340"/>
        </w:trPr>
        <w:tc>
          <w:tcPr>
            <w:tcW w:w="1555" w:type="dxa"/>
            <w:vAlign w:val="center"/>
            <w:hideMark/>
          </w:tcPr>
          <w:p w14:paraId="29D67EE1"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Mean age</w:t>
            </w:r>
          </w:p>
        </w:tc>
        <w:tc>
          <w:tcPr>
            <w:tcW w:w="1065" w:type="dxa"/>
            <w:vAlign w:val="center"/>
            <w:hideMark/>
          </w:tcPr>
          <w:p w14:paraId="24CE4EE3"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19B52971" w14:textId="77777777" w:rsidR="00367991" w:rsidRDefault="00367991">
            <w:pPr>
              <w:jc w:val="center"/>
              <w:rPr>
                <w:rFonts w:asciiTheme="majorBidi" w:hAnsiTheme="majorBidi" w:cstheme="majorBidi"/>
                <w:color w:val="000000"/>
                <w:sz w:val="20"/>
                <w:szCs w:val="20"/>
              </w:rPr>
            </w:pPr>
          </w:p>
        </w:tc>
        <w:tc>
          <w:tcPr>
            <w:tcW w:w="1066" w:type="dxa"/>
            <w:vAlign w:val="center"/>
          </w:tcPr>
          <w:p w14:paraId="560398C2" w14:textId="77777777" w:rsidR="00367991" w:rsidRDefault="00367991">
            <w:pPr>
              <w:jc w:val="center"/>
              <w:rPr>
                <w:rFonts w:asciiTheme="majorBidi" w:hAnsiTheme="majorBidi" w:cstheme="majorBidi"/>
                <w:color w:val="000000"/>
                <w:sz w:val="20"/>
                <w:szCs w:val="20"/>
              </w:rPr>
            </w:pPr>
          </w:p>
        </w:tc>
        <w:tc>
          <w:tcPr>
            <w:tcW w:w="1066" w:type="dxa"/>
            <w:vAlign w:val="center"/>
          </w:tcPr>
          <w:p w14:paraId="630839F8" w14:textId="77777777" w:rsidR="00367991" w:rsidRDefault="00367991">
            <w:pPr>
              <w:jc w:val="center"/>
              <w:rPr>
                <w:rFonts w:asciiTheme="majorBidi" w:hAnsiTheme="majorBidi" w:cstheme="majorBidi"/>
                <w:color w:val="000000"/>
                <w:sz w:val="20"/>
                <w:szCs w:val="20"/>
              </w:rPr>
            </w:pPr>
          </w:p>
        </w:tc>
        <w:tc>
          <w:tcPr>
            <w:tcW w:w="1066" w:type="dxa"/>
            <w:vAlign w:val="center"/>
          </w:tcPr>
          <w:p w14:paraId="4DA4C3B9" w14:textId="77777777" w:rsidR="00367991" w:rsidRDefault="00367991">
            <w:pPr>
              <w:jc w:val="center"/>
              <w:rPr>
                <w:rFonts w:asciiTheme="majorBidi" w:hAnsiTheme="majorBidi" w:cstheme="majorBidi"/>
                <w:color w:val="000000"/>
                <w:sz w:val="20"/>
                <w:szCs w:val="20"/>
              </w:rPr>
            </w:pPr>
          </w:p>
        </w:tc>
        <w:tc>
          <w:tcPr>
            <w:tcW w:w="1066" w:type="dxa"/>
            <w:vAlign w:val="center"/>
          </w:tcPr>
          <w:p w14:paraId="44F567E0" w14:textId="77777777" w:rsidR="00367991" w:rsidRDefault="00367991">
            <w:pPr>
              <w:jc w:val="center"/>
              <w:rPr>
                <w:rFonts w:asciiTheme="majorBidi" w:hAnsiTheme="majorBidi" w:cstheme="majorBidi"/>
                <w:color w:val="000000"/>
                <w:sz w:val="20"/>
                <w:szCs w:val="20"/>
              </w:rPr>
            </w:pPr>
          </w:p>
        </w:tc>
        <w:tc>
          <w:tcPr>
            <w:tcW w:w="1066" w:type="dxa"/>
            <w:vAlign w:val="center"/>
          </w:tcPr>
          <w:p w14:paraId="159EC3C9" w14:textId="77777777" w:rsidR="00367991" w:rsidRDefault="00367991">
            <w:pPr>
              <w:jc w:val="center"/>
              <w:rPr>
                <w:rFonts w:asciiTheme="majorBidi" w:hAnsiTheme="majorBidi" w:cstheme="majorBidi"/>
                <w:color w:val="000000"/>
                <w:sz w:val="20"/>
                <w:szCs w:val="20"/>
              </w:rPr>
            </w:pPr>
          </w:p>
        </w:tc>
      </w:tr>
      <w:tr w:rsidR="00367991" w14:paraId="2912112A" w14:textId="77777777" w:rsidTr="00367991">
        <w:trPr>
          <w:trHeight w:val="340"/>
        </w:trPr>
        <w:tc>
          <w:tcPr>
            <w:tcW w:w="1555" w:type="dxa"/>
            <w:vAlign w:val="center"/>
            <w:hideMark/>
          </w:tcPr>
          <w:p w14:paraId="021097F5"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Median age</w:t>
            </w:r>
          </w:p>
        </w:tc>
        <w:tc>
          <w:tcPr>
            <w:tcW w:w="1065" w:type="dxa"/>
            <w:vAlign w:val="center"/>
            <w:hideMark/>
          </w:tcPr>
          <w:p w14:paraId="51A250C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0.985</w:t>
            </w:r>
          </w:p>
        </w:tc>
        <w:tc>
          <w:tcPr>
            <w:tcW w:w="1066" w:type="dxa"/>
            <w:vAlign w:val="center"/>
            <w:hideMark/>
          </w:tcPr>
          <w:p w14:paraId="5B025DD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04D675F2" w14:textId="77777777" w:rsidR="00367991" w:rsidRDefault="00367991">
            <w:pPr>
              <w:jc w:val="center"/>
              <w:rPr>
                <w:rFonts w:asciiTheme="majorBidi" w:hAnsiTheme="majorBidi" w:cstheme="majorBidi"/>
                <w:color w:val="000000"/>
                <w:sz w:val="20"/>
                <w:szCs w:val="20"/>
              </w:rPr>
            </w:pPr>
          </w:p>
        </w:tc>
        <w:tc>
          <w:tcPr>
            <w:tcW w:w="1066" w:type="dxa"/>
            <w:vAlign w:val="center"/>
          </w:tcPr>
          <w:p w14:paraId="327775EB" w14:textId="77777777" w:rsidR="00367991" w:rsidRDefault="00367991">
            <w:pPr>
              <w:jc w:val="center"/>
              <w:rPr>
                <w:rFonts w:asciiTheme="majorBidi" w:hAnsiTheme="majorBidi" w:cstheme="majorBidi"/>
                <w:color w:val="000000"/>
                <w:sz w:val="20"/>
                <w:szCs w:val="20"/>
              </w:rPr>
            </w:pPr>
          </w:p>
        </w:tc>
        <w:tc>
          <w:tcPr>
            <w:tcW w:w="1066" w:type="dxa"/>
            <w:vAlign w:val="center"/>
          </w:tcPr>
          <w:p w14:paraId="2BF38A45" w14:textId="77777777" w:rsidR="00367991" w:rsidRDefault="00367991">
            <w:pPr>
              <w:jc w:val="center"/>
              <w:rPr>
                <w:rFonts w:asciiTheme="majorBidi" w:hAnsiTheme="majorBidi" w:cstheme="majorBidi"/>
                <w:color w:val="000000"/>
                <w:sz w:val="20"/>
                <w:szCs w:val="20"/>
              </w:rPr>
            </w:pPr>
          </w:p>
        </w:tc>
        <w:tc>
          <w:tcPr>
            <w:tcW w:w="1066" w:type="dxa"/>
            <w:vAlign w:val="center"/>
          </w:tcPr>
          <w:p w14:paraId="390C4100" w14:textId="77777777" w:rsidR="00367991" w:rsidRDefault="00367991">
            <w:pPr>
              <w:jc w:val="center"/>
              <w:rPr>
                <w:rFonts w:asciiTheme="majorBidi" w:hAnsiTheme="majorBidi" w:cstheme="majorBidi"/>
                <w:color w:val="000000"/>
                <w:sz w:val="20"/>
                <w:szCs w:val="20"/>
              </w:rPr>
            </w:pPr>
          </w:p>
        </w:tc>
        <w:tc>
          <w:tcPr>
            <w:tcW w:w="1066" w:type="dxa"/>
            <w:vAlign w:val="center"/>
          </w:tcPr>
          <w:p w14:paraId="26265EDD" w14:textId="77777777" w:rsidR="00367991" w:rsidRDefault="00367991">
            <w:pPr>
              <w:jc w:val="center"/>
              <w:rPr>
                <w:rFonts w:asciiTheme="majorBidi" w:hAnsiTheme="majorBidi" w:cstheme="majorBidi"/>
                <w:color w:val="000000"/>
                <w:sz w:val="20"/>
                <w:szCs w:val="20"/>
              </w:rPr>
            </w:pPr>
          </w:p>
        </w:tc>
      </w:tr>
      <w:tr w:rsidR="00367991" w14:paraId="45B0DC0E" w14:textId="77777777" w:rsidTr="00367991">
        <w:trPr>
          <w:trHeight w:val="340"/>
        </w:trPr>
        <w:tc>
          <w:tcPr>
            <w:tcW w:w="1555" w:type="dxa"/>
            <w:vAlign w:val="center"/>
            <w:hideMark/>
          </w:tcPr>
          <w:p w14:paraId="352939AC"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65+</w:t>
            </w:r>
          </w:p>
        </w:tc>
        <w:tc>
          <w:tcPr>
            <w:tcW w:w="1065" w:type="dxa"/>
            <w:vAlign w:val="center"/>
            <w:hideMark/>
          </w:tcPr>
          <w:p w14:paraId="099644E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0.954</w:t>
            </w:r>
          </w:p>
        </w:tc>
        <w:tc>
          <w:tcPr>
            <w:tcW w:w="1066" w:type="dxa"/>
            <w:vAlign w:val="center"/>
            <w:hideMark/>
          </w:tcPr>
          <w:p w14:paraId="64DE9F25"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0.935</w:t>
            </w:r>
          </w:p>
        </w:tc>
        <w:tc>
          <w:tcPr>
            <w:tcW w:w="1066" w:type="dxa"/>
            <w:vAlign w:val="center"/>
            <w:hideMark/>
          </w:tcPr>
          <w:p w14:paraId="4B8C3BF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5DE621D0" w14:textId="77777777" w:rsidR="00367991" w:rsidRDefault="00367991">
            <w:pPr>
              <w:jc w:val="center"/>
              <w:rPr>
                <w:rFonts w:asciiTheme="majorBidi" w:hAnsiTheme="majorBidi" w:cstheme="majorBidi"/>
                <w:color w:val="000000"/>
                <w:sz w:val="20"/>
                <w:szCs w:val="20"/>
              </w:rPr>
            </w:pPr>
          </w:p>
        </w:tc>
        <w:tc>
          <w:tcPr>
            <w:tcW w:w="1066" w:type="dxa"/>
            <w:vAlign w:val="center"/>
          </w:tcPr>
          <w:p w14:paraId="60AC1EA6" w14:textId="77777777" w:rsidR="00367991" w:rsidRDefault="00367991">
            <w:pPr>
              <w:jc w:val="center"/>
              <w:rPr>
                <w:rFonts w:asciiTheme="majorBidi" w:hAnsiTheme="majorBidi" w:cstheme="majorBidi"/>
                <w:color w:val="000000"/>
                <w:sz w:val="20"/>
                <w:szCs w:val="20"/>
              </w:rPr>
            </w:pPr>
          </w:p>
        </w:tc>
        <w:tc>
          <w:tcPr>
            <w:tcW w:w="1066" w:type="dxa"/>
            <w:vAlign w:val="center"/>
          </w:tcPr>
          <w:p w14:paraId="4620AA55" w14:textId="77777777" w:rsidR="00367991" w:rsidRDefault="00367991">
            <w:pPr>
              <w:jc w:val="center"/>
              <w:rPr>
                <w:rFonts w:asciiTheme="majorBidi" w:hAnsiTheme="majorBidi" w:cstheme="majorBidi"/>
                <w:color w:val="000000"/>
                <w:sz w:val="20"/>
                <w:szCs w:val="20"/>
              </w:rPr>
            </w:pPr>
          </w:p>
        </w:tc>
        <w:tc>
          <w:tcPr>
            <w:tcW w:w="1066" w:type="dxa"/>
            <w:vAlign w:val="center"/>
          </w:tcPr>
          <w:p w14:paraId="6E336B86" w14:textId="77777777" w:rsidR="00367991" w:rsidRDefault="00367991">
            <w:pPr>
              <w:jc w:val="center"/>
              <w:rPr>
                <w:rFonts w:asciiTheme="majorBidi" w:hAnsiTheme="majorBidi" w:cstheme="majorBidi"/>
                <w:color w:val="000000"/>
                <w:sz w:val="20"/>
                <w:szCs w:val="20"/>
              </w:rPr>
            </w:pPr>
          </w:p>
        </w:tc>
      </w:tr>
      <w:tr w:rsidR="00367991" w14:paraId="09E16085" w14:textId="77777777" w:rsidTr="00367991">
        <w:trPr>
          <w:trHeight w:val="340"/>
        </w:trPr>
        <w:tc>
          <w:tcPr>
            <w:tcW w:w="1555" w:type="dxa"/>
            <w:vAlign w:val="center"/>
            <w:hideMark/>
          </w:tcPr>
          <w:p w14:paraId="2CF6DFFA"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85+</w:t>
            </w:r>
          </w:p>
        </w:tc>
        <w:tc>
          <w:tcPr>
            <w:tcW w:w="1065" w:type="dxa"/>
            <w:vAlign w:val="center"/>
            <w:hideMark/>
          </w:tcPr>
          <w:p w14:paraId="15FB39F6"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0.652</w:t>
            </w:r>
          </w:p>
        </w:tc>
        <w:tc>
          <w:tcPr>
            <w:tcW w:w="1066" w:type="dxa"/>
            <w:vAlign w:val="center"/>
            <w:hideMark/>
          </w:tcPr>
          <w:p w14:paraId="61EB586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0.577</w:t>
            </w:r>
          </w:p>
        </w:tc>
        <w:tc>
          <w:tcPr>
            <w:tcW w:w="1066" w:type="dxa"/>
            <w:vAlign w:val="center"/>
            <w:hideMark/>
          </w:tcPr>
          <w:p w14:paraId="1CAC2112"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0.711</w:t>
            </w:r>
          </w:p>
        </w:tc>
        <w:tc>
          <w:tcPr>
            <w:tcW w:w="1066" w:type="dxa"/>
            <w:vAlign w:val="center"/>
            <w:hideMark/>
          </w:tcPr>
          <w:p w14:paraId="127D705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714C0B1A" w14:textId="77777777" w:rsidR="00367991" w:rsidRDefault="00367991">
            <w:pPr>
              <w:jc w:val="center"/>
              <w:rPr>
                <w:rFonts w:asciiTheme="majorBidi" w:hAnsiTheme="majorBidi" w:cstheme="majorBidi"/>
                <w:color w:val="000000"/>
                <w:sz w:val="20"/>
                <w:szCs w:val="20"/>
              </w:rPr>
            </w:pPr>
          </w:p>
        </w:tc>
        <w:tc>
          <w:tcPr>
            <w:tcW w:w="1066" w:type="dxa"/>
            <w:vAlign w:val="center"/>
          </w:tcPr>
          <w:p w14:paraId="0D52DF8E" w14:textId="77777777" w:rsidR="00367991" w:rsidRDefault="00367991">
            <w:pPr>
              <w:jc w:val="center"/>
              <w:rPr>
                <w:rFonts w:asciiTheme="majorBidi" w:hAnsiTheme="majorBidi" w:cstheme="majorBidi"/>
                <w:color w:val="000000"/>
                <w:sz w:val="20"/>
                <w:szCs w:val="20"/>
              </w:rPr>
            </w:pPr>
          </w:p>
        </w:tc>
        <w:tc>
          <w:tcPr>
            <w:tcW w:w="1066" w:type="dxa"/>
            <w:vAlign w:val="center"/>
          </w:tcPr>
          <w:p w14:paraId="3F570ED9" w14:textId="77777777" w:rsidR="00367991" w:rsidRDefault="00367991">
            <w:pPr>
              <w:jc w:val="center"/>
              <w:rPr>
                <w:rFonts w:asciiTheme="majorBidi" w:hAnsiTheme="majorBidi" w:cstheme="majorBidi"/>
                <w:color w:val="000000"/>
                <w:sz w:val="20"/>
                <w:szCs w:val="20"/>
              </w:rPr>
            </w:pPr>
          </w:p>
        </w:tc>
      </w:tr>
      <w:tr w:rsidR="00367991" w14:paraId="7FBCF99A" w14:textId="77777777" w:rsidTr="00367991">
        <w:trPr>
          <w:trHeight w:val="340"/>
        </w:trPr>
        <w:tc>
          <w:tcPr>
            <w:tcW w:w="1555" w:type="dxa"/>
            <w:vAlign w:val="center"/>
            <w:hideMark/>
          </w:tcPr>
          <w:p w14:paraId="26407EF2"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CER</w:t>
            </w:r>
          </w:p>
        </w:tc>
        <w:tc>
          <w:tcPr>
            <w:tcW w:w="1065" w:type="dxa"/>
            <w:vAlign w:val="center"/>
            <w:hideMark/>
          </w:tcPr>
          <w:p w14:paraId="1352DF56"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0.957</w:t>
            </w:r>
          </w:p>
        </w:tc>
        <w:tc>
          <w:tcPr>
            <w:tcW w:w="1066" w:type="dxa"/>
            <w:vAlign w:val="center"/>
            <w:hideMark/>
          </w:tcPr>
          <w:p w14:paraId="6D4E9C6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0.916</w:t>
            </w:r>
          </w:p>
        </w:tc>
        <w:tc>
          <w:tcPr>
            <w:tcW w:w="1066" w:type="dxa"/>
            <w:vAlign w:val="center"/>
            <w:hideMark/>
          </w:tcPr>
          <w:p w14:paraId="7BD374D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0.896</w:t>
            </w:r>
          </w:p>
        </w:tc>
        <w:tc>
          <w:tcPr>
            <w:tcW w:w="1066" w:type="dxa"/>
            <w:vAlign w:val="center"/>
            <w:hideMark/>
          </w:tcPr>
          <w:p w14:paraId="7A36FA8E"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0.619</w:t>
            </w:r>
          </w:p>
        </w:tc>
        <w:tc>
          <w:tcPr>
            <w:tcW w:w="1066" w:type="dxa"/>
            <w:vAlign w:val="center"/>
            <w:hideMark/>
          </w:tcPr>
          <w:p w14:paraId="2A370350"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1B86D2EE" w14:textId="77777777" w:rsidR="00367991" w:rsidRDefault="00367991">
            <w:pPr>
              <w:jc w:val="center"/>
              <w:rPr>
                <w:rFonts w:asciiTheme="majorBidi" w:hAnsiTheme="majorBidi" w:cstheme="majorBidi"/>
                <w:color w:val="000000"/>
                <w:sz w:val="20"/>
                <w:szCs w:val="20"/>
              </w:rPr>
            </w:pPr>
          </w:p>
        </w:tc>
        <w:tc>
          <w:tcPr>
            <w:tcW w:w="1066" w:type="dxa"/>
            <w:vAlign w:val="center"/>
          </w:tcPr>
          <w:p w14:paraId="1E56B726" w14:textId="77777777" w:rsidR="00367991" w:rsidRDefault="00367991">
            <w:pPr>
              <w:jc w:val="center"/>
              <w:rPr>
                <w:rFonts w:asciiTheme="majorBidi" w:hAnsiTheme="majorBidi" w:cstheme="majorBidi"/>
                <w:color w:val="000000"/>
                <w:sz w:val="20"/>
                <w:szCs w:val="20"/>
              </w:rPr>
            </w:pPr>
          </w:p>
        </w:tc>
      </w:tr>
      <w:tr w:rsidR="00367991" w14:paraId="726F7EE4" w14:textId="77777777" w:rsidTr="00367991">
        <w:trPr>
          <w:trHeight w:val="340"/>
        </w:trPr>
        <w:tc>
          <w:tcPr>
            <w:tcW w:w="1555" w:type="dxa"/>
            <w:vAlign w:val="center"/>
            <w:hideMark/>
          </w:tcPr>
          <w:p w14:paraId="0FC0901F" w14:textId="77777777" w:rsidR="00367991" w:rsidRDefault="00367991">
            <w:pPr>
              <w:rPr>
                <w:rFonts w:asciiTheme="majorBidi" w:hAnsiTheme="majorBidi" w:cstheme="majorBidi"/>
                <w:color w:val="000000"/>
                <w:sz w:val="20"/>
                <w:szCs w:val="20"/>
              </w:rPr>
            </w:pPr>
            <w:r>
              <w:rPr>
                <w:rFonts w:asciiTheme="majorBidi" w:hAnsiTheme="majorBidi" w:cstheme="majorBidi"/>
                <w:color w:val="000000"/>
                <w:sz w:val="20"/>
                <w:szCs w:val="20"/>
              </w:rPr>
              <w:t>OADR</w:t>
            </w:r>
          </w:p>
        </w:tc>
        <w:tc>
          <w:tcPr>
            <w:tcW w:w="1065" w:type="dxa"/>
            <w:vAlign w:val="center"/>
            <w:hideMark/>
          </w:tcPr>
          <w:p w14:paraId="69659C72"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0.927</w:t>
            </w:r>
          </w:p>
        </w:tc>
        <w:tc>
          <w:tcPr>
            <w:tcW w:w="1066" w:type="dxa"/>
            <w:vAlign w:val="center"/>
            <w:hideMark/>
          </w:tcPr>
          <w:p w14:paraId="7A2FC18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0.914</w:t>
            </w:r>
          </w:p>
        </w:tc>
        <w:tc>
          <w:tcPr>
            <w:tcW w:w="1066" w:type="dxa"/>
            <w:vAlign w:val="center"/>
            <w:hideMark/>
          </w:tcPr>
          <w:p w14:paraId="1520BC3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0.993</w:t>
            </w:r>
          </w:p>
        </w:tc>
        <w:tc>
          <w:tcPr>
            <w:tcW w:w="1066" w:type="dxa"/>
            <w:vAlign w:val="center"/>
            <w:hideMark/>
          </w:tcPr>
          <w:p w14:paraId="23E0CE1D"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0.691</w:t>
            </w:r>
          </w:p>
        </w:tc>
        <w:tc>
          <w:tcPr>
            <w:tcW w:w="1066" w:type="dxa"/>
            <w:vAlign w:val="center"/>
            <w:hideMark/>
          </w:tcPr>
          <w:p w14:paraId="0250035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0.858</w:t>
            </w:r>
          </w:p>
        </w:tc>
        <w:tc>
          <w:tcPr>
            <w:tcW w:w="1066" w:type="dxa"/>
            <w:vAlign w:val="center"/>
            <w:hideMark/>
          </w:tcPr>
          <w:p w14:paraId="529D8536"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000C4995" w14:textId="77777777" w:rsidR="00367991" w:rsidRDefault="00367991">
            <w:pPr>
              <w:jc w:val="center"/>
              <w:rPr>
                <w:rFonts w:asciiTheme="majorBidi" w:hAnsiTheme="majorBidi" w:cstheme="majorBidi"/>
                <w:color w:val="000000"/>
                <w:sz w:val="20"/>
                <w:szCs w:val="20"/>
              </w:rPr>
            </w:pPr>
          </w:p>
        </w:tc>
      </w:tr>
      <w:tr w:rsidR="00367991" w14:paraId="58A916B1" w14:textId="77777777" w:rsidTr="00367991">
        <w:trPr>
          <w:trHeight w:val="340"/>
        </w:trPr>
        <w:tc>
          <w:tcPr>
            <w:tcW w:w="1555" w:type="dxa"/>
            <w:vAlign w:val="center"/>
            <w:hideMark/>
          </w:tcPr>
          <w:p w14:paraId="3A63DFA6" w14:textId="77777777" w:rsidR="00367991" w:rsidRDefault="00367991">
            <w:pPr>
              <w:rPr>
                <w:rFonts w:asciiTheme="majorBidi" w:hAnsiTheme="majorBidi" w:cstheme="majorBidi"/>
                <w:color w:val="000000"/>
                <w:sz w:val="20"/>
                <w:szCs w:val="20"/>
              </w:rPr>
            </w:pPr>
            <w:r>
              <w:rPr>
                <w:rFonts w:asciiTheme="majorBidi" w:hAnsiTheme="majorBidi" w:cstheme="majorBidi"/>
                <w:color w:val="000000"/>
                <w:sz w:val="20"/>
                <w:szCs w:val="20"/>
              </w:rPr>
              <w:t>RMSA</w:t>
            </w:r>
          </w:p>
        </w:tc>
        <w:tc>
          <w:tcPr>
            <w:tcW w:w="1065" w:type="dxa"/>
            <w:vAlign w:val="center"/>
            <w:hideMark/>
          </w:tcPr>
          <w:p w14:paraId="2487BD4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0.991</w:t>
            </w:r>
          </w:p>
        </w:tc>
        <w:tc>
          <w:tcPr>
            <w:tcW w:w="1066" w:type="dxa"/>
            <w:vAlign w:val="center"/>
            <w:hideMark/>
          </w:tcPr>
          <w:p w14:paraId="0675C5D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0.979</w:t>
            </w:r>
          </w:p>
        </w:tc>
        <w:tc>
          <w:tcPr>
            <w:tcW w:w="1066" w:type="dxa"/>
            <w:vAlign w:val="center"/>
            <w:hideMark/>
          </w:tcPr>
          <w:p w14:paraId="6F3433B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0.982</w:t>
            </w:r>
          </w:p>
        </w:tc>
        <w:tc>
          <w:tcPr>
            <w:tcW w:w="1066" w:type="dxa"/>
            <w:vAlign w:val="center"/>
            <w:hideMark/>
          </w:tcPr>
          <w:p w14:paraId="40B075B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0.682</w:t>
            </w:r>
          </w:p>
        </w:tc>
        <w:tc>
          <w:tcPr>
            <w:tcW w:w="1066" w:type="dxa"/>
            <w:vAlign w:val="center"/>
            <w:hideMark/>
          </w:tcPr>
          <w:p w14:paraId="4CA14BC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0.935</w:t>
            </w:r>
          </w:p>
        </w:tc>
        <w:tc>
          <w:tcPr>
            <w:tcW w:w="1066" w:type="dxa"/>
            <w:vAlign w:val="center"/>
            <w:hideMark/>
          </w:tcPr>
          <w:p w14:paraId="62E581D0"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0.963</w:t>
            </w:r>
          </w:p>
        </w:tc>
        <w:tc>
          <w:tcPr>
            <w:tcW w:w="1066" w:type="dxa"/>
            <w:vAlign w:val="center"/>
            <w:hideMark/>
          </w:tcPr>
          <w:p w14:paraId="19B1E4F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367991" w14:paraId="06C70E7F" w14:textId="77777777" w:rsidTr="00367991">
        <w:trPr>
          <w:trHeight w:val="340"/>
        </w:trPr>
        <w:tc>
          <w:tcPr>
            <w:tcW w:w="1555" w:type="dxa"/>
            <w:vAlign w:val="center"/>
          </w:tcPr>
          <w:p w14:paraId="69D86B06" w14:textId="77777777" w:rsidR="00367991" w:rsidRDefault="00367991">
            <w:pPr>
              <w:rPr>
                <w:rFonts w:asciiTheme="majorBidi" w:hAnsiTheme="majorBidi" w:cstheme="majorBidi"/>
                <w:sz w:val="20"/>
                <w:szCs w:val="20"/>
              </w:rPr>
            </w:pPr>
          </w:p>
        </w:tc>
        <w:tc>
          <w:tcPr>
            <w:tcW w:w="1065" w:type="dxa"/>
            <w:vAlign w:val="center"/>
          </w:tcPr>
          <w:p w14:paraId="2E8EC682" w14:textId="77777777" w:rsidR="00367991" w:rsidRDefault="00367991">
            <w:pPr>
              <w:jc w:val="center"/>
              <w:rPr>
                <w:rFonts w:asciiTheme="majorBidi" w:hAnsiTheme="majorBidi" w:cstheme="majorBidi"/>
                <w:color w:val="000000"/>
                <w:sz w:val="20"/>
                <w:szCs w:val="20"/>
              </w:rPr>
            </w:pPr>
          </w:p>
        </w:tc>
        <w:tc>
          <w:tcPr>
            <w:tcW w:w="1066" w:type="dxa"/>
            <w:vAlign w:val="center"/>
          </w:tcPr>
          <w:p w14:paraId="36623056" w14:textId="77777777" w:rsidR="00367991" w:rsidRDefault="00367991">
            <w:pPr>
              <w:jc w:val="center"/>
              <w:rPr>
                <w:rFonts w:asciiTheme="majorBidi" w:hAnsiTheme="majorBidi" w:cstheme="majorBidi"/>
                <w:color w:val="000000"/>
                <w:sz w:val="20"/>
                <w:szCs w:val="20"/>
              </w:rPr>
            </w:pPr>
          </w:p>
        </w:tc>
        <w:tc>
          <w:tcPr>
            <w:tcW w:w="1066" w:type="dxa"/>
            <w:vAlign w:val="center"/>
          </w:tcPr>
          <w:p w14:paraId="6FE5152D" w14:textId="77777777" w:rsidR="00367991" w:rsidRDefault="00367991">
            <w:pPr>
              <w:jc w:val="center"/>
              <w:rPr>
                <w:rFonts w:asciiTheme="majorBidi" w:hAnsiTheme="majorBidi" w:cstheme="majorBidi"/>
                <w:color w:val="000000"/>
                <w:sz w:val="20"/>
                <w:szCs w:val="20"/>
              </w:rPr>
            </w:pPr>
          </w:p>
        </w:tc>
        <w:tc>
          <w:tcPr>
            <w:tcW w:w="1066" w:type="dxa"/>
            <w:vAlign w:val="center"/>
          </w:tcPr>
          <w:p w14:paraId="426A598E" w14:textId="77777777" w:rsidR="00367991" w:rsidRDefault="00367991">
            <w:pPr>
              <w:jc w:val="center"/>
              <w:rPr>
                <w:rFonts w:asciiTheme="majorBidi" w:hAnsiTheme="majorBidi" w:cstheme="majorBidi"/>
                <w:color w:val="000000"/>
                <w:sz w:val="20"/>
                <w:szCs w:val="20"/>
              </w:rPr>
            </w:pPr>
          </w:p>
        </w:tc>
        <w:tc>
          <w:tcPr>
            <w:tcW w:w="1066" w:type="dxa"/>
            <w:vAlign w:val="center"/>
          </w:tcPr>
          <w:p w14:paraId="04FA8052" w14:textId="77777777" w:rsidR="00367991" w:rsidRDefault="00367991">
            <w:pPr>
              <w:jc w:val="center"/>
              <w:rPr>
                <w:rFonts w:asciiTheme="majorBidi" w:hAnsiTheme="majorBidi" w:cstheme="majorBidi"/>
                <w:color w:val="000000"/>
                <w:sz w:val="20"/>
                <w:szCs w:val="20"/>
              </w:rPr>
            </w:pPr>
          </w:p>
        </w:tc>
        <w:tc>
          <w:tcPr>
            <w:tcW w:w="1066" w:type="dxa"/>
            <w:vAlign w:val="center"/>
          </w:tcPr>
          <w:p w14:paraId="19197434" w14:textId="77777777" w:rsidR="00367991" w:rsidRDefault="00367991">
            <w:pPr>
              <w:jc w:val="center"/>
              <w:rPr>
                <w:rFonts w:asciiTheme="majorBidi" w:hAnsiTheme="majorBidi" w:cstheme="majorBidi"/>
                <w:color w:val="000000"/>
                <w:sz w:val="20"/>
                <w:szCs w:val="20"/>
              </w:rPr>
            </w:pPr>
          </w:p>
        </w:tc>
        <w:tc>
          <w:tcPr>
            <w:tcW w:w="1066" w:type="dxa"/>
            <w:vAlign w:val="center"/>
          </w:tcPr>
          <w:p w14:paraId="008B9B07" w14:textId="77777777" w:rsidR="00367991" w:rsidRDefault="00367991">
            <w:pPr>
              <w:jc w:val="center"/>
              <w:rPr>
                <w:rFonts w:asciiTheme="majorBidi" w:hAnsiTheme="majorBidi" w:cstheme="majorBidi"/>
                <w:color w:val="000000"/>
                <w:sz w:val="20"/>
                <w:szCs w:val="20"/>
              </w:rPr>
            </w:pPr>
          </w:p>
        </w:tc>
      </w:tr>
      <w:tr w:rsidR="00367991" w14:paraId="1F495BF1" w14:textId="77777777" w:rsidTr="00367991">
        <w:trPr>
          <w:trHeight w:val="340"/>
        </w:trPr>
        <w:tc>
          <w:tcPr>
            <w:tcW w:w="1555" w:type="dxa"/>
            <w:vAlign w:val="center"/>
            <w:hideMark/>
          </w:tcPr>
          <w:p w14:paraId="1D83E566" w14:textId="4E77FD04" w:rsidR="00367991" w:rsidRDefault="00367991">
            <w:pPr>
              <w:rPr>
                <w:rFonts w:asciiTheme="majorBidi" w:hAnsiTheme="majorBidi" w:cstheme="majorBidi"/>
                <w:sz w:val="20"/>
                <w:szCs w:val="20"/>
              </w:rPr>
            </w:pPr>
            <w:r>
              <w:rPr>
                <w:rFonts w:asciiTheme="majorBidi" w:hAnsiTheme="majorBidi" w:cstheme="majorBidi"/>
                <w:b/>
                <w:bCs/>
                <w:color w:val="000000"/>
                <w:sz w:val="20"/>
                <w:szCs w:val="20"/>
              </w:rPr>
              <w:t>2048</w:t>
            </w:r>
          </w:p>
        </w:tc>
        <w:tc>
          <w:tcPr>
            <w:tcW w:w="1065" w:type="dxa"/>
            <w:vAlign w:val="center"/>
          </w:tcPr>
          <w:p w14:paraId="68042F10" w14:textId="77777777" w:rsidR="00367991" w:rsidRDefault="00367991">
            <w:pPr>
              <w:jc w:val="center"/>
              <w:rPr>
                <w:rFonts w:asciiTheme="majorBidi" w:hAnsiTheme="majorBidi" w:cstheme="majorBidi"/>
                <w:color w:val="000000"/>
                <w:sz w:val="20"/>
                <w:szCs w:val="20"/>
              </w:rPr>
            </w:pPr>
          </w:p>
        </w:tc>
        <w:tc>
          <w:tcPr>
            <w:tcW w:w="1066" w:type="dxa"/>
            <w:vAlign w:val="center"/>
          </w:tcPr>
          <w:p w14:paraId="038E796E" w14:textId="77777777" w:rsidR="00367991" w:rsidRDefault="00367991">
            <w:pPr>
              <w:jc w:val="center"/>
              <w:rPr>
                <w:rFonts w:asciiTheme="majorBidi" w:hAnsiTheme="majorBidi" w:cstheme="majorBidi"/>
                <w:color w:val="000000"/>
                <w:sz w:val="20"/>
                <w:szCs w:val="20"/>
              </w:rPr>
            </w:pPr>
          </w:p>
        </w:tc>
        <w:tc>
          <w:tcPr>
            <w:tcW w:w="1066" w:type="dxa"/>
            <w:vAlign w:val="center"/>
          </w:tcPr>
          <w:p w14:paraId="0BD52F74" w14:textId="77777777" w:rsidR="00367991" w:rsidRDefault="00367991">
            <w:pPr>
              <w:jc w:val="center"/>
              <w:rPr>
                <w:rFonts w:asciiTheme="majorBidi" w:hAnsiTheme="majorBidi" w:cstheme="majorBidi"/>
                <w:color w:val="000000"/>
                <w:sz w:val="20"/>
                <w:szCs w:val="20"/>
              </w:rPr>
            </w:pPr>
          </w:p>
        </w:tc>
        <w:tc>
          <w:tcPr>
            <w:tcW w:w="1066" w:type="dxa"/>
            <w:vAlign w:val="center"/>
          </w:tcPr>
          <w:p w14:paraId="0C8A3B5A" w14:textId="77777777" w:rsidR="00367991" w:rsidRDefault="00367991">
            <w:pPr>
              <w:jc w:val="center"/>
              <w:rPr>
                <w:rFonts w:asciiTheme="majorBidi" w:hAnsiTheme="majorBidi" w:cstheme="majorBidi"/>
                <w:color w:val="000000"/>
                <w:sz w:val="20"/>
                <w:szCs w:val="20"/>
              </w:rPr>
            </w:pPr>
          </w:p>
        </w:tc>
        <w:tc>
          <w:tcPr>
            <w:tcW w:w="1066" w:type="dxa"/>
            <w:vAlign w:val="center"/>
          </w:tcPr>
          <w:p w14:paraId="2E13A6BD" w14:textId="77777777" w:rsidR="00367991" w:rsidRDefault="00367991">
            <w:pPr>
              <w:jc w:val="center"/>
              <w:rPr>
                <w:rFonts w:asciiTheme="majorBidi" w:hAnsiTheme="majorBidi" w:cstheme="majorBidi"/>
                <w:color w:val="000000"/>
                <w:sz w:val="20"/>
                <w:szCs w:val="20"/>
              </w:rPr>
            </w:pPr>
          </w:p>
        </w:tc>
        <w:tc>
          <w:tcPr>
            <w:tcW w:w="1066" w:type="dxa"/>
            <w:vAlign w:val="center"/>
          </w:tcPr>
          <w:p w14:paraId="42F07F98" w14:textId="77777777" w:rsidR="00367991" w:rsidRDefault="00367991">
            <w:pPr>
              <w:jc w:val="center"/>
              <w:rPr>
                <w:rFonts w:asciiTheme="majorBidi" w:hAnsiTheme="majorBidi" w:cstheme="majorBidi"/>
                <w:color w:val="000000"/>
                <w:sz w:val="20"/>
                <w:szCs w:val="20"/>
              </w:rPr>
            </w:pPr>
          </w:p>
        </w:tc>
        <w:tc>
          <w:tcPr>
            <w:tcW w:w="1066" w:type="dxa"/>
            <w:vAlign w:val="center"/>
          </w:tcPr>
          <w:p w14:paraId="1F5BC961" w14:textId="77777777" w:rsidR="00367991" w:rsidRDefault="00367991">
            <w:pPr>
              <w:jc w:val="center"/>
              <w:rPr>
                <w:rFonts w:asciiTheme="majorBidi" w:hAnsiTheme="majorBidi" w:cstheme="majorBidi"/>
                <w:color w:val="000000"/>
                <w:sz w:val="20"/>
                <w:szCs w:val="20"/>
              </w:rPr>
            </w:pPr>
          </w:p>
        </w:tc>
      </w:tr>
      <w:tr w:rsidR="00367991" w14:paraId="5F73C8FF" w14:textId="77777777" w:rsidTr="00367991">
        <w:trPr>
          <w:trHeight w:val="340"/>
        </w:trPr>
        <w:tc>
          <w:tcPr>
            <w:tcW w:w="1555" w:type="dxa"/>
            <w:vAlign w:val="center"/>
            <w:hideMark/>
          </w:tcPr>
          <w:p w14:paraId="5C58EDE3"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Mean age</w:t>
            </w:r>
          </w:p>
        </w:tc>
        <w:tc>
          <w:tcPr>
            <w:tcW w:w="1065" w:type="dxa"/>
            <w:vAlign w:val="center"/>
            <w:hideMark/>
          </w:tcPr>
          <w:p w14:paraId="5AAB064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6E1D2324" w14:textId="77777777" w:rsidR="00367991" w:rsidRDefault="00367991">
            <w:pPr>
              <w:jc w:val="center"/>
              <w:rPr>
                <w:rFonts w:asciiTheme="majorBidi" w:hAnsiTheme="majorBidi" w:cstheme="majorBidi"/>
                <w:color w:val="000000"/>
                <w:sz w:val="20"/>
                <w:szCs w:val="20"/>
              </w:rPr>
            </w:pPr>
          </w:p>
        </w:tc>
        <w:tc>
          <w:tcPr>
            <w:tcW w:w="1066" w:type="dxa"/>
            <w:vAlign w:val="center"/>
          </w:tcPr>
          <w:p w14:paraId="6EDA093F" w14:textId="77777777" w:rsidR="00367991" w:rsidRDefault="00367991">
            <w:pPr>
              <w:jc w:val="center"/>
              <w:rPr>
                <w:rFonts w:asciiTheme="majorBidi" w:hAnsiTheme="majorBidi" w:cstheme="majorBidi"/>
                <w:color w:val="000000"/>
                <w:sz w:val="20"/>
                <w:szCs w:val="20"/>
              </w:rPr>
            </w:pPr>
          </w:p>
        </w:tc>
        <w:tc>
          <w:tcPr>
            <w:tcW w:w="1066" w:type="dxa"/>
            <w:vAlign w:val="center"/>
          </w:tcPr>
          <w:p w14:paraId="3DA1A8C1" w14:textId="77777777" w:rsidR="00367991" w:rsidRDefault="00367991">
            <w:pPr>
              <w:jc w:val="center"/>
              <w:rPr>
                <w:rFonts w:asciiTheme="majorBidi" w:hAnsiTheme="majorBidi" w:cstheme="majorBidi"/>
                <w:color w:val="000000"/>
                <w:sz w:val="20"/>
                <w:szCs w:val="20"/>
              </w:rPr>
            </w:pPr>
          </w:p>
        </w:tc>
        <w:tc>
          <w:tcPr>
            <w:tcW w:w="1066" w:type="dxa"/>
            <w:vAlign w:val="center"/>
          </w:tcPr>
          <w:p w14:paraId="7DD3B91E" w14:textId="77777777" w:rsidR="00367991" w:rsidRDefault="00367991">
            <w:pPr>
              <w:jc w:val="center"/>
              <w:rPr>
                <w:rFonts w:asciiTheme="majorBidi" w:hAnsiTheme="majorBidi" w:cstheme="majorBidi"/>
                <w:color w:val="000000"/>
                <w:sz w:val="20"/>
                <w:szCs w:val="20"/>
              </w:rPr>
            </w:pPr>
          </w:p>
        </w:tc>
        <w:tc>
          <w:tcPr>
            <w:tcW w:w="1066" w:type="dxa"/>
            <w:vAlign w:val="center"/>
          </w:tcPr>
          <w:p w14:paraId="3E71BF44" w14:textId="77777777" w:rsidR="00367991" w:rsidRDefault="00367991">
            <w:pPr>
              <w:jc w:val="center"/>
              <w:rPr>
                <w:rFonts w:asciiTheme="majorBidi" w:hAnsiTheme="majorBidi" w:cstheme="majorBidi"/>
                <w:color w:val="000000"/>
                <w:sz w:val="20"/>
                <w:szCs w:val="20"/>
              </w:rPr>
            </w:pPr>
          </w:p>
        </w:tc>
        <w:tc>
          <w:tcPr>
            <w:tcW w:w="1066" w:type="dxa"/>
            <w:vAlign w:val="center"/>
          </w:tcPr>
          <w:p w14:paraId="2CC367D9" w14:textId="77777777" w:rsidR="00367991" w:rsidRDefault="00367991">
            <w:pPr>
              <w:jc w:val="center"/>
              <w:rPr>
                <w:rFonts w:asciiTheme="majorBidi" w:hAnsiTheme="majorBidi" w:cstheme="majorBidi"/>
                <w:color w:val="000000"/>
                <w:sz w:val="20"/>
                <w:szCs w:val="20"/>
              </w:rPr>
            </w:pPr>
          </w:p>
        </w:tc>
      </w:tr>
      <w:tr w:rsidR="00367991" w14:paraId="7E0FBD61" w14:textId="77777777" w:rsidTr="00367991">
        <w:trPr>
          <w:trHeight w:val="340"/>
        </w:trPr>
        <w:tc>
          <w:tcPr>
            <w:tcW w:w="1555" w:type="dxa"/>
            <w:vAlign w:val="center"/>
            <w:hideMark/>
          </w:tcPr>
          <w:p w14:paraId="77F2BE51"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Median age</w:t>
            </w:r>
          </w:p>
        </w:tc>
        <w:tc>
          <w:tcPr>
            <w:tcW w:w="1065" w:type="dxa"/>
            <w:vAlign w:val="center"/>
            <w:hideMark/>
          </w:tcPr>
          <w:p w14:paraId="367C27E8"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0.986</w:t>
            </w:r>
          </w:p>
        </w:tc>
        <w:tc>
          <w:tcPr>
            <w:tcW w:w="1066" w:type="dxa"/>
            <w:vAlign w:val="center"/>
            <w:hideMark/>
          </w:tcPr>
          <w:p w14:paraId="5413BA22"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13D895CD" w14:textId="77777777" w:rsidR="00367991" w:rsidRDefault="00367991">
            <w:pPr>
              <w:jc w:val="center"/>
              <w:rPr>
                <w:rFonts w:asciiTheme="majorBidi" w:hAnsiTheme="majorBidi" w:cstheme="majorBidi"/>
                <w:color w:val="000000"/>
                <w:sz w:val="20"/>
                <w:szCs w:val="20"/>
              </w:rPr>
            </w:pPr>
          </w:p>
        </w:tc>
        <w:tc>
          <w:tcPr>
            <w:tcW w:w="1066" w:type="dxa"/>
            <w:vAlign w:val="center"/>
          </w:tcPr>
          <w:p w14:paraId="76F79F14" w14:textId="77777777" w:rsidR="00367991" w:rsidRDefault="00367991">
            <w:pPr>
              <w:jc w:val="center"/>
              <w:rPr>
                <w:rFonts w:asciiTheme="majorBidi" w:hAnsiTheme="majorBidi" w:cstheme="majorBidi"/>
                <w:color w:val="000000"/>
                <w:sz w:val="20"/>
                <w:szCs w:val="20"/>
              </w:rPr>
            </w:pPr>
          </w:p>
        </w:tc>
        <w:tc>
          <w:tcPr>
            <w:tcW w:w="1066" w:type="dxa"/>
            <w:vAlign w:val="center"/>
          </w:tcPr>
          <w:p w14:paraId="149EB8A8" w14:textId="77777777" w:rsidR="00367991" w:rsidRDefault="00367991">
            <w:pPr>
              <w:jc w:val="center"/>
              <w:rPr>
                <w:rFonts w:asciiTheme="majorBidi" w:hAnsiTheme="majorBidi" w:cstheme="majorBidi"/>
                <w:color w:val="000000"/>
                <w:sz w:val="20"/>
                <w:szCs w:val="20"/>
              </w:rPr>
            </w:pPr>
          </w:p>
        </w:tc>
        <w:tc>
          <w:tcPr>
            <w:tcW w:w="1066" w:type="dxa"/>
            <w:vAlign w:val="center"/>
          </w:tcPr>
          <w:p w14:paraId="281EB836" w14:textId="77777777" w:rsidR="00367991" w:rsidRDefault="00367991">
            <w:pPr>
              <w:jc w:val="center"/>
              <w:rPr>
                <w:rFonts w:asciiTheme="majorBidi" w:hAnsiTheme="majorBidi" w:cstheme="majorBidi"/>
                <w:color w:val="000000"/>
                <w:sz w:val="20"/>
                <w:szCs w:val="20"/>
              </w:rPr>
            </w:pPr>
          </w:p>
        </w:tc>
        <w:tc>
          <w:tcPr>
            <w:tcW w:w="1066" w:type="dxa"/>
            <w:vAlign w:val="center"/>
          </w:tcPr>
          <w:p w14:paraId="3D8DA56B" w14:textId="77777777" w:rsidR="00367991" w:rsidRDefault="00367991">
            <w:pPr>
              <w:jc w:val="center"/>
              <w:rPr>
                <w:rFonts w:asciiTheme="majorBidi" w:hAnsiTheme="majorBidi" w:cstheme="majorBidi"/>
                <w:color w:val="000000"/>
                <w:sz w:val="20"/>
                <w:szCs w:val="20"/>
              </w:rPr>
            </w:pPr>
          </w:p>
        </w:tc>
      </w:tr>
      <w:tr w:rsidR="00367991" w14:paraId="4B02BEDF" w14:textId="77777777" w:rsidTr="00367991">
        <w:trPr>
          <w:trHeight w:val="340"/>
        </w:trPr>
        <w:tc>
          <w:tcPr>
            <w:tcW w:w="1555" w:type="dxa"/>
            <w:vAlign w:val="center"/>
            <w:hideMark/>
          </w:tcPr>
          <w:p w14:paraId="3CE12554"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65+</w:t>
            </w:r>
          </w:p>
        </w:tc>
        <w:tc>
          <w:tcPr>
            <w:tcW w:w="1065" w:type="dxa"/>
            <w:vAlign w:val="center"/>
            <w:hideMark/>
          </w:tcPr>
          <w:p w14:paraId="2461E15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0.969</w:t>
            </w:r>
          </w:p>
        </w:tc>
        <w:tc>
          <w:tcPr>
            <w:tcW w:w="1066" w:type="dxa"/>
            <w:vAlign w:val="center"/>
            <w:hideMark/>
          </w:tcPr>
          <w:p w14:paraId="5A0F31B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0.966</w:t>
            </w:r>
          </w:p>
        </w:tc>
        <w:tc>
          <w:tcPr>
            <w:tcW w:w="1066" w:type="dxa"/>
            <w:vAlign w:val="center"/>
            <w:hideMark/>
          </w:tcPr>
          <w:p w14:paraId="13F3AC53"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0626BA62" w14:textId="77777777" w:rsidR="00367991" w:rsidRDefault="00367991">
            <w:pPr>
              <w:jc w:val="center"/>
              <w:rPr>
                <w:rFonts w:asciiTheme="majorBidi" w:hAnsiTheme="majorBidi" w:cstheme="majorBidi"/>
                <w:color w:val="000000"/>
                <w:sz w:val="20"/>
                <w:szCs w:val="20"/>
              </w:rPr>
            </w:pPr>
          </w:p>
        </w:tc>
        <w:tc>
          <w:tcPr>
            <w:tcW w:w="1066" w:type="dxa"/>
            <w:vAlign w:val="center"/>
          </w:tcPr>
          <w:p w14:paraId="16C8E6FE" w14:textId="77777777" w:rsidR="00367991" w:rsidRDefault="00367991">
            <w:pPr>
              <w:jc w:val="center"/>
              <w:rPr>
                <w:rFonts w:asciiTheme="majorBidi" w:hAnsiTheme="majorBidi" w:cstheme="majorBidi"/>
                <w:color w:val="000000"/>
                <w:sz w:val="20"/>
                <w:szCs w:val="20"/>
              </w:rPr>
            </w:pPr>
          </w:p>
        </w:tc>
        <w:tc>
          <w:tcPr>
            <w:tcW w:w="1066" w:type="dxa"/>
            <w:vAlign w:val="center"/>
          </w:tcPr>
          <w:p w14:paraId="34526A40" w14:textId="77777777" w:rsidR="00367991" w:rsidRDefault="00367991">
            <w:pPr>
              <w:jc w:val="center"/>
              <w:rPr>
                <w:rFonts w:asciiTheme="majorBidi" w:hAnsiTheme="majorBidi" w:cstheme="majorBidi"/>
                <w:color w:val="000000"/>
                <w:sz w:val="20"/>
                <w:szCs w:val="20"/>
              </w:rPr>
            </w:pPr>
          </w:p>
        </w:tc>
        <w:tc>
          <w:tcPr>
            <w:tcW w:w="1066" w:type="dxa"/>
            <w:vAlign w:val="center"/>
          </w:tcPr>
          <w:p w14:paraId="58C2FA22" w14:textId="77777777" w:rsidR="00367991" w:rsidRDefault="00367991">
            <w:pPr>
              <w:jc w:val="center"/>
              <w:rPr>
                <w:rFonts w:asciiTheme="majorBidi" w:hAnsiTheme="majorBidi" w:cstheme="majorBidi"/>
                <w:color w:val="000000"/>
                <w:sz w:val="20"/>
                <w:szCs w:val="20"/>
              </w:rPr>
            </w:pPr>
          </w:p>
        </w:tc>
      </w:tr>
      <w:tr w:rsidR="00367991" w14:paraId="7CDA82D8" w14:textId="77777777" w:rsidTr="00367991">
        <w:trPr>
          <w:trHeight w:val="340"/>
        </w:trPr>
        <w:tc>
          <w:tcPr>
            <w:tcW w:w="1555" w:type="dxa"/>
            <w:vAlign w:val="center"/>
            <w:hideMark/>
          </w:tcPr>
          <w:p w14:paraId="436146A8"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Proportion 85+</w:t>
            </w:r>
          </w:p>
        </w:tc>
        <w:tc>
          <w:tcPr>
            <w:tcW w:w="1065" w:type="dxa"/>
            <w:vAlign w:val="center"/>
            <w:hideMark/>
          </w:tcPr>
          <w:p w14:paraId="05E0661D"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0.926</w:t>
            </w:r>
          </w:p>
        </w:tc>
        <w:tc>
          <w:tcPr>
            <w:tcW w:w="1066" w:type="dxa"/>
            <w:vAlign w:val="center"/>
            <w:hideMark/>
          </w:tcPr>
          <w:p w14:paraId="0CBA1A2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0.887</w:t>
            </w:r>
          </w:p>
        </w:tc>
        <w:tc>
          <w:tcPr>
            <w:tcW w:w="1066" w:type="dxa"/>
            <w:vAlign w:val="center"/>
            <w:hideMark/>
          </w:tcPr>
          <w:p w14:paraId="5A8A7680"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0.930</w:t>
            </w:r>
          </w:p>
        </w:tc>
        <w:tc>
          <w:tcPr>
            <w:tcW w:w="1066" w:type="dxa"/>
            <w:vAlign w:val="center"/>
            <w:hideMark/>
          </w:tcPr>
          <w:p w14:paraId="0CF1040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1533B611" w14:textId="77777777" w:rsidR="00367991" w:rsidRDefault="00367991">
            <w:pPr>
              <w:jc w:val="center"/>
              <w:rPr>
                <w:rFonts w:asciiTheme="majorBidi" w:hAnsiTheme="majorBidi" w:cstheme="majorBidi"/>
                <w:color w:val="000000"/>
                <w:sz w:val="20"/>
                <w:szCs w:val="20"/>
              </w:rPr>
            </w:pPr>
          </w:p>
        </w:tc>
        <w:tc>
          <w:tcPr>
            <w:tcW w:w="1066" w:type="dxa"/>
            <w:vAlign w:val="center"/>
          </w:tcPr>
          <w:p w14:paraId="7BDC6EE2" w14:textId="77777777" w:rsidR="00367991" w:rsidRDefault="00367991">
            <w:pPr>
              <w:jc w:val="center"/>
              <w:rPr>
                <w:rFonts w:asciiTheme="majorBidi" w:hAnsiTheme="majorBidi" w:cstheme="majorBidi"/>
                <w:color w:val="000000"/>
                <w:sz w:val="20"/>
                <w:szCs w:val="20"/>
              </w:rPr>
            </w:pPr>
          </w:p>
        </w:tc>
        <w:tc>
          <w:tcPr>
            <w:tcW w:w="1066" w:type="dxa"/>
            <w:vAlign w:val="center"/>
          </w:tcPr>
          <w:p w14:paraId="5296C398" w14:textId="77777777" w:rsidR="00367991" w:rsidRDefault="00367991">
            <w:pPr>
              <w:jc w:val="center"/>
              <w:rPr>
                <w:rFonts w:asciiTheme="majorBidi" w:hAnsiTheme="majorBidi" w:cstheme="majorBidi"/>
                <w:color w:val="000000"/>
                <w:sz w:val="20"/>
                <w:szCs w:val="20"/>
              </w:rPr>
            </w:pPr>
          </w:p>
        </w:tc>
      </w:tr>
      <w:tr w:rsidR="00367991" w14:paraId="32A861E1" w14:textId="77777777" w:rsidTr="00367991">
        <w:trPr>
          <w:trHeight w:val="340"/>
        </w:trPr>
        <w:tc>
          <w:tcPr>
            <w:tcW w:w="1555" w:type="dxa"/>
            <w:vAlign w:val="center"/>
            <w:hideMark/>
          </w:tcPr>
          <w:p w14:paraId="65DA967F" w14:textId="77777777" w:rsidR="00367991" w:rsidRDefault="00367991">
            <w:pPr>
              <w:rPr>
                <w:rFonts w:asciiTheme="majorBidi" w:hAnsiTheme="majorBidi" w:cstheme="majorBidi"/>
                <w:sz w:val="20"/>
                <w:szCs w:val="20"/>
              </w:rPr>
            </w:pPr>
            <w:r>
              <w:rPr>
                <w:rFonts w:asciiTheme="majorBidi" w:hAnsiTheme="majorBidi" w:cstheme="majorBidi"/>
                <w:color w:val="000000"/>
                <w:sz w:val="20"/>
                <w:szCs w:val="20"/>
              </w:rPr>
              <w:t>CER</w:t>
            </w:r>
          </w:p>
        </w:tc>
        <w:tc>
          <w:tcPr>
            <w:tcW w:w="1065" w:type="dxa"/>
            <w:vAlign w:val="center"/>
            <w:hideMark/>
          </w:tcPr>
          <w:p w14:paraId="0DCC740F"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0.915</w:t>
            </w:r>
          </w:p>
        </w:tc>
        <w:tc>
          <w:tcPr>
            <w:tcW w:w="1066" w:type="dxa"/>
            <w:vAlign w:val="center"/>
            <w:hideMark/>
          </w:tcPr>
          <w:p w14:paraId="778D28D4"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0.869</w:t>
            </w:r>
          </w:p>
        </w:tc>
        <w:tc>
          <w:tcPr>
            <w:tcW w:w="1066" w:type="dxa"/>
            <w:vAlign w:val="center"/>
            <w:hideMark/>
          </w:tcPr>
          <w:p w14:paraId="7D6454DB"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0.845</w:t>
            </w:r>
          </w:p>
        </w:tc>
        <w:tc>
          <w:tcPr>
            <w:tcW w:w="1066" w:type="dxa"/>
            <w:vAlign w:val="center"/>
            <w:hideMark/>
          </w:tcPr>
          <w:p w14:paraId="0D1861E7"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0.841</w:t>
            </w:r>
          </w:p>
        </w:tc>
        <w:tc>
          <w:tcPr>
            <w:tcW w:w="1066" w:type="dxa"/>
            <w:vAlign w:val="center"/>
            <w:hideMark/>
          </w:tcPr>
          <w:p w14:paraId="7B7096A2"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294FBC24" w14:textId="77777777" w:rsidR="00367991" w:rsidRDefault="00367991">
            <w:pPr>
              <w:jc w:val="center"/>
              <w:rPr>
                <w:rFonts w:asciiTheme="majorBidi" w:hAnsiTheme="majorBidi" w:cstheme="majorBidi"/>
                <w:color w:val="000000"/>
                <w:sz w:val="20"/>
                <w:szCs w:val="20"/>
              </w:rPr>
            </w:pPr>
          </w:p>
        </w:tc>
        <w:tc>
          <w:tcPr>
            <w:tcW w:w="1066" w:type="dxa"/>
            <w:vAlign w:val="center"/>
          </w:tcPr>
          <w:p w14:paraId="72F16B25" w14:textId="77777777" w:rsidR="00367991" w:rsidRDefault="00367991">
            <w:pPr>
              <w:jc w:val="center"/>
              <w:rPr>
                <w:rFonts w:asciiTheme="majorBidi" w:hAnsiTheme="majorBidi" w:cstheme="majorBidi"/>
                <w:color w:val="000000"/>
                <w:sz w:val="20"/>
                <w:szCs w:val="20"/>
              </w:rPr>
            </w:pPr>
          </w:p>
        </w:tc>
      </w:tr>
      <w:tr w:rsidR="00367991" w14:paraId="49E6B3E6" w14:textId="77777777" w:rsidTr="00367991">
        <w:trPr>
          <w:trHeight w:val="340"/>
        </w:trPr>
        <w:tc>
          <w:tcPr>
            <w:tcW w:w="1555" w:type="dxa"/>
            <w:vAlign w:val="center"/>
            <w:hideMark/>
          </w:tcPr>
          <w:p w14:paraId="00BFBCE6" w14:textId="77777777" w:rsidR="00367991" w:rsidRDefault="00367991">
            <w:pPr>
              <w:rPr>
                <w:rFonts w:asciiTheme="majorBidi" w:hAnsiTheme="majorBidi" w:cstheme="majorBidi"/>
                <w:color w:val="000000"/>
                <w:sz w:val="20"/>
                <w:szCs w:val="20"/>
              </w:rPr>
            </w:pPr>
            <w:r>
              <w:rPr>
                <w:rFonts w:asciiTheme="majorBidi" w:hAnsiTheme="majorBidi" w:cstheme="majorBidi"/>
                <w:color w:val="000000"/>
                <w:sz w:val="20"/>
                <w:szCs w:val="20"/>
              </w:rPr>
              <w:t>OADR</w:t>
            </w:r>
          </w:p>
        </w:tc>
        <w:tc>
          <w:tcPr>
            <w:tcW w:w="1065" w:type="dxa"/>
            <w:vAlign w:val="center"/>
            <w:hideMark/>
          </w:tcPr>
          <w:p w14:paraId="56BE73F5"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0.947</w:t>
            </w:r>
          </w:p>
        </w:tc>
        <w:tc>
          <w:tcPr>
            <w:tcW w:w="1066" w:type="dxa"/>
            <w:vAlign w:val="center"/>
            <w:hideMark/>
          </w:tcPr>
          <w:p w14:paraId="637364E1"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0.953</w:t>
            </w:r>
          </w:p>
        </w:tc>
        <w:tc>
          <w:tcPr>
            <w:tcW w:w="1066" w:type="dxa"/>
            <w:vAlign w:val="center"/>
            <w:hideMark/>
          </w:tcPr>
          <w:p w14:paraId="5CF2001A"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0.994</w:t>
            </w:r>
          </w:p>
        </w:tc>
        <w:tc>
          <w:tcPr>
            <w:tcW w:w="1066" w:type="dxa"/>
            <w:vAlign w:val="center"/>
            <w:hideMark/>
          </w:tcPr>
          <w:p w14:paraId="4AFAC2A8"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0.912</w:t>
            </w:r>
          </w:p>
        </w:tc>
        <w:tc>
          <w:tcPr>
            <w:tcW w:w="1066" w:type="dxa"/>
            <w:vAlign w:val="center"/>
            <w:hideMark/>
          </w:tcPr>
          <w:p w14:paraId="110A7F60"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0.807</w:t>
            </w:r>
          </w:p>
        </w:tc>
        <w:tc>
          <w:tcPr>
            <w:tcW w:w="1066" w:type="dxa"/>
            <w:vAlign w:val="center"/>
            <w:hideMark/>
          </w:tcPr>
          <w:p w14:paraId="5AC53F45"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66" w:type="dxa"/>
            <w:vAlign w:val="center"/>
          </w:tcPr>
          <w:p w14:paraId="5C191926" w14:textId="77777777" w:rsidR="00367991" w:rsidRDefault="00367991">
            <w:pPr>
              <w:jc w:val="center"/>
              <w:rPr>
                <w:rFonts w:asciiTheme="majorBidi" w:hAnsiTheme="majorBidi" w:cstheme="majorBidi"/>
                <w:color w:val="000000"/>
                <w:sz w:val="20"/>
                <w:szCs w:val="20"/>
              </w:rPr>
            </w:pPr>
          </w:p>
        </w:tc>
      </w:tr>
      <w:tr w:rsidR="00367991" w14:paraId="529C036C" w14:textId="77777777" w:rsidTr="00367991">
        <w:trPr>
          <w:trHeight w:val="340"/>
        </w:trPr>
        <w:tc>
          <w:tcPr>
            <w:tcW w:w="1555" w:type="dxa"/>
            <w:vAlign w:val="center"/>
            <w:hideMark/>
          </w:tcPr>
          <w:p w14:paraId="32906A61" w14:textId="77777777" w:rsidR="00367991" w:rsidRDefault="00367991">
            <w:pPr>
              <w:rPr>
                <w:rFonts w:asciiTheme="majorBidi" w:hAnsiTheme="majorBidi" w:cstheme="majorBidi"/>
                <w:color w:val="000000"/>
                <w:sz w:val="20"/>
                <w:szCs w:val="20"/>
              </w:rPr>
            </w:pPr>
            <w:r>
              <w:rPr>
                <w:rFonts w:asciiTheme="majorBidi" w:hAnsiTheme="majorBidi" w:cstheme="majorBidi"/>
                <w:color w:val="000000"/>
                <w:sz w:val="20"/>
                <w:szCs w:val="20"/>
              </w:rPr>
              <w:t>RMSA</w:t>
            </w:r>
          </w:p>
        </w:tc>
        <w:tc>
          <w:tcPr>
            <w:tcW w:w="1065" w:type="dxa"/>
            <w:vAlign w:val="center"/>
            <w:hideMark/>
          </w:tcPr>
          <w:p w14:paraId="694DCD53"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0.993</w:t>
            </w:r>
          </w:p>
        </w:tc>
        <w:tc>
          <w:tcPr>
            <w:tcW w:w="1066" w:type="dxa"/>
            <w:vAlign w:val="center"/>
            <w:hideMark/>
          </w:tcPr>
          <w:p w14:paraId="68CACAEE"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0.986</w:t>
            </w:r>
          </w:p>
        </w:tc>
        <w:tc>
          <w:tcPr>
            <w:tcW w:w="1066" w:type="dxa"/>
            <w:vAlign w:val="center"/>
            <w:hideMark/>
          </w:tcPr>
          <w:p w14:paraId="46D80E3D"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0.988</w:t>
            </w:r>
          </w:p>
        </w:tc>
        <w:tc>
          <w:tcPr>
            <w:tcW w:w="1066" w:type="dxa"/>
            <w:vAlign w:val="center"/>
            <w:hideMark/>
          </w:tcPr>
          <w:p w14:paraId="69A704B6"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0.936</w:t>
            </w:r>
          </w:p>
        </w:tc>
        <w:tc>
          <w:tcPr>
            <w:tcW w:w="1066" w:type="dxa"/>
            <w:vAlign w:val="center"/>
            <w:hideMark/>
          </w:tcPr>
          <w:p w14:paraId="476CB00E"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0.886</w:t>
            </w:r>
          </w:p>
        </w:tc>
        <w:tc>
          <w:tcPr>
            <w:tcW w:w="1066" w:type="dxa"/>
            <w:vAlign w:val="center"/>
            <w:hideMark/>
          </w:tcPr>
          <w:p w14:paraId="2FAADF2E"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0.974</w:t>
            </w:r>
          </w:p>
        </w:tc>
        <w:tc>
          <w:tcPr>
            <w:tcW w:w="1066" w:type="dxa"/>
            <w:vAlign w:val="center"/>
            <w:hideMark/>
          </w:tcPr>
          <w:p w14:paraId="4940B63C" w14:textId="77777777" w:rsidR="00367991" w:rsidRDefault="00367991">
            <w:pPr>
              <w:jc w:val="center"/>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44411DDC" w14:textId="77777777" w:rsidR="00367991" w:rsidRDefault="00367991" w:rsidP="00367991">
      <w:pPr>
        <w:spacing w:line="24" w:lineRule="atLeast"/>
        <w:jc w:val="both"/>
        <w:rPr>
          <w:sz w:val="20"/>
          <w:szCs w:val="20"/>
          <w:lang w:val="en-NZ" w:eastAsia="zh-CN"/>
        </w:rPr>
      </w:pPr>
      <w:r>
        <w:rPr>
          <w:sz w:val="20"/>
          <w:szCs w:val="20"/>
        </w:rPr>
        <w:t xml:space="preserve">N.B. Calculations based on data from United Nations World Population Prospects. </w:t>
      </w:r>
      <w:r>
        <w:rPr>
          <w:sz w:val="20"/>
          <w:szCs w:val="20"/>
          <w:vertAlign w:val="superscript"/>
        </w:rPr>
        <w:t>*</w:t>
      </w:r>
      <w:r>
        <w:rPr>
          <w:sz w:val="20"/>
          <w:szCs w:val="20"/>
        </w:rPr>
        <w:t xml:space="preserve"> Child-elder ratio; for comparability, for the child-elder ratio the absolute value of each correlation is shown, as this measure is negatively correlated with all other measures;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Old-age dependency ratio; </w:t>
      </w:r>
      <w:r>
        <w:rPr>
          <w:rFonts w:asciiTheme="majorBidi" w:hAnsiTheme="majorBidi" w:cstheme="majorBidi"/>
          <w:color w:val="000000"/>
          <w:sz w:val="20"/>
          <w:szCs w:val="20"/>
          <w:vertAlign w:val="superscript"/>
        </w:rPr>
        <w:t>***</w:t>
      </w:r>
      <w:r>
        <w:rPr>
          <w:rFonts w:asciiTheme="majorBidi" w:hAnsiTheme="majorBidi" w:cstheme="majorBidi"/>
          <w:color w:val="000000"/>
          <w:sz w:val="20"/>
          <w:szCs w:val="20"/>
        </w:rPr>
        <w:t xml:space="preserve"> Root-mean-squared age.</w:t>
      </w:r>
    </w:p>
    <w:p w14:paraId="5CCCB04F" w14:textId="77777777" w:rsidR="00F37018" w:rsidRPr="00367991" w:rsidRDefault="00F37018" w:rsidP="001A3FC7"/>
    <w:sectPr w:rsidR="00F37018" w:rsidRPr="00367991" w:rsidSect="00A408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61B6C" w14:textId="77777777" w:rsidR="0059221B" w:rsidRDefault="0059221B" w:rsidP="00041B51">
      <w:r>
        <w:separator/>
      </w:r>
    </w:p>
  </w:endnote>
  <w:endnote w:type="continuationSeparator" w:id="0">
    <w:p w14:paraId="5522D0AB" w14:textId="77777777" w:rsidR="0059221B" w:rsidRDefault="0059221B"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16733"/>
      <w:docPartObj>
        <w:docPartGallery w:val="Page Numbers (Bottom of Page)"/>
        <w:docPartUnique/>
      </w:docPartObj>
    </w:sdtPr>
    <w:sdtEndPr>
      <w:rPr>
        <w:noProof/>
      </w:rPr>
    </w:sdtEndPr>
    <w:sdtContent>
      <w:p w14:paraId="4134563E" w14:textId="0DA275A9" w:rsidR="00A015FE" w:rsidRDefault="00A015F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FDD55B4" w14:textId="77777777" w:rsidR="00A015FE" w:rsidRDefault="00A015FE"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03677" w14:textId="77777777" w:rsidR="0059221B" w:rsidRDefault="0059221B" w:rsidP="00041B51">
      <w:r>
        <w:separator/>
      </w:r>
    </w:p>
  </w:footnote>
  <w:footnote w:type="continuationSeparator" w:id="0">
    <w:p w14:paraId="28A0DB6B" w14:textId="77777777" w:rsidR="0059221B" w:rsidRDefault="0059221B" w:rsidP="00041B51">
      <w:r>
        <w:continuationSeparator/>
      </w:r>
    </w:p>
  </w:footnote>
  <w:footnote w:id="1">
    <w:p w14:paraId="46541A8E" w14:textId="77777777" w:rsidR="00A015FE" w:rsidRDefault="00A015FE" w:rsidP="008A1514">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While the coefficient α could, in principle, be any real number, we note that it would be conventional to use a positive number for α.</w:t>
      </w:r>
    </w:p>
  </w:footnote>
  <w:footnote w:id="2">
    <w:p w14:paraId="1BC41465" w14:textId="50222639" w:rsidR="00A015FE" w:rsidRPr="001C1A90" w:rsidRDefault="00A015FE">
      <w:pPr>
        <w:pStyle w:val="FootnoteText"/>
        <w:rPr>
          <w:lang w:val="en-NZ"/>
        </w:rPr>
      </w:pPr>
      <w:r>
        <w:rPr>
          <w:rStyle w:val="FootnoteReference"/>
        </w:rPr>
        <w:footnoteRef/>
      </w:r>
      <w:r>
        <w:t xml:space="preserve"> </w:t>
      </w:r>
      <w:hyperlink r:id="rId1" w:history="1">
        <w:r w:rsidR="006C1AE6">
          <w:rPr>
            <w:rStyle w:val="Hyperlink"/>
          </w:rPr>
          <w:t>https://population.un.org/wpp/Download/</w:t>
        </w:r>
      </w:hyperlink>
    </w:p>
  </w:footnote>
  <w:footnote w:id="3">
    <w:p w14:paraId="6099B9C3" w14:textId="4DE0E807" w:rsidR="00A015FE" w:rsidRPr="001C1A90" w:rsidRDefault="00A015FE">
      <w:pPr>
        <w:pStyle w:val="FootnoteText"/>
      </w:pPr>
      <w:r>
        <w:rPr>
          <w:rStyle w:val="FootnoteReference"/>
        </w:rPr>
        <w:footnoteRef/>
      </w:r>
      <w:r>
        <w:t xml:space="preserve"> </w:t>
      </w:r>
      <w:hyperlink r:id="rId2" w:history="1">
        <w:r w:rsidR="00560FF6">
          <w:rPr>
            <w:rStyle w:val="Hyperlink"/>
          </w:rPr>
          <w:t>https://www.census.gov/data/tables.html</w:t>
        </w:r>
      </w:hyperlink>
    </w:p>
  </w:footnote>
  <w:footnote w:id="4">
    <w:p w14:paraId="4F33F483" w14:textId="20791075" w:rsidR="00A015FE" w:rsidRPr="001C1A90" w:rsidRDefault="00A015FE">
      <w:pPr>
        <w:pStyle w:val="FootnoteText"/>
      </w:pPr>
      <w:r>
        <w:rPr>
          <w:rStyle w:val="FootnoteReference"/>
        </w:rPr>
        <w:footnoteRef/>
      </w:r>
      <w:r>
        <w:t xml:space="preserve"> </w:t>
      </w:r>
      <w:hyperlink r:id="rId3" w:history="1">
        <w:r w:rsidR="00560FF6">
          <w:rPr>
            <w:rStyle w:val="Hyperlink"/>
          </w:rPr>
          <w:t>http://nzdotstat.stats.govt.nz/wbos/Index.aspx</w:t>
        </w:r>
      </w:hyperlink>
    </w:p>
  </w:footnote>
  <w:footnote w:id="5">
    <w:p w14:paraId="45BA374C" w14:textId="77777777" w:rsidR="00A015FE" w:rsidRDefault="00A015FE" w:rsidP="008A1514">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New Zealand has 67 territorial authorities (13 cities, 53 districts, and the Chatham Islands Territory). Auckland City, the largest territorial authority with approximately one quarter of the total population, is further disaggregated into 21 local boards.</w:t>
      </w:r>
    </w:p>
  </w:footnote>
  <w:footnote w:id="6">
    <w:p w14:paraId="41DC7CB1" w14:textId="77777777" w:rsidR="00A015FE" w:rsidRDefault="00A015FE" w:rsidP="00E96F39">
      <w:pPr>
        <w:pStyle w:val="FootnoteText"/>
        <w:rPr>
          <w:rFonts w:asciiTheme="minorHAnsi" w:hAnsiTheme="minorHAnsi" w:cstheme="minorBidi"/>
        </w:rPr>
      </w:pPr>
      <w:r>
        <w:rPr>
          <w:rStyle w:val="FootnoteReference"/>
        </w:rPr>
        <w:footnoteRef/>
      </w:r>
      <w:r>
        <w:t xml:space="preserve"> </w:t>
      </w:r>
      <w:r>
        <w:rPr>
          <w:rFonts w:asciiTheme="majorBidi" w:hAnsiTheme="majorBidi" w:cstheme="majorBidi"/>
        </w:rPr>
        <w:t>Corresponding correlation tables for other years are available on request from the author.</w:t>
      </w:r>
    </w:p>
  </w:footnote>
  <w:footnote w:id="7">
    <w:p w14:paraId="0E92F9A4" w14:textId="77777777" w:rsidR="00A015FE" w:rsidRDefault="00A015FE" w:rsidP="001A3FC7">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Corresponding figures for other years are available on request from the author.</w:t>
      </w:r>
    </w:p>
  </w:footnote>
  <w:footnote w:id="8">
    <w:p w14:paraId="1D648904" w14:textId="77777777" w:rsidR="00A015FE" w:rsidRDefault="00A015FE" w:rsidP="001A3FC7">
      <w:pPr>
        <w:pStyle w:val="FootnoteText"/>
        <w:rPr>
          <w:rFonts w:asciiTheme="minorHAnsi" w:hAnsiTheme="minorHAnsi" w:cstheme="minorBidi"/>
        </w:rPr>
      </w:pPr>
      <w:r>
        <w:rPr>
          <w:rStyle w:val="FootnoteReference"/>
        </w:rPr>
        <w:footnoteRef/>
      </w:r>
      <w:r>
        <w:t xml:space="preserve"> </w:t>
      </w:r>
      <w:r>
        <w:rPr>
          <w:rFonts w:asciiTheme="majorBidi" w:hAnsiTheme="majorBidi" w:cstheme="majorBidi"/>
        </w:rPr>
        <w:t>Corresponding correlation tables for other years are available on request from the author.</w:t>
      </w:r>
    </w:p>
  </w:footnote>
  <w:footnote w:id="9">
    <w:p w14:paraId="38A63EC3" w14:textId="77777777" w:rsidR="00A015FE" w:rsidRDefault="00A015FE" w:rsidP="001A3FC7">
      <w:pPr>
        <w:pStyle w:val="FootnoteText"/>
        <w:rPr>
          <w:rFonts w:asciiTheme="minorHAnsi" w:hAnsiTheme="minorHAnsi" w:cstheme="minorBidi"/>
        </w:rPr>
      </w:pPr>
      <w:r>
        <w:rPr>
          <w:rStyle w:val="FootnoteReference"/>
        </w:rPr>
        <w:footnoteRef/>
      </w:r>
      <w:r>
        <w:t xml:space="preserve"> </w:t>
      </w:r>
      <w:r>
        <w:rPr>
          <w:rFonts w:asciiTheme="majorBidi" w:hAnsiTheme="majorBidi" w:cstheme="majorBidi"/>
        </w:rPr>
        <w:t>Corresponding correlation tables for other years are available on request from the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56DA"/>
    <w:multiLevelType w:val="hybridMultilevel"/>
    <w:tmpl w:val="BFB629AA"/>
    <w:lvl w:ilvl="0" w:tplc="4B4E5C00">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60D92002"/>
    <w:multiLevelType w:val="hybridMultilevel"/>
    <w:tmpl w:val="39C6BF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30582"/>
    <w:rsid w:val="00031228"/>
    <w:rsid w:val="00033032"/>
    <w:rsid w:val="000367C1"/>
    <w:rsid w:val="00041B51"/>
    <w:rsid w:val="00041E5C"/>
    <w:rsid w:val="0004779F"/>
    <w:rsid w:val="00047837"/>
    <w:rsid w:val="00050CF8"/>
    <w:rsid w:val="00051386"/>
    <w:rsid w:val="00057246"/>
    <w:rsid w:val="0005755C"/>
    <w:rsid w:val="00057C45"/>
    <w:rsid w:val="0006349F"/>
    <w:rsid w:val="00063F3F"/>
    <w:rsid w:val="000675D8"/>
    <w:rsid w:val="00067FBF"/>
    <w:rsid w:val="00070987"/>
    <w:rsid w:val="00072E9C"/>
    <w:rsid w:val="000735B3"/>
    <w:rsid w:val="0007389D"/>
    <w:rsid w:val="00073911"/>
    <w:rsid w:val="000746F6"/>
    <w:rsid w:val="0007486A"/>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1C"/>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760B"/>
    <w:rsid w:val="00100E46"/>
    <w:rsid w:val="00100FD0"/>
    <w:rsid w:val="00102D8A"/>
    <w:rsid w:val="00103DED"/>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400B"/>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3FC7"/>
    <w:rsid w:val="001A5A99"/>
    <w:rsid w:val="001A5D60"/>
    <w:rsid w:val="001A63E7"/>
    <w:rsid w:val="001A6B16"/>
    <w:rsid w:val="001B0300"/>
    <w:rsid w:val="001B33C1"/>
    <w:rsid w:val="001B3915"/>
    <w:rsid w:val="001B7029"/>
    <w:rsid w:val="001C0A06"/>
    <w:rsid w:val="001C1801"/>
    <w:rsid w:val="001C1A90"/>
    <w:rsid w:val="001C28FF"/>
    <w:rsid w:val="001C5335"/>
    <w:rsid w:val="001C5F85"/>
    <w:rsid w:val="001D0327"/>
    <w:rsid w:val="001D1DE8"/>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07C"/>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4"/>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E7987"/>
    <w:rsid w:val="002F0F43"/>
    <w:rsid w:val="002F2FB3"/>
    <w:rsid w:val="002F5A31"/>
    <w:rsid w:val="002F6035"/>
    <w:rsid w:val="002F6C68"/>
    <w:rsid w:val="002F6FB2"/>
    <w:rsid w:val="002F7103"/>
    <w:rsid w:val="00300A6E"/>
    <w:rsid w:val="0030393C"/>
    <w:rsid w:val="00307DD4"/>
    <w:rsid w:val="00310AE8"/>
    <w:rsid w:val="003139FE"/>
    <w:rsid w:val="00314C6B"/>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2DE"/>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991"/>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A5D"/>
    <w:rsid w:val="00442D88"/>
    <w:rsid w:val="00442E2C"/>
    <w:rsid w:val="00446566"/>
    <w:rsid w:val="00450E78"/>
    <w:rsid w:val="0045120A"/>
    <w:rsid w:val="00452611"/>
    <w:rsid w:val="00457422"/>
    <w:rsid w:val="004578DB"/>
    <w:rsid w:val="00461332"/>
    <w:rsid w:val="00461EBA"/>
    <w:rsid w:val="0046230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65D7"/>
    <w:rsid w:val="004C6610"/>
    <w:rsid w:val="004D395A"/>
    <w:rsid w:val="004D5A2F"/>
    <w:rsid w:val="004D6270"/>
    <w:rsid w:val="004D679B"/>
    <w:rsid w:val="004D6E30"/>
    <w:rsid w:val="004D7120"/>
    <w:rsid w:val="004E02FD"/>
    <w:rsid w:val="004E0672"/>
    <w:rsid w:val="004E0B09"/>
    <w:rsid w:val="004E1E2C"/>
    <w:rsid w:val="004E20A2"/>
    <w:rsid w:val="004E22D1"/>
    <w:rsid w:val="004E28AA"/>
    <w:rsid w:val="004E4ABA"/>
    <w:rsid w:val="004E5E11"/>
    <w:rsid w:val="004E7228"/>
    <w:rsid w:val="004F0B12"/>
    <w:rsid w:val="004F0E6F"/>
    <w:rsid w:val="004F3A7C"/>
    <w:rsid w:val="004F56BD"/>
    <w:rsid w:val="004F7051"/>
    <w:rsid w:val="004F7B43"/>
    <w:rsid w:val="00500048"/>
    <w:rsid w:val="00500654"/>
    <w:rsid w:val="00501910"/>
    <w:rsid w:val="0050259F"/>
    <w:rsid w:val="005034D0"/>
    <w:rsid w:val="005042B5"/>
    <w:rsid w:val="00505496"/>
    <w:rsid w:val="00506F13"/>
    <w:rsid w:val="00513614"/>
    <w:rsid w:val="0051697B"/>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0FF6"/>
    <w:rsid w:val="00561455"/>
    <w:rsid w:val="00562410"/>
    <w:rsid w:val="00562C53"/>
    <w:rsid w:val="005630AA"/>
    <w:rsid w:val="00565AA2"/>
    <w:rsid w:val="00566CBC"/>
    <w:rsid w:val="00574485"/>
    <w:rsid w:val="00581D4D"/>
    <w:rsid w:val="005824C3"/>
    <w:rsid w:val="00584CCB"/>
    <w:rsid w:val="00585DB9"/>
    <w:rsid w:val="005878FF"/>
    <w:rsid w:val="00590CCB"/>
    <w:rsid w:val="0059221B"/>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0435"/>
    <w:rsid w:val="00672201"/>
    <w:rsid w:val="006727DE"/>
    <w:rsid w:val="00672C40"/>
    <w:rsid w:val="00674B7E"/>
    <w:rsid w:val="006752D5"/>
    <w:rsid w:val="00675423"/>
    <w:rsid w:val="00675A8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97F2C"/>
    <w:rsid w:val="006A34A3"/>
    <w:rsid w:val="006A4C7C"/>
    <w:rsid w:val="006A5EAB"/>
    <w:rsid w:val="006B5973"/>
    <w:rsid w:val="006B76A8"/>
    <w:rsid w:val="006C0B8A"/>
    <w:rsid w:val="006C18F4"/>
    <w:rsid w:val="006C1AE6"/>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1E34"/>
    <w:rsid w:val="0076311C"/>
    <w:rsid w:val="00763BEE"/>
    <w:rsid w:val="00764844"/>
    <w:rsid w:val="00767086"/>
    <w:rsid w:val="00774997"/>
    <w:rsid w:val="00775E17"/>
    <w:rsid w:val="00781B1E"/>
    <w:rsid w:val="007839CF"/>
    <w:rsid w:val="00785ED2"/>
    <w:rsid w:val="00787C02"/>
    <w:rsid w:val="00790A4E"/>
    <w:rsid w:val="00791D90"/>
    <w:rsid w:val="00792DD7"/>
    <w:rsid w:val="0079469B"/>
    <w:rsid w:val="00794891"/>
    <w:rsid w:val="0079528C"/>
    <w:rsid w:val="00797145"/>
    <w:rsid w:val="007A2D16"/>
    <w:rsid w:val="007A5F7A"/>
    <w:rsid w:val="007A6663"/>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E596C"/>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1805"/>
    <w:rsid w:val="008922C7"/>
    <w:rsid w:val="0089365D"/>
    <w:rsid w:val="00893CD0"/>
    <w:rsid w:val="00895989"/>
    <w:rsid w:val="008A08D2"/>
    <w:rsid w:val="008A1514"/>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3D5"/>
    <w:rsid w:val="008F0AF8"/>
    <w:rsid w:val="008F1037"/>
    <w:rsid w:val="008F2AC3"/>
    <w:rsid w:val="008F3B19"/>
    <w:rsid w:val="008F4DBB"/>
    <w:rsid w:val="008F6131"/>
    <w:rsid w:val="008F61FB"/>
    <w:rsid w:val="009066D5"/>
    <w:rsid w:val="00906876"/>
    <w:rsid w:val="009068DB"/>
    <w:rsid w:val="00911B11"/>
    <w:rsid w:val="009123BF"/>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4100"/>
    <w:rsid w:val="009646BF"/>
    <w:rsid w:val="009652E4"/>
    <w:rsid w:val="00965C7D"/>
    <w:rsid w:val="009666E8"/>
    <w:rsid w:val="00967724"/>
    <w:rsid w:val="00971B27"/>
    <w:rsid w:val="00971CA3"/>
    <w:rsid w:val="009737DD"/>
    <w:rsid w:val="00976106"/>
    <w:rsid w:val="0097653E"/>
    <w:rsid w:val="009768A8"/>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93692"/>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5FE"/>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5581"/>
    <w:rsid w:val="00A770C8"/>
    <w:rsid w:val="00A81148"/>
    <w:rsid w:val="00A83553"/>
    <w:rsid w:val="00A83633"/>
    <w:rsid w:val="00A83F73"/>
    <w:rsid w:val="00A84BE3"/>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5A"/>
    <w:rsid w:val="00AA5465"/>
    <w:rsid w:val="00AB3594"/>
    <w:rsid w:val="00AB4FA3"/>
    <w:rsid w:val="00AB526E"/>
    <w:rsid w:val="00AB5A35"/>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5322"/>
    <w:rsid w:val="00B75857"/>
    <w:rsid w:val="00B75B66"/>
    <w:rsid w:val="00B76A5A"/>
    <w:rsid w:val="00B8172B"/>
    <w:rsid w:val="00B8391E"/>
    <w:rsid w:val="00B83D9B"/>
    <w:rsid w:val="00B86A26"/>
    <w:rsid w:val="00B900D5"/>
    <w:rsid w:val="00B91E27"/>
    <w:rsid w:val="00B96DB8"/>
    <w:rsid w:val="00B97B17"/>
    <w:rsid w:val="00B97B7E"/>
    <w:rsid w:val="00B97C93"/>
    <w:rsid w:val="00BA1FF4"/>
    <w:rsid w:val="00BA3553"/>
    <w:rsid w:val="00BA3BB3"/>
    <w:rsid w:val="00BA4DF2"/>
    <w:rsid w:val="00BA5C21"/>
    <w:rsid w:val="00BA60F3"/>
    <w:rsid w:val="00BA76B5"/>
    <w:rsid w:val="00BB0235"/>
    <w:rsid w:val="00BB0332"/>
    <w:rsid w:val="00BB31EE"/>
    <w:rsid w:val="00BB46B3"/>
    <w:rsid w:val="00BB6DE3"/>
    <w:rsid w:val="00BB7BE9"/>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1A2"/>
    <w:rsid w:val="00C5547F"/>
    <w:rsid w:val="00C55837"/>
    <w:rsid w:val="00C57F2C"/>
    <w:rsid w:val="00C60F98"/>
    <w:rsid w:val="00C61EFB"/>
    <w:rsid w:val="00C66B12"/>
    <w:rsid w:val="00C66C2C"/>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87720"/>
    <w:rsid w:val="00C91DC8"/>
    <w:rsid w:val="00C92200"/>
    <w:rsid w:val="00C93DFA"/>
    <w:rsid w:val="00C93E51"/>
    <w:rsid w:val="00C96DF0"/>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C7ECC"/>
    <w:rsid w:val="00CD046D"/>
    <w:rsid w:val="00CD4A47"/>
    <w:rsid w:val="00CD7D4C"/>
    <w:rsid w:val="00CE0CBE"/>
    <w:rsid w:val="00CE1572"/>
    <w:rsid w:val="00CE182F"/>
    <w:rsid w:val="00CE25E5"/>
    <w:rsid w:val="00CE2E8C"/>
    <w:rsid w:val="00CE311F"/>
    <w:rsid w:val="00CE43A0"/>
    <w:rsid w:val="00CE4824"/>
    <w:rsid w:val="00CE533A"/>
    <w:rsid w:val="00CE5D16"/>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4B9F"/>
    <w:rsid w:val="00D2604F"/>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5F5"/>
    <w:rsid w:val="00DF06C0"/>
    <w:rsid w:val="00DF15E4"/>
    <w:rsid w:val="00DF3D53"/>
    <w:rsid w:val="00DF4C6C"/>
    <w:rsid w:val="00DF65E6"/>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9F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6F39"/>
    <w:rsid w:val="00E972F2"/>
    <w:rsid w:val="00EA0988"/>
    <w:rsid w:val="00EA357E"/>
    <w:rsid w:val="00EB050E"/>
    <w:rsid w:val="00EB1449"/>
    <w:rsid w:val="00EB1EED"/>
    <w:rsid w:val="00EB1F62"/>
    <w:rsid w:val="00EB2F9D"/>
    <w:rsid w:val="00EB45D4"/>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EF2F04"/>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37018"/>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B5EA5"/>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 w:type="character" w:customStyle="1" w:styleId="UnresolvedMention2">
    <w:name w:val="Unresolved Mention2"/>
    <w:basedOn w:val="DefaultParagraphFont"/>
    <w:uiPriority w:val="99"/>
    <w:semiHidden/>
    <w:unhideWhenUsed/>
    <w:rsid w:val="007E596C"/>
    <w:rPr>
      <w:color w:val="605E5C"/>
      <w:shd w:val="clear" w:color="auto" w:fill="E1DFDD"/>
    </w:rPr>
  </w:style>
  <w:style w:type="paragraph" w:styleId="Revision">
    <w:name w:val="Revision"/>
    <w:hidden/>
    <w:uiPriority w:val="99"/>
    <w:semiHidden/>
    <w:rsid w:val="007E596C"/>
    <w:pPr>
      <w:spacing w:after="0" w:line="240" w:lineRule="auto"/>
    </w:pPr>
    <w:rPr>
      <w:rFonts w:eastAsiaTheme="minorHAnsi"/>
      <w:lang w:eastAsia="en-US"/>
    </w:rPr>
  </w:style>
  <w:style w:type="paragraph" w:customStyle="1" w:styleId="CM23">
    <w:name w:val="CM23"/>
    <w:basedOn w:val="Default"/>
    <w:next w:val="Default"/>
    <w:rsid w:val="00CC7ECC"/>
    <w:pPr>
      <w:widowControl w:val="0"/>
      <w:spacing w:after="233"/>
    </w:pPr>
    <w:rPr>
      <w:rFonts w:ascii="Times New Roman" w:eastAsia="Times New Roman" w:hAnsi="Times New Roman" w:cs="Times New Roman"/>
      <w:color w:val="auto"/>
    </w:rPr>
  </w:style>
  <w:style w:type="character" w:styleId="FollowedHyperlink">
    <w:name w:val="FollowedHyperlink"/>
    <w:basedOn w:val="DefaultParagraphFont"/>
    <w:uiPriority w:val="99"/>
    <w:semiHidden/>
    <w:unhideWhenUsed/>
    <w:rsid w:val="00964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800">
      <w:bodyDiv w:val="1"/>
      <w:marLeft w:val="0"/>
      <w:marRight w:val="0"/>
      <w:marTop w:val="0"/>
      <w:marBottom w:val="0"/>
      <w:divBdr>
        <w:top w:val="none" w:sz="0" w:space="0" w:color="auto"/>
        <w:left w:val="none" w:sz="0" w:space="0" w:color="auto"/>
        <w:bottom w:val="none" w:sz="0" w:space="0" w:color="auto"/>
        <w:right w:val="none" w:sz="0" w:space="0" w:color="auto"/>
      </w:divBdr>
    </w:div>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7305532">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49908831">
      <w:bodyDiv w:val="1"/>
      <w:marLeft w:val="0"/>
      <w:marRight w:val="0"/>
      <w:marTop w:val="0"/>
      <w:marBottom w:val="0"/>
      <w:divBdr>
        <w:top w:val="none" w:sz="0" w:space="0" w:color="auto"/>
        <w:left w:val="none" w:sz="0" w:space="0" w:color="auto"/>
        <w:bottom w:val="none" w:sz="0" w:space="0" w:color="auto"/>
        <w:right w:val="none" w:sz="0" w:space="0" w:color="auto"/>
      </w:divBdr>
    </w:div>
    <w:div w:id="15835319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8542946">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5263319">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484774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38580443">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84931261">
      <w:bodyDiv w:val="1"/>
      <w:marLeft w:val="0"/>
      <w:marRight w:val="0"/>
      <w:marTop w:val="0"/>
      <w:marBottom w:val="0"/>
      <w:divBdr>
        <w:top w:val="none" w:sz="0" w:space="0" w:color="auto"/>
        <w:left w:val="none" w:sz="0" w:space="0" w:color="auto"/>
        <w:bottom w:val="none" w:sz="0" w:space="0" w:color="auto"/>
        <w:right w:val="none" w:sz="0" w:space="0" w:color="auto"/>
      </w:divBdr>
    </w:div>
    <w:div w:id="486015113">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10354336">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19355778">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60177900">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8743393">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6263897">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00485878">
      <w:bodyDiv w:val="1"/>
      <w:marLeft w:val="0"/>
      <w:marRight w:val="0"/>
      <w:marTop w:val="0"/>
      <w:marBottom w:val="0"/>
      <w:divBdr>
        <w:top w:val="none" w:sz="0" w:space="0" w:color="auto"/>
        <w:left w:val="none" w:sz="0" w:space="0" w:color="auto"/>
        <w:bottom w:val="none" w:sz="0" w:space="0" w:color="auto"/>
        <w:right w:val="none" w:sz="0" w:space="0" w:color="auto"/>
      </w:divBdr>
    </w:div>
    <w:div w:id="935286978">
      <w:bodyDiv w:val="1"/>
      <w:marLeft w:val="0"/>
      <w:marRight w:val="0"/>
      <w:marTop w:val="0"/>
      <w:marBottom w:val="0"/>
      <w:divBdr>
        <w:top w:val="none" w:sz="0" w:space="0" w:color="auto"/>
        <w:left w:val="none" w:sz="0" w:space="0" w:color="auto"/>
        <w:bottom w:val="none" w:sz="0" w:space="0" w:color="auto"/>
        <w:right w:val="none" w:sz="0" w:space="0" w:color="auto"/>
      </w:divBdr>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6322881">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006162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071193257">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01866273">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280527759">
      <w:bodyDiv w:val="1"/>
      <w:marLeft w:val="0"/>
      <w:marRight w:val="0"/>
      <w:marTop w:val="0"/>
      <w:marBottom w:val="0"/>
      <w:divBdr>
        <w:top w:val="none" w:sz="0" w:space="0" w:color="auto"/>
        <w:left w:val="none" w:sz="0" w:space="0" w:color="auto"/>
        <w:bottom w:val="none" w:sz="0" w:space="0" w:color="auto"/>
        <w:right w:val="none" w:sz="0" w:space="0" w:color="auto"/>
      </w:divBdr>
    </w:div>
    <w:div w:id="1294016683">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50318464">
      <w:bodyDiv w:val="1"/>
      <w:marLeft w:val="0"/>
      <w:marRight w:val="0"/>
      <w:marTop w:val="0"/>
      <w:marBottom w:val="0"/>
      <w:divBdr>
        <w:top w:val="none" w:sz="0" w:space="0" w:color="auto"/>
        <w:left w:val="none" w:sz="0" w:space="0" w:color="auto"/>
        <w:bottom w:val="none" w:sz="0" w:space="0" w:color="auto"/>
        <w:right w:val="none" w:sz="0" w:space="0" w:color="auto"/>
      </w:divBdr>
    </w:div>
    <w:div w:id="1452281535">
      <w:bodyDiv w:val="1"/>
      <w:marLeft w:val="0"/>
      <w:marRight w:val="0"/>
      <w:marTop w:val="0"/>
      <w:marBottom w:val="0"/>
      <w:divBdr>
        <w:top w:val="none" w:sz="0" w:space="0" w:color="auto"/>
        <w:left w:val="none" w:sz="0" w:space="0" w:color="auto"/>
        <w:bottom w:val="none" w:sz="0" w:space="0" w:color="auto"/>
        <w:right w:val="none" w:sz="0" w:space="0" w:color="auto"/>
      </w:divBdr>
    </w:div>
    <w:div w:id="1464273538">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586108461">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3280845">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84760547">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795248605">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25607301">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56473517">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00373284">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nzdotstat.stats.govt.nz/wbos/Index.aspx" TargetMode="External"/><Relationship Id="rId2" Type="http://schemas.openxmlformats.org/officeDocument/2006/relationships/hyperlink" Target="https://www.census.gov/data/tables.html" TargetMode="External"/><Relationship Id="rId1" Type="http://schemas.openxmlformats.org/officeDocument/2006/relationships/hyperlink" Target="https://population.un.org/wp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98DC-957F-43CE-A873-01CC7BF5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10594</Words>
  <Characters>60386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70839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4</cp:revision>
  <cp:lastPrinted>2022-02-23T04:46:00Z</cp:lastPrinted>
  <dcterms:created xsi:type="dcterms:W3CDTF">2022-02-23T04:22:00Z</dcterms:created>
  <dcterms:modified xsi:type="dcterms:W3CDTF">2022-02-23T04:53:00Z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