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6603F1D7" w14:textId="7C05607F" w:rsidR="00EE3C91" w:rsidRDefault="00CC7ECC"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Pr>
          <w:rFonts w:asciiTheme="majorBidi" w:hAnsiTheme="majorBidi" w:cstheme="majorBidi"/>
          <w:b/>
          <w:sz w:val="28"/>
          <w:szCs w:val="28"/>
        </w:rPr>
        <w:t xml:space="preserve">The Price of Pet Ownership: Reduced </w:t>
      </w:r>
      <w:proofErr w:type="spellStart"/>
      <w:r>
        <w:rPr>
          <w:rFonts w:asciiTheme="majorBidi" w:hAnsiTheme="majorBidi" w:cstheme="majorBidi"/>
          <w:b/>
          <w:sz w:val="28"/>
          <w:szCs w:val="28"/>
        </w:rPr>
        <w:t>Labour</w:t>
      </w:r>
      <w:proofErr w:type="spellEnd"/>
      <w:r>
        <w:rPr>
          <w:rFonts w:asciiTheme="majorBidi" w:hAnsiTheme="majorBidi" w:cstheme="majorBidi"/>
          <w:b/>
          <w:sz w:val="28"/>
          <w:szCs w:val="28"/>
        </w:rPr>
        <w:t xml:space="preserve"> Mobility?</w:t>
      </w:r>
    </w:p>
    <w:p w14:paraId="5B601C66" w14:textId="77777777" w:rsidR="004F0E6F" w:rsidRPr="00B24172" w:rsidRDefault="004F0E6F"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279FBF4C" w:rsidR="00F766D0" w:rsidRPr="00B24172" w:rsidRDefault="00CC7ECC" w:rsidP="004F0E6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Pr>
          <w:rFonts w:asciiTheme="majorBidi" w:hAnsiTheme="majorBidi" w:cstheme="majorBidi"/>
          <w:bCs/>
          <w:sz w:val="28"/>
          <w:szCs w:val="28"/>
        </w:rPr>
        <w:t xml:space="preserve">Robbie Maris and </w:t>
      </w:r>
      <w:r w:rsidR="00F766D0" w:rsidRPr="00B24172">
        <w:rPr>
          <w:rFonts w:asciiTheme="majorBidi" w:hAnsiTheme="majorBidi" w:cstheme="majorBidi"/>
          <w:bCs/>
          <w:sz w:val="28"/>
          <w:szCs w:val="28"/>
        </w:rPr>
        <w:t>Michael P. Cameron</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6FE71786" w14:textId="77777777" w:rsidR="00F766D0" w:rsidRPr="00B24172" w:rsidRDefault="00F766D0" w:rsidP="00CC7ECC">
      <w:pPr>
        <w:pStyle w:val="PlainText"/>
        <w:tabs>
          <w:tab w:val="left" w:pos="284"/>
          <w:tab w:val="left" w:pos="426"/>
        </w:tabs>
        <w:spacing w:line="288" w:lineRule="auto"/>
        <w:rPr>
          <w:rFonts w:asciiTheme="majorBidi" w:hAnsiTheme="majorBidi" w:cstheme="majorBidi"/>
          <w:b/>
          <w:bCs/>
          <w:sz w:val="28"/>
        </w:rPr>
      </w:pPr>
    </w:p>
    <w:p w14:paraId="0F7E5C55" w14:textId="7FF318C6" w:rsidR="00F766D0" w:rsidRPr="00B24172" w:rsidRDefault="00F766D0" w:rsidP="00FB5EA5">
      <w:pPr>
        <w:pStyle w:val="PlainText"/>
        <w:tabs>
          <w:tab w:val="left" w:pos="284"/>
          <w:tab w:val="left" w:pos="426"/>
        </w:tabs>
        <w:spacing w:line="288" w:lineRule="auto"/>
        <w:jc w:val="center"/>
        <w:rPr>
          <w:rFonts w:asciiTheme="majorBidi" w:hAnsiTheme="majorBidi" w:cstheme="majorBidi"/>
          <w:b/>
          <w:bCs/>
          <w:sz w:val="28"/>
        </w:rPr>
      </w:pPr>
      <w:r w:rsidRPr="00B24172">
        <w:rPr>
          <w:rFonts w:asciiTheme="majorBidi" w:hAnsiTheme="majorBidi" w:cstheme="majorBidi"/>
          <w:b/>
          <w:bCs/>
          <w:sz w:val="28"/>
        </w:rPr>
        <w:t xml:space="preserve">Working Paper in Economics </w:t>
      </w:r>
      <w:r w:rsidR="00C96DF0">
        <w:rPr>
          <w:rFonts w:asciiTheme="majorBidi" w:hAnsiTheme="majorBidi" w:cstheme="majorBidi"/>
          <w:b/>
          <w:bCs/>
          <w:sz w:val="28"/>
        </w:rPr>
        <w:t>3</w:t>
      </w:r>
      <w:r w:rsidR="00EE3C91">
        <w:rPr>
          <w:rFonts w:asciiTheme="majorBidi" w:hAnsiTheme="majorBidi" w:cstheme="majorBidi"/>
          <w:b/>
          <w:bCs/>
          <w:sz w:val="28"/>
        </w:rPr>
        <w:t>/2</w:t>
      </w:r>
      <w:r w:rsidR="00FB5EA5">
        <w:rPr>
          <w:rFonts w:asciiTheme="majorBidi" w:hAnsiTheme="majorBidi" w:cstheme="majorBidi"/>
          <w:b/>
          <w:bCs/>
          <w:sz w:val="28"/>
        </w:rPr>
        <w:t>2</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51FDA206" w14:textId="345DE0DA" w:rsidR="00F766D0" w:rsidRPr="00B24172" w:rsidRDefault="00CC7ECC"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January</w:t>
      </w:r>
      <w:r w:rsidR="009C1A3D">
        <w:rPr>
          <w:rFonts w:asciiTheme="majorBidi" w:hAnsiTheme="majorBidi" w:cstheme="majorBidi"/>
          <w:sz w:val="28"/>
        </w:rPr>
        <w:t xml:space="preserve"> 202</w:t>
      </w:r>
      <w:r>
        <w:rPr>
          <w:rFonts w:asciiTheme="majorBidi" w:hAnsiTheme="majorBidi" w:cstheme="majorBidi"/>
          <w:sz w:val="28"/>
        </w:rPr>
        <w:t>2</w:t>
      </w:r>
    </w:p>
    <w:p w14:paraId="0A3D9C6C" w14:textId="77777777" w:rsidR="00F766D0" w:rsidRPr="00CC7ECC" w:rsidRDefault="00F766D0" w:rsidP="00BF2AB8">
      <w:pPr>
        <w:pStyle w:val="PlainText"/>
        <w:tabs>
          <w:tab w:val="left" w:pos="284"/>
          <w:tab w:val="left" w:pos="426"/>
        </w:tabs>
        <w:spacing w:line="288" w:lineRule="auto"/>
        <w:jc w:val="center"/>
        <w:rPr>
          <w:rFonts w:ascii="Times New Roman" w:hAnsi="Times New Roman" w:cs="Times New Roman"/>
          <w:sz w:val="28"/>
        </w:rPr>
      </w:pPr>
    </w:p>
    <w:p w14:paraId="4291E7EB" w14:textId="77777777" w:rsidR="00CC7ECC" w:rsidRPr="00CC7ECC" w:rsidRDefault="00CC7ECC" w:rsidP="00CC7ECC">
      <w:pPr>
        <w:spacing w:line="276" w:lineRule="auto"/>
        <w:jc w:val="center"/>
        <w:rPr>
          <w:b/>
          <w:bCs/>
          <w:lang w:val="en-NZ"/>
        </w:rPr>
      </w:pPr>
      <w:r w:rsidRPr="00CC7ECC">
        <w:rPr>
          <w:b/>
          <w:bCs/>
        </w:rPr>
        <w:t>Robbie Maris</w:t>
      </w:r>
    </w:p>
    <w:p w14:paraId="749A64BC" w14:textId="733DCB80" w:rsidR="00CC7ECC" w:rsidRPr="00CC7ECC" w:rsidRDefault="00CC7ECC" w:rsidP="00CC7ECC">
      <w:pPr>
        <w:pStyle w:val="CM23"/>
        <w:spacing w:after="0"/>
        <w:jc w:val="center"/>
      </w:pPr>
      <w:r w:rsidRPr="00CC7ECC">
        <w:t xml:space="preserve">School of Accounting, Finance </w:t>
      </w:r>
      <w:r>
        <w:t>and</w:t>
      </w:r>
      <w:r w:rsidRPr="00CC7ECC">
        <w:t xml:space="preserve"> Economics</w:t>
      </w:r>
    </w:p>
    <w:p w14:paraId="6217636D" w14:textId="77777777" w:rsidR="00CC7ECC" w:rsidRPr="00CC7ECC" w:rsidRDefault="00CC7ECC" w:rsidP="00CC7ECC">
      <w:pPr>
        <w:pStyle w:val="CM23"/>
        <w:spacing w:after="0"/>
        <w:jc w:val="center"/>
      </w:pPr>
      <w:r w:rsidRPr="00CC7ECC">
        <w:t>University of Waikato</w:t>
      </w:r>
    </w:p>
    <w:p w14:paraId="364E326D" w14:textId="77777777" w:rsidR="00CC7ECC" w:rsidRPr="00CC7ECC" w:rsidRDefault="00CC7ECC" w:rsidP="00CC7ECC">
      <w:pPr>
        <w:pStyle w:val="CM23"/>
        <w:spacing w:after="0"/>
        <w:jc w:val="center"/>
      </w:pPr>
      <w:r w:rsidRPr="00CC7ECC">
        <w:t>Private Bag 3105</w:t>
      </w:r>
    </w:p>
    <w:p w14:paraId="70F153AA" w14:textId="33CF0902" w:rsidR="00CC7ECC" w:rsidRPr="00CC7ECC" w:rsidRDefault="00CC7ECC" w:rsidP="00CC7ECC">
      <w:pPr>
        <w:pStyle w:val="CM23"/>
        <w:spacing w:after="0"/>
        <w:jc w:val="center"/>
      </w:pPr>
      <w:r w:rsidRPr="00CC7ECC">
        <w:t>Hamilton 3240</w:t>
      </w:r>
    </w:p>
    <w:p w14:paraId="75239951" w14:textId="49483EED" w:rsidR="00CC7ECC" w:rsidRPr="00CC7ECC" w:rsidRDefault="00CC7ECC" w:rsidP="00CC7ECC">
      <w:pPr>
        <w:pStyle w:val="CM23"/>
        <w:spacing w:after="0"/>
        <w:jc w:val="center"/>
      </w:pPr>
      <w:r>
        <w:t>NEW</w:t>
      </w:r>
      <w:r w:rsidRPr="00CC7ECC">
        <w:t xml:space="preserve"> </w:t>
      </w:r>
      <w:r>
        <w:t>ZEALAND</w:t>
      </w:r>
      <w:r w:rsidRPr="00CC7ECC">
        <w:t xml:space="preserve"> </w:t>
      </w:r>
    </w:p>
    <w:p w14:paraId="71BD9C4D" w14:textId="77777777" w:rsidR="00CC7ECC" w:rsidRPr="00CC7ECC" w:rsidRDefault="00CC7ECC" w:rsidP="00CC7ECC">
      <w:pPr>
        <w:pStyle w:val="Default"/>
        <w:jc w:val="center"/>
        <w:rPr>
          <w:rFonts w:ascii="Times New Roman" w:hAnsi="Times New Roman" w:cs="Times New Roman"/>
        </w:rPr>
      </w:pPr>
      <w:r w:rsidRPr="00CC7ECC">
        <w:rPr>
          <w:rFonts w:ascii="Times New Roman" w:hAnsi="Times New Roman" w:cs="Times New Roman"/>
        </w:rPr>
        <w:t>Email: robbiem8910@gmail.com</w:t>
      </w:r>
    </w:p>
    <w:p w14:paraId="2BEFDA72" w14:textId="77777777" w:rsidR="0011564B" w:rsidRPr="00B24172" w:rsidRDefault="0011564B" w:rsidP="00B16018">
      <w:pPr>
        <w:pStyle w:val="PlainText"/>
        <w:tabs>
          <w:tab w:val="left" w:pos="284"/>
          <w:tab w:val="left" w:pos="567"/>
        </w:tabs>
        <w:jc w:val="center"/>
        <w:rPr>
          <w:rFonts w:asciiTheme="majorBidi" w:hAnsiTheme="majorBidi" w:cstheme="majorBidi"/>
          <w:b/>
          <w:bCs/>
          <w:sz w:val="24"/>
          <w:szCs w:val="21"/>
        </w:rPr>
      </w:pPr>
    </w:p>
    <w:p w14:paraId="1F7877E2" w14:textId="77777777" w:rsidR="00F766D0" w:rsidRPr="00EE3C91" w:rsidRDefault="00F766D0" w:rsidP="00B16018">
      <w:pPr>
        <w:pStyle w:val="PlainText"/>
        <w:tabs>
          <w:tab w:val="left" w:pos="284"/>
          <w:tab w:val="left" w:pos="567"/>
        </w:tabs>
        <w:jc w:val="center"/>
        <w:rPr>
          <w:rFonts w:asciiTheme="majorBidi" w:hAnsiTheme="majorBidi" w:cstheme="majorBidi"/>
          <w:b/>
          <w:bCs/>
          <w:sz w:val="24"/>
          <w:szCs w:val="24"/>
          <w:lang w:val="en-NZ"/>
        </w:rPr>
      </w:pPr>
      <w:r w:rsidRPr="00EE3C91">
        <w:rPr>
          <w:rFonts w:asciiTheme="majorBidi" w:hAnsiTheme="majorBidi" w:cstheme="majorBidi"/>
          <w:b/>
          <w:bCs/>
          <w:sz w:val="24"/>
          <w:szCs w:val="24"/>
          <w:lang w:val="en-NZ"/>
        </w:rPr>
        <w:t>Michael P. Cameron</w:t>
      </w:r>
    </w:p>
    <w:p w14:paraId="275B4464" w14:textId="77777777" w:rsidR="00EE3C91" w:rsidRPr="00544F61" w:rsidRDefault="00EE3C91" w:rsidP="00EE3C91">
      <w:pPr>
        <w:jc w:val="center"/>
        <w:rPr>
          <w:rFonts w:eastAsia="SimSun"/>
          <w:bCs/>
          <w:lang w:val="en-GB"/>
        </w:rPr>
      </w:pPr>
      <w:r w:rsidRPr="00544F61">
        <w:rPr>
          <w:rFonts w:eastAsia="SimSun"/>
          <w:bCs/>
          <w:lang w:val="en-GB"/>
        </w:rPr>
        <w:t>School of Accounting, Finance and Economics</w:t>
      </w:r>
    </w:p>
    <w:p w14:paraId="735B7110" w14:textId="77777777" w:rsidR="00EE3C91" w:rsidRPr="00544F61" w:rsidRDefault="00EE3C91" w:rsidP="00EE3C91">
      <w:pPr>
        <w:jc w:val="center"/>
        <w:rPr>
          <w:rFonts w:eastAsia="SimSun"/>
          <w:i/>
          <w:lang w:val="en-GB"/>
        </w:rPr>
      </w:pPr>
      <w:r w:rsidRPr="00544F61">
        <w:rPr>
          <w:rFonts w:eastAsia="SimSun"/>
          <w:bCs/>
          <w:i/>
          <w:lang w:val="en-GB"/>
        </w:rPr>
        <w:t>and</w:t>
      </w:r>
    </w:p>
    <w:p w14:paraId="160D709F" w14:textId="6ECC5E03" w:rsidR="00EE3C91" w:rsidRPr="00544F61" w:rsidRDefault="00FB5EA5" w:rsidP="00FB5EA5">
      <w:pPr>
        <w:tabs>
          <w:tab w:val="left" w:pos="284"/>
        </w:tabs>
        <w:jc w:val="center"/>
        <w:rPr>
          <w:rFonts w:eastAsia="SimSun"/>
          <w:lang w:val="en-GB"/>
        </w:rPr>
      </w:pPr>
      <w:proofErr w:type="spellStart"/>
      <w:r>
        <w:rPr>
          <w:rFonts w:eastAsia="SimSun"/>
          <w:lang w:val="en-GB"/>
        </w:rPr>
        <w:t>Te</w:t>
      </w:r>
      <w:proofErr w:type="spellEnd"/>
      <w:r>
        <w:rPr>
          <w:rFonts w:eastAsia="SimSun"/>
          <w:lang w:val="en-GB"/>
        </w:rPr>
        <w:t xml:space="preserve"> </w:t>
      </w:r>
      <w:proofErr w:type="spellStart"/>
      <w:r>
        <w:rPr>
          <w:rFonts w:eastAsia="SimSun"/>
          <w:lang w:val="en-GB"/>
        </w:rPr>
        <w:t>Ngira</w:t>
      </w:r>
      <w:proofErr w:type="spellEnd"/>
      <w:r>
        <w:rPr>
          <w:rFonts w:eastAsia="SimSun"/>
          <w:lang w:val="en-GB"/>
        </w:rPr>
        <w:t xml:space="preserve"> – Institute for Population Research</w:t>
      </w:r>
    </w:p>
    <w:p w14:paraId="1CA63657" w14:textId="77777777" w:rsidR="00EE3C91" w:rsidRPr="00544F61" w:rsidRDefault="00EE3C91" w:rsidP="00EE3C91">
      <w:pPr>
        <w:jc w:val="center"/>
        <w:rPr>
          <w:rFonts w:eastAsia="SimSun"/>
          <w:bCs/>
          <w:lang w:val="en-GB"/>
        </w:rPr>
      </w:pPr>
      <w:r w:rsidRPr="00544F61">
        <w:rPr>
          <w:rFonts w:eastAsia="SimSun"/>
          <w:lang w:val="en-GB"/>
        </w:rPr>
        <w:t>University of Waikato</w:t>
      </w:r>
    </w:p>
    <w:p w14:paraId="50F48DAD"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50EC0621" w14:textId="77777777" w:rsidR="00EE3C91" w:rsidRPr="00B24172"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09B4097E" w14:textId="70B657C2" w:rsidR="00EE3C91" w:rsidRDefault="00EE3C91" w:rsidP="00EE3C91">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NEW ZEALAND</w:t>
      </w:r>
    </w:p>
    <w:p w14:paraId="3A020159" w14:textId="77777777" w:rsidR="00F62D43" w:rsidRPr="00EE3C91" w:rsidRDefault="00F62D43" w:rsidP="00F62D43">
      <w:pPr>
        <w:tabs>
          <w:tab w:val="left" w:pos="567"/>
        </w:tabs>
        <w:autoSpaceDE w:val="0"/>
        <w:autoSpaceDN w:val="0"/>
        <w:adjustRightInd w:val="0"/>
        <w:jc w:val="center"/>
        <w:rPr>
          <w:rFonts w:asciiTheme="majorBidi" w:hAnsiTheme="majorBidi" w:cstheme="majorBidi"/>
          <w:shd w:val="clear" w:color="auto" w:fill="FFFFFF"/>
          <w:lang w:val="en-NZ"/>
        </w:rPr>
      </w:pPr>
      <w:r>
        <w:rPr>
          <w:rFonts w:asciiTheme="majorBidi" w:hAnsiTheme="majorBidi" w:cstheme="majorBidi"/>
          <w:shd w:val="clear" w:color="auto" w:fill="FFFFFF"/>
          <w:lang w:val="en-NZ"/>
        </w:rPr>
        <w:t xml:space="preserve">Email: </w:t>
      </w:r>
      <w:r w:rsidRPr="00EE3C91">
        <w:rPr>
          <w:rFonts w:asciiTheme="majorBidi" w:hAnsiTheme="majorBidi" w:cstheme="majorBidi"/>
          <w:shd w:val="clear" w:color="auto" w:fill="FFFFFF"/>
          <w:lang w:val="en-NZ"/>
        </w:rPr>
        <w:t>mcam@waikato.ac.nz</w:t>
      </w:r>
    </w:p>
    <w:p w14:paraId="66A43D5C" w14:textId="1A673740" w:rsidR="00B16018" w:rsidRDefault="00B16018" w:rsidP="00BF2AB8">
      <w:pPr>
        <w:spacing w:line="288" w:lineRule="auto"/>
        <w:jc w:val="center"/>
        <w:rPr>
          <w:b/>
          <w:bCs/>
        </w:rPr>
      </w:pPr>
    </w:p>
    <w:p w14:paraId="04BF4727" w14:textId="1F638B36" w:rsidR="004F0E6F" w:rsidRDefault="004F0E6F" w:rsidP="00BF2AB8">
      <w:pPr>
        <w:spacing w:line="288" w:lineRule="auto"/>
        <w:jc w:val="center"/>
        <w:rPr>
          <w:b/>
          <w:bCs/>
        </w:rPr>
      </w:pPr>
    </w:p>
    <w:p w14:paraId="48E05901" w14:textId="7DA62138" w:rsidR="004F0E6F" w:rsidRDefault="004F0E6F" w:rsidP="00BF2AB8">
      <w:pPr>
        <w:spacing w:line="288" w:lineRule="auto"/>
        <w:jc w:val="center"/>
        <w:rPr>
          <w:b/>
          <w:bCs/>
        </w:rPr>
      </w:pPr>
    </w:p>
    <w:p w14:paraId="69556D3C" w14:textId="1323B064" w:rsidR="004F0E6F" w:rsidRDefault="004F0E6F" w:rsidP="00BF2AB8">
      <w:pPr>
        <w:spacing w:line="288" w:lineRule="auto"/>
        <w:jc w:val="center"/>
        <w:rPr>
          <w:b/>
          <w:bCs/>
        </w:rPr>
      </w:pPr>
    </w:p>
    <w:p w14:paraId="5B32B84E" w14:textId="07865C15" w:rsidR="004F0E6F" w:rsidRDefault="004F0E6F" w:rsidP="00BF2AB8">
      <w:pPr>
        <w:spacing w:line="288" w:lineRule="auto"/>
        <w:jc w:val="center"/>
        <w:rPr>
          <w:b/>
          <w:bCs/>
        </w:rPr>
      </w:pPr>
    </w:p>
    <w:p w14:paraId="48873452" w14:textId="7F49CAFA" w:rsidR="004F0E6F" w:rsidRDefault="004F0E6F" w:rsidP="00BF2AB8">
      <w:pPr>
        <w:spacing w:line="288" w:lineRule="auto"/>
        <w:jc w:val="center"/>
        <w:rPr>
          <w:b/>
          <w:bCs/>
        </w:rPr>
      </w:pPr>
    </w:p>
    <w:p w14:paraId="4CFCC8C3" w14:textId="07F51684" w:rsidR="004F0E6F" w:rsidRDefault="004F0E6F" w:rsidP="00BF2AB8">
      <w:pPr>
        <w:spacing w:line="288" w:lineRule="auto"/>
        <w:jc w:val="center"/>
        <w:rPr>
          <w:b/>
          <w:bCs/>
        </w:rPr>
      </w:pPr>
    </w:p>
    <w:p w14:paraId="5E14AD22" w14:textId="77777777" w:rsidR="004F0E6F" w:rsidRPr="00B24172" w:rsidRDefault="004F0E6F" w:rsidP="00CC7ECC">
      <w:pPr>
        <w:spacing w:line="288" w:lineRule="auto"/>
        <w:rPr>
          <w:b/>
          <w:bCs/>
        </w:rPr>
      </w:pPr>
    </w:p>
    <w:p w14:paraId="11CF2A26" w14:textId="77777777" w:rsidR="00B16018" w:rsidRPr="00B24172" w:rsidRDefault="00B16018" w:rsidP="00BF2AB8">
      <w:pPr>
        <w:spacing w:line="288" w:lineRule="auto"/>
        <w:jc w:val="center"/>
        <w:rPr>
          <w:b/>
          <w:bCs/>
        </w:rPr>
      </w:pPr>
    </w:p>
    <w:p w14:paraId="69DBD64B" w14:textId="31B8DF34" w:rsidR="007E596C" w:rsidRPr="00B24172" w:rsidRDefault="003452AB" w:rsidP="007E596C">
      <w:pPr>
        <w:spacing w:line="288" w:lineRule="auto"/>
        <w:jc w:val="center"/>
        <w:rPr>
          <w:b/>
          <w:bCs/>
        </w:rPr>
      </w:pPr>
      <w:r w:rsidRPr="00B24172">
        <w:rPr>
          <w:b/>
          <w:bCs/>
        </w:rPr>
        <w:t>Abstract</w:t>
      </w:r>
    </w:p>
    <w:p w14:paraId="44421ED6" w14:textId="77777777" w:rsidR="007E596C" w:rsidRPr="002524AE" w:rsidRDefault="007E596C" w:rsidP="003342DE">
      <w:pPr>
        <w:spacing w:line="360" w:lineRule="auto"/>
        <w:jc w:val="both"/>
        <w:rPr>
          <w:lang w:val="mi-NZ"/>
        </w:rPr>
      </w:pPr>
      <w:r>
        <w:rPr>
          <w:lang w:val="mi-NZ"/>
        </w:rPr>
        <w:t>Pets are an important part of many peoples’ lives. Studies of the mental, physical and emotional benefits of pet ownership have been extensively discussed in the literature. However, the costs of pet ownership have received less attention. We investigate whether pet ownership decreases the incomes of pet owners by reducing labour mobility. Answering this question may help people to better understand the full range of costs and benefits of pet ownership, as well as pointing to broader labour market efficiency issues. Using data from the 2018 General Social Survey, we investigate the relationship between income and pet ownership, controlling for a rich set of covariates. We include interactions between pet ownership and education, pet ownership and housing tenure, and pet ownership and race, to further investigate this relationship. Overall, we find initial support for our hypothesis that pet ownership decreases labour mobility, and consequently income. These negative effects are larger for highly educated workers, renters and African Americans.</w:t>
      </w:r>
    </w:p>
    <w:p w14:paraId="5387D449" w14:textId="77777777" w:rsidR="00F766D0" w:rsidRPr="00B24172" w:rsidRDefault="00F766D0" w:rsidP="00BF2AB8">
      <w:pPr>
        <w:spacing w:line="288" w:lineRule="auto"/>
        <w:jc w:val="center"/>
        <w:rPr>
          <w:b/>
          <w:bCs/>
        </w:rPr>
      </w:pPr>
    </w:p>
    <w:p w14:paraId="43810319" w14:textId="77777777" w:rsidR="00F766D0" w:rsidRPr="00B24172" w:rsidRDefault="00F766D0" w:rsidP="00BF2AB8">
      <w:pPr>
        <w:spacing w:line="288" w:lineRule="auto"/>
        <w:jc w:val="center"/>
        <w:rPr>
          <w:b/>
          <w:bCs/>
        </w:rPr>
      </w:pPr>
    </w:p>
    <w:p w14:paraId="40342FBD" w14:textId="1160A405" w:rsidR="00F766D0" w:rsidRPr="00B24172" w:rsidRDefault="00F766D0" w:rsidP="00BF2AB8">
      <w:pPr>
        <w:spacing w:line="288" w:lineRule="auto"/>
        <w:jc w:val="center"/>
      </w:pPr>
      <w:r w:rsidRPr="00B24172">
        <w:rPr>
          <w:b/>
          <w:bCs/>
        </w:rPr>
        <w:t>Keywords</w:t>
      </w:r>
    </w:p>
    <w:p w14:paraId="0BF385DE" w14:textId="08E0A025" w:rsidR="00F766D0" w:rsidRDefault="00CC7ECC" w:rsidP="00BF2AB8">
      <w:pPr>
        <w:spacing w:line="288" w:lineRule="auto"/>
        <w:jc w:val="center"/>
      </w:pPr>
      <w:r>
        <w:t>Pet ownership</w:t>
      </w:r>
    </w:p>
    <w:p w14:paraId="2C6C73E6" w14:textId="462D30F9" w:rsidR="00CC7ECC" w:rsidRDefault="00CC7ECC" w:rsidP="00BF2AB8">
      <w:pPr>
        <w:spacing w:line="288" w:lineRule="auto"/>
        <w:jc w:val="center"/>
      </w:pPr>
      <w:proofErr w:type="spellStart"/>
      <w:r>
        <w:t>Labour</w:t>
      </w:r>
      <w:proofErr w:type="spellEnd"/>
      <w:r>
        <w:t xml:space="preserve"> mobility</w:t>
      </w:r>
    </w:p>
    <w:p w14:paraId="16EBD7F6" w14:textId="36E3E5BD" w:rsidR="00CC7ECC" w:rsidRPr="00B24172" w:rsidRDefault="00CC7ECC" w:rsidP="00BF2AB8">
      <w:pPr>
        <w:spacing w:line="288" w:lineRule="auto"/>
        <w:jc w:val="center"/>
      </w:pPr>
      <w:r>
        <w:t>Mincer wage regression</w:t>
      </w:r>
    </w:p>
    <w:p w14:paraId="5337ACC4" w14:textId="7796AB02" w:rsidR="00E15A67" w:rsidRPr="00B24172" w:rsidRDefault="00E15A67" w:rsidP="00BF2AB8">
      <w:pPr>
        <w:spacing w:line="288" w:lineRule="auto"/>
        <w:jc w:val="center"/>
      </w:pPr>
    </w:p>
    <w:p w14:paraId="2484A117" w14:textId="77777777" w:rsidR="00ED7A65" w:rsidRPr="00B24172" w:rsidRDefault="00ED7A65" w:rsidP="00BF2AB8">
      <w:pPr>
        <w:spacing w:line="288" w:lineRule="auto"/>
        <w:jc w:val="center"/>
      </w:pPr>
    </w:p>
    <w:p w14:paraId="7768562B" w14:textId="77777777" w:rsidR="00F766D0" w:rsidRPr="00EE3C91" w:rsidRDefault="00E15A67" w:rsidP="00BF2AB8">
      <w:pPr>
        <w:spacing w:line="288" w:lineRule="auto"/>
        <w:jc w:val="center"/>
        <w:rPr>
          <w:lang w:val="en-NZ"/>
        </w:rPr>
      </w:pPr>
      <w:r w:rsidRPr="00EE3C91">
        <w:rPr>
          <w:b/>
          <w:bCs/>
          <w:lang w:val="en-NZ"/>
        </w:rPr>
        <w:t>JEL Classification</w:t>
      </w:r>
    </w:p>
    <w:p w14:paraId="121B89F1" w14:textId="045754A8" w:rsidR="00E15A67" w:rsidRPr="00EE3C91" w:rsidRDefault="009768A8" w:rsidP="00BF2AB8">
      <w:pPr>
        <w:spacing w:line="288" w:lineRule="auto"/>
        <w:jc w:val="center"/>
        <w:rPr>
          <w:lang w:val="en-NZ"/>
        </w:rPr>
      </w:pPr>
      <w:r>
        <w:rPr>
          <w:lang w:val="en-NZ"/>
        </w:rPr>
        <w:t>J39</w:t>
      </w:r>
      <w:r w:rsidR="004F0E6F">
        <w:rPr>
          <w:lang w:val="en-NZ"/>
        </w:rPr>
        <w:t xml:space="preserve">; </w:t>
      </w:r>
      <w:r>
        <w:rPr>
          <w:lang w:val="en-NZ"/>
        </w:rPr>
        <w:t>J69</w:t>
      </w:r>
    </w:p>
    <w:p w14:paraId="174F7F26" w14:textId="3170F832" w:rsidR="00F766D0" w:rsidRDefault="00F766D0" w:rsidP="00BF2AB8">
      <w:pPr>
        <w:spacing w:line="288" w:lineRule="auto"/>
        <w:jc w:val="center"/>
        <w:rPr>
          <w:lang w:val="en-NZ"/>
        </w:rPr>
      </w:pPr>
    </w:p>
    <w:p w14:paraId="55EE6D61" w14:textId="77777777" w:rsidR="00EE3C91" w:rsidRPr="00EE3C91" w:rsidRDefault="00EE3C91" w:rsidP="00BF2AB8">
      <w:pPr>
        <w:spacing w:line="288" w:lineRule="auto"/>
        <w:jc w:val="center"/>
        <w:rPr>
          <w:lang w:val="en-NZ"/>
        </w:rPr>
      </w:pPr>
    </w:p>
    <w:p w14:paraId="0D140E28" w14:textId="119A1718" w:rsidR="00EE3C91" w:rsidRPr="00B24172" w:rsidRDefault="00EE3C91" w:rsidP="00EE3C91">
      <w:pPr>
        <w:spacing w:line="288" w:lineRule="auto"/>
        <w:jc w:val="center"/>
        <w:rPr>
          <w:b/>
          <w:bCs/>
        </w:rPr>
      </w:pPr>
      <w:r>
        <w:rPr>
          <w:b/>
          <w:bCs/>
        </w:rPr>
        <w:t>Acknowledgements</w:t>
      </w:r>
    </w:p>
    <w:p w14:paraId="7B358AC8" w14:textId="46367F83" w:rsidR="00F766D0" w:rsidRPr="00EE3C91" w:rsidRDefault="00F766D0" w:rsidP="00BF2AB8">
      <w:pPr>
        <w:spacing w:line="288" w:lineRule="auto"/>
        <w:jc w:val="center"/>
        <w:rPr>
          <w:lang w:val="en-NZ"/>
        </w:rPr>
      </w:pPr>
    </w:p>
    <w:p w14:paraId="33C6A147" w14:textId="673DF788" w:rsidR="00F766D0" w:rsidRPr="00EE3C91" w:rsidRDefault="002121D4" w:rsidP="00FB5EA5">
      <w:pPr>
        <w:spacing w:line="288" w:lineRule="auto"/>
        <w:jc w:val="both"/>
        <w:rPr>
          <w:lang w:val="en-NZ"/>
        </w:rPr>
      </w:pPr>
      <w:r>
        <w:rPr>
          <w:rFonts w:asciiTheme="majorBidi" w:hAnsiTheme="majorBidi" w:cstheme="majorBidi"/>
        </w:rPr>
        <w:t xml:space="preserve">This work was inspired through real-life experiences and discussions with Ashleigh </w:t>
      </w:r>
      <w:proofErr w:type="spellStart"/>
      <w:r>
        <w:rPr>
          <w:rFonts w:asciiTheme="majorBidi" w:hAnsiTheme="majorBidi" w:cstheme="majorBidi"/>
        </w:rPr>
        <w:t>Ngow</w:t>
      </w:r>
      <w:proofErr w:type="spellEnd"/>
      <w:r w:rsidR="00891805">
        <w:rPr>
          <w:rFonts w:asciiTheme="majorBidi" w:hAnsiTheme="majorBidi" w:cstheme="majorBidi"/>
        </w:rPr>
        <w:t xml:space="preserve">. We thank Ashleigh and her cat Mini </w:t>
      </w:r>
      <w:r w:rsidR="00FB5EA5">
        <w:rPr>
          <w:rFonts w:asciiTheme="majorBidi" w:hAnsiTheme="majorBidi" w:cstheme="majorBidi"/>
        </w:rPr>
        <w:t>as well as</w:t>
      </w:r>
      <w:r w:rsidR="00891805">
        <w:rPr>
          <w:rFonts w:asciiTheme="majorBidi" w:hAnsiTheme="majorBidi" w:cstheme="majorBidi"/>
        </w:rPr>
        <w:t xml:space="preserve"> Mark Holmes, who provided some initial thoughts that helped guide the direction of this research. </w:t>
      </w:r>
    </w:p>
    <w:p w14:paraId="3AD1EFB3" w14:textId="583C2622" w:rsidR="00DF4C6C" w:rsidRPr="00EE3C91" w:rsidRDefault="00DF4C6C" w:rsidP="00BF2AB8">
      <w:pPr>
        <w:spacing w:line="288" w:lineRule="auto"/>
        <w:jc w:val="center"/>
        <w:rPr>
          <w:lang w:val="en-NZ"/>
        </w:rPr>
      </w:pPr>
    </w:p>
    <w:p w14:paraId="168FC271" w14:textId="2C76AAA4" w:rsidR="00DF4C6C" w:rsidRPr="00EE3C91" w:rsidRDefault="00DF4C6C" w:rsidP="00BF2AB8">
      <w:pPr>
        <w:spacing w:line="288" w:lineRule="auto"/>
        <w:jc w:val="center"/>
        <w:rPr>
          <w:lang w:val="en-NZ"/>
        </w:rPr>
      </w:pPr>
    </w:p>
    <w:p w14:paraId="13A99173" w14:textId="5B9C9912" w:rsidR="00DF4C6C" w:rsidRPr="00EE3C91" w:rsidRDefault="004F0E6F" w:rsidP="00AB5A35">
      <w:pPr>
        <w:spacing w:line="288" w:lineRule="auto"/>
        <w:jc w:val="center"/>
        <w:rPr>
          <w:lang w:val="en-NZ"/>
        </w:rPr>
      </w:pPr>
      <w:r>
        <w:rPr>
          <w:lang w:val="en-NZ"/>
        </w:rPr>
        <w:br w:type="page"/>
      </w:r>
    </w:p>
    <w:bookmarkEnd w:id="0"/>
    <w:p w14:paraId="52BC228A" w14:textId="77777777" w:rsidR="007E596C" w:rsidRPr="007D243F" w:rsidRDefault="007E596C" w:rsidP="00AB5A35">
      <w:pPr>
        <w:pStyle w:val="ListParagraph"/>
        <w:numPr>
          <w:ilvl w:val="0"/>
          <w:numId w:val="48"/>
        </w:numPr>
        <w:spacing w:after="160" w:line="480" w:lineRule="auto"/>
        <w:ind w:left="57" w:firstLine="0"/>
        <w:rPr>
          <w:b/>
          <w:bCs/>
          <w:lang w:val="mi-NZ"/>
        </w:rPr>
      </w:pPr>
      <w:r w:rsidRPr="007D243F">
        <w:rPr>
          <w:b/>
          <w:bCs/>
          <w:lang w:val="mi-NZ"/>
        </w:rPr>
        <w:lastRenderedPageBreak/>
        <w:t>Introduction</w:t>
      </w:r>
    </w:p>
    <w:p w14:paraId="1685F605" w14:textId="77777777" w:rsidR="007E596C" w:rsidRDefault="007E596C" w:rsidP="00AB5A35">
      <w:pPr>
        <w:spacing w:line="24" w:lineRule="atLeast"/>
        <w:jc w:val="both"/>
        <w:rPr>
          <w:lang w:val="mi-NZ"/>
        </w:rPr>
      </w:pPr>
      <w:r w:rsidRPr="00E6351E">
        <w:rPr>
          <w:lang w:val="mi-NZ"/>
        </w:rPr>
        <w:t>Pets are a fundamental part of many people</w:t>
      </w:r>
      <w:r>
        <w:rPr>
          <w:lang w:val="mi-NZ"/>
        </w:rPr>
        <w:t>’</w:t>
      </w:r>
      <w:r w:rsidRPr="00E6351E">
        <w:rPr>
          <w:lang w:val="mi-NZ"/>
        </w:rPr>
        <w:t xml:space="preserve">s lives. From cats and dogs to fish </w:t>
      </w:r>
      <w:r>
        <w:rPr>
          <w:lang w:val="mi-NZ"/>
        </w:rPr>
        <w:t>or</w:t>
      </w:r>
      <w:r w:rsidRPr="00E6351E">
        <w:rPr>
          <w:lang w:val="mi-NZ"/>
        </w:rPr>
        <w:t xml:space="preserve"> horses; there are a plethora of species that humans have domesticated and built relationships with. Today, owning a pet is more common than not. In the United States of America, </w:t>
      </w:r>
      <w:r>
        <w:rPr>
          <w:lang w:val="mi-NZ"/>
        </w:rPr>
        <w:t>60</w:t>
      </w:r>
      <w:r w:rsidRPr="00E6351E">
        <w:rPr>
          <w:lang w:val="mi-NZ"/>
        </w:rPr>
        <w:t xml:space="preserve">% of people </w:t>
      </w:r>
      <w:r>
        <w:rPr>
          <w:lang w:val="mi-NZ"/>
        </w:rPr>
        <w:t>own</w:t>
      </w:r>
      <w:r w:rsidRPr="00E6351E">
        <w:rPr>
          <w:lang w:val="mi-NZ"/>
        </w:rPr>
        <w:t xml:space="preserve"> a pet</w:t>
      </w:r>
      <w:r>
        <w:rPr>
          <w:lang w:val="mi-NZ"/>
        </w:rPr>
        <w:t xml:space="preserve">, with dogs being the most common </w:t>
      </w:r>
      <w:r w:rsidRPr="00E6351E">
        <w:rPr>
          <w:lang w:val="mi-NZ"/>
        </w:rPr>
        <w:t>(</w:t>
      </w:r>
      <w:r>
        <w:rPr>
          <w:lang w:val="mi-NZ"/>
        </w:rPr>
        <w:t>Applebaum, 2020</w:t>
      </w:r>
      <w:r w:rsidRPr="00E6351E">
        <w:rPr>
          <w:lang w:val="mi-NZ"/>
        </w:rPr>
        <w:t>). The bond between a pet and its owner is powerful and unique. Often, pets are treated as family and pet owners form strong emotional connections with their pets</w:t>
      </w:r>
      <w:r>
        <w:rPr>
          <w:lang w:val="mi-NZ"/>
        </w:rPr>
        <w:t xml:space="preserve"> (Sharkin and Knox, 2003)</w:t>
      </w:r>
      <w:r w:rsidRPr="00E6351E">
        <w:rPr>
          <w:lang w:val="mi-NZ"/>
        </w:rPr>
        <w:t xml:space="preserve">. </w:t>
      </w:r>
      <w:r>
        <w:rPr>
          <w:lang w:val="mi-NZ"/>
        </w:rPr>
        <w:t>These connections provide important psychosocial support</w:t>
      </w:r>
      <w:r w:rsidRPr="00E6351E">
        <w:rPr>
          <w:lang w:val="mi-NZ"/>
        </w:rPr>
        <w:t xml:space="preserve">, </w:t>
      </w:r>
      <w:r>
        <w:rPr>
          <w:lang w:val="mi-NZ"/>
        </w:rPr>
        <w:t>and</w:t>
      </w:r>
      <w:r w:rsidRPr="00E6351E">
        <w:rPr>
          <w:lang w:val="mi-NZ"/>
        </w:rPr>
        <w:t xml:space="preserve"> pet ownership is </w:t>
      </w:r>
      <w:r>
        <w:rPr>
          <w:lang w:val="mi-NZ"/>
        </w:rPr>
        <w:t xml:space="preserve">consequently </w:t>
      </w:r>
      <w:r w:rsidRPr="00E6351E">
        <w:rPr>
          <w:lang w:val="mi-NZ"/>
        </w:rPr>
        <w:t>linked with improved mental and physical wellbeing and higher levels of life satisfaction</w:t>
      </w:r>
      <w:r>
        <w:rPr>
          <w:lang w:val="mi-NZ"/>
        </w:rPr>
        <w:t xml:space="preserve"> (</w:t>
      </w:r>
      <w:r w:rsidRPr="00B81172">
        <w:rPr>
          <w:lang w:val="mi-NZ"/>
        </w:rPr>
        <w:t>Bao</w:t>
      </w:r>
      <w:r>
        <w:rPr>
          <w:b/>
          <w:bCs/>
          <w:lang w:val="mi-NZ"/>
        </w:rPr>
        <w:t xml:space="preserve"> </w:t>
      </w:r>
      <w:r>
        <w:rPr>
          <w:lang w:val="mi-NZ"/>
        </w:rPr>
        <w:t xml:space="preserve">and </w:t>
      </w:r>
      <w:proofErr w:type="spellStart"/>
      <w:r w:rsidRPr="00B81172">
        <w:t>Schreer</w:t>
      </w:r>
      <w:proofErr w:type="spellEnd"/>
      <w:r>
        <w:t>, 2016</w:t>
      </w:r>
      <w:r w:rsidRPr="00797CE8">
        <w:rPr>
          <w:b/>
          <w:bCs/>
          <w:lang w:val="mi-NZ"/>
        </w:rPr>
        <w:t xml:space="preserve">; </w:t>
      </w:r>
      <w:r w:rsidRPr="00CA451E">
        <w:rPr>
          <w:lang w:val="mi-NZ"/>
        </w:rPr>
        <w:t>Jennings</w:t>
      </w:r>
      <w:r>
        <w:rPr>
          <w:lang w:val="mi-NZ"/>
        </w:rPr>
        <w:t>,</w:t>
      </w:r>
      <w:r>
        <w:rPr>
          <w:b/>
          <w:bCs/>
          <w:lang w:val="mi-NZ"/>
        </w:rPr>
        <w:t xml:space="preserve"> </w:t>
      </w:r>
      <w:r w:rsidRPr="00CA451E">
        <w:rPr>
          <w:lang w:val="mi-NZ"/>
        </w:rPr>
        <w:t>1997</w:t>
      </w:r>
      <w:r>
        <w:rPr>
          <w:lang w:val="mi-NZ"/>
        </w:rPr>
        <w:t>; McNicholas et al., 2005;</w:t>
      </w:r>
      <w:r w:rsidRPr="00797CE8">
        <w:rPr>
          <w:b/>
          <w:bCs/>
          <w:lang w:val="mi-NZ"/>
        </w:rPr>
        <w:t xml:space="preserve"> </w:t>
      </w:r>
      <w:r w:rsidRPr="00031FE0">
        <w:rPr>
          <w:lang w:val="mi-NZ"/>
        </w:rPr>
        <w:t>Serpel</w:t>
      </w:r>
      <w:r>
        <w:rPr>
          <w:lang w:val="mi-NZ"/>
        </w:rPr>
        <w:t>, 1991)</w:t>
      </w:r>
      <w:r w:rsidRPr="00E6351E">
        <w:rPr>
          <w:lang w:val="mi-NZ"/>
        </w:rPr>
        <w:t xml:space="preserve">. The benefits of pet ownership </w:t>
      </w:r>
      <w:r>
        <w:rPr>
          <w:lang w:val="mi-NZ"/>
        </w:rPr>
        <w:t>have been</w:t>
      </w:r>
      <w:r w:rsidRPr="00E6351E">
        <w:rPr>
          <w:lang w:val="mi-NZ"/>
        </w:rPr>
        <w:t xml:space="preserve"> extensively researched, particularly for vulnerable people and at-risk individuals</w:t>
      </w:r>
      <w:r>
        <w:rPr>
          <w:lang w:val="mi-NZ"/>
        </w:rPr>
        <w:t xml:space="preserve"> (Anderson et al., 1992; Jennings, 1997; Thompson et al. 2014)</w:t>
      </w:r>
      <w:r w:rsidRPr="00E6351E">
        <w:rPr>
          <w:lang w:val="mi-NZ"/>
        </w:rPr>
        <w:t xml:space="preserve">. However, studies rarely consider the </w:t>
      </w:r>
      <w:r>
        <w:rPr>
          <w:lang w:val="mi-NZ"/>
        </w:rPr>
        <w:t xml:space="preserve">potential </w:t>
      </w:r>
      <w:r w:rsidRPr="00E6351E">
        <w:rPr>
          <w:lang w:val="mi-NZ"/>
        </w:rPr>
        <w:t xml:space="preserve">socioeconomic trade-offs </w:t>
      </w:r>
      <w:r>
        <w:rPr>
          <w:lang w:val="mi-NZ"/>
        </w:rPr>
        <w:t>associated with</w:t>
      </w:r>
      <w:r w:rsidRPr="00E6351E">
        <w:rPr>
          <w:lang w:val="mi-NZ"/>
        </w:rPr>
        <w:t xml:space="preserve"> pet</w:t>
      </w:r>
      <w:r>
        <w:rPr>
          <w:lang w:val="mi-NZ"/>
        </w:rPr>
        <w:t xml:space="preserve"> ownership</w:t>
      </w:r>
      <w:r w:rsidRPr="00E6351E">
        <w:rPr>
          <w:lang w:val="mi-NZ"/>
        </w:rPr>
        <w:t xml:space="preserve">. What do owners give up for their pets? </w:t>
      </w:r>
    </w:p>
    <w:p w14:paraId="734D91D4" w14:textId="77777777" w:rsidR="001F207C" w:rsidRPr="00E6351E" w:rsidRDefault="001F207C" w:rsidP="003342DE">
      <w:pPr>
        <w:spacing w:line="24" w:lineRule="atLeast"/>
        <w:jc w:val="both"/>
        <w:rPr>
          <w:lang w:val="mi-NZ"/>
        </w:rPr>
      </w:pPr>
    </w:p>
    <w:p w14:paraId="2C3BCC93" w14:textId="77777777" w:rsidR="007E596C" w:rsidRDefault="007E596C" w:rsidP="001F207C">
      <w:pPr>
        <w:spacing w:line="24" w:lineRule="atLeast"/>
        <w:ind w:firstLine="360"/>
        <w:jc w:val="both"/>
        <w:rPr>
          <w:lang w:val="mi-NZ"/>
        </w:rPr>
      </w:pPr>
      <w:r>
        <w:rPr>
          <w:lang w:val="mi-NZ"/>
        </w:rPr>
        <w:t xml:space="preserve">In this paper, we investigate the relationship between pet ownership and income. </w:t>
      </w:r>
      <w:r w:rsidRPr="00E6351E">
        <w:rPr>
          <w:lang w:val="mi-NZ"/>
        </w:rPr>
        <w:t xml:space="preserve">Inherently, pet owners have </w:t>
      </w:r>
      <w:r>
        <w:rPr>
          <w:lang w:val="mi-NZ"/>
        </w:rPr>
        <w:t>lower</w:t>
      </w:r>
      <w:r w:rsidRPr="00E6351E">
        <w:rPr>
          <w:lang w:val="mi-NZ"/>
        </w:rPr>
        <w:t xml:space="preserve"> discretionary income (than similar non-pet owners) because they </w:t>
      </w:r>
      <w:r>
        <w:rPr>
          <w:lang w:val="mi-NZ"/>
        </w:rPr>
        <w:t>face greater</w:t>
      </w:r>
      <w:r w:rsidRPr="00E6351E">
        <w:rPr>
          <w:lang w:val="mi-NZ"/>
        </w:rPr>
        <w:t xml:space="preserve"> expenses (for example, veterinary bills, food, litter and pet insurance). </w:t>
      </w:r>
      <w:r>
        <w:rPr>
          <w:lang w:val="mi-NZ"/>
        </w:rPr>
        <w:t>However</w:t>
      </w:r>
      <w:r w:rsidRPr="00E6351E">
        <w:rPr>
          <w:lang w:val="mi-NZ"/>
        </w:rPr>
        <w:t xml:space="preserve">, could pet ownership </w:t>
      </w:r>
      <w:r>
        <w:rPr>
          <w:lang w:val="mi-NZ"/>
        </w:rPr>
        <w:t xml:space="preserve">also </w:t>
      </w:r>
      <w:r w:rsidRPr="00E6351E">
        <w:rPr>
          <w:lang w:val="mi-NZ"/>
        </w:rPr>
        <w:t>decrease gross income?</w:t>
      </w:r>
      <w:r>
        <w:rPr>
          <w:lang w:val="mi-NZ"/>
        </w:rPr>
        <w:t xml:space="preserve"> We hypothesise that owning a pet decreases a worker’s mobility, which limits their access to higher-income employment opportunities. Similar to having children (</w:t>
      </w:r>
      <w:r w:rsidRPr="00A37FF9">
        <w:rPr>
          <w:lang w:val="mi-NZ"/>
        </w:rPr>
        <w:t>de Luis Carnicer</w:t>
      </w:r>
      <w:r>
        <w:rPr>
          <w:lang w:val="mi-NZ"/>
        </w:rPr>
        <w:t xml:space="preserve"> et al. 2004), owning a pet may decrease the mobility of a worker and their ability to pursue job opportunities in new areas. Renters with pets may find it more difficult to move because landlords often impose restrictions on pet ownership (Power, 2016). Moreover, the act of relocating a pet incurs significant financial costs and there may be practical barriers to relocation (Global Pet Relocation, 2021).  Search models of the labour market recognise the importance of matching a worker to a job vacancy (Rogerson et al., 2005). If a worker is less mobile, they have less bargaining power in negotiating wages with potential employers (and </w:t>
      </w:r>
      <w:r w:rsidRPr="0075088E">
        <w:rPr>
          <w:i/>
          <w:iCs/>
          <w:lang w:val="mi-NZ"/>
        </w:rPr>
        <w:t>ceteris paribus</w:t>
      </w:r>
      <w:r>
        <w:rPr>
          <w:lang w:val="mi-NZ"/>
        </w:rPr>
        <w:t>, should receive a lower wage). Thus, we would expect pet owners to have lower incomes than equivalent non-pet owners. Understanding this research question has wider implications, beyond helping people to better appreciate the costs and benefits of pet ownership. As Schioppa and La Sapienza (1991) show, labour mobility issues feed into labour market mismatching, which restricts economic growth and efficiency. If pet ownership decreases labour market mobility, then pet ownership may reduce economic growth. This may be of interest to policy makers who could design policy to reduce barriers to mobility among pet owners and thus increase the efficiency of the labour market.</w:t>
      </w:r>
    </w:p>
    <w:p w14:paraId="16B66C45" w14:textId="77777777" w:rsidR="001F207C" w:rsidRDefault="001F207C" w:rsidP="001F207C">
      <w:pPr>
        <w:spacing w:line="24" w:lineRule="atLeast"/>
        <w:ind w:firstLine="360"/>
        <w:jc w:val="both"/>
        <w:rPr>
          <w:lang w:val="mi-NZ"/>
        </w:rPr>
      </w:pPr>
    </w:p>
    <w:p w14:paraId="0D23E412" w14:textId="5BCAABD1" w:rsidR="007E596C" w:rsidRDefault="007E596C" w:rsidP="001F207C">
      <w:pPr>
        <w:spacing w:line="24" w:lineRule="atLeast"/>
        <w:ind w:firstLine="360"/>
        <w:jc w:val="both"/>
        <w:rPr>
          <w:lang w:val="mi-NZ"/>
        </w:rPr>
      </w:pPr>
      <w:r>
        <w:rPr>
          <w:lang w:val="mi-NZ"/>
        </w:rPr>
        <w:t>To understand the relationship between pet ownership and wage income (which, in theory, is driven by labour mobility), we add a measure of pet ownership into a standard Mincer wage regression, using data from the US General Social Survey (GSS). We include a rich set of control variables and consider interactions between pet ownership and other key explanatory variables to further explore this relationship. As far as we are aware, this is the first study to investigate the relationship between pet ownership and wage income, with links to labour mobility. In the next section, we discuss the data and our econometric methodology. In the third section, we summarise the results and discuss their implications, while the fourth section concludes.</w:t>
      </w:r>
    </w:p>
    <w:p w14:paraId="092E57F5" w14:textId="77777777" w:rsidR="00AB5A35" w:rsidRDefault="00AB5A35" w:rsidP="001F207C">
      <w:pPr>
        <w:spacing w:line="24" w:lineRule="atLeast"/>
        <w:ind w:firstLine="360"/>
        <w:jc w:val="both"/>
        <w:rPr>
          <w:lang w:val="mi-NZ"/>
        </w:rPr>
      </w:pPr>
      <w:bookmarkStart w:id="1" w:name="_GoBack"/>
      <w:bookmarkEnd w:id="1"/>
    </w:p>
    <w:p w14:paraId="34F130A6" w14:textId="77777777" w:rsidR="007E596C" w:rsidRPr="0075088E" w:rsidRDefault="007E596C" w:rsidP="003342DE">
      <w:pPr>
        <w:spacing w:line="24" w:lineRule="atLeast"/>
        <w:jc w:val="both"/>
        <w:rPr>
          <w:lang w:val="mi-NZ"/>
        </w:rPr>
      </w:pPr>
    </w:p>
    <w:p w14:paraId="23E42D4B" w14:textId="11630730" w:rsidR="007E596C" w:rsidRDefault="007E596C" w:rsidP="00AB5A35">
      <w:pPr>
        <w:pStyle w:val="ListParagraph"/>
        <w:numPr>
          <w:ilvl w:val="0"/>
          <w:numId w:val="48"/>
        </w:numPr>
        <w:spacing w:after="160" w:line="24" w:lineRule="atLeast"/>
        <w:ind w:left="360"/>
        <w:rPr>
          <w:b/>
          <w:bCs/>
          <w:lang w:val="mi-NZ"/>
        </w:rPr>
      </w:pPr>
      <w:r w:rsidRPr="007D243F">
        <w:rPr>
          <w:b/>
          <w:bCs/>
          <w:lang w:val="mi-NZ"/>
        </w:rPr>
        <w:lastRenderedPageBreak/>
        <w:t>Data and methodology</w:t>
      </w:r>
    </w:p>
    <w:p w14:paraId="1F1771A4" w14:textId="77777777" w:rsidR="00AB5A35" w:rsidRPr="007D243F" w:rsidRDefault="00AB5A35" w:rsidP="00AB5A35">
      <w:pPr>
        <w:pStyle w:val="ListParagraph"/>
        <w:spacing w:after="160" w:line="24" w:lineRule="atLeast"/>
        <w:ind w:left="360"/>
        <w:rPr>
          <w:b/>
          <w:bCs/>
          <w:lang w:val="mi-NZ"/>
        </w:rPr>
      </w:pPr>
    </w:p>
    <w:p w14:paraId="03AA59B0" w14:textId="77777777" w:rsidR="007E596C" w:rsidRDefault="007E596C" w:rsidP="00AB5A35">
      <w:pPr>
        <w:spacing w:line="24" w:lineRule="atLeast"/>
        <w:jc w:val="both"/>
        <w:rPr>
          <w:lang w:val="mi-NZ"/>
        </w:rPr>
      </w:pPr>
      <w:r>
        <w:rPr>
          <w:lang w:val="mi-NZ"/>
        </w:rPr>
        <w:t>We use data from the 2018 wave of the U.S. General Social Survey (GSS). The GSS is a large representative survey of U.S. adults, which has been conducted by the National Opinion Research Centre (NORC) biannually since 1972. It has been widely used across the social sciences to answer a range of theoretical and applied questions (for example, see Burt, 1984; Blocker and Eckberg, 1997)</w:t>
      </w:r>
      <w:r>
        <w:rPr>
          <w:b/>
          <w:bCs/>
          <w:lang w:val="mi-NZ"/>
        </w:rPr>
        <w:t xml:space="preserve">. </w:t>
      </w:r>
      <w:r>
        <w:rPr>
          <w:lang w:val="mi-NZ"/>
        </w:rPr>
        <w:t>GSS data cover an extensive array of topics and include a wide range of demographic variables, making it highly useful for research in economics. The GSS employs multi-stage probability sampling methods, and survey weights are available to researchers (to ensure the data are representative of U.S. adults aged 18 years old and above). The GSS includes unique modules in different years of the survey and often employs a split design, whereby randomly selected groups of respondents see different modules (NORC, 2019). In the 2018 round, the GSS included a module with questions pertaining to pet ownership. Applebaum (2020) took a first look at the point estimates from the data and describe the GSS data as being the best available cross-sectional data on pet ownership in the U.S. (largely because alternative data sources had limited demographic variables and undisclosed sampling designs). Unfortunately, the GSS only includes pet ownership questions for the 2018 round (as a special module), so panel data analysis methods cannot be employed. The final sample size for the GSS survey in 2018 was 2,348 (however, only 1,147 respondents answered the pet ownership module). Moreover, due to the split-design of the GSS, a limited number of respondents saw questions on the number of hours worked in a week (N = 1381) and housing tenure (N = 1552). The final sample size of respondents who were working and saw the pet ownership questions is 661.</w:t>
      </w:r>
    </w:p>
    <w:p w14:paraId="74D94C55" w14:textId="77777777" w:rsidR="001F207C" w:rsidRDefault="001F207C" w:rsidP="001F207C">
      <w:pPr>
        <w:spacing w:line="24" w:lineRule="atLeast"/>
        <w:ind w:firstLine="360"/>
        <w:jc w:val="both"/>
        <w:rPr>
          <w:lang w:val="mi-NZ"/>
        </w:rPr>
      </w:pPr>
    </w:p>
    <w:p w14:paraId="393F5455" w14:textId="77777777" w:rsidR="007E596C" w:rsidRDefault="007E596C" w:rsidP="001F207C">
      <w:pPr>
        <w:spacing w:line="24" w:lineRule="atLeast"/>
        <w:ind w:firstLine="360"/>
        <w:jc w:val="both"/>
        <w:rPr>
          <w:lang w:val="mi-NZ"/>
        </w:rPr>
      </w:pPr>
      <w:r>
        <w:rPr>
          <w:lang w:val="mi-NZ"/>
        </w:rPr>
        <w:t>We employ a standard Mincer wage regression, where the dependent variable is the log of real wage income ($USD, base year = 1986). Our key independent variable of interest is the number of pets owned. The number of pets is highly skewed to the right and right-censored at twenty. We further winsorise this variable to the 95th percentile at the upper bound to prevent any leveraging bias caused by a small number of extreme values. We include important control variables for models predicting income (Mincer, 1958), including labour market experience (age minus twenty years) and its square, gender, race, and education (completed school years). Furthermore, thanks to the richness of the GSS data, we include several other covariates (to make selection on observables more plausible, reduce the bias in our regression models, and increase statistical power). Specifically, we control for the number of children, marital status, weekly hours worked, mental health, and housing tenure for each respondent (all of which may influence income so would generate omitted variable bias if excluded). We also include regional controls (seven regions) to control for some regional heterogeniety. All models use robust standard errors to account for heteroskedasticity. We also use probability sampling weights to ensure the data are representative of U.S. adults. Our initial econometric specification is as follows:</w:t>
      </w:r>
    </w:p>
    <w:p w14:paraId="23925F00" w14:textId="77777777" w:rsidR="001F207C" w:rsidRDefault="001F207C" w:rsidP="001F207C">
      <w:pPr>
        <w:spacing w:line="24" w:lineRule="atLeast"/>
        <w:ind w:firstLine="360"/>
        <w:jc w:val="both"/>
        <w:rPr>
          <w:lang w:val="mi-NZ"/>
        </w:rPr>
      </w:pPr>
    </w:p>
    <w:p w14:paraId="4D931ED7" w14:textId="77777777" w:rsidR="007E596C" w:rsidRDefault="008F2AC3" w:rsidP="003342DE">
      <w:pPr>
        <w:spacing w:line="24" w:lineRule="atLeast"/>
        <w:ind w:firstLine="720"/>
        <w:jc w:val="both"/>
        <w:rPr>
          <w:rFonts w:eastAsiaTheme="minorEastAsia"/>
          <w:lang w:val="mi-NZ"/>
        </w:rPr>
      </w:pPr>
      <m:oMath>
        <m:sSub>
          <m:sSubPr>
            <m:ctrlPr>
              <w:rPr>
                <w:rFonts w:ascii="Cambria Math" w:hAnsi="Cambria Math"/>
                <w:i/>
                <w:lang w:val="mi-NZ"/>
              </w:rPr>
            </m:ctrlPr>
          </m:sSubPr>
          <m:e>
            <m:func>
              <m:funcPr>
                <m:ctrlPr>
                  <w:rPr>
                    <w:rFonts w:ascii="Cambria Math" w:hAnsi="Cambria Math"/>
                    <w:i/>
                    <w:lang w:val="mi-NZ"/>
                  </w:rPr>
                </m:ctrlPr>
              </m:funcPr>
              <m:fName>
                <m:r>
                  <m:rPr>
                    <m:sty m:val="p"/>
                  </m:rPr>
                  <w:rPr>
                    <w:rFonts w:ascii="Cambria Math" w:hAnsi="Cambria Math"/>
                    <w:lang w:val="mi-NZ"/>
                  </w:rPr>
                  <m:t>ln</m:t>
                </m:r>
              </m:fName>
              <m:e>
                <m:d>
                  <m:dPr>
                    <m:ctrlPr>
                      <w:rPr>
                        <w:rFonts w:ascii="Cambria Math" w:hAnsi="Cambria Math"/>
                        <w:i/>
                        <w:lang w:val="mi-NZ"/>
                      </w:rPr>
                    </m:ctrlPr>
                  </m:dPr>
                  <m:e>
                    <m:r>
                      <w:rPr>
                        <w:rFonts w:ascii="Cambria Math" w:hAnsi="Cambria Math"/>
                        <w:lang w:val="mi-NZ"/>
                      </w:rPr>
                      <m:t>real income</m:t>
                    </m:r>
                  </m:e>
                </m:d>
              </m:e>
            </m:func>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0</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1</m:t>
            </m:r>
          </m:sub>
        </m:sSub>
        <m:sSub>
          <m:sSubPr>
            <m:ctrlPr>
              <w:rPr>
                <w:rFonts w:ascii="Cambria Math" w:hAnsi="Cambria Math"/>
                <w:i/>
                <w:lang w:val="mi-NZ"/>
              </w:rPr>
            </m:ctrlPr>
          </m:sSubPr>
          <m:e>
            <m:r>
              <w:rPr>
                <w:rFonts w:ascii="Cambria Math" w:hAnsi="Cambria Math"/>
                <w:lang w:val="mi-NZ"/>
              </w:rPr>
              <m:t>Pets</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2</m:t>
            </m:r>
          </m:sub>
        </m:sSub>
        <m:sSub>
          <m:sSubPr>
            <m:ctrlPr>
              <w:rPr>
                <w:rFonts w:ascii="Cambria Math" w:hAnsi="Cambria Math"/>
                <w:i/>
                <w:lang w:val="mi-NZ"/>
              </w:rPr>
            </m:ctrlPr>
          </m:sSubPr>
          <m:e>
            <m:r>
              <w:rPr>
                <w:rFonts w:ascii="Cambria Math" w:hAnsi="Cambria Math"/>
                <w:lang w:val="mi-NZ"/>
              </w:rPr>
              <m:t>Educ</m:t>
            </m:r>
          </m:e>
          <m:sub>
            <m:r>
              <w:rPr>
                <w:rFonts w:ascii="Cambria Math" w:hAnsi="Cambria Math"/>
                <w:lang w:val="mi-NZ"/>
              </w:rPr>
              <m:t>i</m:t>
            </m:r>
          </m:sub>
        </m:sSub>
        <m:r>
          <m:rPr>
            <m:sty m:val="bi"/>
          </m:rP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3</m:t>
            </m:r>
          </m:sub>
        </m:sSub>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4</m:t>
            </m:r>
          </m:sub>
        </m:sSub>
        <m:sSup>
          <m:sSupPr>
            <m:ctrlPr>
              <w:rPr>
                <w:rFonts w:ascii="Cambria Math" w:hAnsi="Cambria Math"/>
                <w:i/>
                <w:lang w:val="mi-NZ"/>
              </w:rPr>
            </m:ctrlPr>
          </m:sSupPr>
          <m:e>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e>
          <m:sup>
            <m:r>
              <w:rPr>
                <w:rFonts w:ascii="Cambria Math" w:hAnsi="Cambria Math"/>
                <w:lang w:val="mi-NZ"/>
              </w:rPr>
              <m:t>2</m:t>
            </m:r>
          </m:sup>
        </m:sSup>
        <m:r>
          <m:rPr>
            <m:sty m:val="bi"/>
          </m:rPr>
          <w:rPr>
            <w:rFonts w:ascii="Cambria Math" w:hAnsi="Cambria Math"/>
            <w:lang w:val="mi-NZ"/>
          </w:rPr>
          <m:t>+γ</m:t>
        </m:r>
        <m:sSub>
          <m:sSubPr>
            <m:ctrlPr>
              <w:rPr>
                <w:rFonts w:ascii="Cambria Math" w:hAnsi="Cambria Math"/>
                <w:b/>
                <w:bCs/>
                <w:i/>
                <w:lang w:val="mi-NZ"/>
              </w:rPr>
            </m:ctrlPr>
          </m:sSubPr>
          <m:e>
            <m:r>
              <m:rPr>
                <m:sty m:val="bi"/>
              </m:rPr>
              <w:rPr>
                <w:rFonts w:ascii="Cambria Math" w:hAnsi="Cambria Math"/>
                <w:lang w:val="mi-NZ"/>
              </w:rPr>
              <m:t>Z</m:t>
            </m:r>
          </m:e>
          <m:sub>
            <m:r>
              <m:rPr>
                <m:sty m:val="bi"/>
              </m:rP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ε</m:t>
            </m:r>
          </m:e>
          <m:sub>
            <m:r>
              <w:rPr>
                <w:rFonts w:ascii="Cambria Math" w:hAnsi="Cambria Math"/>
                <w:lang w:val="mi-NZ"/>
              </w:rPr>
              <m:t>i</m:t>
            </m:r>
          </m:sub>
        </m:sSub>
      </m:oMath>
      <w:r w:rsidR="007E596C">
        <w:rPr>
          <w:rFonts w:eastAsiaTheme="minorEastAsia"/>
          <w:lang w:val="mi-NZ"/>
        </w:rPr>
        <w:t xml:space="preserve"> </w:t>
      </w:r>
      <w:r w:rsidR="007E596C">
        <w:rPr>
          <w:rFonts w:eastAsiaTheme="minorEastAsia"/>
          <w:lang w:val="mi-NZ"/>
        </w:rPr>
        <w:tab/>
      </w:r>
      <w:r w:rsidR="007E596C">
        <w:rPr>
          <w:rFonts w:eastAsiaTheme="minorEastAsia"/>
          <w:lang w:val="mi-NZ"/>
        </w:rPr>
        <w:tab/>
        <w:t>(1)</w:t>
      </w:r>
    </w:p>
    <w:p w14:paraId="3409ADB4" w14:textId="77777777" w:rsidR="001F207C" w:rsidRDefault="001F207C" w:rsidP="003342DE">
      <w:pPr>
        <w:spacing w:line="24" w:lineRule="atLeast"/>
        <w:ind w:firstLine="720"/>
        <w:jc w:val="both"/>
        <w:rPr>
          <w:rFonts w:eastAsiaTheme="minorEastAsia"/>
          <w:lang w:val="mi-NZ"/>
        </w:rPr>
      </w:pPr>
    </w:p>
    <w:p w14:paraId="2012EF68" w14:textId="77777777" w:rsidR="007E596C" w:rsidRDefault="007E596C" w:rsidP="0051697B">
      <w:pPr>
        <w:spacing w:line="24" w:lineRule="atLeast"/>
        <w:jc w:val="both"/>
        <w:rPr>
          <w:rFonts w:eastAsiaTheme="minorEastAsia"/>
          <w:lang w:val="mi-NZ"/>
        </w:rPr>
      </w:pPr>
      <w:r>
        <w:rPr>
          <w:rFonts w:eastAsiaTheme="minorEastAsia"/>
          <w:lang w:val="mi-NZ"/>
        </w:rPr>
        <w:t xml:space="preserve">where </w:t>
      </w:r>
      <m:oMath>
        <m:sSub>
          <m:sSubPr>
            <m:ctrlPr>
              <w:rPr>
                <w:rFonts w:ascii="Cambria Math" w:hAnsi="Cambria Math"/>
                <w:i/>
                <w:lang w:val="mi-NZ"/>
              </w:rPr>
            </m:ctrlPr>
          </m:sSubPr>
          <m:e>
            <m:r>
              <w:rPr>
                <w:rFonts w:ascii="Cambria Math" w:hAnsi="Cambria Math"/>
                <w:lang w:val="mi-NZ"/>
              </w:rPr>
              <m:t>Pets</m:t>
            </m:r>
          </m:e>
          <m:sub>
            <m:r>
              <w:rPr>
                <w:rFonts w:ascii="Cambria Math" w:hAnsi="Cambria Math"/>
                <w:lang w:val="mi-NZ"/>
              </w:rPr>
              <m:t>i</m:t>
            </m:r>
          </m:sub>
        </m:sSub>
      </m:oMath>
      <w:r>
        <w:rPr>
          <w:rFonts w:eastAsiaTheme="minorEastAsia"/>
          <w:lang w:val="mi-NZ"/>
        </w:rPr>
        <w:t xml:space="preserve"> is the number of pets indiviudal </w:t>
      </w:r>
      <m:oMath>
        <m:r>
          <w:rPr>
            <w:rFonts w:ascii="Cambria Math" w:hAnsi="Cambria Math"/>
            <w:lang w:val="mi-NZ"/>
          </w:rPr>
          <m:t>i</m:t>
        </m:r>
      </m:oMath>
      <w:r>
        <w:rPr>
          <w:rFonts w:eastAsiaTheme="minorEastAsia"/>
          <w:lang w:val="mi-NZ"/>
        </w:rPr>
        <w:t xml:space="preserve"> owns, </w:t>
      </w:r>
      <m:oMath>
        <m:sSub>
          <m:sSubPr>
            <m:ctrlPr>
              <w:rPr>
                <w:rFonts w:ascii="Cambria Math" w:hAnsi="Cambria Math"/>
                <w:i/>
                <w:lang w:val="mi-NZ"/>
              </w:rPr>
            </m:ctrlPr>
          </m:sSubPr>
          <m:e>
            <m:r>
              <w:rPr>
                <w:rFonts w:ascii="Cambria Math" w:hAnsi="Cambria Math"/>
                <w:lang w:val="mi-NZ"/>
              </w:rPr>
              <m:t>Educ</m:t>
            </m:r>
          </m:e>
          <m:sub>
            <m:r>
              <w:rPr>
                <w:rFonts w:ascii="Cambria Math" w:hAnsi="Cambria Math"/>
                <w:lang w:val="mi-NZ"/>
              </w:rPr>
              <m:t>i</m:t>
            </m:r>
          </m:sub>
        </m:sSub>
      </m:oMath>
      <w:r>
        <w:rPr>
          <w:rFonts w:eastAsiaTheme="minorEastAsia"/>
          <w:lang w:val="mi-NZ"/>
        </w:rPr>
        <w:t xml:space="preserve"> is the number of completed school years for individual </w:t>
      </w:r>
      <m:oMath>
        <m:r>
          <w:rPr>
            <w:rFonts w:ascii="Cambria Math" w:hAnsi="Cambria Math"/>
            <w:lang w:val="mi-NZ"/>
          </w:rPr>
          <m:t>i</m:t>
        </m:r>
      </m:oMath>
      <w:r>
        <w:rPr>
          <w:rFonts w:eastAsiaTheme="minorEastAsia"/>
          <w:lang w:val="mi-NZ"/>
        </w:rPr>
        <w:t xml:space="preserve">, </w:t>
      </w:r>
      <m:oMath>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oMath>
      <w:r>
        <w:rPr>
          <w:rFonts w:eastAsiaTheme="minorEastAsia"/>
          <w:lang w:val="mi-NZ"/>
        </w:rPr>
        <w:t xml:space="preserve"> is labour market experience (age minus twenty years) for individual </w:t>
      </w:r>
      <m:oMath>
        <m:r>
          <w:rPr>
            <w:rFonts w:ascii="Cambria Math" w:hAnsi="Cambria Math"/>
            <w:lang w:val="mi-NZ"/>
          </w:rPr>
          <m:t>i</m:t>
        </m:r>
      </m:oMath>
      <w:r>
        <w:rPr>
          <w:rFonts w:eastAsiaTheme="minorEastAsia"/>
          <w:lang w:val="mi-NZ"/>
        </w:rPr>
        <w:t xml:space="preserve">, </w:t>
      </w:r>
      <m:oMath>
        <m:sSub>
          <m:sSubPr>
            <m:ctrlPr>
              <w:rPr>
                <w:rFonts w:ascii="Cambria Math" w:hAnsi="Cambria Math"/>
                <w:b/>
                <w:bCs/>
                <w:i/>
                <w:lang w:val="mi-NZ"/>
              </w:rPr>
            </m:ctrlPr>
          </m:sSubPr>
          <m:e>
            <m:r>
              <m:rPr>
                <m:sty m:val="bi"/>
              </m:rPr>
              <w:rPr>
                <w:rFonts w:ascii="Cambria Math" w:hAnsi="Cambria Math"/>
                <w:lang w:val="mi-NZ"/>
              </w:rPr>
              <m:t>Z</m:t>
            </m:r>
          </m:e>
          <m:sub>
            <m:r>
              <m:rPr>
                <m:sty m:val="bi"/>
              </m:rPr>
              <w:rPr>
                <w:rFonts w:ascii="Cambria Math" w:hAnsi="Cambria Math"/>
                <w:lang w:val="mi-NZ"/>
              </w:rPr>
              <m:t>i</m:t>
            </m:r>
          </m:sub>
        </m:sSub>
      </m:oMath>
      <w:r>
        <w:rPr>
          <w:rFonts w:eastAsiaTheme="minorEastAsia"/>
          <w:b/>
          <w:bCs/>
          <w:lang w:val="mi-NZ"/>
        </w:rPr>
        <w:t xml:space="preserve"> </w:t>
      </w:r>
      <w:r>
        <w:rPr>
          <w:rFonts w:eastAsiaTheme="minorEastAsia"/>
          <w:lang w:val="mi-NZ"/>
        </w:rPr>
        <w:t xml:space="preserve">is a vector of control variables, and </w:t>
      </w:r>
      <m:oMath>
        <m:sSub>
          <m:sSubPr>
            <m:ctrlPr>
              <w:rPr>
                <w:rFonts w:ascii="Cambria Math" w:hAnsi="Cambria Math"/>
                <w:i/>
                <w:lang w:val="mi-NZ"/>
              </w:rPr>
            </m:ctrlPr>
          </m:sSubPr>
          <m:e>
            <m:r>
              <w:rPr>
                <w:rFonts w:ascii="Cambria Math" w:hAnsi="Cambria Math"/>
                <w:lang w:val="mi-NZ"/>
              </w:rPr>
              <m:t>ε</m:t>
            </m:r>
          </m:e>
          <m:sub>
            <m:r>
              <w:rPr>
                <w:rFonts w:ascii="Cambria Math" w:hAnsi="Cambria Math"/>
                <w:lang w:val="mi-NZ"/>
              </w:rPr>
              <m:t>i</m:t>
            </m:r>
          </m:sub>
        </m:sSub>
      </m:oMath>
      <w:r>
        <w:rPr>
          <w:rFonts w:eastAsiaTheme="minorEastAsia"/>
          <w:lang w:val="mi-NZ"/>
        </w:rPr>
        <w:t xml:space="preserve"> is an idiosyncratic error term.</w:t>
      </w:r>
    </w:p>
    <w:p w14:paraId="1DA1CF45" w14:textId="77777777" w:rsidR="0051697B" w:rsidRDefault="0051697B" w:rsidP="003342DE">
      <w:pPr>
        <w:spacing w:line="24" w:lineRule="atLeast"/>
        <w:jc w:val="both"/>
        <w:rPr>
          <w:rFonts w:eastAsiaTheme="minorEastAsia"/>
          <w:lang w:val="mi-NZ"/>
        </w:rPr>
      </w:pPr>
    </w:p>
    <w:p w14:paraId="11771F55" w14:textId="4FEEF7B6" w:rsidR="007E596C" w:rsidRDefault="007E596C" w:rsidP="0051697B">
      <w:pPr>
        <w:spacing w:line="24" w:lineRule="atLeast"/>
        <w:ind w:firstLine="709"/>
        <w:jc w:val="both"/>
        <w:rPr>
          <w:rFonts w:eastAsiaTheme="minorEastAsia"/>
          <w:lang w:val="mi-NZ"/>
        </w:rPr>
      </w:pPr>
      <w:r>
        <w:rPr>
          <w:rFonts w:eastAsiaTheme="minorEastAsia"/>
          <w:lang w:val="mi-NZ"/>
        </w:rPr>
        <w:lastRenderedPageBreak/>
        <w:t>We then consider an interaction between the number of pets and education. Literature suggests that labour mobility, the job vacancy rate and labour market matching are fundamentally different between high-skilled and low-skilled workers (</w:t>
      </w:r>
      <w:r w:rsidRPr="00987CE9">
        <w:rPr>
          <w:rFonts w:eastAsiaTheme="minorEastAsia"/>
          <w:lang w:val="mi-NZ"/>
        </w:rPr>
        <w:t>Ghayad</w:t>
      </w:r>
      <w:r>
        <w:rPr>
          <w:rFonts w:eastAsiaTheme="minorEastAsia"/>
          <w:lang w:val="mi-NZ"/>
        </w:rPr>
        <w:t xml:space="preserve"> and </w:t>
      </w:r>
      <w:r w:rsidRPr="00987CE9">
        <w:rPr>
          <w:rFonts w:eastAsiaTheme="minorEastAsia"/>
          <w:lang w:val="mi-NZ"/>
        </w:rPr>
        <w:t>Dickens, 2012</w:t>
      </w:r>
      <w:r>
        <w:rPr>
          <w:rFonts w:eastAsiaTheme="minorEastAsia"/>
          <w:lang w:val="mi-NZ"/>
        </w:rPr>
        <w:t>; Holzer, 1994). This leads to the following specification:</w:t>
      </w:r>
    </w:p>
    <w:p w14:paraId="0B72D14C" w14:textId="77777777" w:rsidR="0051697B" w:rsidRDefault="0051697B" w:rsidP="0051697B">
      <w:pPr>
        <w:spacing w:line="24" w:lineRule="atLeast"/>
        <w:ind w:firstLine="709"/>
        <w:jc w:val="both"/>
        <w:rPr>
          <w:rFonts w:eastAsiaTheme="minorEastAsia"/>
          <w:lang w:val="mi-NZ"/>
        </w:rPr>
      </w:pPr>
    </w:p>
    <w:p w14:paraId="21F9BC59" w14:textId="77777777" w:rsidR="007E596C" w:rsidRDefault="008F2AC3" w:rsidP="003342DE">
      <w:pPr>
        <w:spacing w:line="24" w:lineRule="atLeast"/>
        <w:ind w:left="709"/>
        <w:jc w:val="both"/>
        <w:rPr>
          <w:rFonts w:eastAsiaTheme="minorEastAsia"/>
          <w:lang w:val="mi-NZ"/>
        </w:rPr>
      </w:pPr>
      <m:oMath>
        <m:sSub>
          <m:sSubPr>
            <m:ctrlPr>
              <w:rPr>
                <w:rFonts w:ascii="Cambria Math" w:hAnsi="Cambria Math"/>
                <w:i/>
                <w:lang w:val="mi-NZ"/>
              </w:rPr>
            </m:ctrlPr>
          </m:sSubPr>
          <m:e>
            <m:func>
              <m:funcPr>
                <m:ctrlPr>
                  <w:rPr>
                    <w:rFonts w:ascii="Cambria Math" w:hAnsi="Cambria Math"/>
                    <w:i/>
                    <w:lang w:val="mi-NZ"/>
                  </w:rPr>
                </m:ctrlPr>
              </m:funcPr>
              <m:fName>
                <m:r>
                  <m:rPr>
                    <m:sty m:val="p"/>
                  </m:rPr>
                  <w:rPr>
                    <w:rFonts w:ascii="Cambria Math" w:hAnsi="Cambria Math"/>
                    <w:lang w:val="mi-NZ"/>
                  </w:rPr>
                  <m:t>ln</m:t>
                </m:r>
              </m:fName>
              <m:e>
                <m:d>
                  <m:dPr>
                    <m:ctrlPr>
                      <w:rPr>
                        <w:rFonts w:ascii="Cambria Math" w:hAnsi="Cambria Math"/>
                        <w:i/>
                        <w:lang w:val="mi-NZ"/>
                      </w:rPr>
                    </m:ctrlPr>
                  </m:dPr>
                  <m:e>
                    <m:r>
                      <w:rPr>
                        <w:rFonts w:ascii="Cambria Math" w:hAnsi="Cambria Math"/>
                        <w:lang w:val="mi-NZ"/>
                      </w:rPr>
                      <m:t>real income</m:t>
                    </m:r>
                  </m:e>
                </m:d>
              </m:e>
            </m:func>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0</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1</m:t>
            </m:r>
          </m:sub>
        </m:sSub>
        <m:sSub>
          <m:sSubPr>
            <m:ctrlPr>
              <w:rPr>
                <w:rFonts w:ascii="Cambria Math" w:hAnsi="Cambria Math"/>
                <w:i/>
                <w:lang w:val="mi-NZ"/>
              </w:rPr>
            </m:ctrlPr>
          </m:sSubPr>
          <m:e>
            <m:r>
              <w:rPr>
                <w:rFonts w:ascii="Cambria Math" w:hAnsi="Cambria Math"/>
                <w:lang w:val="mi-NZ"/>
              </w:rPr>
              <m:t>Pets</m:t>
            </m:r>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2</m:t>
            </m:r>
          </m:sub>
        </m:sSub>
        <m:sSub>
          <m:sSubPr>
            <m:ctrlPr>
              <w:rPr>
                <w:rFonts w:ascii="Cambria Math" w:hAnsi="Cambria Math"/>
                <w:i/>
                <w:lang w:val="mi-NZ"/>
              </w:rPr>
            </m:ctrlPr>
          </m:sSubPr>
          <m:e>
            <m:r>
              <w:rPr>
                <w:rFonts w:ascii="Cambria Math" w:hAnsi="Cambria Math"/>
                <w:lang w:val="mi-NZ"/>
              </w:rPr>
              <m:t>Educ</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3</m:t>
            </m:r>
          </m:sub>
        </m:sSub>
        <m:sSub>
          <m:sSubPr>
            <m:ctrlPr>
              <w:rPr>
                <w:rFonts w:ascii="Cambria Math" w:hAnsi="Cambria Math"/>
                <w:i/>
                <w:lang w:val="mi-NZ"/>
              </w:rPr>
            </m:ctrlPr>
          </m:sSubPr>
          <m:e>
            <m:r>
              <w:rPr>
                <w:rFonts w:ascii="Cambria Math" w:hAnsi="Cambria Math"/>
                <w:lang w:val="mi-NZ"/>
              </w:rPr>
              <m:t>Pets*Educ</m:t>
            </m:r>
          </m:e>
          <m:sub>
            <m:r>
              <w:rPr>
                <w:rFonts w:ascii="Cambria Math" w:hAnsi="Cambria Math"/>
                <w:lang w:val="mi-NZ"/>
              </w:rPr>
              <m:t>i</m:t>
            </m:r>
          </m:sub>
        </m:sSub>
        <m:r>
          <m:rPr>
            <m:sty m:val="bi"/>
          </m:rP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4</m:t>
            </m:r>
          </m:sub>
        </m:sSub>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5</m:t>
            </m:r>
          </m:sub>
        </m:sSub>
        <m:sSup>
          <m:sSupPr>
            <m:ctrlPr>
              <w:rPr>
                <w:rFonts w:ascii="Cambria Math" w:hAnsi="Cambria Math"/>
                <w:i/>
                <w:lang w:val="mi-NZ"/>
              </w:rPr>
            </m:ctrlPr>
          </m:sSupPr>
          <m:e>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e>
          <m:sup>
            <m:r>
              <w:rPr>
                <w:rFonts w:ascii="Cambria Math" w:hAnsi="Cambria Math"/>
                <w:lang w:val="mi-NZ"/>
              </w:rPr>
              <m:t>2</m:t>
            </m:r>
          </m:sup>
        </m:sSup>
        <m:r>
          <m:rPr>
            <m:sty m:val="bi"/>
          </m:rPr>
          <w:rPr>
            <w:rFonts w:ascii="Cambria Math" w:hAnsi="Cambria Math"/>
            <w:lang w:val="mi-NZ"/>
          </w:rPr>
          <m:t>+γ</m:t>
        </m:r>
        <m:sSub>
          <m:sSubPr>
            <m:ctrlPr>
              <w:rPr>
                <w:rFonts w:ascii="Cambria Math" w:hAnsi="Cambria Math"/>
                <w:b/>
                <w:bCs/>
                <w:i/>
                <w:lang w:val="mi-NZ"/>
              </w:rPr>
            </m:ctrlPr>
          </m:sSubPr>
          <m:e>
            <m:r>
              <m:rPr>
                <m:sty m:val="bi"/>
              </m:rPr>
              <w:rPr>
                <w:rFonts w:ascii="Cambria Math" w:hAnsi="Cambria Math"/>
                <w:lang w:val="mi-NZ"/>
              </w:rPr>
              <m:t>Z</m:t>
            </m:r>
          </m:e>
          <m:sub>
            <m:r>
              <m:rPr>
                <m:sty m:val="bi"/>
              </m:rP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ε</m:t>
            </m:r>
          </m:e>
          <m:sub>
            <m:r>
              <w:rPr>
                <w:rFonts w:ascii="Cambria Math" w:hAnsi="Cambria Math"/>
                <w:lang w:val="mi-NZ"/>
              </w:rPr>
              <m:t>i</m:t>
            </m:r>
          </m:sub>
        </m:sSub>
      </m:oMath>
      <w:r w:rsidR="007E596C">
        <w:rPr>
          <w:rFonts w:eastAsiaTheme="minorEastAsia"/>
          <w:lang w:val="mi-NZ"/>
        </w:rPr>
        <w:t xml:space="preserve"> </w:t>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t>(2)</w:t>
      </w:r>
    </w:p>
    <w:p w14:paraId="37AD6628" w14:textId="77777777" w:rsidR="0051697B" w:rsidRDefault="0051697B" w:rsidP="003342DE">
      <w:pPr>
        <w:spacing w:line="24" w:lineRule="atLeast"/>
        <w:ind w:left="709"/>
        <w:jc w:val="both"/>
        <w:rPr>
          <w:rFonts w:eastAsiaTheme="minorEastAsia"/>
          <w:lang w:val="mi-NZ"/>
        </w:rPr>
      </w:pPr>
    </w:p>
    <w:p w14:paraId="04BB6C37" w14:textId="77777777" w:rsidR="007E596C" w:rsidRDefault="007E596C" w:rsidP="0051697B">
      <w:pPr>
        <w:spacing w:line="24" w:lineRule="atLeast"/>
        <w:ind w:firstLine="709"/>
        <w:jc w:val="both"/>
        <w:rPr>
          <w:lang w:val="mi-NZ"/>
        </w:rPr>
      </w:pPr>
      <w:r>
        <w:rPr>
          <w:lang w:val="mi-NZ"/>
        </w:rPr>
        <w:t>We also estimate a seperate model with an interaction between pet ownership and housing tenure (owning or renting and other). This model allows us to investigate whether differences in tenure impact the marginal effect of pet ownership on real income (as labour mobility may be significantly reduced for people who do not own their home and have pets). The Oswald hypothesis suggests that homeowners are less mobile than renters (Cochrane and Poot, 2020). In contrast, we suspect that renters’ mobility may be reduced with pet ownership due to landlord imposed restrictions on pets (Power, 2016). This third econometric model is specified as:</w:t>
      </w:r>
    </w:p>
    <w:p w14:paraId="0F2C6214" w14:textId="77777777" w:rsidR="0051697B" w:rsidRDefault="0051697B" w:rsidP="0051697B">
      <w:pPr>
        <w:spacing w:line="24" w:lineRule="atLeast"/>
        <w:ind w:firstLine="709"/>
        <w:jc w:val="both"/>
        <w:rPr>
          <w:lang w:val="mi-NZ"/>
        </w:rPr>
      </w:pPr>
    </w:p>
    <w:p w14:paraId="25333134" w14:textId="77777777" w:rsidR="007E596C" w:rsidRDefault="008F2AC3" w:rsidP="003342DE">
      <w:pPr>
        <w:spacing w:line="24" w:lineRule="atLeast"/>
        <w:ind w:left="709" w:firstLine="11"/>
        <w:jc w:val="both"/>
        <w:rPr>
          <w:rFonts w:eastAsiaTheme="minorEastAsia"/>
          <w:lang w:val="mi-NZ"/>
        </w:rPr>
      </w:pPr>
      <m:oMath>
        <m:sSub>
          <m:sSubPr>
            <m:ctrlPr>
              <w:rPr>
                <w:rFonts w:ascii="Cambria Math" w:hAnsi="Cambria Math"/>
                <w:i/>
                <w:lang w:val="mi-NZ"/>
              </w:rPr>
            </m:ctrlPr>
          </m:sSubPr>
          <m:e>
            <m:func>
              <m:funcPr>
                <m:ctrlPr>
                  <w:rPr>
                    <w:rFonts w:ascii="Cambria Math" w:hAnsi="Cambria Math"/>
                    <w:i/>
                    <w:lang w:val="mi-NZ"/>
                  </w:rPr>
                </m:ctrlPr>
              </m:funcPr>
              <m:fName>
                <m:r>
                  <m:rPr>
                    <m:sty m:val="p"/>
                  </m:rPr>
                  <w:rPr>
                    <w:rFonts w:ascii="Cambria Math" w:hAnsi="Cambria Math"/>
                    <w:lang w:val="mi-NZ"/>
                  </w:rPr>
                  <m:t>ln</m:t>
                </m:r>
              </m:fName>
              <m:e>
                <m:d>
                  <m:dPr>
                    <m:ctrlPr>
                      <w:rPr>
                        <w:rFonts w:ascii="Cambria Math" w:hAnsi="Cambria Math"/>
                        <w:i/>
                        <w:lang w:val="mi-NZ"/>
                      </w:rPr>
                    </m:ctrlPr>
                  </m:dPr>
                  <m:e>
                    <m:r>
                      <w:rPr>
                        <w:rFonts w:ascii="Cambria Math" w:hAnsi="Cambria Math"/>
                        <w:lang w:val="mi-NZ"/>
                      </w:rPr>
                      <m:t>real income</m:t>
                    </m:r>
                  </m:e>
                </m:d>
              </m:e>
            </m:func>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0</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1</m:t>
            </m:r>
          </m:sub>
        </m:sSub>
        <m:sSub>
          <m:sSubPr>
            <m:ctrlPr>
              <w:rPr>
                <w:rFonts w:ascii="Cambria Math" w:hAnsi="Cambria Math"/>
                <w:i/>
                <w:lang w:val="mi-NZ"/>
              </w:rPr>
            </m:ctrlPr>
          </m:sSubPr>
          <m:e>
            <m:r>
              <w:rPr>
                <w:rFonts w:ascii="Cambria Math" w:hAnsi="Cambria Math"/>
                <w:lang w:val="mi-NZ"/>
              </w:rPr>
              <m:t>Pets</m:t>
            </m:r>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2</m:t>
            </m:r>
          </m:sub>
        </m:sSub>
        <m:sSub>
          <m:sSubPr>
            <m:ctrlPr>
              <w:rPr>
                <w:rFonts w:ascii="Cambria Math" w:hAnsi="Cambria Math"/>
                <w:i/>
                <w:lang w:val="mi-NZ"/>
              </w:rPr>
            </m:ctrlPr>
          </m:sSubPr>
          <m:e>
            <m:r>
              <w:rPr>
                <w:rFonts w:ascii="Cambria Math" w:hAnsi="Cambria Math"/>
                <w:lang w:val="mi-NZ"/>
              </w:rPr>
              <m:t>Tenure</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3</m:t>
            </m:r>
          </m:sub>
        </m:sSub>
        <m:sSub>
          <m:sSubPr>
            <m:ctrlPr>
              <w:rPr>
                <w:rFonts w:ascii="Cambria Math" w:hAnsi="Cambria Math"/>
                <w:i/>
                <w:lang w:val="mi-NZ"/>
              </w:rPr>
            </m:ctrlPr>
          </m:sSubPr>
          <m:e>
            <m:r>
              <w:rPr>
                <w:rFonts w:ascii="Cambria Math" w:hAnsi="Cambria Math"/>
                <w:lang w:val="mi-NZ"/>
              </w:rPr>
              <m:t>Pets*Tenure</m:t>
            </m:r>
          </m:e>
          <m:sub>
            <m:r>
              <w:rPr>
                <w:rFonts w:ascii="Cambria Math" w:hAnsi="Cambria Math"/>
                <w:lang w:val="mi-NZ"/>
              </w:rPr>
              <m:t>i</m:t>
            </m:r>
          </m:sub>
        </m:sSub>
        <m:r>
          <m:rPr>
            <m:sty m:val="bi"/>
          </m:rP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4</m:t>
            </m:r>
          </m:sub>
        </m:sSub>
        <m:sSub>
          <m:sSubPr>
            <m:ctrlPr>
              <w:rPr>
                <w:rFonts w:ascii="Cambria Math" w:hAnsi="Cambria Math"/>
                <w:i/>
                <w:lang w:val="mi-NZ"/>
              </w:rPr>
            </m:ctrlPr>
          </m:sSubPr>
          <m:e>
            <m:r>
              <w:rPr>
                <w:rFonts w:ascii="Cambria Math" w:hAnsi="Cambria Math"/>
                <w:lang w:val="mi-NZ"/>
              </w:rPr>
              <m:t>Educ</m:t>
            </m:r>
          </m:e>
          <m:sub>
            <m:r>
              <w:rPr>
                <w:rFonts w:ascii="Cambria Math" w:hAnsi="Cambria Math"/>
                <w:lang w:val="mi-NZ"/>
              </w:rPr>
              <m:t>i</m:t>
            </m:r>
          </m:sub>
        </m:sSub>
        <m:r>
          <m:rPr>
            <m:sty m:val="bi"/>
          </m:rP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5</m:t>
            </m:r>
          </m:sub>
        </m:sSub>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6</m:t>
            </m:r>
          </m:sub>
        </m:sSub>
        <m:sSup>
          <m:sSupPr>
            <m:ctrlPr>
              <w:rPr>
                <w:rFonts w:ascii="Cambria Math" w:hAnsi="Cambria Math"/>
                <w:i/>
                <w:lang w:val="mi-NZ"/>
              </w:rPr>
            </m:ctrlPr>
          </m:sSupPr>
          <m:e>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e>
          <m:sup>
            <m:r>
              <w:rPr>
                <w:rFonts w:ascii="Cambria Math" w:hAnsi="Cambria Math"/>
                <w:lang w:val="mi-NZ"/>
              </w:rPr>
              <m:t>2</m:t>
            </m:r>
          </m:sup>
        </m:sSup>
        <m:r>
          <m:rPr>
            <m:sty m:val="bi"/>
          </m:rPr>
          <w:rPr>
            <w:rFonts w:ascii="Cambria Math" w:hAnsi="Cambria Math"/>
            <w:lang w:val="mi-NZ"/>
          </w:rPr>
          <m:t>+ γ</m:t>
        </m:r>
        <m:sSub>
          <m:sSubPr>
            <m:ctrlPr>
              <w:rPr>
                <w:rFonts w:ascii="Cambria Math" w:hAnsi="Cambria Math"/>
                <w:b/>
                <w:bCs/>
                <w:i/>
                <w:lang w:val="mi-NZ"/>
              </w:rPr>
            </m:ctrlPr>
          </m:sSubPr>
          <m:e>
            <m:r>
              <m:rPr>
                <m:sty m:val="bi"/>
              </m:rPr>
              <w:rPr>
                <w:rFonts w:ascii="Cambria Math" w:hAnsi="Cambria Math"/>
                <w:lang w:val="mi-NZ"/>
              </w:rPr>
              <m:t>Z</m:t>
            </m:r>
          </m:e>
          <m:sub>
            <m:r>
              <m:rPr>
                <m:sty m:val="bi"/>
              </m:rP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ε</m:t>
            </m:r>
          </m:e>
          <m:sub>
            <m:r>
              <w:rPr>
                <w:rFonts w:ascii="Cambria Math" w:hAnsi="Cambria Math"/>
                <w:lang w:val="mi-NZ"/>
              </w:rPr>
              <m:t>i</m:t>
            </m:r>
          </m:sub>
        </m:sSub>
      </m:oMath>
      <w:r w:rsidR="007E596C">
        <w:rPr>
          <w:rFonts w:eastAsiaTheme="minorEastAsia"/>
          <w:lang w:val="mi-NZ"/>
        </w:rPr>
        <w:t xml:space="preserve"> </w:t>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t>(3)</w:t>
      </w:r>
    </w:p>
    <w:p w14:paraId="1325280C" w14:textId="77777777" w:rsidR="0051697B" w:rsidRDefault="0051697B" w:rsidP="003342DE">
      <w:pPr>
        <w:spacing w:line="24" w:lineRule="atLeast"/>
        <w:ind w:left="709" w:firstLine="11"/>
        <w:jc w:val="both"/>
        <w:rPr>
          <w:rFonts w:eastAsiaTheme="minorEastAsia"/>
          <w:lang w:val="mi-NZ"/>
        </w:rPr>
      </w:pPr>
    </w:p>
    <w:p w14:paraId="37F36CB6" w14:textId="77777777" w:rsidR="007E596C" w:rsidRDefault="007E596C" w:rsidP="003342DE">
      <w:pPr>
        <w:spacing w:line="24" w:lineRule="atLeast"/>
        <w:jc w:val="both"/>
        <w:rPr>
          <w:rFonts w:eastAsiaTheme="minorEastAsia"/>
          <w:lang w:val="mi-NZ"/>
        </w:rPr>
      </w:pPr>
      <w:r>
        <w:rPr>
          <w:lang w:val="mi-NZ"/>
        </w:rPr>
        <w:t xml:space="preserve">where </w:t>
      </w:r>
      <m:oMath>
        <m:sSub>
          <m:sSubPr>
            <m:ctrlPr>
              <w:rPr>
                <w:rFonts w:ascii="Cambria Math" w:hAnsi="Cambria Math"/>
                <w:i/>
                <w:lang w:val="mi-NZ"/>
              </w:rPr>
            </m:ctrlPr>
          </m:sSubPr>
          <m:e>
            <m:r>
              <w:rPr>
                <w:rFonts w:ascii="Cambria Math" w:hAnsi="Cambria Math"/>
                <w:lang w:val="mi-NZ"/>
              </w:rPr>
              <m:t>Tenure</m:t>
            </m:r>
          </m:e>
          <m:sub>
            <m:r>
              <w:rPr>
                <w:rFonts w:ascii="Cambria Math" w:hAnsi="Cambria Math"/>
                <w:lang w:val="mi-NZ"/>
              </w:rPr>
              <m:t>i</m:t>
            </m:r>
          </m:sub>
        </m:sSub>
      </m:oMath>
      <w:r>
        <w:rPr>
          <w:rFonts w:eastAsiaTheme="minorEastAsia"/>
          <w:lang w:val="mi-NZ"/>
        </w:rPr>
        <w:t xml:space="preserve"> is the housing tenure for individual </w:t>
      </w:r>
      <m:oMath>
        <m:r>
          <w:rPr>
            <w:rFonts w:ascii="Cambria Math" w:hAnsi="Cambria Math"/>
            <w:lang w:val="mi-NZ"/>
          </w:rPr>
          <m:t>i</m:t>
        </m:r>
      </m:oMath>
      <w:r>
        <w:rPr>
          <w:rFonts w:eastAsiaTheme="minorEastAsia"/>
          <w:lang w:val="mi-NZ"/>
        </w:rPr>
        <w:t>.</w:t>
      </w:r>
    </w:p>
    <w:p w14:paraId="680A6B5D" w14:textId="77777777" w:rsidR="0051697B" w:rsidRDefault="0051697B" w:rsidP="003342DE">
      <w:pPr>
        <w:spacing w:line="24" w:lineRule="atLeast"/>
        <w:jc w:val="both"/>
        <w:rPr>
          <w:lang w:val="mi-NZ"/>
        </w:rPr>
      </w:pPr>
    </w:p>
    <w:p w14:paraId="109E4D46" w14:textId="137E1C25" w:rsidR="007E596C" w:rsidRDefault="007E596C" w:rsidP="0051697B">
      <w:pPr>
        <w:spacing w:line="24" w:lineRule="atLeast"/>
        <w:ind w:firstLine="709"/>
        <w:jc w:val="both"/>
        <w:rPr>
          <w:lang w:val="mi-NZ"/>
        </w:rPr>
      </w:pPr>
      <w:r>
        <w:rPr>
          <w:lang w:val="mi-NZ"/>
        </w:rPr>
        <w:t>Finally, we estimate a seperate model with an interaction between pet ownership and race (“white”, “black” or “other”). This model allows us to investigate whether race impacts the marginal effect of pet ownership on real income. We hypothesise that pet ownership may have a greater negative influence on African Americans’ mobility. African Americans face well-documented discrimination in housing markets which, when coupled with pet ownership, may adversely impact rental and accomodation opportunities (Fischer and Massey, 2004; Ondrich et al., 1999). Moreover, several studies show that geographical mobility varies by race and ethnicity (</w:t>
      </w:r>
      <w:r w:rsidRPr="004E0F0E">
        <w:t xml:space="preserve">Carlsson </w:t>
      </w:r>
      <w:r>
        <w:t>and</w:t>
      </w:r>
      <w:r w:rsidRPr="004E0F0E">
        <w:t xml:space="preserve"> Eriksson,</w:t>
      </w:r>
      <w:r>
        <w:t xml:space="preserve"> 2014; </w:t>
      </w:r>
      <w:proofErr w:type="spellStart"/>
      <w:r>
        <w:t>Ondrich</w:t>
      </w:r>
      <w:proofErr w:type="spellEnd"/>
      <w:r>
        <w:t xml:space="preserve"> et al., 1999; </w:t>
      </w:r>
      <w:r>
        <w:rPr>
          <w:lang w:val="mi-NZ"/>
        </w:rPr>
        <w:t>South and Deane, 1993). As we expect pet ownership to influence income through the mechanism of labour mobility, this is a relevant and interesting interaction. This fourth econometric model is specified as:</w:t>
      </w:r>
    </w:p>
    <w:p w14:paraId="28ED79BB" w14:textId="77777777" w:rsidR="0051697B" w:rsidRDefault="0051697B" w:rsidP="0051697B">
      <w:pPr>
        <w:spacing w:line="24" w:lineRule="atLeast"/>
        <w:ind w:firstLine="709"/>
        <w:jc w:val="both"/>
        <w:rPr>
          <w:lang w:val="mi-NZ"/>
        </w:rPr>
      </w:pPr>
    </w:p>
    <w:p w14:paraId="24073107" w14:textId="77777777" w:rsidR="007E596C" w:rsidRDefault="008F2AC3" w:rsidP="003342DE">
      <w:pPr>
        <w:spacing w:line="24" w:lineRule="atLeast"/>
        <w:ind w:left="709"/>
        <w:jc w:val="both"/>
        <w:rPr>
          <w:rFonts w:eastAsiaTheme="minorEastAsia"/>
          <w:lang w:val="mi-NZ"/>
        </w:rPr>
      </w:pPr>
      <m:oMath>
        <m:sSub>
          <m:sSubPr>
            <m:ctrlPr>
              <w:rPr>
                <w:rFonts w:ascii="Cambria Math" w:hAnsi="Cambria Math"/>
                <w:i/>
                <w:lang w:val="mi-NZ"/>
              </w:rPr>
            </m:ctrlPr>
          </m:sSubPr>
          <m:e>
            <m:func>
              <m:funcPr>
                <m:ctrlPr>
                  <w:rPr>
                    <w:rFonts w:ascii="Cambria Math" w:hAnsi="Cambria Math"/>
                    <w:i/>
                    <w:lang w:val="mi-NZ"/>
                  </w:rPr>
                </m:ctrlPr>
              </m:funcPr>
              <m:fName>
                <m:r>
                  <m:rPr>
                    <m:sty m:val="p"/>
                  </m:rPr>
                  <w:rPr>
                    <w:rFonts w:ascii="Cambria Math" w:hAnsi="Cambria Math"/>
                    <w:lang w:val="mi-NZ"/>
                  </w:rPr>
                  <m:t>ln</m:t>
                </m:r>
              </m:fName>
              <m:e>
                <m:d>
                  <m:dPr>
                    <m:ctrlPr>
                      <w:rPr>
                        <w:rFonts w:ascii="Cambria Math" w:hAnsi="Cambria Math"/>
                        <w:i/>
                        <w:lang w:val="mi-NZ"/>
                      </w:rPr>
                    </m:ctrlPr>
                  </m:dPr>
                  <m:e>
                    <m:r>
                      <w:rPr>
                        <w:rFonts w:ascii="Cambria Math" w:hAnsi="Cambria Math"/>
                        <w:lang w:val="mi-NZ"/>
                      </w:rPr>
                      <m:t>real income</m:t>
                    </m:r>
                  </m:e>
                </m:d>
              </m:e>
            </m:func>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0</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1</m:t>
            </m:r>
          </m:sub>
        </m:sSub>
        <m:sSub>
          <m:sSubPr>
            <m:ctrlPr>
              <w:rPr>
                <w:rFonts w:ascii="Cambria Math" w:hAnsi="Cambria Math"/>
                <w:i/>
                <w:lang w:val="mi-NZ"/>
              </w:rPr>
            </m:ctrlPr>
          </m:sSubPr>
          <m:e>
            <m:r>
              <w:rPr>
                <w:rFonts w:ascii="Cambria Math" w:hAnsi="Cambria Math"/>
                <w:lang w:val="mi-NZ"/>
              </w:rPr>
              <m:t>Pets</m:t>
            </m:r>
          </m:e>
          <m:sub>
            <m:r>
              <w:rPr>
                <w:rFonts w:ascii="Cambria Math" w:hAnsi="Cambria Math"/>
                <w:lang w:val="mi-NZ"/>
              </w:rPr>
              <m:t>i</m:t>
            </m:r>
          </m:sub>
        </m:sSub>
        <m:r>
          <w:rPr>
            <w:rFonts w:ascii="Cambria Math" w:hAnsi="Cambria Math"/>
            <w:lang w:val="mi-NZ"/>
          </w:rPr>
          <m:t xml:space="preserve">+ </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2</m:t>
            </m:r>
          </m:sub>
        </m:sSub>
        <m:sSub>
          <m:sSubPr>
            <m:ctrlPr>
              <w:rPr>
                <w:rFonts w:ascii="Cambria Math" w:hAnsi="Cambria Math"/>
                <w:i/>
                <w:lang w:val="mi-NZ"/>
              </w:rPr>
            </m:ctrlPr>
          </m:sSubPr>
          <m:e>
            <m:r>
              <w:rPr>
                <w:rFonts w:ascii="Cambria Math" w:hAnsi="Cambria Math"/>
                <w:lang w:val="mi-NZ"/>
              </w:rPr>
              <m:t>Race</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3</m:t>
            </m:r>
          </m:sub>
        </m:sSub>
        <m:sSub>
          <m:sSubPr>
            <m:ctrlPr>
              <w:rPr>
                <w:rFonts w:ascii="Cambria Math" w:hAnsi="Cambria Math"/>
                <w:i/>
                <w:lang w:val="mi-NZ"/>
              </w:rPr>
            </m:ctrlPr>
          </m:sSubPr>
          <m:e>
            <m:r>
              <w:rPr>
                <w:rFonts w:ascii="Cambria Math" w:hAnsi="Cambria Math"/>
                <w:lang w:val="mi-NZ"/>
              </w:rPr>
              <m:t>Pets*Race</m:t>
            </m:r>
          </m:e>
          <m:sub>
            <m:r>
              <w:rPr>
                <w:rFonts w:ascii="Cambria Math" w:hAnsi="Cambria Math"/>
                <w:lang w:val="mi-NZ"/>
              </w:rPr>
              <m:t>i</m:t>
            </m:r>
          </m:sub>
        </m:sSub>
        <m:r>
          <m:rPr>
            <m:sty m:val="bi"/>
          </m:rP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4</m:t>
            </m:r>
          </m:sub>
        </m:sSub>
        <m:sSub>
          <m:sSubPr>
            <m:ctrlPr>
              <w:rPr>
                <w:rFonts w:ascii="Cambria Math" w:hAnsi="Cambria Math"/>
                <w:i/>
                <w:lang w:val="mi-NZ"/>
              </w:rPr>
            </m:ctrlPr>
          </m:sSubPr>
          <m:e>
            <m:r>
              <w:rPr>
                <w:rFonts w:ascii="Cambria Math" w:hAnsi="Cambria Math"/>
                <w:lang w:val="mi-NZ"/>
              </w:rPr>
              <m:t>Educ</m:t>
            </m:r>
          </m:e>
          <m:sub>
            <m:r>
              <w:rPr>
                <w:rFonts w:ascii="Cambria Math" w:hAnsi="Cambria Math"/>
                <w:lang w:val="mi-NZ"/>
              </w:rPr>
              <m:t>i</m:t>
            </m:r>
          </m:sub>
        </m:sSub>
        <m:r>
          <m:rPr>
            <m:sty m:val="bi"/>
          </m:rP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5</m:t>
            </m:r>
          </m:sub>
        </m:sSub>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β</m:t>
            </m:r>
          </m:e>
          <m:sub>
            <m:r>
              <w:rPr>
                <w:rFonts w:ascii="Cambria Math" w:hAnsi="Cambria Math"/>
                <w:lang w:val="mi-NZ"/>
              </w:rPr>
              <m:t>6</m:t>
            </m:r>
          </m:sub>
        </m:sSub>
        <m:sSup>
          <m:sSupPr>
            <m:ctrlPr>
              <w:rPr>
                <w:rFonts w:ascii="Cambria Math" w:hAnsi="Cambria Math"/>
                <w:i/>
                <w:lang w:val="mi-NZ"/>
              </w:rPr>
            </m:ctrlPr>
          </m:sSupPr>
          <m:e>
            <m:sSub>
              <m:sSubPr>
                <m:ctrlPr>
                  <w:rPr>
                    <w:rFonts w:ascii="Cambria Math" w:hAnsi="Cambria Math"/>
                    <w:i/>
                    <w:lang w:val="mi-NZ"/>
                  </w:rPr>
                </m:ctrlPr>
              </m:sSubPr>
              <m:e>
                <m:r>
                  <w:rPr>
                    <w:rFonts w:ascii="Cambria Math" w:hAnsi="Cambria Math"/>
                    <w:lang w:val="mi-NZ"/>
                  </w:rPr>
                  <m:t>Exp</m:t>
                </m:r>
              </m:e>
              <m:sub>
                <m:r>
                  <w:rPr>
                    <w:rFonts w:ascii="Cambria Math" w:hAnsi="Cambria Math"/>
                    <w:lang w:val="mi-NZ"/>
                  </w:rPr>
                  <m:t>i</m:t>
                </m:r>
              </m:sub>
            </m:sSub>
          </m:e>
          <m:sup>
            <m:r>
              <w:rPr>
                <w:rFonts w:ascii="Cambria Math" w:hAnsi="Cambria Math"/>
                <w:lang w:val="mi-NZ"/>
              </w:rPr>
              <m:t>2</m:t>
            </m:r>
          </m:sup>
        </m:sSup>
        <m:r>
          <m:rPr>
            <m:sty m:val="bi"/>
          </m:rPr>
          <w:rPr>
            <w:rFonts w:ascii="Cambria Math" w:hAnsi="Cambria Math"/>
            <w:lang w:val="mi-NZ"/>
          </w:rPr>
          <m:t>+ γ</m:t>
        </m:r>
        <m:sSub>
          <m:sSubPr>
            <m:ctrlPr>
              <w:rPr>
                <w:rFonts w:ascii="Cambria Math" w:hAnsi="Cambria Math"/>
                <w:b/>
                <w:bCs/>
                <w:i/>
                <w:lang w:val="mi-NZ"/>
              </w:rPr>
            </m:ctrlPr>
          </m:sSubPr>
          <m:e>
            <m:r>
              <m:rPr>
                <m:sty m:val="bi"/>
              </m:rPr>
              <w:rPr>
                <w:rFonts w:ascii="Cambria Math" w:hAnsi="Cambria Math"/>
                <w:lang w:val="mi-NZ"/>
              </w:rPr>
              <m:t>Z</m:t>
            </m:r>
          </m:e>
          <m:sub>
            <m:r>
              <m:rPr>
                <m:sty m:val="bi"/>
              </m:rPr>
              <w:rPr>
                <w:rFonts w:ascii="Cambria Math" w:hAnsi="Cambria Math"/>
                <w:lang w:val="mi-NZ"/>
              </w:rPr>
              <m:t>i</m:t>
            </m:r>
          </m:sub>
        </m:sSub>
        <m:r>
          <w:rPr>
            <w:rFonts w:ascii="Cambria Math" w:hAnsi="Cambria Math"/>
            <w:lang w:val="mi-NZ"/>
          </w:rPr>
          <m:t>+</m:t>
        </m:r>
        <m:sSub>
          <m:sSubPr>
            <m:ctrlPr>
              <w:rPr>
                <w:rFonts w:ascii="Cambria Math" w:hAnsi="Cambria Math"/>
                <w:i/>
                <w:lang w:val="mi-NZ"/>
              </w:rPr>
            </m:ctrlPr>
          </m:sSubPr>
          <m:e>
            <m:r>
              <w:rPr>
                <w:rFonts w:ascii="Cambria Math" w:hAnsi="Cambria Math"/>
                <w:lang w:val="mi-NZ"/>
              </w:rPr>
              <m:t>ε</m:t>
            </m:r>
          </m:e>
          <m:sub>
            <m:r>
              <w:rPr>
                <w:rFonts w:ascii="Cambria Math" w:hAnsi="Cambria Math"/>
                <w:lang w:val="mi-NZ"/>
              </w:rPr>
              <m:t>i</m:t>
            </m:r>
          </m:sub>
        </m:sSub>
      </m:oMath>
      <w:r w:rsidR="007E596C">
        <w:rPr>
          <w:rFonts w:eastAsiaTheme="minorEastAsia"/>
          <w:lang w:val="mi-NZ"/>
        </w:rPr>
        <w:t xml:space="preserve"> </w:t>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r>
      <w:r w:rsidR="007E596C">
        <w:rPr>
          <w:rFonts w:eastAsiaTheme="minorEastAsia"/>
          <w:lang w:val="mi-NZ"/>
        </w:rPr>
        <w:tab/>
        <w:t>(4)</w:t>
      </w:r>
    </w:p>
    <w:p w14:paraId="448211A3" w14:textId="77777777" w:rsidR="0051697B" w:rsidRDefault="0051697B" w:rsidP="003342DE">
      <w:pPr>
        <w:spacing w:line="24" w:lineRule="atLeast"/>
        <w:ind w:left="709"/>
        <w:jc w:val="both"/>
        <w:rPr>
          <w:rFonts w:eastAsiaTheme="minorEastAsia"/>
          <w:lang w:val="mi-NZ"/>
        </w:rPr>
      </w:pPr>
    </w:p>
    <w:p w14:paraId="42F08EAB" w14:textId="071C14D7" w:rsidR="007E596C" w:rsidRPr="00184883" w:rsidRDefault="007E596C" w:rsidP="003342DE">
      <w:pPr>
        <w:spacing w:line="24" w:lineRule="atLeast"/>
        <w:jc w:val="both"/>
        <w:rPr>
          <w:rFonts w:eastAsiaTheme="minorEastAsia"/>
          <w:lang w:val="mi-NZ"/>
        </w:rPr>
      </w:pPr>
      <w:r>
        <w:rPr>
          <w:lang w:val="mi-NZ"/>
        </w:rPr>
        <w:t xml:space="preserve">where </w:t>
      </w:r>
      <m:oMath>
        <m:sSub>
          <m:sSubPr>
            <m:ctrlPr>
              <w:rPr>
                <w:rFonts w:ascii="Cambria Math" w:hAnsi="Cambria Math"/>
                <w:i/>
                <w:lang w:val="mi-NZ"/>
              </w:rPr>
            </m:ctrlPr>
          </m:sSubPr>
          <m:e>
            <m:r>
              <w:rPr>
                <w:rFonts w:ascii="Cambria Math" w:hAnsi="Cambria Math"/>
                <w:lang w:val="mi-NZ"/>
              </w:rPr>
              <m:t>Race</m:t>
            </m:r>
          </m:e>
          <m:sub>
            <m:r>
              <w:rPr>
                <w:rFonts w:ascii="Cambria Math" w:hAnsi="Cambria Math"/>
                <w:lang w:val="mi-NZ"/>
              </w:rPr>
              <m:t>i</m:t>
            </m:r>
          </m:sub>
        </m:sSub>
      </m:oMath>
      <w:r>
        <w:rPr>
          <w:rFonts w:eastAsiaTheme="minorEastAsia"/>
          <w:lang w:val="mi-NZ"/>
        </w:rPr>
        <w:t xml:space="preserve"> is the race of individual </w:t>
      </w:r>
      <m:oMath>
        <m:r>
          <w:rPr>
            <w:rFonts w:ascii="Cambria Math" w:hAnsi="Cambria Math"/>
            <w:lang w:val="mi-NZ"/>
          </w:rPr>
          <m:t>i</m:t>
        </m:r>
      </m:oMath>
      <w:r>
        <w:rPr>
          <w:rFonts w:eastAsiaTheme="minorEastAsia"/>
          <w:lang w:val="mi-NZ"/>
        </w:rPr>
        <w:t>.</w:t>
      </w:r>
    </w:p>
    <w:p w14:paraId="01963A54" w14:textId="77777777" w:rsidR="0051697B" w:rsidRDefault="0051697B" w:rsidP="003342DE">
      <w:pPr>
        <w:spacing w:line="24" w:lineRule="atLeast"/>
        <w:jc w:val="both"/>
        <w:rPr>
          <w:rFonts w:eastAsiaTheme="minorEastAsia"/>
          <w:lang w:val="mi-NZ"/>
        </w:rPr>
      </w:pPr>
    </w:p>
    <w:p w14:paraId="219E07A5" w14:textId="7B485C96" w:rsidR="007E596C" w:rsidRDefault="007E596C" w:rsidP="0051697B">
      <w:pPr>
        <w:spacing w:line="24" w:lineRule="atLeast"/>
        <w:ind w:firstLine="720"/>
        <w:jc w:val="both"/>
        <w:rPr>
          <w:rFonts w:eastAsiaTheme="minorEastAsia"/>
          <w:lang w:val="mi-NZ"/>
        </w:rPr>
      </w:pPr>
      <w:r>
        <w:rPr>
          <w:rFonts w:eastAsiaTheme="minorEastAsia"/>
          <w:lang w:val="mi-NZ"/>
        </w:rPr>
        <w:t>Our modelling enables us to investigate the correlation between pet ownership and real income, with the hypothesis that pet ownership restricts labour mobility and thereby lowers wage income. We also run each of our models with a dummy variable for pet ownership. This allows us to examine the correlation between pet ownership and income at the extensive margin and serves as a robustness check. We also examined but did not find strong evidence of  non-linearity in the correlation between pet ownership and the log of income.</w:t>
      </w:r>
    </w:p>
    <w:p w14:paraId="46981065" w14:textId="77777777" w:rsidR="007E596C" w:rsidRPr="00E62420" w:rsidRDefault="007E596C" w:rsidP="003342DE">
      <w:pPr>
        <w:spacing w:line="24" w:lineRule="atLeast"/>
        <w:jc w:val="both"/>
        <w:rPr>
          <w:rFonts w:eastAsiaTheme="minorEastAsia"/>
          <w:lang w:val="mi-NZ"/>
        </w:rPr>
      </w:pPr>
      <w:r>
        <w:rPr>
          <w:rFonts w:eastAsiaTheme="minorEastAsia"/>
          <w:lang w:val="mi-NZ"/>
        </w:rPr>
        <w:t>Given the dataset and variables available, we could not find a convincing instrumental variable for pet ownership. As such, if pet ownership is endogenous, OLS will be biased. We acknowledge this limitation and include a rich set of control variables to reduce the risk of OLS bias.</w:t>
      </w:r>
    </w:p>
    <w:p w14:paraId="4878CDAB" w14:textId="77777777" w:rsidR="006727DE" w:rsidRDefault="006727DE">
      <w:pPr>
        <w:spacing w:after="160" w:line="259" w:lineRule="auto"/>
        <w:rPr>
          <w:b/>
          <w:bCs/>
          <w:lang w:val="mi-NZ"/>
        </w:rPr>
      </w:pPr>
      <w:r>
        <w:rPr>
          <w:b/>
          <w:bCs/>
          <w:lang w:val="mi-NZ"/>
        </w:rPr>
        <w:br w:type="page"/>
      </w:r>
    </w:p>
    <w:p w14:paraId="52B9C928" w14:textId="42CA6FD6" w:rsidR="007E596C" w:rsidRDefault="007E596C" w:rsidP="00AB5A35">
      <w:pPr>
        <w:pStyle w:val="ListParagraph"/>
        <w:numPr>
          <w:ilvl w:val="0"/>
          <w:numId w:val="48"/>
        </w:numPr>
        <w:spacing w:after="160" w:line="24" w:lineRule="atLeast"/>
        <w:ind w:left="360"/>
        <w:jc w:val="both"/>
        <w:rPr>
          <w:b/>
          <w:bCs/>
          <w:lang w:val="mi-NZ"/>
        </w:rPr>
      </w:pPr>
      <w:r w:rsidRPr="007D243F">
        <w:rPr>
          <w:b/>
          <w:bCs/>
          <w:lang w:val="mi-NZ"/>
        </w:rPr>
        <w:lastRenderedPageBreak/>
        <w:t>Results and Discussion</w:t>
      </w:r>
    </w:p>
    <w:p w14:paraId="6B312C39" w14:textId="77777777" w:rsidR="00AB5A35" w:rsidRPr="007D243F" w:rsidRDefault="00AB5A35" w:rsidP="00AB5A35">
      <w:pPr>
        <w:pStyle w:val="ListParagraph"/>
        <w:spacing w:after="160" w:line="24" w:lineRule="atLeast"/>
        <w:ind w:left="360"/>
        <w:jc w:val="both"/>
        <w:rPr>
          <w:b/>
          <w:bCs/>
          <w:lang w:val="mi-NZ"/>
        </w:rPr>
      </w:pPr>
    </w:p>
    <w:p w14:paraId="3C66F4E6" w14:textId="77777777" w:rsidR="007E596C" w:rsidRDefault="007E596C" w:rsidP="00AB5A35">
      <w:pPr>
        <w:spacing w:line="24" w:lineRule="atLeast"/>
        <w:jc w:val="both"/>
        <w:rPr>
          <w:lang w:val="mi-NZ"/>
        </w:rPr>
      </w:pPr>
      <w:r>
        <w:rPr>
          <w:lang w:val="mi-NZ"/>
        </w:rPr>
        <w:t>We present summary statistics for the untransformed dependent variable (real income), independent variable (number of pets) and control variables in Table 1. We present summary statistics for the full sample, the model sample and the sub-sample of respondents who completed the housing tenure questions. The average number of pets in our sample was 1.7, and real income is positively skewed, with an average of 27,076 USD (1986 dollars) which is equivalent to 62,065 USD (in 2018 dollars). Upon examining each set of summary statistics, there are no obvious biases in the sub-samples.</w:t>
      </w:r>
    </w:p>
    <w:p w14:paraId="35E68977" w14:textId="77777777" w:rsidR="006727DE" w:rsidRPr="00CE56B9" w:rsidRDefault="006727DE" w:rsidP="006727DE">
      <w:pPr>
        <w:spacing w:line="24" w:lineRule="atLeast"/>
        <w:jc w:val="both"/>
        <w:rPr>
          <w:lang w:val="mi-NZ"/>
        </w:rPr>
      </w:pPr>
    </w:p>
    <w:p w14:paraId="54CDEE93" w14:textId="77777777" w:rsidR="007E596C" w:rsidRPr="00994234" w:rsidRDefault="007E596C" w:rsidP="007E596C">
      <w:pPr>
        <w:spacing w:line="360" w:lineRule="auto"/>
        <w:rPr>
          <w:b/>
          <w:bCs/>
          <w:lang w:val="mi-NZ"/>
        </w:rPr>
      </w:pPr>
      <w:r w:rsidRPr="00994234">
        <w:rPr>
          <w:b/>
          <w:bCs/>
          <w:lang w:val="mi-NZ"/>
        </w:rPr>
        <w:t>Table 1. Summary statistics for variables of interest</w:t>
      </w:r>
    </w:p>
    <w:tbl>
      <w:tblPr>
        <w:tblW w:w="9072" w:type="dxa"/>
        <w:tblBorders>
          <w:top w:val="single" w:sz="4" w:space="0" w:color="auto"/>
          <w:bottom w:val="single" w:sz="4" w:space="0" w:color="auto"/>
        </w:tblBorders>
        <w:tblLayout w:type="fixed"/>
        <w:tblLook w:val="04A0" w:firstRow="1" w:lastRow="0" w:firstColumn="1" w:lastColumn="0" w:noHBand="0" w:noVBand="1"/>
      </w:tblPr>
      <w:tblGrid>
        <w:gridCol w:w="2552"/>
        <w:gridCol w:w="1086"/>
        <w:gridCol w:w="1087"/>
        <w:gridCol w:w="1087"/>
        <w:gridCol w:w="1086"/>
        <w:gridCol w:w="1087"/>
        <w:gridCol w:w="1087"/>
      </w:tblGrid>
      <w:tr w:rsidR="007E596C" w:rsidRPr="00236FE5" w14:paraId="30175ACE" w14:textId="77777777" w:rsidTr="00FB5EA5">
        <w:trPr>
          <w:trHeight w:val="288"/>
        </w:trPr>
        <w:tc>
          <w:tcPr>
            <w:tcW w:w="2552" w:type="dxa"/>
            <w:tcBorders>
              <w:top w:val="single" w:sz="4" w:space="0" w:color="auto"/>
              <w:bottom w:val="nil"/>
            </w:tcBorders>
            <w:shd w:val="clear" w:color="auto" w:fill="auto"/>
            <w:noWrap/>
            <w:vAlign w:val="bottom"/>
            <w:hideMark/>
          </w:tcPr>
          <w:p w14:paraId="7B466121" w14:textId="77777777" w:rsidR="007E596C" w:rsidRPr="0009591C" w:rsidRDefault="007E596C" w:rsidP="008F2AC3">
            <w:pPr>
              <w:rPr>
                <w:sz w:val="22"/>
                <w:szCs w:val="22"/>
                <w:lang w:eastAsia="en-NZ"/>
              </w:rPr>
            </w:pPr>
          </w:p>
        </w:tc>
        <w:tc>
          <w:tcPr>
            <w:tcW w:w="2173" w:type="dxa"/>
            <w:gridSpan w:val="2"/>
            <w:tcBorders>
              <w:top w:val="single" w:sz="4" w:space="0" w:color="auto"/>
              <w:bottom w:val="nil"/>
            </w:tcBorders>
            <w:shd w:val="clear" w:color="auto" w:fill="auto"/>
            <w:noWrap/>
            <w:vAlign w:val="bottom"/>
            <w:hideMark/>
          </w:tcPr>
          <w:p w14:paraId="56092620" w14:textId="7E392715" w:rsidR="007E596C" w:rsidRPr="0009591C" w:rsidRDefault="007E596C" w:rsidP="008F2AC3">
            <w:pPr>
              <w:jc w:val="center"/>
              <w:rPr>
                <w:color w:val="000000"/>
                <w:sz w:val="22"/>
                <w:szCs w:val="22"/>
                <w:lang w:eastAsia="en-NZ"/>
              </w:rPr>
            </w:pPr>
            <w:r w:rsidRPr="0009591C">
              <w:rPr>
                <w:color w:val="000000"/>
                <w:sz w:val="22"/>
                <w:szCs w:val="22"/>
                <w:lang w:eastAsia="en-NZ"/>
              </w:rPr>
              <w:t xml:space="preserve">Full sample </w:t>
            </w:r>
            <w:r w:rsidR="00FB5EA5">
              <w:rPr>
                <w:color w:val="000000"/>
                <w:sz w:val="22"/>
                <w:szCs w:val="22"/>
                <w:lang w:eastAsia="en-NZ"/>
              </w:rPr>
              <w:br/>
            </w:r>
            <w:r w:rsidRPr="0009591C">
              <w:rPr>
                <w:color w:val="000000"/>
                <w:sz w:val="22"/>
                <w:szCs w:val="22"/>
                <w:lang w:eastAsia="en-NZ"/>
              </w:rPr>
              <w:t>(N = 578)</w:t>
            </w:r>
          </w:p>
        </w:tc>
        <w:tc>
          <w:tcPr>
            <w:tcW w:w="2173" w:type="dxa"/>
            <w:gridSpan w:val="2"/>
            <w:tcBorders>
              <w:top w:val="single" w:sz="4" w:space="0" w:color="auto"/>
              <w:bottom w:val="nil"/>
            </w:tcBorders>
            <w:shd w:val="clear" w:color="auto" w:fill="auto"/>
            <w:noWrap/>
            <w:vAlign w:val="bottom"/>
            <w:hideMark/>
          </w:tcPr>
          <w:p w14:paraId="38086C46" w14:textId="640C0414" w:rsidR="007E596C" w:rsidRPr="0009591C" w:rsidRDefault="007E596C" w:rsidP="008F2AC3">
            <w:pPr>
              <w:jc w:val="center"/>
              <w:rPr>
                <w:color w:val="000000"/>
                <w:sz w:val="22"/>
                <w:szCs w:val="22"/>
                <w:lang w:eastAsia="en-NZ"/>
              </w:rPr>
            </w:pPr>
            <w:r w:rsidRPr="0009591C">
              <w:rPr>
                <w:color w:val="000000"/>
                <w:sz w:val="22"/>
                <w:szCs w:val="22"/>
                <w:lang w:eastAsia="en-NZ"/>
              </w:rPr>
              <w:t xml:space="preserve">Model sample </w:t>
            </w:r>
            <w:r w:rsidR="00FB5EA5">
              <w:rPr>
                <w:color w:val="000000"/>
                <w:sz w:val="22"/>
                <w:szCs w:val="22"/>
                <w:lang w:eastAsia="en-NZ"/>
              </w:rPr>
              <w:br/>
            </w:r>
            <w:r w:rsidRPr="0009591C">
              <w:rPr>
                <w:color w:val="000000"/>
                <w:sz w:val="22"/>
                <w:szCs w:val="22"/>
                <w:lang w:eastAsia="en-NZ"/>
              </w:rPr>
              <w:t>(N = 557)</w:t>
            </w:r>
          </w:p>
        </w:tc>
        <w:tc>
          <w:tcPr>
            <w:tcW w:w="2174" w:type="dxa"/>
            <w:gridSpan w:val="2"/>
            <w:tcBorders>
              <w:top w:val="single" w:sz="4" w:space="0" w:color="auto"/>
              <w:bottom w:val="nil"/>
            </w:tcBorders>
            <w:shd w:val="clear" w:color="auto" w:fill="auto"/>
            <w:noWrap/>
            <w:vAlign w:val="bottom"/>
            <w:hideMark/>
          </w:tcPr>
          <w:p w14:paraId="362E7A52" w14:textId="62B84FAC" w:rsidR="007E596C" w:rsidRPr="0009591C" w:rsidRDefault="007E596C" w:rsidP="008F2AC3">
            <w:pPr>
              <w:jc w:val="center"/>
              <w:rPr>
                <w:color w:val="000000"/>
                <w:sz w:val="22"/>
                <w:szCs w:val="22"/>
                <w:lang w:eastAsia="en-NZ"/>
              </w:rPr>
            </w:pPr>
            <w:r w:rsidRPr="0009591C">
              <w:rPr>
                <w:color w:val="000000"/>
                <w:sz w:val="22"/>
                <w:szCs w:val="22"/>
                <w:lang w:eastAsia="en-NZ"/>
              </w:rPr>
              <w:t xml:space="preserve">Tenure sample </w:t>
            </w:r>
            <w:r w:rsidR="00FB5EA5">
              <w:rPr>
                <w:color w:val="000000"/>
                <w:sz w:val="22"/>
                <w:szCs w:val="22"/>
                <w:lang w:eastAsia="en-NZ"/>
              </w:rPr>
              <w:br/>
            </w:r>
            <w:r w:rsidRPr="0009591C">
              <w:rPr>
                <w:color w:val="000000"/>
                <w:sz w:val="22"/>
                <w:szCs w:val="22"/>
                <w:lang w:eastAsia="en-NZ"/>
              </w:rPr>
              <w:t>(N = 198)</w:t>
            </w:r>
          </w:p>
        </w:tc>
      </w:tr>
      <w:tr w:rsidR="007E596C" w:rsidRPr="00236FE5" w14:paraId="4D678B42" w14:textId="77777777" w:rsidTr="00FB5EA5">
        <w:trPr>
          <w:trHeight w:val="288"/>
        </w:trPr>
        <w:tc>
          <w:tcPr>
            <w:tcW w:w="2552" w:type="dxa"/>
            <w:tcBorders>
              <w:top w:val="nil"/>
              <w:bottom w:val="single" w:sz="4" w:space="0" w:color="auto"/>
            </w:tcBorders>
            <w:shd w:val="clear" w:color="auto" w:fill="auto"/>
            <w:noWrap/>
            <w:vAlign w:val="bottom"/>
            <w:hideMark/>
          </w:tcPr>
          <w:p w14:paraId="0B036176" w14:textId="77777777" w:rsidR="007E596C" w:rsidRPr="0009591C" w:rsidRDefault="007E596C" w:rsidP="008F2AC3">
            <w:pPr>
              <w:rPr>
                <w:color w:val="000000"/>
                <w:sz w:val="22"/>
                <w:szCs w:val="22"/>
                <w:lang w:eastAsia="en-NZ"/>
              </w:rPr>
            </w:pPr>
            <w:r w:rsidRPr="0009591C">
              <w:rPr>
                <w:color w:val="000000"/>
                <w:sz w:val="22"/>
                <w:szCs w:val="22"/>
                <w:lang w:eastAsia="en-NZ"/>
              </w:rPr>
              <w:t>Variable</w:t>
            </w:r>
          </w:p>
        </w:tc>
        <w:tc>
          <w:tcPr>
            <w:tcW w:w="1086" w:type="dxa"/>
            <w:tcBorders>
              <w:top w:val="nil"/>
              <w:bottom w:val="single" w:sz="4" w:space="0" w:color="auto"/>
            </w:tcBorders>
            <w:shd w:val="clear" w:color="auto" w:fill="auto"/>
            <w:noWrap/>
            <w:vAlign w:val="bottom"/>
            <w:hideMark/>
          </w:tcPr>
          <w:p w14:paraId="1BBEB06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Mean</w:t>
            </w:r>
          </w:p>
        </w:tc>
        <w:tc>
          <w:tcPr>
            <w:tcW w:w="1087" w:type="dxa"/>
            <w:tcBorders>
              <w:top w:val="nil"/>
              <w:bottom w:val="single" w:sz="4" w:space="0" w:color="auto"/>
            </w:tcBorders>
            <w:shd w:val="clear" w:color="auto" w:fill="auto"/>
            <w:noWrap/>
            <w:vAlign w:val="bottom"/>
            <w:hideMark/>
          </w:tcPr>
          <w:p w14:paraId="7D832727" w14:textId="77777777" w:rsidR="007E596C" w:rsidRPr="0009591C" w:rsidRDefault="007E596C" w:rsidP="008F2AC3">
            <w:pPr>
              <w:jc w:val="center"/>
              <w:rPr>
                <w:color w:val="000000"/>
                <w:sz w:val="22"/>
                <w:szCs w:val="22"/>
                <w:lang w:eastAsia="en-NZ"/>
              </w:rPr>
            </w:pPr>
            <w:proofErr w:type="spellStart"/>
            <w:r w:rsidRPr="0009591C">
              <w:rPr>
                <w:color w:val="000000"/>
                <w:sz w:val="22"/>
                <w:szCs w:val="22"/>
                <w:lang w:eastAsia="en-NZ"/>
              </w:rPr>
              <w:t>Stdev</w:t>
            </w:r>
            <w:proofErr w:type="spellEnd"/>
          </w:p>
        </w:tc>
        <w:tc>
          <w:tcPr>
            <w:tcW w:w="1087" w:type="dxa"/>
            <w:tcBorders>
              <w:top w:val="nil"/>
              <w:bottom w:val="single" w:sz="4" w:space="0" w:color="auto"/>
            </w:tcBorders>
            <w:shd w:val="clear" w:color="auto" w:fill="auto"/>
            <w:noWrap/>
            <w:vAlign w:val="bottom"/>
            <w:hideMark/>
          </w:tcPr>
          <w:p w14:paraId="2B81F00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Mean</w:t>
            </w:r>
          </w:p>
        </w:tc>
        <w:tc>
          <w:tcPr>
            <w:tcW w:w="1086" w:type="dxa"/>
            <w:tcBorders>
              <w:top w:val="nil"/>
              <w:bottom w:val="single" w:sz="4" w:space="0" w:color="auto"/>
            </w:tcBorders>
            <w:shd w:val="clear" w:color="auto" w:fill="auto"/>
            <w:noWrap/>
            <w:vAlign w:val="bottom"/>
            <w:hideMark/>
          </w:tcPr>
          <w:p w14:paraId="32E286A0" w14:textId="77777777" w:rsidR="007E596C" w:rsidRPr="0009591C" w:rsidRDefault="007E596C" w:rsidP="008F2AC3">
            <w:pPr>
              <w:jc w:val="center"/>
              <w:rPr>
                <w:color w:val="000000"/>
                <w:sz w:val="22"/>
                <w:szCs w:val="22"/>
                <w:lang w:eastAsia="en-NZ"/>
              </w:rPr>
            </w:pPr>
            <w:proofErr w:type="spellStart"/>
            <w:r w:rsidRPr="0009591C">
              <w:rPr>
                <w:color w:val="000000"/>
                <w:sz w:val="22"/>
                <w:szCs w:val="22"/>
                <w:lang w:eastAsia="en-NZ"/>
              </w:rPr>
              <w:t>Stdev</w:t>
            </w:r>
            <w:proofErr w:type="spellEnd"/>
          </w:p>
        </w:tc>
        <w:tc>
          <w:tcPr>
            <w:tcW w:w="1087" w:type="dxa"/>
            <w:tcBorders>
              <w:top w:val="nil"/>
              <w:bottom w:val="single" w:sz="4" w:space="0" w:color="auto"/>
            </w:tcBorders>
            <w:shd w:val="clear" w:color="auto" w:fill="auto"/>
            <w:noWrap/>
            <w:vAlign w:val="bottom"/>
            <w:hideMark/>
          </w:tcPr>
          <w:p w14:paraId="37537D8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Mean</w:t>
            </w:r>
          </w:p>
        </w:tc>
        <w:tc>
          <w:tcPr>
            <w:tcW w:w="1087" w:type="dxa"/>
            <w:tcBorders>
              <w:top w:val="nil"/>
              <w:bottom w:val="single" w:sz="4" w:space="0" w:color="auto"/>
            </w:tcBorders>
            <w:shd w:val="clear" w:color="auto" w:fill="auto"/>
            <w:noWrap/>
            <w:vAlign w:val="bottom"/>
            <w:hideMark/>
          </w:tcPr>
          <w:p w14:paraId="19041A09" w14:textId="77777777" w:rsidR="007E596C" w:rsidRPr="0009591C" w:rsidRDefault="007E596C" w:rsidP="008F2AC3">
            <w:pPr>
              <w:jc w:val="center"/>
              <w:rPr>
                <w:color w:val="000000"/>
                <w:sz w:val="22"/>
                <w:szCs w:val="22"/>
                <w:lang w:eastAsia="en-NZ"/>
              </w:rPr>
            </w:pPr>
            <w:proofErr w:type="spellStart"/>
            <w:r w:rsidRPr="0009591C">
              <w:rPr>
                <w:color w:val="000000"/>
                <w:sz w:val="22"/>
                <w:szCs w:val="22"/>
                <w:lang w:eastAsia="en-NZ"/>
              </w:rPr>
              <w:t>Stdev</w:t>
            </w:r>
            <w:proofErr w:type="spellEnd"/>
          </w:p>
        </w:tc>
      </w:tr>
      <w:tr w:rsidR="007E596C" w:rsidRPr="00236FE5" w14:paraId="05138AC9" w14:textId="77777777" w:rsidTr="00FB5EA5">
        <w:trPr>
          <w:trHeight w:val="288"/>
        </w:trPr>
        <w:tc>
          <w:tcPr>
            <w:tcW w:w="2552" w:type="dxa"/>
            <w:tcBorders>
              <w:top w:val="single" w:sz="4" w:space="0" w:color="auto"/>
            </w:tcBorders>
            <w:shd w:val="clear" w:color="auto" w:fill="auto"/>
            <w:noWrap/>
            <w:vAlign w:val="bottom"/>
            <w:hideMark/>
          </w:tcPr>
          <w:p w14:paraId="18564177" w14:textId="77777777" w:rsidR="007E596C" w:rsidRPr="0009591C" w:rsidRDefault="007E596C" w:rsidP="008F2AC3">
            <w:pPr>
              <w:rPr>
                <w:color w:val="000000"/>
                <w:sz w:val="22"/>
                <w:szCs w:val="22"/>
                <w:lang w:eastAsia="en-NZ"/>
              </w:rPr>
            </w:pPr>
            <w:r w:rsidRPr="0009591C">
              <w:rPr>
                <w:color w:val="000000"/>
                <w:sz w:val="22"/>
                <w:szCs w:val="22"/>
                <w:lang w:eastAsia="en-NZ"/>
              </w:rPr>
              <w:t>Real Income ($, 1986 USD)</w:t>
            </w:r>
          </w:p>
        </w:tc>
        <w:tc>
          <w:tcPr>
            <w:tcW w:w="1086" w:type="dxa"/>
            <w:tcBorders>
              <w:top w:val="single" w:sz="4" w:space="0" w:color="auto"/>
            </w:tcBorders>
            <w:shd w:val="clear" w:color="auto" w:fill="auto"/>
            <w:noWrap/>
            <w:vAlign w:val="bottom"/>
            <w:hideMark/>
          </w:tcPr>
          <w:p w14:paraId="401A279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27,076</w:t>
            </w:r>
          </w:p>
        </w:tc>
        <w:tc>
          <w:tcPr>
            <w:tcW w:w="1087" w:type="dxa"/>
            <w:tcBorders>
              <w:top w:val="single" w:sz="4" w:space="0" w:color="auto"/>
            </w:tcBorders>
            <w:shd w:val="clear" w:color="auto" w:fill="auto"/>
            <w:noWrap/>
            <w:vAlign w:val="bottom"/>
            <w:hideMark/>
          </w:tcPr>
          <w:p w14:paraId="466D3F3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29,123</w:t>
            </w:r>
          </w:p>
        </w:tc>
        <w:tc>
          <w:tcPr>
            <w:tcW w:w="1087" w:type="dxa"/>
            <w:tcBorders>
              <w:top w:val="single" w:sz="4" w:space="0" w:color="auto"/>
            </w:tcBorders>
            <w:shd w:val="clear" w:color="auto" w:fill="auto"/>
            <w:noWrap/>
            <w:vAlign w:val="bottom"/>
            <w:hideMark/>
          </w:tcPr>
          <w:p w14:paraId="681E204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26,968</w:t>
            </w:r>
          </w:p>
        </w:tc>
        <w:tc>
          <w:tcPr>
            <w:tcW w:w="1086" w:type="dxa"/>
            <w:tcBorders>
              <w:top w:val="single" w:sz="4" w:space="0" w:color="auto"/>
            </w:tcBorders>
            <w:shd w:val="clear" w:color="auto" w:fill="auto"/>
            <w:noWrap/>
            <w:vAlign w:val="bottom"/>
            <w:hideMark/>
          </w:tcPr>
          <w:p w14:paraId="66C8353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29,073</w:t>
            </w:r>
          </w:p>
        </w:tc>
        <w:tc>
          <w:tcPr>
            <w:tcW w:w="1087" w:type="dxa"/>
            <w:tcBorders>
              <w:top w:val="single" w:sz="4" w:space="0" w:color="auto"/>
            </w:tcBorders>
            <w:shd w:val="clear" w:color="auto" w:fill="auto"/>
            <w:noWrap/>
            <w:vAlign w:val="bottom"/>
            <w:hideMark/>
          </w:tcPr>
          <w:p w14:paraId="29ADF2B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29,873</w:t>
            </w:r>
          </w:p>
        </w:tc>
        <w:tc>
          <w:tcPr>
            <w:tcW w:w="1087" w:type="dxa"/>
            <w:tcBorders>
              <w:top w:val="single" w:sz="4" w:space="0" w:color="auto"/>
            </w:tcBorders>
            <w:shd w:val="clear" w:color="auto" w:fill="auto"/>
            <w:noWrap/>
            <w:vAlign w:val="bottom"/>
            <w:hideMark/>
          </w:tcPr>
          <w:p w14:paraId="1144523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31,435</w:t>
            </w:r>
          </w:p>
        </w:tc>
      </w:tr>
      <w:tr w:rsidR="007E596C" w:rsidRPr="00236FE5" w14:paraId="17C22B9A" w14:textId="77777777" w:rsidTr="00FB5EA5">
        <w:trPr>
          <w:trHeight w:val="288"/>
        </w:trPr>
        <w:tc>
          <w:tcPr>
            <w:tcW w:w="2552" w:type="dxa"/>
            <w:shd w:val="clear" w:color="auto" w:fill="auto"/>
            <w:noWrap/>
            <w:vAlign w:val="bottom"/>
            <w:hideMark/>
          </w:tcPr>
          <w:p w14:paraId="59C00354" w14:textId="77777777" w:rsidR="007E596C" w:rsidRPr="0009591C" w:rsidRDefault="007E596C" w:rsidP="008F2AC3">
            <w:pPr>
              <w:rPr>
                <w:color w:val="000000"/>
                <w:sz w:val="22"/>
                <w:szCs w:val="22"/>
                <w:lang w:eastAsia="en-NZ"/>
              </w:rPr>
            </w:pPr>
            <w:r w:rsidRPr="0009591C">
              <w:rPr>
                <w:color w:val="000000"/>
                <w:sz w:val="22"/>
                <w:szCs w:val="22"/>
                <w:lang w:eastAsia="en-NZ"/>
              </w:rPr>
              <w:t>Number of pets</w:t>
            </w:r>
          </w:p>
        </w:tc>
        <w:tc>
          <w:tcPr>
            <w:tcW w:w="1086" w:type="dxa"/>
            <w:shd w:val="clear" w:color="auto" w:fill="auto"/>
            <w:noWrap/>
            <w:vAlign w:val="bottom"/>
            <w:hideMark/>
          </w:tcPr>
          <w:p w14:paraId="364CA43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1.73</w:t>
            </w:r>
          </w:p>
        </w:tc>
        <w:tc>
          <w:tcPr>
            <w:tcW w:w="1087" w:type="dxa"/>
            <w:shd w:val="clear" w:color="auto" w:fill="auto"/>
            <w:noWrap/>
            <w:vAlign w:val="bottom"/>
            <w:hideMark/>
          </w:tcPr>
          <w:p w14:paraId="35442DF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2.76</w:t>
            </w:r>
          </w:p>
        </w:tc>
        <w:tc>
          <w:tcPr>
            <w:tcW w:w="1087" w:type="dxa"/>
            <w:shd w:val="clear" w:color="auto" w:fill="auto"/>
            <w:noWrap/>
            <w:vAlign w:val="bottom"/>
            <w:hideMark/>
          </w:tcPr>
          <w:p w14:paraId="13A3423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1.73</w:t>
            </w:r>
          </w:p>
        </w:tc>
        <w:tc>
          <w:tcPr>
            <w:tcW w:w="1086" w:type="dxa"/>
            <w:shd w:val="clear" w:color="auto" w:fill="auto"/>
            <w:noWrap/>
            <w:vAlign w:val="bottom"/>
            <w:hideMark/>
          </w:tcPr>
          <w:p w14:paraId="7930967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2.79</w:t>
            </w:r>
          </w:p>
        </w:tc>
        <w:tc>
          <w:tcPr>
            <w:tcW w:w="1087" w:type="dxa"/>
            <w:shd w:val="clear" w:color="auto" w:fill="auto"/>
            <w:noWrap/>
            <w:vAlign w:val="bottom"/>
            <w:hideMark/>
          </w:tcPr>
          <w:p w14:paraId="5808520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1.70</w:t>
            </w:r>
          </w:p>
        </w:tc>
        <w:tc>
          <w:tcPr>
            <w:tcW w:w="1087" w:type="dxa"/>
            <w:shd w:val="clear" w:color="auto" w:fill="auto"/>
            <w:noWrap/>
            <w:vAlign w:val="bottom"/>
            <w:hideMark/>
          </w:tcPr>
          <w:p w14:paraId="5240B73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2.70</w:t>
            </w:r>
          </w:p>
        </w:tc>
      </w:tr>
      <w:tr w:rsidR="007E596C" w:rsidRPr="00236FE5" w14:paraId="37959845" w14:textId="77777777" w:rsidTr="00FB5EA5">
        <w:trPr>
          <w:trHeight w:val="288"/>
        </w:trPr>
        <w:tc>
          <w:tcPr>
            <w:tcW w:w="2552" w:type="dxa"/>
            <w:shd w:val="clear" w:color="auto" w:fill="auto"/>
            <w:noWrap/>
            <w:vAlign w:val="bottom"/>
            <w:hideMark/>
          </w:tcPr>
          <w:p w14:paraId="0F0F6C45" w14:textId="77777777" w:rsidR="007E596C" w:rsidRPr="0009591C" w:rsidRDefault="007E596C" w:rsidP="008F2AC3">
            <w:pPr>
              <w:rPr>
                <w:color w:val="000000"/>
                <w:sz w:val="22"/>
                <w:szCs w:val="22"/>
                <w:lang w:eastAsia="en-NZ"/>
              </w:rPr>
            </w:pPr>
            <w:r w:rsidRPr="0009591C">
              <w:rPr>
                <w:color w:val="000000"/>
                <w:sz w:val="22"/>
                <w:szCs w:val="22"/>
                <w:lang w:eastAsia="en-NZ"/>
              </w:rPr>
              <w:t>Has any pets</w:t>
            </w:r>
          </w:p>
        </w:tc>
        <w:tc>
          <w:tcPr>
            <w:tcW w:w="1086" w:type="dxa"/>
            <w:shd w:val="clear" w:color="auto" w:fill="auto"/>
            <w:noWrap/>
            <w:vAlign w:val="bottom"/>
            <w:hideMark/>
          </w:tcPr>
          <w:p w14:paraId="5DB944D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61.07%</w:t>
            </w:r>
          </w:p>
        </w:tc>
        <w:tc>
          <w:tcPr>
            <w:tcW w:w="1087" w:type="dxa"/>
            <w:shd w:val="clear" w:color="auto" w:fill="auto"/>
            <w:noWrap/>
            <w:vAlign w:val="bottom"/>
            <w:hideMark/>
          </w:tcPr>
          <w:p w14:paraId="2791F72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48.80%</w:t>
            </w:r>
          </w:p>
        </w:tc>
        <w:tc>
          <w:tcPr>
            <w:tcW w:w="1087" w:type="dxa"/>
            <w:shd w:val="clear" w:color="auto" w:fill="auto"/>
            <w:noWrap/>
            <w:vAlign w:val="bottom"/>
            <w:hideMark/>
          </w:tcPr>
          <w:p w14:paraId="25C30B8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61.04%</w:t>
            </w:r>
          </w:p>
        </w:tc>
        <w:tc>
          <w:tcPr>
            <w:tcW w:w="1086" w:type="dxa"/>
            <w:shd w:val="clear" w:color="auto" w:fill="auto"/>
            <w:noWrap/>
            <w:vAlign w:val="bottom"/>
            <w:hideMark/>
          </w:tcPr>
          <w:p w14:paraId="469DFFA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48.81%</w:t>
            </w:r>
          </w:p>
        </w:tc>
        <w:tc>
          <w:tcPr>
            <w:tcW w:w="1087" w:type="dxa"/>
            <w:shd w:val="clear" w:color="auto" w:fill="auto"/>
            <w:noWrap/>
            <w:vAlign w:val="bottom"/>
            <w:hideMark/>
          </w:tcPr>
          <w:p w14:paraId="366579B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60.10%</w:t>
            </w:r>
          </w:p>
        </w:tc>
        <w:tc>
          <w:tcPr>
            <w:tcW w:w="1087" w:type="dxa"/>
            <w:shd w:val="clear" w:color="auto" w:fill="auto"/>
            <w:noWrap/>
            <w:vAlign w:val="bottom"/>
            <w:hideMark/>
          </w:tcPr>
          <w:p w14:paraId="6DFA54D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49.09%</w:t>
            </w:r>
          </w:p>
        </w:tc>
      </w:tr>
      <w:tr w:rsidR="007E596C" w:rsidRPr="00236FE5" w14:paraId="79D6E0BF" w14:textId="77777777" w:rsidTr="00FB5EA5">
        <w:trPr>
          <w:trHeight w:val="288"/>
        </w:trPr>
        <w:tc>
          <w:tcPr>
            <w:tcW w:w="2552" w:type="dxa"/>
            <w:shd w:val="clear" w:color="auto" w:fill="auto"/>
            <w:noWrap/>
            <w:vAlign w:val="bottom"/>
            <w:hideMark/>
          </w:tcPr>
          <w:p w14:paraId="00FF52BB" w14:textId="77777777" w:rsidR="007E596C" w:rsidRPr="0009591C" w:rsidRDefault="007E596C" w:rsidP="008F2AC3">
            <w:pPr>
              <w:rPr>
                <w:color w:val="000000"/>
                <w:sz w:val="22"/>
                <w:szCs w:val="22"/>
                <w:lang w:eastAsia="en-NZ"/>
              </w:rPr>
            </w:pPr>
            <w:r w:rsidRPr="0009591C">
              <w:rPr>
                <w:color w:val="000000"/>
                <w:sz w:val="22"/>
                <w:szCs w:val="22"/>
                <w:lang w:eastAsia="en-NZ"/>
              </w:rPr>
              <w:t>Education (school years)</w:t>
            </w:r>
          </w:p>
        </w:tc>
        <w:tc>
          <w:tcPr>
            <w:tcW w:w="1086" w:type="dxa"/>
            <w:shd w:val="clear" w:color="auto" w:fill="auto"/>
            <w:noWrap/>
            <w:vAlign w:val="bottom"/>
            <w:hideMark/>
          </w:tcPr>
          <w:p w14:paraId="5E15843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14.25</w:t>
            </w:r>
          </w:p>
        </w:tc>
        <w:tc>
          <w:tcPr>
            <w:tcW w:w="1087" w:type="dxa"/>
            <w:shd w:val="clear" w:color="auto" w:fill="auto"/>
            <w:noWrap/>
            <w:vAlign w:val="bottom"/>
            <w:hideMark/>
          </w:tcPr>
          <w:p w14:paraId="7A7EC36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2.78</w:t>
            </w:r>
          </w:p>
        </w:tc>
        <w:tc>
          <w:tcPr>
            <w:tcW w:w="1087" w:type="dxa"/>
            <w:shd w:val="clear" w:color="auto" w:fill="auto"/>
            <w:noWrap/>
            <w:vAlign w:val="bottom"/>
            <w:hideMark/>
          </w:tcPr>
          <w:p w14:paraId="6C1AD79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14.25</w:t>
            </w:r>
          </w:p>
        </w:tc>
        <w:tc>
          <w:tcPr>
            <w:tcW w:w="1086" w:type="dxa"/>
            <w:shd w:val="clear" w:color="auto" w:fill="auto"/>
            <w:noWrap/>
            <w:vAlign w:val="bottom"/>
            <w:hideMark/>
          </w:tcPr>
          <w:p w14:paraId="5CCD132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2.74</w:t>
            </w:r>
          </w:p>
        </w:tc>
        <w:tc>
          <w:tcPr>
            <w:tcW w:w="1087" w:type="dxa"/>
            <w:shd w:val="clear" w:color="auto" w:fill="auto"/>
            <w:noWrap/>
            <w:vAlign w:val="bottom"/>
            <w:hideMark/>
          </w:tcPr>
          <w:p w14:paraId="426540B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14.35</w:t>
            </w:r>
          </w:p>
        </w:tc>
        <w:tc>
          <w:tcPr>
            <w:tcW w:w="1087" w:type="dxa"/>
            <w:shd w:val="clear" w:color="auto" w:fill="auto"/>
            <w:noWrap/>
            <w:vAlign w:val="bottom"/>
            <w:hideMark/>
          </w:tcPr>
          <w:p w14:paraId="416FD1F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2.74</w:t>
            </w:r>
          </w:p>
        </w:tc>
      </w:tr>
      <w:tr w:rsidR="007E596C" w:rsidRPr="00236FE5" w14:paraId="05608EB7" w14:textId="77777777" w:rsidTr="00FB5EA5">
        <w:trPr>
          <w:trHeight w:val="288"/>
        </w:trPr>
        <w:tc>
          <w:tcPr>
            <w:tcW w:w="2552" w:type="dxa"/>
            <w:shd w:val="clear" w:color="auto" w:fill="auto"/>
            <w:noWrap/>
            <w:vAlign w:val="bottom"/>
            <w:hideMark/>
          </w:tcPr>
          <w:p w14:paraId="4378EE6E" w14:textId="77777777" w:rsidR="007E596C" w:rsidRPr="0009591C" w:rsidRDefault="007E596C" w:rsidP="008F2AC3">
            <w:pPr>
              <w:rPr>
                <w:color w:val="000000"/>
                <w:sz w:val="22"/>
                <w:szCs w:val="22"/>
                <w:lang w:eastAsia="en-NZ"/>
              </w:rPr>
            </w:pPr>
            <w:r w:rsidRPr="0009591C">
              <w:rPr>
                <w:color w:val="000000"/>
                <w:sz w:val="22"/>
                <w:szCs w:val="22"/>
                <w:lang w:eastAsia="en-NZ"/>
              </w:rPr>
              <w:t>Experience</w:t>
            </w:r>
          </w:p>
        </w:tc>
        <w:tc>
          <w:tcPr>
            <w:tcW w:w="1086" w:type="dxa"/>
            <w:shd w:val="clear" w:color="auto" w:fill="auto"/>
            <w:noWrap/>
            <w:vAlign w:val="bottom"/>
            <w:hideMark/>
          </w:tcPr>
          <w:p w14:paraId="115FD34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24.58</w:t>
            </w:r>
          </w:p>
        </w:tc>
        <w:tc>
          <w:tcPr>
            <w:tcW w:w="1087" w:type="dxa"/>
            <w:shd w:val="clear" w:color="auto" w:fill="auto"/>
            <w:noWrap/>
            <w:vAlign w:val="bottom"/>
            <w:hideMark/>
          </w:tcPr>
          <w:p w14:paraId="2439BC3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13.55</w:t>
            </w:r>
          </w:p>
        </w:tc>
        <w:tc>
          <w:tcPr>
            <w:tcW w:w="1087" w:type="dxa"/>
            <w:shd w:val="clear" w:color="auto" w:fill="auto"/>
            <w:noWrap/>
            <w:vAlign w:val="bottom"/>
            <w:hideMark/>
          </w:tcPr>
          <w:p w14:paraId="55F646E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24.47</w:t>
            </w:r>
          </w:p>
        </w:tc>
        <w:tc>
          <w:tcPr>
            <w:tcW w:w="1086" w:type="dxa"/>
            <w:shd w:val="clear" w:color="auto" w:fill="auto"/>
            <w:noWrap/>
            <w:vAlign w:val="bottom"/>
            <w:hideMark/>
          </w:tcPr>
          <w:p w14:paraId="640AB2E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13.64</w:t>
            </w:r>
          </w:p>
        </w:tc>
        <w:tc>
          <w:tcPr>
            <w:tcW w:w="1087" w:type="dxa"/>
            <w:shd w:val="clear" w:color="auto" w:fill="auto"/>
            <w:noWrap/>
            <w:vAlign w:val="bottom"/>
            <w:hideMark/>
          </w:tcPr>
          <w:p w14:paraId="097D4CF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28.56</w:t>
            </w:r>
          </w:p>
        </w:tc>
        <w:tc>
          <w:tcPr>
            <w:tcW w:w="1087" w:type="dxa"/>
            <w:shd w:val="clear" w:color="auto" w:fill="auto"/>
            <w:noWrap/>
            <w:vAlign w:val="bottom"/>
            <w:hideMark/>
          </w:tcPr>
          <w:p w14:paraId="26FE507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13.93</w:t>
            </w:r>
          </w:p>
        </w:tc>
      </w:tr>
      <w:tr w:rsidR="007E596C" w:rsidRPr="00236FE5" w14:paraId="52F6DFF7" w14:textId="77777777" w:rsidTr="00FB5EA5">
        <w:trPr>
          <w:trHeight w:val="288"/>
        </w:trPr>
        <w:tc>
          <w:tcPr>
            <w:tcW w:w="2552" w:type="dxa"/>
            <w:shd w:val="clear" w:color="auto" w:fill="auto"/>
            <w:noWrap/>
            <w:vAlign w:val="bottom"/>
            <w:hideMark/>
          </w:tcPr>
          <w:p w14:paraId="644FB488" w14:textId="77777777" w:rsidR="007E596C" w:rsidRPr="0009591C" w:rsidRDefault="007E596C" w:rsidP="008F2AC3">
            <w:pPr>
              <w:rPr>
                <w:color w:val="000000"/>
                <w:sz w:val="22"/>
                <w:szCs w:val="22"/>
                <w:lang w:eastAsia="en-NZ"/>
              </w:rPr>
            </w:pPr>
            <w:r w:rsidRPr="0009591C">
              <w:rPr>
                <w:color w:val="000000"/>
                <w:sz w:val="22"/>
                <w:szCs w:val="22"/>
                <w:lang w:eastAsia="en-NZ"/>
              </w:rPr>
              <w:t>Number of children</w:t>
            </w:r>
          </w:p>
        </w:tc>
        <w:tc>
          <w:tcPr>
            <w:tcW w:w="1086" w:type="dxa"/>
            <w:shd w:val="clear" w:color="auto" w:fill="auto"/>
            <w:noWrap/>
            <w:vAlign w:val="bottom"/>
            <w:hideMark/>
          </w:tcPr>
          <w:p w14:paraId="60CDAC2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1.72</w:t>
            </w:r>
          </w:p>
        </w:tc>
        <w:tc>
          <w:tcPr>
            <w:tcW w:w="1087" w:type="dxa"/>
            <w:shd w:val="clear" w:color="auto" w:fill="auto"/>
            <w:noWrap/>
            <w:vAlign w:val="bottom"/>
            <w:hideMark/>
          </w:tcPr>
          <w:p w14:paraId="4D516F5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1.61</w:t>
            </w:r>
          </w:p>
        </w:tc>
        <w:tc>
          <w:tcPr>
            <w:tcW w:w="1087" w:type="dxa"/>
            <w:shd w:val="clear" w:color="auto" w:fill="auto"/>
            <w:noWrap/>
            <w:vAlign w:val="bottom"/>
            <w:hideMark/>
          </w:tcPr>
          <w:p w14:paraId="48283D8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1.68</w:t>
            </w:r>
          </w:p>
        </w:tc>
        <w:tc>
          <w:tcPr>
            <w:tcW w:w="1086" w:type="dxa"/>
            <w:shd w:val="clear" w:color="auto" w:fill="auto"/>
            <w:noWrap/>
            <w:vAlign w:val="bottom"/>
            <w:hideMark/>
          </w:tcPr>
          <w:p w14:paraId="4ACD72B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1.58</w:t>
            </w:r>
          </w:p>
        </w:tc>
        <w:tc>
          <w:tcPr>
            <w:tcW w:w="1087" w:type="dxa"/>
            <w:shd w:val="clear" w:color="auto" w:fill="auto"/>
            <w:noWrap/>
            <w:vAlign w:val="bottom"/>
            <w:hideMark/>
          </w:tcPr>
          <w:p w14:paraId="46B65D9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1.82</w:t>
            </w:r>
          </w:p>
        </w:tc>
        <w:tc>
          <w:tcPr>
            <w:tcW w:w="1087" w:type="dxa"/>
            <w:shd w:val="clear" w:color="auto" w:fill="auto"/>
            <w:noWrap/>
            <w:vAlign w:val="bottom"/>
            <w:hideMark/>
          </w:tcPr>
          <w:p w14:paraId="5D319A3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1.59</w:t>
            </w:r>
          </w:p>
        </w:tc>
      </w:tr>
      <w:tr w:rsidR="007E596C" w:rsidRPr="00236FE5" w14:paraId="0B7BEBE5" w14:textId="77777777" w:rsidTr="00FB5EA5">
        <w:trPr>
          <w:trHeight w:val="288"/>
        </w:trPr>
        <w:tc>
          <w:tcPr>
            <w:tcW w:w="2552" w:type="dxa"/>
            <w:shd w:val="clear" w:color="auto" w:fill="auto"/>
            <w:noWrap/>
            <w:vAlign w:val="bottom"/>
            <w:hideMark/>
          </w:tcPr>
          <w:p w14:paraId="63FADD59" w14:textId="77777777" w:rsidR="007E596C" w:rsidRPr="0009591C" w:rsidRDefault="007E596C" w:rsidP="008F2AC3">
            <w:pPr>
              <w:rPr>
                <w:color w:val="000000"/>
                <w:sz w:val="22"/>
                <w:szCs w:val="22"/>
                <w:lang w:eastAsia="en-NZ"/>
              </w:rPr>
            </w:pPr>
            <w:r w:rsidRPr="0009591C">
              <w:rPr>
                <w:color w:val="000000"/>
                <w:sz w:val="22"/>
                <w:szCs w:val="22"/>
                <w:lang w:eastAsia="en-NZ"/>
              </w:rPr>
              <w:t>Hours worked a week</w:t>
            </w:r>
          </w:p>
        </w:tc>
        <w:tc>
          <w:tcPr>
            <w:tcW w:w="1086" w:type="dxa"/>
            <w:shd w:val="clear" w:color="auto" w:fill="auto"/>
            <w:noWrap/>
            <w:vAlign w:val="bottom"/>
            <w:hideMark/>
          </w:tcPr>
          <w:p w14:paraId="2A0A784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42.50</w:t>
            </w:r>
          </w:p>
        </w:tc>
        <w:tc>
          <w:tcPr>
            <w:tcW w:w="1087" w:type="dxa"/>
            <w:shd w:val="clear" w:color="auto" w:fill="auto"/>
            <w:noWrap/>
            <w:vAlign w:val="bottom"/>
            <w:hideMark/>
          </w:tcPr>
          <w:p w14:paraId="6EB4E03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14.82</w:t>
            </w:r>
          </w:p>
        </w:tc>
        <w:tc>
          <w:tcPr>
            <w:tcW w:w="1087" w:type="dxa"/>
            <w:shd w:val="clear" w:color="auto" w:fill="auto"/>
            <w:noWrap/>
            <w:vAlign w:val="bottom"/>
            <w:hideMark/>
          </w:tcPr>
          <w:p w14:paraId="2C0A35B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42.52</w:t>
            </w:r>
          </w:p>
        </w:tc>
        <w:tc>
          <w:tcPr>
            <w:tcW w:w="1086" w:type="dxa"/>
            <w:shd w:val="clear" w:color="auto" w:fill="auto"/>
            <w:noWrap/>
            <w:vAlign w:val="bottom"/>
            <w:hideMark/>
          </w:tcPr>
          <w:p w14:paraId="1EBC371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14.85</w:t>
            </w:r>
          </w:p>
        </w:tc>
        <w:tc>
          <w:tcPr>
            <w:tcW w:w="1087" w:type="dxa"/>
            <w:shd w:val="clear" w:color="auto" w:fill="auto"/>
            <w:noWrap/>
            <w:vAlign w:val="bottom"/>
            <w:hideMark/>
          </w:tcPr>
          <w:p w14:paraId="359AB71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42.98</w:t>
            </w:r>
          </w:p>
        </w:tc>
        <w:tc>
          <w:tcPr>
            <w:tcW w:w="1087" w:type="dxa"/>
            <w:shd w:val="clear" w:color="auto" w:fill="auto"/>
            <w:noWrap/>
            <w:vAlign w:val="bottom"/>
            <w:hideMark/>
          </w:tcPr>
          <w:p w14:paraId="0B6DB9C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16.16</w:t>
            </w:r>
          </w:p>
        </w:tc>
      </w:tr>
      <w:tr w:rsidR="007E596C" w:rsidRPr="00236FE5" w14:paraId="6CA50A83" w14:textId="77777777" w:rsidTr="00FB5EA5">
        <w:trPr>
          <w:trHeight w:val="288"/>
        </w:trPr>
        <w:tc>
          <w:tcPr>
            <w:tcW w:w="2552" w:type="dxa"/>
            <w:shd w:val="clear" w:color="auto" w:fill="auto"/>
            <w:noWrap/>
            <w:vAlign w:val="bottom"/>
            <w:hideMark/>
          </w:tcPr>
          <w:p w14:paraId="2C156E4F" w14:textId="77777777" w:rsidR="007E596C" w:rsidRPr="0009591C" w:rsidRDefault="007E596C" w:rsidP="008F2AC3">
            <w:pPr>
              <w:rPr>
                <w:color w:val="000000"/>
                <w:sz w:val="22"/>
                <w:szCs w:val="22"/>
                <w:lang w:eastAsia="en-NZ"/>
              </w:rPr>
            </w:pPr>
            <w:r w:rsidRPr="0009591C">
              <w:rPr>
                <w:color w:val="000000"/>
                <w:sz w:val="22"/>
                <w:szCs w:val="22"/>
                <w:lang w:eastAsia="en-NZ"/>
              </w:rPr>
              <w:t>Male</w:t>
            </w:r>
          </w:p>
        </w:tc>
        <w:tc>
          <w:tcPr>
            <w:tcW w:w="1086" w:type="dxa"/>
            <w:shd w:val="clear" w:color="auto" w:fill="auto"/>
            <w:noWrap/>
            <w:vAlign w:val="bottom"/>
            <w:hideMark/>
          </w:tcPr>
          <w:p w14:paraId="4D35966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53.98%</w:t>
            </w:r>
          </w:p>
        </w:tc>
        <w:tc>
          <w:tcPr>
            <w:tcW w:w="1087" w:type="dxa"/>
            <w:shd w:val="clear" w:color="auto" w:fill="auto"/>
            <w:noWrap/>
            <w:vAlign w:val="bottom"/>
            <w:hideMark/>
          </w:tcPr>
          <w:p w14:paraId="1BD8C99D"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49.88%</w:t>
            </w:r>
          </w:p>
        </w:tc>
        <w:tc>
          <w:tcPr>
            <w:tcW w:w="1087" w:type="dxa"/>
            <w:shd w:val="clear" w:color="auto" w:fill="auto"/>
            <w:noWrap/>
            <w:vAlign w:val="bottom"/>
            <w:hideMark/>
          </w:tcPr>
          <w:p w14:paraId="66BB42B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53.86%</w:t>
            </w:r>
          </w:p>
        </w:tc>
        <w:tc>
          <w:tcPr>
            <w:tcW w:w="1086" w:type="dxa"/>
            <w:shd w:val="clear" w:color="auto" w:fill="auto"/>
            <w:noWrap/>
            <w:vAlign w:val="bottom"/>
            <w:hideMark/>
          </w:tcPr>
          <w:p w14:paraId="38FBF0B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49.90%</w:t>
            </w:r>
          </w:p>
        </w:tc>
        <w:tc>
          <w:tcPr>
            <w:tcW w:w="1087" w:type="dxa"/>
            <w:shd w:val="clear" w:color="auto" w:fill="auto"/>
            <w:noWrap/>
            <w:vAlign w:val="bottom"/>
            <w:hideMark/>
          </w:tcPr>
          <w:p w14:paraId="344DEB0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58.08%</w:t>
            </w:r>
          </w:p>
        </w:tc>
        <w:tc>
          <w:tcPr>
            <w:tcW w:w="1087" w:type="dxa"/>
            <w:shd w:val="clear" w:color="auto" w:fill="auto"/>
            <w:noWrap/>
            <w:vAlign w:val="bottom"/>
            <w:hideMark/>
          </w:tcPr>
          <w:p w14:paraId="2C3E49E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49.47%</w:t>
            </w:r>
          </w:p>
        </w:tc>
      </w:tr>
      <w:tr w:rsidR="007E596C" w:rsidRPr="00236FE5" w14:paraId="5793E5FD" w14:textId="77777777" w:rsidTr="00FB5EA5">
        <w:trPr>
          <w:trHeight w:val="288"/>
        </w:trPr>
        <w:tc>
          <w:tcPr>
            <w:tcW w:w="2552" w:type="dxa"/>
            <w:shd w:val="clear" w:color="auto" w:fill="auto"/>
            <w:noWrap/>
            <w:vAlign w:val="bottom"/>
            <w:hideMark/>
          </w:tcPr>
          <w:p w14:paraId="12913243" w14:textId="77777777" w:rsidR="007E596C" w:rsidRPr="0009591C" w:rsidRDefault="007E596C" w:rsidP="008F2AC3">
            <w:pPr>
              <w:rPr>
                <w:color w:val="000000"/>
                <w:sz w:val="22"/>
                <w:szCs w:val="22"/>
                <w:lang w:eastAsia="en-NZ"/>
              </w:rPr>
            </w:pPr>
            <w:r w:rsidRPr="0009591C">
              <w:rPr>
                <w:color w:val="000000"/>
                <w:sz w:val="22"/>
                <w:szCs w:val="22"/>
                <w:lang w:eastAsia="en-NZ"/>
              </w:rPr>
              <w:t>Female</w:t>
            </w:r>
          </w:p>
        </w:tc>
        <w:tc>
          <w:tcPr>
            <w:tcW w:w="1086" w:type="dxa"/>
            <w:shd w:val="clear" w:color="auto" w:fill="auto"/>
            <w:noWrap/>
            <w:vAlign w:val="bottom"/>
            <w:hideMark/>
          </w:tcPr>
          <w:p w14:paraId="6741F2C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46.02%</w:t>
            </w:r>
          </w:p>
        </w:tc>
        <w:tc>
          <w:tcPr>
            <w:tcW w:w="1087" w:type="dxa"/>
            <w:shd w:val="clear" w:color="auto" w:fill="auto"/>
            <w:noWrap/>
            <w:vAlign w:val="bottom"/>
            <w:hideMark/>
          </w:tcPr>
          <w:p w14:paraId="680ABBB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49.88%</w:t>
            </w:r>
          </w:p>
        </w:tc>
        <w:tc>
          <w:tcPr>
            <w:tcW w:w="1087" w:type="dxa"/>
            <w:shd w:val="clear" w:color="auto" w:fill="auto"/>
            <w:noWrap/>
            <w:vAlign w:val="bottom"/>
            <w:hideMark/>
          </w:tcPr>
          <w:p w14:paraId="7ED0410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46.14%</w:t>
            </w:r>
          </w:p>
        </w:tc>
        <w:tc>
          <w:tcPr>
            <w:tcW w:w="1086" w:type="dxa"/>
            <w:shd w:val="clear" w:color="auto" w:fill="auto"/>
            <w:noWrap/>
            <w:vAlign w:val="bottom"/>
            <w:hideMark/>
          </w:tcPr>
          <w:p w14:paraId="165AC84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49.90%</w:t>
            </w:r>
          </w:p>
        </w:tc>
        <w:tc>
          <w:tcPr>
            <w:tcW w:w="1087" w:type="dxa"/>
            <w:shd w:val="clear" w:color="auto" w:fill="auto"/>
            <w:noWrap/>
            <w:vAlign w:val="bottom"/>
            <w:hideMark/>
          </w:tcPr>
          <w:p w14:paraId="33C27B5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41.92%</w:t>
            </w:r>
          </w:p>
        </w:tc>
        <w:tc>
          <w:tcPr>
            <w:tcW w:w="1087" w:type="dxa"/>
            <w:shd w:val="clear" w:color="auto" w:fill="auto"/>
            <w:noWrap/>
            <w:vAlign w:val="bottom"/>
            <w:hideMark/>
          </w:tcPr>
          <w:p w14:paraId="4702F59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49.47%</w:t>
            </w:r>
          </w:p>
        </w:tc>
      </w:tr>
      <w:tr w:rsidR="007E596C" w:rsidRPr="00236FE5" w14:paraId="34A33F4F" w14:textId="77777777" w:rsidTr="00FB5EA5">
        <w:trPr>
          <w:trHeight w:val="288"/>
        </w:trPr>
        <w:tc>
          <w:tcPr>
            <w:tcW w:w="2552" w:type="dxa"/>
            <w:shd w:val="clear" w:color="auto" w:fill="auto"/>
            <w:noWrap/>
            <w:vAlign w:val="bottom"/>
            <w:hideMark/>
          </w:tcPr>
          <w:p w14:paraId="5FEAEFBA" w14:textId="77777777" w:rsidR="007E596C" w:rsidRPr="0009591C" w:rsidRDefault="007E596C" w:rsidP="008F2AC3">
            <w:pPr>
              <w:rPr>
                <w:color w:val="000000"/>
                <w:sz w:val="22"/>
                <w:szCs w:val="22"/>
                <w:lang w:eastAsia="en-NZ"/>
              </w:rPr>
            </w:pPr>
            <w:r w:rsidRPr="0009591C">
              <w:rPr>
                <w:color w:val="000000"/>
                <w:sz w:val="22"/>
                <w:szCs w:val="22"/>
                <w:lang w:eastAsia="en-NZ"/>
              </w:rPr>
              <w:t>Black</w:t>
            </w:r>
          </w:p>
        </w:tc>
        <w:tc>
          <w:tcPr>
            <w:tcW w:w="1086" w:type="dxa"/>
            <w:shd w:val="clear" w:color="auto" w:fill="auto"/>
            <w:noWrap/>
            <w:vAlign w:val="bottom"/>
            <w:hideMark/>
          </w:tcPr>
          <w:p w14:paraId="52FBA41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16.61%</w:t>
            </w:r>
          </w:p>
        </w:tc>
        <w:tc>
          <w:tcPr>
            <w:tcW w:w="1087" w:type="dxa"/>
            <w:shd w:val="clear" w:color="auto" w:fill="auto"/>
            <w:noWrap/>
            <w:vAlign w:val="bottom"/>
            <w:hideMark/>
          </w:tcPr>
          <w:p w14:paraId="1AD2C0F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37.25%</w:t>
            </w:r>
          </w:p>
        </w:tc>
        <w:tc>
          <w:tcPr>
            <w:tcW w:w="1087" w:type="dxa"/>
            <w:shd w:val="clear" w:color="auto" w:fill="auto"/>
            <w:noWrap/>
            <w:vAlign w:val="bottom"/>
            <w:hideMark/>
          </w:tcPr>
          <w:p w14:paraId="224105C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16.52%</w:t>
            </w:r>
          </w:p>
        </w:tc>
        <w:tc>
          <w:tcPr>
            <w:tcW w:w="1086" w:type="dxa"/>
            <w:shd w:val="clear" w:color="auto" w:fill="auto"/>
            <w:noWrap/>
            <w:vAlign w:val="bottom"/>
            <w:hideMark/>
          </w:tcPr>
          <w:p w14:paraId="338701B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37.17%</w:t>
            </w:r>
          </w:p>
        </w:tc>
        <w:tc>
          <w:tcPr>
            <w:tcW w:w="1087" w:type="dxa"/>
            <w:shd w:val="clear" w:color="auto" w:fill="auto"/>
            <w:noWrap/>
            <w:vAlign w:val="bottom"/>
            <w:hideMark/>
          </w:tcPr>
          <w:p w14:paraId="5D5A080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18.18%</w:t>
            </w:r>
          </w:p>
        </w:tc>
        <w:tc>
          <w:tcPr>
            <w:tcW w:w="1087" w:type="dxa"/>
            <w:shd w:val="clear" w:color="auto" w:fill="auto"/>
            <w:noWrap/>
            <w:vAlign w:val="bottom"/>
            <w:hideMark/>
          </w:tcPr>
          <w:p w14:paraId="61F2A4A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38.67%</w:t>
            </w:r>
          </w:p>
        </w:tc>
      </w:tr>
      <w:tr w:rsidR="007E596C" w:rsidRPr="00236FE5" w14:paraId="4C4833A7" w14:textId="77777777" w:rsidTr="00FB5EA5">
        <w:trPr>
          <w:trHeight w:val="288"/>
        </w:trPr>
        <w:tc>
          <w:tcPr>
            <w:tcW w:w="2552" w:type="dxa"/>
            <w:shd w:val="clear" w:color="auto" w:fill="auto"/>
            <w:noWrap/>
            <w:vAlign w:val="bottom"/>
            <w:hideMark/>
          </w:tcPr>
          <w:p w14:paraId="75C08CB8" w14:textId="77777777" w:rsidR="007E596C" w:rsidRPr="0009591C" w:rsidRDefault="007E596C" w:rsidP="008F2AC3">
            <w:pPr>
              <w:rPr>
                <w:color w:val="000000"/>
                <w:sz w:val="22"/>
                <w:szCs w:val="22"/>
                <w:lang w:eastAsia="en-NZ"/>
              </w:rPr>
            </w:pPr>
            <w:r w:rsidRPr="0009591C">
              <w:rPr>
                <w:color w:val="000000"/>
                <w:sz w:val="22"/>
                <w:szCs w:val="22"/>
                <w:lang w:eastAsia="en-NZ"/>
              </w:rPr>
              <w:t>White</w:t>
            </w:r>
          </w:p>
        </w:tc>
        <w:tc>
          <w:tcPr>
            <w:tcW w:w="1086" w:type="dxa"/>
            <w:shd w:val="clear" w:color="auto" w:fill="auto"/>
            <w:noWrap/>
            <w:vAlign w:val="bottom"/>
            <w:hideMark/>
          </w:tcPr>
          <w:p w14:paraId="76E3529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71.63%</w:t>
            </w:r>
          </w:p>
        </w:tc>
        <w:tc>
          <w:tcPr>
            <w:tcW w:w="1087" w:type="dxa"/>
            <w:shd w:val="clear" w:color="auto" w:fill="auto"/>
            <w:noWrap/>
            <w:vAlign w:val="bottom"/>
            <w:hideMark/>
          </w:tcPr>
          <w:p w14:paraId="09E3A24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45.12%</w:t>
            </w:r>
          </w:p>
        </w:tc>
        <w:tc>
          <w:tcPr>
            <w:tcW w:w="1087" w:type="dxa"/>
            <w:shd w:val="clear" w:color="auto" w:fill="auto"/>
            <w:noWrap/>
            <w:vAlign w:val="bottom"/>
            <w:hideMark/>
          </w:tcPr>
          <w:p w14:paraId="7CD44AC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71.81%</w:t>
            </w:r>
          </w:p>
        </w:tc>
        <w:tc>
          <w:tcPr>
            <w:tcW w:w="1086" w:type="dxa"/>
            <w:shd w:val="clear" w:color="auto" w:fill="auto"/>
            <w:noWrap/>
            <w:vAlign w:val="bottom"/>
            <w:hideMark/>
          </w:tcPr>
          <w:p w14:paraId="7746038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45.03%</w:t>
            </w:r>
          </w:p>
        </w:tc>
        <w:tc>
          <w:tcPr>
            <w:tcW w:w="1087" w:type="dxa"/>
            <w:shd w:val="clear" w:color="auto" w:fill="auto"/>
            <w:noWrap/>
            <w:vAlign w:val="bottom"/>
            <w:hideMark/>
          </w:tcPr>
          <w:p w14:paraId="5402D58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70.20%</w:t>
            </w:r>
          </w:p>
        </w:tc>
        <w:tc>
          <w:tcPr>
            <w:tcW w:w="1087" w:type="dxa"/>
            <w:shd w:val="clear" w:color="auto" w:fill="auto"/>
            <w:noWrap/>
            <w:vAlign w:val="bottom"/>
            <w:hideMark/>
          </w:tcPr>
          <w:p w14:paraId="0BC62A0F"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45.85%</w:t>
            </w:r>
          </w:p>
        </w:tc>
      </w:tr>
      <w:tr w:rsidR="007E596C" w:rsidRPr="00236FE5" w14:paraId="4F55C2FC" w14:textId="77777777" w:rsidTr="00FB5EA5">
        <w:trPr>
          <w:trHeight w:val="288"/>
        </w:trPr>
        <w:tc>
          <w:tcPr>
            <w:tcW w:w="2552" w:type="dxa"/>
            <w:shd w:val="clear" w:color="auto" w:fill="auto"/>
            <w:noWrap/>
            <w:vAlign w:val="bottom"/>
            <w:hideMark/>
          </w:tcPr>
          <w:p w14:paraId="08F25BF9" w14:textId="77777777" w:rsidR="007E596C" w:rsidRPr="0009591C" w:rsidRDefault="007E596C" w:rsidP="008F2AC3">
            <w:pPr>
              <w:rPr>
                <w:color w:val="000000"/>
                <w:sz w:val="22"/>
                <w:szCs w:val="22"/>
                <w:lang w:eastAsia="en-NZ"/>
              </w:rPr>
            </w:pPr>
            <w:r w:rsidRPr="0009591C">
              <w:rPr>
                <w:color w:val="000000"/>
                <w:sz w:val="22"/>
                <w:szCs w:val="22"/>
                <w:lang w:eastAsia="en-NZ"/>
              </w:rPr>
              <w:t>Other race</w:t>
            </w:r>
          </w:p>
        </w:tc>
        <w:tc>
          <w:tcPr>
            <w:tcW w:w="1086" w:type="dxa"/>
            <w:shd w:val="clear" w:color="auto" w:fill="auto"/>
            <w:noWrap/>
            <w:vAlign w:val="bottom"/>
            <w:hideMark/>
          </w:tcPr>
          <w:p w14:paraId="54BF0BD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11.76%</w:t>
            </w:r>
          </w:p>
        </w:tc>
        <w:tc>
          <w:tcPr>
            <w:tcW w:w="1087" w:type="dxa"/>
            <w:shd w:val="clear" w:color="auto" w:fill="auto"/>
            <w:noWrap/>
            <w:vAlign w:val="bottom"/>
            <w:hideMark/>
          </w:tcPr>
          <w:p w14:paraId="403518C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32.25%</w:t>
            </w:r>
          </w:p>
        </w:tc>
        <w:tc>
          <w:tcPr>
            <w:tcW w:w="1087" w:type="dxa"/>
            <w:shd w:val="clear" w:color="auto" w:fill="auto"/>
            <w:noWrap/>
            <w:vAlign w:val="bottom"/>
            <w:hideMark/>
          </w:tcPr>
          <w:p w14:paraId="500491E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11.67%</w:t>
            </w:r>
          </w:p>
        </w:tc>
        <w:tc>
          <w:tcPr>
            <w:tcW w:w="1086" w:type="dxa"/>
            <w:shd w:val="clear" w:color="auto" w:fill="auto"/>
            <w:noWrap/>
            <w:vAlign w:val="bottom"/>
            <w:hideMark/>
          </w:tcPr>
          <w:p w14:paraId="5A5E8F0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32.13%</w:t>
            </w:r>
          </w:p>
        </w:tc>
        <w:tc>
          <w:tcPr>
            <w:tcW w:w="1087" w:type="dxa"/>
            <w:shd w:val="clear" w:color="auto" w:fill="auto"/>
            <w:noWrap/>
            <w:vAlign w:val="bottom"/>
            <w:hideMark/>
          </w:tcPr>
          <w:p w14:paraId="78A100C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11.62%</w:t>
            </w:r>
          </w:p>
        </w:tc>
        <w:tc>
          <w:tcPr>
            <w:tcW w:w="1087" w:type="dxa"/>
            <w:shd w:val="clear" w:color="auto" w:fill="auto"/>
            <w:noWrap/>
            <w:vAlign w:val="bottom"/>
            <w:hideMark/>
          </w:tcPr>
          <w:p w14:paraId="53A72C2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32.12%</w:t>
            </w:r>
          </w:p>
        </w:tc>
      </w:tr>
      <w:tr w:rsidR="007E596C" w:rsidRPr="00236FE5" w14:paraId="03588B48" w14:textId="77777777" w:rsidTr="00FB5EA5">
        <w:trPr>
          <w:trHeight w:val="288"/>
        </w:trPr>
        <w:tc>
          <w:tcPr>
            <w:tcW w:w="2552" w:type="dxa"/>
            <w:shd w:val="clear" w:color="auto" w:fill="auto"/>
            <w:noWrap/>
            <w:vAlign w:val="bottom"/>
            <w:hideMark/>
          </w:tcPr>
          <w:p w14:paraId="28263030" w14:textId="77777777" w:rsidR="007E596C" w:rsidRPr="0009591C" w:rsidRDefault="007E596C" w:rsidP="008F2AC3">
            <w:pPr>
              <w:rPr>
                <w:color w:val="000000"/>
                <w:sz w:val="22"/>
                <w:szCs w:val="22"/>
                <w:lang w:eastAsia="en-NZ"/>
              </w:rPr>
            </w:pPr>
            <w:r w:rsidRPr="0009591C">
              <w:rPr>
                <w:color w:val="000000"/>
                <w:sz w:val="22"/>
                <w:szCs w:val="22"/>
                <w:lang w:eastAsia="en-NZ"/>
              </w:rPr>
              <w:t>Own home</w:t>
            </w:r>
          </w:p>
        </w:tc>
        <w:tc>
          <w:tcPr>
            <w:tcW w:w="1086" w:type="dxa"/>
            <w:shd w:val="clear" w:color="auto" w:fill="auto"/>
            <w:noWrap/>
            <w:vAlign w:val="bottom"/>
            <w:hideMark/>
          </w:tcPr>
          <w:p w14:paraId="5C1377D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65.50%</w:t>
            </w:r>
          </w:p>
        </w:tc>
        <w:tc>
          <w:tcPr>
            <w:tcW w:w="1087" w:type="dxa"/>
            <w:shd w:val="clear" w:color="auto" w:fill="auto"/>
            <w:noWrap/>
            <w:vAlign w:val="bottom"/>
            <w:hideMark/>
          </w:tcPr>
          <w:p w14:paraId="71E8EA6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47.66%</w:t>
            </w:r>
          </w:p>
        </w:tc>
        <w:tc>
          <w:tcPr>
            <w:tcW w:w="1087" w:type="dxa"/>
            <w:shd w:val="clear" w:color="auto" w:fill="auto"/>
            <w:noWrap/>
            <w:vAlign w:val="bottom"/>
            <w:hideMark/>
          </w:tcPr>
          <w:p w14:paraId="0F75BBA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64.55%</w:t>
            </w:r>
          </w:p>
        </w:tc>
        <w:tc>
          <w:tcPr>
            <w:tcW w:w="1086" w:type="dxa"/>
            <w:shd w:val="clear" w:color="auto" w:fill="auto"/>
            <w:noWrap/>
            <w:vAlign w:val="bottom"/>
            <w:hideMark/>
          </w:tcPr>
          <w:p w14:paraId="32ACB2B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47.96%</w:t>
            </w:r>
          </w:p>
        </w:tc>
        <w:tc>
          <w:tcPr>
            <w:tcW w:w="1087" w:type="dxa"/>
            <w:shd w:val="clear" w:color="auto" w:fill="auto"/>
            <w:noWrap/>
            <w:vAlign w:val="bottom"/>
            <w:hideMark/>
          </w:tcPr>
          <w:p w14:paraId="2651B19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65.15%</w:t>
            </w:r>
          </w:p>
        </w:tc>
        <w:tc>
          <w:tcPr>
            <w:tcW w:w="1087" w:type="dxa"/>
            <w:shd w:val="clear" w:color="auto" w:fill="auto"/>
            <w:noWrap/>
            <w:vAlign w:val="bottom"/>
            <w:hideMark/>
          </w:tcPr>
          <w:p w14:paraId="27159DE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47.77%</w:t>
            </w:r>
          </w:p>
        </w:tc>
      </w:tr>
      <w:tr w:rsidR="007E596C" w:rsidRPr="00236FE5" w14:paraId="31B9E31F" w14:textId="77777777" w:rsidTr="00FB5EA5">
        <w:trPr>
          <w:trHeight w:val="288"/>
        </w:trPr>
        <w:tc>
          <w:tcPr>
            <w:tcW w:w="2552" w:type="dxa"/>
            <w:shd w:val="clear" w:color="auto" w:fill="auto"/>
            <w:noWrap/>
            <w:vAlign w:val="bottom"/>
            <w:hideMark/>
          </w:tcPr>
          <w:p w14:paraId="76E3F822" w14:textId="77777777" w:rsidR="007E596C" w:rsidRPr="0009591C" w:rsidRDefault="007E596C" w:rsidP="008F2AC3">
            <w:pPr>
              <w:rPr>
                <w:color w:val="000000"/>
                <w:sz w:val="22"/>
                <w:szCs w:val="22"/>
                <w:lang w:eastAsia="en-NZ"/>
              </w:rPr>
            </w:pPr>
            <w:r w:rsidRPr="0009591C">
              <w:rPr>
                <w:color w:val="000000"/>
                <w:sz w:val="22"/>
                <w:szCs w:val="22"/>
                <w:lang w:eastAsia="en-NZ"/>
              </w:rPr>
              <w:t>Rent home</w:t>
            </w:r>
          </w:p>
        </w:tc>
        <w:tc>
          <w:tcPr>
            <w:tcW w:w="1086" w:type="dxa"/>
            <w:shd w:val="clear" w:color="auto" w:fill="auto"/>
            <w:noWrap/>
            <w:vAlign w:val="bottom"/>
            <w:hideMark/>
          </w:tcPr>
          <w:p w14:paraId="22B32C4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34.50%</w:t>
            </w:r>
          </w:p>
        </w:tc>
        <w:tc>
          <w:tcPr>
            <w:tcW w:w="1087" w:type="dxa"/>
            <w:shd w:val="clear" w:color="auto" w:fill="auto"/>
            <w:noWrap/>
            <w:vAlign w:val="bottom"/>
            <w:hideMark/>
          </w:tcPr>
          <w:p w14:paraId="4EB6B0C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47.66%</w:t>
            </w:r>
          </w:p>
        </w:tc>
        <w:tc>
          <w:tcPr>
            <w:tcW w:w="1087" w:type="dxa"/>
            <w:shd w:val="clear" w:color="auto" w:fill="auto"/>
            <w:noWrap/>
            <w:vAlign w:val="bottom"/>
            <w:hideMark/>
          </w:tcPr>
          <w:p w14:paraId="51A8AE5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35.45%</w:t>
            </w:r>
          </w:p>
        </w:tc>
        <w:tc>
          <w:tcPr>
            <w:tcW w:w="1086" w:type="dxa"/>
            <w:shd w:val="clear" w:color="auto" w:fill="auto"/>
            <w:noWrap/>
            <w:vAlign w:val="bottom"/>
            <w:hideMark/>
          </w:tcPr>
          <w:p w14:paraId="4F35169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47.96%</w:t>
            </w:r>
          </w:p>
        </w:tc>
        <w:tc>
          <w:tcPr>
            <w:tcW w:w="1087" w:type="dxa"/>
            <w:shd w:val="clear" w:color="auto" w:fill="auto"/>
            <w:noWrap/>
            <w:vAlign w:val="bottom"/>
            <w:hideMark/>
          </w:tcPr>
          <w:p w14:paraId="42B0C10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34.85%</w:t>
            </w:r>
          </w:p>
        </w:tc>
        <w:tc>
          <w:tcPr>
            <w:tcW w:w="1087" w:type="dxa"/>
            <w:shd w:val="clear" w:color="auto" w:fill="auto"/>
            <w:noWrap/>
            <w:vAlign w:val="bottom"/>
            <w:hideMark/>
          </w:tcPr>
          <w:p w14:paraId="11E8F98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47.77%</w:t>
            </w:r>
          </w:p>
        </w:tc>
      </w:tr>
      <w:tr w:rsidR="007E596C" w:rsidRPr="00236FE5" w14:paraId="65D444C5" w14:textId="77777777" w:rsidTr="00FB5EA5">
        <w:trPr>
          <w:trHeight w:val="288"/>
        </w:trPr>
        <w:tc>
          <w:tcPr>
            <w:tcW w:w="2552" w:type="dxa"/>
            <w:shd w:val="clear" w:color="auto" w:fill="auto"/>
            <w:noWrap/>
            <w:vAlign w:val="bottom"/>
            <w:hideMark/>
          </w:tcPr>
          <w:p w14:paraId="434AFABF" w14:textId="77777777" w:rsidR="007E596C" w:rsidRPr="0009591C" w:rsidRDefault="007E596C" w:rsidP="008F2AC3">
            <w:pPr>
              <w:rPr>
                <w:color w:val="000000"/>
                <w:sz w:val="22"/>
                <w:szCs w:val="22"/>
                <w:lang w:eastAsia="en-NZ"/>
              </w:rPr>
            </w:pPr>
            <w:r w:rsidRPr="0009591C">
              <w:rPr>
                <w:color w:val="000000"/>
                <w:sz w:val="22"/>
                <w:szCs w:val="22"/>
                <w:lang w:eastAsia="en-NZ"/>
              </w:rPr>
              <w:t>Married</w:t>
            </w:r>
          </w:p>
        </w:tc>
        <w:tc>
          <w:tcPr>
            <w:tcW w:w="1086" w:type="dxa"/>
            <w:shd w:val="clear" w:color="auto" w:fill="auto"/>
            <w:noWrap/>
            <w:vAlign w:val="bottom"/>
            <w:hideMark/>
          </w:tcPr>
          <w:p w14:paraId="2E824D1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46.02%</w:t>
            </w:r>
          </w:p>
        </w:tc>
        <w:tc>
          <w:tcPr>
            <w:tcW w:w="1087" w:type="dxa"/>
            <w:shd w:val="clear" w:color="auto" w:fill="auto"/>
            <w:noWrap/>
            <w:vAlign w:val="bottom"/>
            <w:hideMark/>
          </w:tcPr>
          <w:p w14:paraId="57D49E8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49.88%</w:t>
            </w:r>
          </w:p>
        </w:tc>
        <w:tc>
          <w:tcPr>
            <w:tcW w:w="1087" w:type="dxa"/>
            <w:shd w:val="clear" w:color="auto" w:fill="auto"/>
            <w:noWrap/>
            <w:vAlign w:val="bottom"/>
            <w:hideMark/>
          </w:tcPr>
          <w:p w14:paraId="12D1C6AF"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45.42%</w:t>
            </w:r>
          </w:p>
        </w:tc>
        <w:tc>
          <w:tcPr>
            <w:tcW w:w="1086" w:type="dxa"/>
            <w:shd w:val="clear" w:color="auto" w:fill="auto"/>
            <w:noWrap/>
            <w:vAlign w:val="bottom"/>
            <w:hideMark/>
          </w:tcPr>
          <w:p w14:paraId="14BFD8C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49.83%</w:t>
            </w:r>
          </w:p>
        </w:tc>
        <w:tc>
          <w:tcPr>
            <w:tcW w:w="1087" w:type="dxa"/>
            <w:shd w:val="clear" w:color="auto" w:fill="auto"/>
            <w:noWrap/>
            <w:vAlign w:val="bottom"/>
            <w:hideMark/>
          </w:tcPr>
          <w:p w14:paraId="1EED174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48.99%</w:t>
            </w:r>
          </w:p>
        </w:tc>
        <w:tc>
          <w:tcPr>
            <w:tcW w:w="1087" w:type="dxa"/>
            <w:shd w:val="clear" w:color="auto" w:fill="auto"/>
            <w:noWrap/>
            <w:vAlign w:val="bottom"/>
            <w:hideMark/>
          </w:tcPr>
          <w:p w14:paraId="08A2BA5D"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50.12%</w:t>
            </w:r>
          </w:p>
        </w:tc>
      </w:tr>
      <w:tr w:rsidR="007E596C" w:rsidRPr="00236FE5" w14:paraId="59D99BB6" w14:textId="77777777" w:rsidTr="00FB5EA5">
        <w:trPr>
          <w:trHeight w:val="288"/>
        </w:trPr>
        <w:tc>
          <w:tcPr>
            <w:tcW w:w="2552" w:type="dxa"/>
            <w:shd w:val="clear" w:color="auto" w:fill="auto"/>
            <w:noWrap/>
            <w:vAlign w:val="bottom"/>
            <w:hideMark/>
          </w:tcPr>
          <w:p w14:paraId="1B5F223E" w14:textId="77777777" w:rsidR="007E596C" w:rsidRPr="0009591C" w:rsidRDefault="007E596C" w:rsidP="008F2AC3">
            <w:pPr>
              <w:rPr>
                <w:color w:val="000000"/>
                <w:sz w:val="22"/>
                <w:szCs w:val="22"/>
                <w:lang w:eastAsia="en-NZ"/>
              </w:rPr>
            </w:pPr>
            <w:r w:rsidRPr="0009591C">
              <w:rPr>
                <w:color w:val="000000"/>
                <w:sz w:val="22"/>
                <w:szCs w:val="22"/>
                <w:lang w:eastAsia="en-NZ"/>
              </w:rPr>
              <w:t>Widowed</w:t>
            </w:r>
          </w:p>
        </w:tc>
        <w:tc>
          <w:tcPr>
            <w:tcW w:w="1086" w:type="dxa"/>
            <w:shd w:val="clear" w:color="auto" w:fill="auto"/>
            <w:noWrap/>
            <w:vAlign w:val="bottom"/>
            <w:hideMark/>
          </w:tcPr>
          <w:p w14:paraId="2BB174D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2.77%</w:t>
            </w:r>
          </w:p>
        </w:tc>
        <w:tc>
          <w:tcPr>
            <w:tcW w:w="1087" w:type="dxa"/>
            <w:shd w:val="clear" w:color="auto" w:fill="auto"/>
            <w:noWrap/>
            <w:vAlign w:val="bottom"/>
            <w:hideMark/>
          </w:tcPr>
          <w:p w14:paraId="51DC77E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16.42%</w:t>
            </w:r>
          </w:p>
        </w:tc>
        <w:tc>
          <w:tcPr>
            <w:tcW w:w="1087" w:type="dxa"/>
            <w:shd w:val="clear" w:color="auto" w:fill="auto"/>
            <w:noWrap/>
            <w:vAlign w:val="bottom"/>
            <w:hideMark/>
          </w:tcPr>
          <w:p w14:paraId="11EFE4C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2.69%</w:t>
            </w:r>
          </w:p>
        </w:tc>
        <w:tc>
          <w:tcPr>
            <w:tcW w:w="1086" w:type="dxa"/>
            <w:shd w:val="clear" w:color="auto" w:fill="auto"/>
            <w:noWrap/>
            <w:vAlign w:val="bottom"/>
            <w:hideMark/>
          </w:tcPr>
          <w:p w14:paraId="3B2891A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16.20%</w:t>
            </w:r>
          </w:p>
        </w:tc>
        <w:tc>
          <w:tcPr>
            <w:tcW w:w="1087" w:type="dxa"/>
            <w:shd w:val="clear" w:color="auto" w:fill="auto"/>
            <w:noWrap/>
            <w:vAlign w:val="bottom"/>
            <w:hideMark/>
          </w:tcPr>
          <w:p w14:paraId="1E690BC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4.55%</w:t>
            </w:r>
          </w:p>
        </w:tc>
        <w:tc>
          <w:tcPr>
            <w:tcW w:w="1087" w:type="dxa"/>
            <w:shd w:val="clear" w:color="auto" w:fill="auto"/>
            <w:noWrap/>
            <w:vAlign w:val="bottom"/>
            <w:hideMark/>
          </w:tcPr>
          <w:p w14:paraId="3EF50BF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20.88%</w:t>
            </w:r>
          </w:p>
        </w:tc>
      </w:tr>
      <w:tr w:rsidR="007E596C" w:rsidRPr="00236FE5" w14:paraId="0C009282" w14:textId="77777777" w:rsidTr="00FB5EA5">
        <w:trPr>
          <w:trHeight w:val="288"/>
        </w:trPr>
        <w:tc>
          <w:tcPr>
            <w:tcW w:w="2552" w:type="dxa"/>
            <w:shd w:val="clear" w:color="auto" w:fill="auto"/>
            <w:noWrap/>
            <w:vAlign w:val="bottom"/>
            <w:hideMark/>
          </w:tcPr>
          <w:p w14:paraId="0C3774CE" w14:textId="77777777" w:rsidR="007E596C" w:rsidRPr="0009591C" w:rsidRDefault="007E596C" w:rsidP="008F2AC3">
            <w:pPr>
              <w:rPr>
                <w:color w:val="000000"/>
                <w:sz w:val="22"/>
                <w:szCs w:val="22"/>
                <w:lang w:eastAsia="en-NZ"/>
              </w:rPr>
            </w:pPr>
            <w:r w:rsidRPr="0009591C">
              <w:rPr>
                <w:color w:val="000000"/>
                <w:sz w:val="22"/>
                <w:szCs w:val="22"/>
                <w:lang w:eastAsia="en-NZ"/>
              </w:rPr>
              <w:t>Divorced</w:t>
            </w:r>
          </w:p>
        </w:tc>
        <w:tc>
          <w:tcPr>
            <w:tcW w:w="1086" w:type="dxa"/>
            <w:shd w:val="clear" w:color="auto" w:fill="auto"/>
            <w:noWrap/>
            <w:vAlign w:val="bottom"/>
            <w:hideMark/>
          </w:tcPr>
          <w:p w14:paraId="4688B49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18.69%</w:t>
            </w:r>
          </w:p>
        </w:tc>
        <w:tc>
          <w:tcPr>
            <w:tcW w:w="1087" w:type="dxa"/>
            <w:shd w:val="clear" w:color="auto" w:fill="auto"/>
            <w:noWrap/>
            <w:vAlign w:val="bottom"/>
            <w:hideMark/>
          </w:tcPr>
          <w:p w14:paraId="0584CFB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39.01%</w:t>
            </w:r>
          </w:p>
        </w:tc>
        <w:tc>
          <w:tcPr>
            <w:tcW w:w="1087" w:type="dxa"/>
            <w:shd w:val="clear" w:color="auto" w:fill="auto"/>
            <w:noWrap/>
            <w:vAlign w:val="bottom"/>
            <w:hideMark/>
          </w:tcPr>
          <w:p w14:paraId="53213E3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19.03%</w:t>
            </w:r>
          </w:p>
        </w:tc>
        <w:tc>
          <w:tcPr>
            <w:tcW w:w="1086" w:type="dxa"/>
            <w:shd w:val="clear" w:color="auto" w:fill="auto"/>
            <w:noWrap/>
            <w:vAlign w:val="bottom"/>
            <w:hideMark/>
          </w:tcPr>
          <w:p w14:paraId="3D5C168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39.29%</w:t>
            </w:r>
          </w:p>
        </w:tc>
        <w:tc>
          <w:tcPr>
            <w:tcW w:w="1087" w:type="dxa"/>
            <w:shd w:val="clear" w:color="auto" w:fill="auto"/>
            <w:noWrap/>
            <w:vAlign w:val="bottom"/>
            <w:hideMark/>
          </w:tcPr>
          <w:p w14:paraId="10D7FC8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18.69%</w:t>
            </w:r>
          </w:p>
        </w:tc>
        <w:tc>
          <w:tcPr>
            <w:tcW w:w="1087" w:type="dxa"/>
            <w:shd w:val="clear" w:color="auto" w:fill="auto"/>
            <w:noWrap/>
            <w:vAlign w:val="bottom"/>
            <w:hideMark/>
          </w:tcPr>
          <w:p w14:paraId="48FF7A3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39.08%</w:t>
            </w:r>
          </w:p>
        </w:tc>
      </w:tr>
      <w:tr w:rsidR="007E596C" w:rsidRPr="00236FE5" w14:paraId="2D82F803" w14:textId="77777777" w:rsidTr="00FB5EA5">
        <w:trPr>
          <w:trHeight w:val="288"/>
        </w:trPr>
        <w:tc>
          <w:tcPr>
            <w:tcW w:w="2552" w:type="dxa"/>
            <w:shd w:val="clear" w:color="auto" w:fill="auto"/>
            <w:noWrap/>
            <w:vAlign w:val="bottom"/>
            <w:hideMark/>
          </w:tcPr>
          <w:p w14:paraId="0D0148BE" w14:textId="77777777" w:rsidR="007E596C" w:rsidRPr="0009591C" w:rsidRDefault="007E596C" w:rsidP="008F2AC3">
            <w:pPr>
              <w:rPr>
                <w:color w:val="000000"/>
                <w:sz w:val="22"/>
                <w:szCs w:val="22"/>
                <w:lang w:eastAsia="en-NZ"/>
              </w:rPr>
            </w:pPr>
            <w:r w:rsidRPr="0009591C">
              <w:rPr>
                <w:color w:val="000000"/>
                <w:sz w:val="22"/>
                <w:szCs w:val="22"/>
                <w:lang w:eastAsia="en-NZ"/>
              </w:rPr>
              <w:t>Separated</w:t>
            </w:r>
          </w:p>
        </w:tc>
        <w:tc>
          <w:tcPr>
            <w:tcW w:w="1086" w:type="dxa"/>
            <w:shd w:val="clear" w:color="auto" w:fill="auto"/>
            <w:noWrap/>
            <w:vAlign w:val="bottom"/>
            <w:hideMark/>
          </w:tcPr>
          <w:p w14:paraId="0550476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4.15%</w:t>
            </w:r>
          </w:p>
        </w:tc>
        <w:tc>
          <w:tcPr>
            <w:tcW w:w="1087" w:type="dxa"/>
            <w:shd w:val="clear" w:color="auto" w:fill="auto"/>
            <w:noWrap/>
            <w:vAlign w:val="bottom"/>
            <w:hideMark/>
          </w:tcPr>
          <w:p w14:paraId="73CF7ACD"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19.97%</w:t>
            </w:r>
          </w:p>
        </w:tc>
        <w:tc>
          <w:tcPr>
            <w:tcW w:w="1087" w:type="dxa"/>
            <w:shd w:val="clear" w:color="auto" w:fill="auto"/>
            <w:noWrap/>
            <w:vAlign w:val="bottom"/>
            <w:hideMark/>
          </w:tcPr>
          <w:p w14:paraId="79A7028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4.13%</w:t>
            </w:r>
          </w:p>
        </w:tc>
        <w:tc>
          <w:tcPr>
            <w:tcW w:w="1086" w:type="dxa"/>
            <w:shd w:val="clear" w:color="auto" w:fill="auto"/>
            <w:noWrap/>
            <w:vAlign w:val="bottom"/>
            <w:hideMark/>
          </w:tcPr>
          <w:p w14:paraId="17180EC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19.91%</w:t>
            </w:r>
          </w:p>
        </w:tc>
        <w:tc>
          <w:tcPr>
            <w:tcW w:w="1087" w:type="dxa"/>
            <w:shd w:val="clear" w:color="auto" w:fill="auto"/>
            <w:noWrap/>
            <w:vAlign w:val="bottom"/>
            <w:hideMark/>
          </w:tcPr>
          <w:p w14:paraId="10FB517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3.03%</w:t>
            </w:r>
          </w:p>
        </w:tc>
        <w:tc>
          <w:tcPr>
            <w:tcW w:w="1087" w:type="dxa"/>
            <w:shd w:val="clear" w:color="auto" w:fill="auto"/>
            <w:noWrap/>
            <w:vAlign w:val="bottom"/>
            <w:hideMark/>
          </w:tcPr>
          <w:p w14:paraId="1470268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17.19%</w:t>
            </w:r>
          </w:p>
        </w:tc>
      </w:tr>
      <w:tr w:rsidR="007E596C" w:rsidRPr="00236FE5" w14:paraId="11B4276C" w14:textId="77777777" w:rsidTr="00FB5EA5">
        <w:trPr>
          <w:trHeight w:val="288"/>
        </w:trPr>
        <w:tc>
          <w:tcPr>
            <w:tcW w:w="2552" w:type="dxa"/>
            <w:shd w:val="clear" w:color="auto" w:fill="auto"/>
            <w:noWrap/>
            <w:vAlign w:val="bottom"/>
            <w:hideMark/>
          </w:tcPr>
          <w:p w14:paraId="1471654E" w14:textId="77777777" w:rsidR="007E596C" w:rsidRPr="0009591C" w:rsidRDefault="007E596C" w:rsidP="008F2AC3">
            <w:pPr>
              <w:rPr>
                <w:color w:val="000000"/>
                <w:sz w:val="22"/>
                <w:szCs w:val="22"/>
                <w:lang w:eastAsia="en-NZ"/>
              </w:rPr>
            </w:pPr>
            <w:r w:rsidRPr="0009591C">
              <w:rPr>
                <w:color w:val="000000"/>
                <w:sz w:val="22"/>
                <w:szCs w:val="22"/>
                <w:lang w:eastAsia="en-NZ"/>
              </w:rPr>
              <w:t>Never married</w:t>
            </w:r>
          </w:p>
        </w:tc>
        <w:tc>
          <w:tcPr>
            <w:tcW w:w="1086" w:type="dxa"/>
            <w:shd w:val="clear" w:color="auto" w:fill="auto"/>
            <w:noWrap/>
            <w:vAlign w:val="bottom"/>
            <w:hideMark/>
          </w:tcPr>
          <w:p w14:paraId="5D482F7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28.37%</w:t>
            </w:r>
          </w:p>
        </w:tc>
        <w:tc>
          <w:tcPr>
            <w:tcW w:w="1087" w:type="dxa"/>
            <w:shd w:val="clear" w:color="auto" w:fill="auto"/>
            <w:noWrap/>
            <w:vAlign w:val="bottom"/>
            <w:hideMark/>
          </w:tcPr>
          <w:p w14:paraId="3552933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45.12%</w:t>
            </w:r>
          </w:p>
        </w:tc>
        <w:tc>
          <w:tcPr>
            <w:tcW w:w="1087" w:type="dxa"/>
            <w:shd w:val="clear" w:color="auto" w:fill="auto"/>
            <w:noWrap/>
            <w:vAlign w:val="bottom"/>
            <w:hideMark/>
          </w:tcPr>
          <w:p w14:paraId="3BE5B54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28.73%</w:t>
            </w:r>
          </w:p>
        </w:tc>
        <w:tc>
          <w:tcPr>
            <w:tcW w:w="1086" w:type="dxa"/>
            <w:shd w:val="clear" w:color="auto" w:fill="auto"/>
            <w:noWrap/>
            <w:vAlign w:val="bottom"/>
            <w:hideMark/>
          </w:tcPr>
          <w:p w14:paraId="7667ABD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45.29%</w:t>
            </w:r>
          </w:p>
        </w:tc>
        <w:tc>
          <w:tcPr>
            <w:tcW w:w="1087" w:type="dxa"/>
            <w:shd w:val="clear" w:color="auto" w:fill="auto"/>
            <w:noWrap/>
            <w:vAlign w:val="bottom"/>
            <w:hideMark/>
          </w:tcPr>
          <w:p w14:paraId="02387BE0"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24.75%</w:t>
            </w:r>
          </w:p>
        </w:tc>
        <w:tc>
          <w:tcPr>
            <w:tcW w:w="1087" w:type="dxa"/>
            <w:shd w:val="clear" w:color="auto" w:fill="auto"/>
            <w:noWrap/>
            <w:vAlign w:val="bottom"/>
            <w:hideMark/>
          </w:tcPr>
          <w:p w14:paraId="4BF5045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43.26%</w:t>
            </w:r>
          </w:p>
        </w:tc>
      </w:tr>
      <w:tr w:rsidR="007E596C" w:rsidRPr="00236FE5" w14:paraId="755D3E4E" w14:textId="77777777" w:rsidTr="00FB5EA5">
        <w:trPr>
          <w:trHeight w:val="288"/>
        </w:trPr>
        <w:tc>
          <w:tcPr>
            <w:tcW w:w="2552" w:type="dxa"/>
            <w:shd w:val="clear" w:color="auto" w:fill="auto"/>
            <w:noWrap/>
            <w:vAlign w:val="bottom"/>
            <w:hideMark/>
          </w:tcPr>
          <w:p w14:paraId="47590BFD" w14:textId="77777777" w:rsidR="007E596C" w:rsidRPr="0009591C" w:rsidRDefault="007E596C" w:rsidP="008F2AC3">
            <w:pPr>
              <w:rPr>
                <w:color w:val="000000"/>
                <w:sz w:val="22"/>
                <w:szCs w:val="22"/>
                <w:lang w:eastAsia="en-NZ"/>
              </w:rPr>
            </w:pPr>
            <w:r w:rsidRPr="0009591C">
              <w:rPr>
                <w:color w:val="000000"/>
                <w:sz w:val="22"/>
                <w:szCs w:val="22"/>
                <w:lang w:eastAsia="en-NZ"/>
              </w:rPr>
              <w:t>Trailer</w:t>
            </w:r>
          </w:p>
        </w:tc>
        <w:tc>
          <w:tcPr>
            <w:tcW w:w="1086" w:type="dxa"/>
            <w:shd w:val="clear" w:color="auto" w:fill="auto"/>
            <w:noWrap/>
            <w:vAlign w:val="bottom"/>
            <w:hideMark/>
          </w:tcPr>
          <w:p w14:paraId="3E2DB3C4"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4.84%</w:t>
            </w:r>
          </w:p>
        </w:tc>
        <w:tc>
          <w:tcPr>
            <w:tcW w:w="1087" w:type="dxa"/>
            <w:shd w:val="clear" w:color="auto" w:fill="auto"/>
            <w:noWrap/>
            <w:vAlign w:val="bottom"/>
            <w:hideMark/>
          </w:tcPr>
          <w:p w14:paraId="7A562B4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21.49%</w:t>
            </w:r>
          </w:p>
        </w:tc>
        <w:tc>
          <w:tcPr>
            <w:tcW w:w="1087" w:type="dxa"/>
            <w:shd w:val="clear" w:color="auto" w:fill="auto"/>
            <w:noWrap/>
            <w:vAlign w:val="bottom"/>
            <w:hideMark/>
          </w:tcPr>
          <w:p w14:paraId="56C77B7D"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4.49%</w:t>
            </w:r>
          </w:p>
        </w:tc>
        <w:tc>
          <w:tcPr>
            <w:tcW w:w="1086" w:type="dxa"/>
            <w:shd w:val="clear" w:color="auto" w:fill="auto"/>
            <w:noWrap/>
            <w:vAlign w:val="bottom"/>
            <w:hideMark/>
          </w:tcPr>
          <w:p w14:paraId="3DD960DF"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20.72%</w:t>
            </w:r>
          </w:p>
        </w:tc>
        <w:tc>
          <w:tcPr>
            <w:tcW w:w="1087" w:type="dxa"/>
            <w:shd w:val="clear" w:color="auto" w:fill="auto"/>
            <w:noWrap/>
            <w:vAlign w:val="bottom"/>
            <w:hideMark/>
          </w:tcPr>
          <w:p w14:paraId="57662B8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5.05%</w:t>
            </w:r>
          </w:p>
        </w:tc>
        <w:tc>
          <w:tcPr>
            <w:tcW w:w="1087" w:type="dxa"/>
            <w:shd w:val="clear" w:color="auto" w:fill="auto"/>
            <w:noWrap/>
            <w:vAlign w:val="bottom"/>
            <w:hideMark/>
          </w:tcPr>
          <w:p w14:paraId="05A0655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21.95%</w:t>
            </w:r>
          </w:p>
        </w:tc>
      </w:tr>
      <w:tr w:rsidR="007E596C" w:rsidRPr="00236FE5" w14:paraId="7DE4E7D2" w14:textId="77777777" w:rsidTr="00FB5EA5">
        <w:trPr>
          <w:trHeight w:val="288"/>
        </w:trPr>
        <w:tc>
          <w:tcPr>
            <w:tcW w:w="2552" w:type="dxa"/>
            <w:shd w:val="clear" w:color="auto" w:fill="auto"/>
            <w:noWrap/>
            <w:vAlign w:val="bottom"/>
            <w:hideMark/>
          </w:tcPr>
          <w:p w14:paraId="152C25E8" w14:textId="77777777" w:rsidR="007E596C" w:rsidRPr="0009591C" w:rsidRDefault="007E596C" w:rsidP="008F2AC3">
            <w:pPr>
              <w:rPr>
                <w:color w:val="000000"/>
                <w:sz w:val="22"/>
                <w:szCs w:val="22"/>
                <w:lang w:eastAsia="en-NZ"/>
              </w:rPr>
            </w:pPr>
            <w:r w:rsidRPr="0009591C">
              <w:rPr>
                <w:color w:val="000000"/>
                <w:sz w:val="22"/>
                <w:szCs w:val="22"/>
                <w:lang w:eastAsia="en-NZ"/>
              </w:rPr>
              <w:t>One family house</w:t>
            </w:r>
          </w:p>
        </w:tc>
        <w:tc>
          <w:tcPr>
            <w:tcW w:w="1086" w:type="dxa"/>
            <w:shd w:val="clear" w:color="auto" w:fill="auto"/>
            <w:noWrap/>
            <w:vAlign w:val="bottom"/>
            <w:hideMark/>
          </w:tcPr>
          <w:p w14:paraId="59B6FA9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67.65%</w:t>
            </w:r>
          </w:p>
        </w:tc>
        <w:tc>
          <w:tcPr>
            <w:tcW w:w="1087" w:type="dxa"/>
            <w:shd w:val="clear" w:color="auto" w:fill="auto"/>
            <w:noWrap/>
            <w:vAlign w:val="bottom"/>
            <w:hideMark/>
          </w:tcPr>
          <w:p w14:paraId="5BB84D5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46.82%</w:t>
            </w:r>
          </w:p>
        </w:tc>
        <w:tc>
          <w:tcPr>
            <w:tcW w:w="1087" w:type="dxa"/>
            <w:shd w:val="clear" w:color="auto" w:fill="auto"/>
            <w:noWrap/>
            <w:vAlign w:val="bottom"/>
            <w:hideMark/>
          </w:tcPr>
          <w:p w14:paraId="487CF92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67.86%</w:t>
            </w:r>
          </w:p>
        </w:tc>
        <w:tc>
          <w:tcPr>
            <w:tcW w:w="1086" w:type="dxa"/>
            <w:shd w:val="clear" w:color="auto" w:fill="auto"/>
            <w:noWrap/>
            <w:vAlign w:val="bottom"/>
            <w:hideMark/>
          </w:tcPr>
          <w:p w14:paraId="7D6FE7A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46.74%</w:t>
            </w:r>
          </w:p>
        </w:tc>
        <w:tc>
          <w:tcPr>
            <w:tcW w:w="1087" w:type="dxa"/>
            <w:shd w:val="clear" w:color="auto" w:fill="auto"/>
            <w:noWrap/>
            <w:vAlign w:val="bottom"/>
            <w:hideMark/>
          </w:tcPr>
          <w:p w14:paraId="49169CE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67.68%</w:t>
            </w:r>
          </w:p>
        </w:tc>
        <w:tc>
          <w:tcPr>
            <w:tcW w:w="1087" w:type="dxa"/>
            <w:shd w:val="clear" w:color="auto" w:fill="auto"/>
            <w:noWrap/>
            <w:vAlign w:val="bottom"/>
            <w:hideMark/>
          </w:tcPr>
          <w:p w14:paraId="038E1C6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46.89%</w:t>
            </w:r>
          </w:p>
        </w:tc>
      </w:tr>
      <w:tr w:rsidR="007E596C" w:rsidRPr="00236FE5" w14:paraId="1D8773F8" w14:textId="77777777" w:rsidTr="00FB5EA5">
        <w:trPr>
          <w:trHeight w:val="288"/>
        </w:trPr>
        <w:tc>
          <w:tcPr>
            <w:tcW w:w="2552" w:type="dxa"/>
            <w:shd w:val="clear" w:color="auto" w:fill="auto"/>
            <w:noWrap/>
            <w:vAlign w:val="bottom"/>
            <w:hideMark/>
          </w:tcPr>
          <w:p w14:paraId="519E50E9" w14:textId="77777777" w:rsidR="007E596C" w:rsidRPr="0009591C" w:rsidRDefault="007E596C" w:rsidP="008F2AC3">
            <w:pPr>
              <w:rPr>
                <w:color w:val="000000"/>
                <w:sz w:val="22"/>
                <w:szCs w:val="22"/>
                <w:lang w:eastAsia="en-NZ"/>
              </w:rPr>
            </w:pPr>
            <w:r w:rsidRPr="0009591C">
              <w:rPr>
                <w:color w:val="000000"/>
                <w:sz w:val="22"/>
                <w:szCs w:val="22"/>
                <w:lang w:eastAsia="en-NZ"/>
              </w:rPr>
              <w:t>Unit</w:t>
            </w:r>
          </w:p>
        </w:tc>
        <w:tc>
          <w:tcPr>
            <w:tcW w:w="1086" w:type="dxa"/>
            <w:shd w:val="clear" w:color="auto" w:fill="auto"/>
            <w:noWrap/>
            <w:vAlign w:val="bottom"/>
            <w:hideMark/>
          </w:tcPr>
          <w:p w14:paraId="4192CA98"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5.02%</w:t>
            </w:r>
          </w:p>
        </w:tc>
        <w:tc>
          <w:tcPr>
            <w:tcW w:w="1087" w:type="dxa"/>
            <w:shd w:val="clear" w:color="auto" w:fill="auto"/>
            <w:noWrap/>
            <w:vAlign w:val="bottom"/>
            <w:hideMark/>
          </w:tcPr>
          <w:p w14:paraId="3772FBC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21.85%</w:t>
            </w:r>
          </w:p>
        </w:tc>
        <w:tc>
          <w:tcPr>
            <w:tcW w:w="1087" w:type="dxa"/>
            <w:shd w:val="clear" w:color="auto" w:fill="auto"/>
            <w:noWrap/>
            <w:vAlign w:val="bottom"/>
            <w:hideMark/>
          </w:tcPr>
          <w:p w14:paraId="513254A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5.21%</w:t>
            </w:r>
          </w:p>
        </w:tc>
        <w:tc>
          <w:tcPr>
            <w:tcW w:w="1086" w:type="dxa"/>
            <w:shd w:val="clear" w:color="auto" w:fill="auto"/>
            <w:noWrap/>
            <w:vAlign w:val="bottom"/>
            <w:hideMark/>
          </w:tcPr>
          <w:p w14:paraId="12E6E74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22.24%</w:t>
            </w:r>
          </w:p>
        </w:tc>
        <w:tc>
          <w:tcPr>
            <w:tcW w:w="1087" w:type="dxa"/>
            <w:shd w:val="clear" w:color="auto" w:fill="auto"/>
            <w:noWrap/>
            <w:vAlign w:val="bottom"/>
            <w:hideMark/>
          </w:tcPr>
          <w:p w14:paraId="3F429F3A"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4.04%</w:t>
            </w:r>
          </w:p>
        </w:tc>
        <w:tc>
          <w:tcPr>
            <w:tcW w:w="1087" w:type="dxa"/>
            <w:shd w:val="clear" w:color="auto" w:fill="auto"/>
            <w:noWrap/>
            <w:vAlign w:val="bottom"/>
            <w:hideMark/>
          </w:tcPr>
          <w:p w14:paraId="79E33C26"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19.74%</w:t>
            </w:r>
          </w:p>
        </w:tc>
      </w:tr>
      <w:tr w:rsidR="007E596C" w:rsidRPr="00236FE5" w14:paraId="705277D7" w14:textId="77777777" w:rsidTr="00FB5EA5">
        <w:trPr>
          <w:trHeight w:val="288"/>
        </w:trPr>
        <w:tc>
          <w:tcPr>
            <w:tcW w:w="2552" w:type="dxa"/>
            <w:shd w:val="clear" w:color="auto" w:fill="auto"/>
            <w:noWrap/>
            <w:vAlign w:val="bottom"/>
            <w:hideMark/>
          </w:tcPr>
          <w:p w14:paraId="7078B5CD" w14:textId="77777777" w:rsidR="007E596C" w:rsidRPr="0009591C" w:rsidRDefault="007E596C" w:rsidP="008F2AC3">
            <w:pPr>
              <w:rPr>
                <w:color w:val="000000"/>
                <w:sz w:val="22"/>
                <w:szCs w:val="22"/>
                <w:lang w:eastAsia="en-NZ"/>
              </w:rPr>
            </w:pPr>
            <w:r w:rsidRPr="0009591C">
              <w:rPr>
                <w:color w:val="000000"/>
                <w:sz w:val="22"/>
                <w:szCs w:val="22"/>
                <w:lang w:eastAsia="en-NZ"/>
              </w:rPr>
              <w:t>Three-four family house</w:t>
            </w:r>
          </w:p>
        </w:tc>
        <w:tc>
          <w:tcPr>
            <w:tcW w:w="1086" w:type="dxa"/>
            <w:shd w:val="clear" w:color="auto" w:fill="auto"/>
            <w:noWrap/>
            <w:vAlign w:val="bottom"/>
            <w:hideMark/>
          </w:tcPr>
          <w:p w14:paraId="61E368F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1.04%</w:t>
            </w:r>
          </w:p>
        </w:tc>
        <w:tc>
          <w:tcPr>
            <w:tcW w:w="1087" w:type="dxa"/>
            <w:shd w:val="clear" w:color="auto" w:fill="auto"/>
            <w:noWrap/>
            <w:vAlign w:val="bottom"/>
            <w:hideMark/>
          </w:tcPr>
          <w:p w14:paraId="6C3EB05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10.14%</w:t>
            </w:r>
          </w:p>
        </w:tc>
        <w:tc>
          <w:tcPr>
            <w:tcW w:w="1087" w:type="dxa"/>
            <w:shd w:val="clear" w:color="auto" w:fill="auto"/>
            <w:noWrap/>
            <w:vAlign w:val="bottom"/>
            <w:hideMark/>
          </w:tcPr>
          <w:p w14:paraId="3C00911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1.08%</w:t>
            </w:r>
          </w:p>
        </w:tc>
        <w:tc>
          <w:tcPr>
            <w:tcW w:w="1086" w:type="dxa"/>
            <w:shd w:val="clear" w:color="auto" w:fill="auto"/>
            <w:noWrap/>
            <w:vAlign w:val="bottom"/>
            <w:hideMark/>
          </w:tcPr>
          <w:p w14:paraId="7CCAE6E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10.33%</w:t>
            </w:r>
          </w:p>
        </w:tc>
        <w:tc>
          <w:tcPr>
            <w:tcW w:w="1087" w:type="dxa"/>
            <w:shd w:val="clear" w:color="auto" w:fill="auto"/>
            <w:noWrap/>
            <w:vAlign w:val="bottom"/>
            <w:hideMark/>
          </w:tcPr>
          <w:p w14:paraId="0F09646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2.02%</w:t>
            </w:r>
          </w:p>
        </w:tc>
        <w:tc>
          <w:tcPr>
            <w:tcW w:w="1087" w:type="dxa"/>
            <w:shd w:val="clear" w:color="auto" w:fill="auto"/>
            <w:noWrap/>
            <w:vAlign w:val="bottom"/>
            <w:hideMark/>
          </w:tcPr>
          <w:p w14:paraId="765D31F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14.10%</w:t>
            </w:r>
          </w:p>
        </w:tc>
      </w:tr>
      <w:tr w:rsidR="007E596C" w:rsidRPr="00236FE5" w14:paraId="703D9F1D" w14:textId="77777777" w:rsidTr="00FB5EA5">
        <w:trPr>
          <w:trHeight w:val="288"/>
        </w:trPr>
        <w:tc>
          <w:tcPr>
            <w:tcW w:w="2552" w:type="dxa"/>
            <w:shd w:val="clear" w:color="auto" w:fill="auto"/>
            <w:noWrap/>
            <w:vAlign w:val="bottom"/>
            <w:hideMark/>
          </w:tcPr>
          <w:p w14:paraId="26CC6C6B" w14:textId="77777777" w:rsidR="007E596C" w:rsidRPr="0009591C" w:rsidRDefault="007E596C" w:rsidP="008F2AC3">
            <w:pPr>
              <w:rPr>
                <w:color w:val="000000"/>
                <w:sz w:val="22"/>
                <w:szCs w:val="22"/>
                <w:lang w:eastAsia="en-NZ"/>
              </w:rPr>
            </w:pPr>
            <w:r w:rsidRPr="0009591C">
              <w:rPr>
                <w:color w:val="000000"/>
                <w:sz w:val="22"/>
                <w:szCs w:val="22"/>
                <w:lang w:eastAsia="en-NZ"/>
              </w:rPr>
              <w:t>Row house</w:t>
            </w:r>
          </w:p>
        </w:tc>
        <w:tc>
          <w:tcPr>
            <w:tcW w:w="1086" w:type="dxa"/>
            <w:shd w:val="clear" w:color="auto" w:fill="auto"/>
            <w:noWrap/>
            <w:vAlign w:val="bottom"/>
            <w:hideMark/>
          </w:tcPr>
          <w:p w14:paraId="0B67FB5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5.36%</w:t>
            </w:r>
          </w:p>
        </w:tc>
        <w:tc>
          <w:tcPr>
            <w:tcW w:w="1087" w:type="dxa"/>
            <w:shd w:val="clear" w:color="auto" w:fill="auto"/>
            <w:noWrap/>
            <w:vAlign w:val="bottom"/>
            <w:hideMark/>
          </w:tcPr>
          <w:p w14:paraId="2F223AD5"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22.55%</w:t>
            </w:r>
          </w:p>
        </w:tc>
        <w:tc>
          <w:tcPr>
            <w:tcW w:w="1087" w:type="dxa"/>
            <w:shd w:val="clear" w:color="auto" w:fill="auto"/>
            <w:noWrap/>
            <w:vAlign w:val="bottom"/>
            <w:hideMark/>
          </w:tcPr>
          <w:p w14:paraId="4F37CB61" w14:textId="77777777" w:rsidR="007E596C" w:rsidRPr="0009591C" w:rsidRDefault="007E596C" w:rsidP="008F2AC3">
            <w:pPr>
              <w:jc w:val="center"/>
              <w:rPr>
                <w:color w:val="000000"/>
                <w:sz w:val="22"/>
                <w:szCs w:val="22"/>
                <w:lang w:eastAsia="en-NZ"/>
              </w:rPr>
            </w:pPr>
            <w:r w:rsidRPr="0009591C">
              <w:rPr>
                <w:color w:val="000000"/>
                <w:sz w:val="22"/>
                <w:szCs w:val="22"/>
                <w:lang w:eastAsia="en-NZ"/>
              </w:rPr>
              <w:t>5.57%</w:t>
            </w:r>
          </w:p>
        </w:tc>
        <w:tc>
          <w:tcPr>
            <w:tcW w:w="1086" w:type="dxa"/>
            <w:shd w:val="clear" w:color="auto" w:fill="auto"/>
            <w:noWrap/>
            <w:vAlign w:val="bottom"/>
            <w:hideMark/>
          </w:tcPr>
          <w:p w14:paraId="2A822573" w14:textId="77777777" w:rsidR="007E596C" w:rsidRPr="0009591C" w:rsidRDefault="007E596C" w:rsidP="008F2AC3">
            <w:pPr>
              <w:jc w:val="center"/>
              <w:rPr>
                <w:color w:val="000000"/>
                <w:sz w:val="22"/>
                <w:szCs w:val="22"/>
                <w:lang w:eastAsia="en-NZ"/>
              </w:rPr>
            </w:pPr>
            <w:r w:rsidRPr="0009591C">
              <w:rPr>
                <w:color w:val="000000"/>
                <w:sz w:val="22"/>
                <w:szCs w:val="22"/>
                <w:lang w:eastAsia="en-NZ"/>
              </w:rPr>
              <w:t>22.95%</w:t>
            </w:r>
          </w:p>
        </w:tc>
        <w:tc>
          <w:tcPr>
            <w:tcW w:w="1087" w:type="dxa"/>
            <w:shd w:val="clear" w:color="auto" w:fill="auto"/>
            <w:noWrap/>
            <w:vAlign w:val="bottom"/>
            <w:hideMark/>
          </w:tcPr>
          <w:p w14:paraId="5DE3851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4.04%</w:t>
            </w:r>
          </w:p>
        </w:tc>
        <w:tc>
          <w:tcPr>
            <w:tcW w:w="1087" w:type="dxa"/>
            <w:shd w:val="clear" w:color="auto" w:fill="auto"/>
            <w:noWrap/>
            <w:vAlign w:val="bottom"/>
            <w:hideMark/>
          </w:tcPr>
          <w:p w14:paraId="7C76AFA7"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19.74%</w:t>
            </w:r>
          </w:p>
        </w:tc>
      </w:tr>
      <w:tr w:rsidR="007E596C" w:rsidRPr="00236FE5" w14:paraId="6DAEF498" w14:textId="77777777" w:rsidTr="00FB5EA5">
        <w:trPr>
          <w:trHeight w:val="288"/>
        </w:trPr>
        <w:tc>
          <w:tcPr>
            <w:tcW w:w="2552" w:type="dxa"/>
            <w:shd w:val="clear" w:color="auto" w:fill="auto"/>
            <w:noWrap/>
            <w:vAlign w:val="bottom"/>
            <w:hideMark/>
          </w:tcPr>
          <w:p w14:paraId="070E08B6" w14:textId="77777777" w:rsidR="007E596C" w:rsidRPr="0009591C" w:rsidRDefault="007E596C" w:rsidP="008F2AC3">
            <w:pPr>
              <w:rPr>
                <w:color w:val="000000"/>
                <w:sz w:val="22"/>
                <w:szCs w:val="22"/>
                <w:lang w:eastAsia="en-NZ"/>
              </w:rPr>
            </w:pPr>
            <w:r w:rsidRPr="0009591C">
              <w:rPr>
                <w:color w:val="000000"/>
                <w:sz w:val="22"/>
                <w:szCs w:val="22"/>
                <w:lang w:eastAsia="en-NZ"/>
              </w:rPr>
              <w:t>Apartment</w:t>
            </w:r>
          </w:p>
        </w:tc>
        <w:tc>
          <w:tcPr>
            <w:tcW w:w="1086" w:type="dxa"/>
            <w:shd w:val="clear" w:color="auto" w:fill="auto"/>
            <w:noWrap/>
            <w:vAlign w:val="bottom"/>
            <w:hideMark/>
          </w:tcPr>
          <w:p w14:paraId="4070D44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16.09%</w:t>
            </w:r>
          </w:p>
        </w:tc>
        <w:tc>
          <w:tcPr>
            <w:tcW w:w="1087" w:type="dxa"/>
            <w:shd w:val="clear" w:color="auto" w:fill="auto"/>
            <w:noWrap/>
            <w:vAlign w:val="bottom"/>
            <w:hideMark/>
          </w:tcPr>
          <w:p w14:paraId="438BACE9"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36.78%</w:t>
            </w:r>
          </w:p>
        </w:tc>
        <w:tc>
          <w:tcPr>
            <w:tcW w:w="1087" w:type="dxa"/>
            <w:shd w:val="clear" w:color="auto" w:fill="auto"/>
            <w:noWrap/>
            <w:vAlign w:val="bottom"/>
            <w:hideMark/>
          </w:tcPr>
          <w:p w14:paraId="607544AE"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15.80%</w:t>
            </w:r>
          </w:p>
        </w:tc>
        <w:tc>
          <w:tcPr>
            <w:tcW w:w="1086" w:type="dxa"/>
            <w:shd w:val="clear" w:color="auto" w:fill="auto"/>
            <w:noWrap/>
            <w:vAlign w:val="bottom"/>
            <w:hideMark/>
          </w:tcPr>
          <w:p w14:paraId="0DD89F7B"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36.51%</w:t>
            </w:r>
          </w:p>
        </w:tc>
        <w:tc>
          <w:tcPr>
            <w:tcW w:w="1087" w:type="dxa"/>
            <w:shd w:val="clear" w:color="auto" w:fill="auto"/>
            <w:noWrap/>
            <w:vAlign w:val="bottom"/>
            <w:hideMark/>
          </w:tcPr>
          <w:p w14:paraId="4A6AE41C" w14:textId="77777777" w:rsidR="007E596C" w:rsidRPr="0009591C" w:rsidRDefault="007E596C" w:rsidP="008F2AC3">
            <w:pPr>
              <w:jc w:val="center"/>
              <w:rPr>
                <w:color w:val="000000"/>
                <w:sz w:val="22"/>
                <w:szCs w:val="22"/>
                <w:lang w:eastAsia="en-NZ"/>
              </w:rPr>
            </w:pPr>
            <w:r w:rsidRPr="0009591C">
              <w:rPr>
                <w:color w:val="000000"/>
                <w:sz w:val="22"/>
                <w:szCs w:val="22"/>
                <w:lang w:eastAsia="en-NZ"/>
              </w:rPr>
              <w:t>17.17%</w:t>
            </w:r>
          </w:p>
        </w:tc>
        <w:tc>
          <w:tcPr>
            <w:tcW w:w="1087" w:type="dxa"/>
            <w:shd w:val="clear" w:color="auto" w:fill="auto"/>
            <w:noWrap/>
            <w:vAlign w:val="bottom"/>
            <w:hideMark/>
          </w:tcPr>
          <w:p w14:paraId="01BDE962" w14:textId="77777777" w:rsidR="007E596C" w:rsidRPr="0009591C" w:rsidRDefault="007E596C" w:rsidP="008F2AC3">
            <w:pPr>
              <w:jc w:val="center"/>
              <w:rPr>
                <w:color w:val="000000"/>
                <w:sz w:val="22"/>
                <w:szCs w:val="22"/>
                <w:lang w:eastAsia="en-NZ"/>
              </w:rPr>
            </w:pPr>
            <w:r w:rsidRPr="0009591C">
              <w:rPr>
                <w:color w:val="000000"/>
                <w:sz w:val="22"/>
                <w:szCs w:val="22"/>
                <w:lang w:eastAsia="en-NZ"/>
              </w:rPr>
              <w:t>37.81%</w:t>
            </w:r>
          </w:p>
        </w:tc>
      </w:tr>
    </w:tbl>
    <w:p w14:paraId="6BEA5A90" w14:textId="77777777" w:rsidR="007E596C" w:rsidRPr="00490C2C" w:rsidRDefault="007E596C" w:rsidP="007E596C">
      <w:pPr>
        <w:spacing w:line="480" w:lineRule="auto"/>
        <w:jc w:val="both"/>
        <w:rPr>
          <w:sz w:val="20"/>
          <w:szCs w:val="20"/>
          <w:lang w:val="mi-NZ"/>
        </w:rPr>
      </w:pPr>
      <w:r>
        <w:rPr>
          <w:sz w:val="20"/>
          <w:szCs w:val="20"/>
          <w:lang w:val="mi-NZ"/>
        </w:rPr>
        <w:t>Note: For brevity, we do not include summary statistics for the aggregated regional dummy variables.</w:t>
      </w:r>
    </w:p>
    <w:p w14:paraId="18A13416" w14:textId="77777777" w:rsidR="007E596C" w:rsidRDefault="007E596C" w:rsidP="00697F2C">
      <w:pPr>
        <w:spacing w:line="24" w:lineRule="atLeast"/>
        <w:ind w:firstLine="720"/>
        <w:jc w:val="both"/>
        <w:rPr>
          <w:lang w:val="mi-NZ"/>
        </w:rPr>
      </w:pPr>
      <w:r>
        <w:rPr>
          <w:lang w:val="mi-NZ"/>
        </w:rPr>
        <w:t xml:space="preserve">We report our main OLS modelling results in Table 2 and the results for the binary pet ownership variable in Table 3. The first columns in both tables show the results for the basic model, the second columns include the education interaction, the third columns include the housing tenure interaction, and the final columns reports results for the race interaction model. In the basic model, the number of pets in a household is statistically insignificant after controlling for other covariates. However, when we include an interaction between education </w:t>
      </w:r>
      <w:r>
        <w:rPr>
          <w:lang w:val="mi-NZ"/>
        </w:rPr>
        <w:lastRenderedPageBreak/>
        <w:t xml:space="preserve">and pet ownership, we can see that the main effect coefficient on pet ownership becomes statistically significant, and that the marginal effect of pet ownership on income varies significantly by education level. The coefficient on the interaction term is significant at the 1% significance level and reveals that as education (school years) increases, the marginal effect of pet ownership on income decreases. We depict this varying relationship in Figure 1, which shows the marginal effect of pets owned on the natural log of real income for varying education levels (with 90% confidence intervals). At low levels of education, pet ownership has a positive and statistically insignificant positive with real income, while at high levels of education, pet ownership is significantly negatively correlated with real income. </w:t>
      </w:r>
    </w:p>
    <w:p w14:paraId="7B57E783" w14:textId="77777777" w:rsidR="007E596C" w:rsidRDefault="007E596C" w:rsidP="003342DE">
      <w:pPr>
        <w:spacing w:line="24" w:lineRule="atLeast"/>
        <w:rPr>
          <w:b/>
          <w:bCs/>
          <w:lang w:val="mi-NZ"/>
        </w:rPr>
      </w:pPr>
      <w:r>
        <w:rPr>
          <w:b/>
          <w:bCs/>
          <w:lang w:val="mi-NZ"/>
        </w:rPr>
        <w:br w:type="page"/>
      </w:r>
    </w:p>
    <w:p w14:paraId="76597D47" w14:textId="77777777" w:rsidR="007E596C" w:rsidRPr="000F63FE" w:rsidRDefault="007E596C" w:rsidP="007E596C">
      <w:pPr>
        <w:rPr>
          <w:b/>
          <w:bCs/>
          <w:lang w:val="mi-NZ"/>
        </w:rPr>
      </w:pPr>
      <w:r w:rsidRPr="000F63FE">
        <w:rPr>
          <w:b/>
          <w:bCs/>
          <w:lang w:val="mi-NZ"/>
        </w:rPr>
        <w:lastRenderedPageBreak/>
        <w:t xml:space="preserve">Table 2. </w:t>
      </w:r>
      <w:r>
        <w:rPr>
          <w:b/>
          <w:bCs/>
          <w:lang w:val="mi-NZ"/>
        </w:rPr>
        <w:t>OLS regression results for regressions of real income on number of pets</w:t>
      </w:r>
    </w:p>
    <w:tbl>
      <w:tblPr>
        <w:tblW w:w="9072" w:type="dxa"/>
        <w:jc w:val="center"/>
        <w:tblLayout w:type="fixed"/>
        <w:tblCellMar>
          <w:left w:w="75" w:type="dxa"/>
          <w:right w:w="75" w:type="dxa"/>
        </w:tblCellMar>
        <w:tblLook w:val="0000" w:firstRow="0" w:lastRow="0" w:firstColumn="0" w:lastColumn="0" w:noHBand="0" w:noVBand="0"/>
      </w:tblPr>
      <w:tblGrid>
        <w:gridCol w:w="2835"/>
        <w:gridCol w:w="1559"/>
        <w:gridCol w:w="1559"/>
        <w:gridCol w:w="1559"/>
        <w:gridCol w:w="1560"/>
      </w:tblGrid>
      <w:tr w:rsidR="007E596C" w:rsidRPr="00F16E86" w14:paraId="546A6060" w14:textId="77777777" w:rsidTr="00FB5EA5">
        <w:trPr>
          <w:jc w:val="center"/>
        </w:trPr>
        <w:tc>
          <w:tcPr>
            <w:tcW w:w="2835" w:type="dxa"/>
            <w:tcBorders>
              <w:top w:val="single" w:sz="4" w:space="0" w:color="auto"/>
              <w:left w:val="nil"/>
              <w:bottom w:val="single" w:sz="6" w:space="0" w:color="auto"/>
              <w:right w:val="nil"/>
            </w:tcBorders>
          </w:tcPr>
          <w:p w14:paraId="32AC9B19" w14:textId="77777777" w:rsidR="007E596C" w:rsidRPr="0009591C" w:rsidRDefault="007E596C" w:rsidP="008F2AC3">
            <w:pPr>
              <w:widowControl w:val="0"/>
              <w:autoSpaceDE w:val="0"/>
              <w:autoSpaceDN w:val="0"/>
              <w:adjustRightInd w:val="0"/>
              <w:rPr>
                <w:sz w:val="22"/>
                <w:szCs w:val="22"/>
              </w:rPr>
            </w:pPr>
            <w:r w:rsidRPr="0009591C">
              <w:rPr>
                <w:sz w:val="22"/>
                <w:szCs w:val="22"/>
              </w:rPr>
              <w:t>Ln (real income, 1986 USD)</w:t>
            </w:r>
          </w:p>
        </w:tc>
        <w:tc>
          <w:tcPr>
            <w:tcW w:w="1559" w:type="dxa"/>
            <w:tcBorders>
              <w:top w:val="single" w:sz="4" w:space="0" w:color="auto"/>
              <w:left w:val="nil"/>
              <w:bottom w:val="single" w:sz="6" w:space="0" w:color="auto"/>
              <w:right w:val="nil"/>
            </w:tcBorders>
          </w:tcPr>
          <w:p w14:paraId="22C6D15F" w14:textId="68D640E6" w:rsidR="007E596C" w:rsidRPr="0009591C" w:rsidRDefault="007E596C" w:rsidP="008F2AC3">
            <w:pPr>
              <w:widowControl w:val="0"/>
              <w:autoSpaceDE w:val="0"/>
              <w:autoSpaceDN w:val="0"/>
              <w:adjustRightInd w:val="0"/>
              <w:jc w:val="center"/>
              <w:rPr>
                <w:sz w:val="22"/>
                <w:szCs w:val="22"/>
              </w:rPr>
            </w:pPr>
            <w:r w:rsidRPr="0009591C">
              <w:rPr>
                <w:sz w:val="22"/>
                <w:szCs w:val="22"/>
              </w:rPr>
              <w:t>(1)</w:t>
            </w:r>
          </w:p>
        </w:tc>
        <w:tc>
          <w:tcPr>
            <w:tcW w:w="1559" w:type="dxa"/>
            <w:tcBorders>
              <w:top w:val="single" w:sz="4" w:space="0" w:color="auto"/>
              <w:left w:val="nil"/>
              <w:bottom w:val="single" w:sz="6" w:space="0" w:color="auto"/>
              <w:right w:val="nil"/>
            </w:tcBorders>
          </w:tcPr>
          <w:p w14:paraId="405AE155" w14:textId="64AC8E46" w:rsidR="007E596C" w:rsidRPr="0009591C" w:rsidRDefault="007E596C" w:rsidP="008F2AC3">
            <w:pPr>
              <w:widowControl w:val="0"/>
              <w:autoSpaceDE w:val="0"/>
              <w:autoSpaceDN w:val="0"/>
              <w:adjustRightInd w:val="0"/>
              <w:jc w:val="center"/>
              <w:rPr>
                <w:sz w:val="22"/>
                <w:szCs w:val="22"/>
              </w:rPr>
            </w:pPr>
            <w:r w:rsidRPr="0009591C">
              <w:rPr>
                <w:sz w:val="22"/>
                <w:szCs w:val="22"/>
              </w:rPr>
              <w:t>(2)</w:t>
            </w:r>
          </w:p>
        </w:tc>
        <w:tc>
          <w:tcPr>
            <w:tcW w:w="1559" w:type="dxa"/>
            <w:tcBorders>
              <w:top w:val="single" w:sz="4" w:space="0" w:color="auto"/>
              <w:left w:val="nil"/>
              <w:bottom w:val="single" w:sz="6" w:space="0" w:color="auto"/>
              <w:right w:val="nil"/>
            </w:tcBorders>
          </w:tcPr>
          <w:p w14:paraId="79836014" w14:textId="605335B2" w:rsidR="007E596C" w:rsidRPr="0009591C" w:rsidRDefault="007E596C" w:rsidP="008F2AC3">
            <w:pPr>
              <w:widowControl w:val="0"/>
              <w:autoSpaceDE w:val="0"/>
              <w:autoSpaceDN w:val="0"/>
              <w:adjustRightInd w:val="0"/>
              <w:jc w:val="center"/>
              <w:rPr>
                <w:sz w:val="22"/>
                <w:szCs w:val="22"/>
              </w:rPr>
            </w:pPr>
            <w:r w:rsidRPr="0009591C">
              <w:rPr>
                <w:sz w:val="22"/>
                <w:szCs w:val="22"/>
              </w:rPr>
              <w:t>(3)</w:t>
            </w:r>
          </w:p>
        </w:tc>
        <w:tc>
          <w:tcPr>
            <w:tcW w:w="1560" w:type="dxa"/>
            <w:tcBorders>
              <w:top w:val="single" w:sz="4" w:space="0" w:color="auto"/>
              <w:left w:val="nil"/>
              <w:bottom w:val="single" w:sz="6" w:space="0" w:color="auto"/>
              <w:right w:val="nil"/>
            </w:tcBorders>
          </w:tcPr>
          <w:p w14:paraId="4009D62D" w14:textId="7C7F1360" w:rsidR="007E596C" w:rsidRPr="0009591C" w:rsidRDefault="007E596C" w:rsidP="008F2AC3">
            <w:pPr>
              <w:widowControl w:val="0"/>
              <w:autoSpaceDE w:val="0"/>
              <w:autoSpaceDN w:val="0"/>
              <w:adjustRightInd w:val="0"/>
              <w:jc w:val="center"/>
              <w:rPr>
                <w:sz w:val="22"/>
                <w:szCs w:val="22"/>
              </w:rPr>
            </w:pPr>
            <w:r w:rsidRPr="0009591C">
              <w:rPr>
                <w:sz w:val="22"/>
                <w:szCs w:val="22"/>
              </w:rPr>
              <w:t>(4)</w:t>
            </w:r>
          </w:p>
        </w:tc>
      </w:tr>
      <w:tr w:rsidR="007E596C" w:rsidRPr="00F16E86" w14:paraId="3A3287F1" w14:textId="77777777" w:rsidTr="00FB5EA5">
        <w:trPr>
          <w:jc w:val="center"/>
        </w:trPr>
        <w:tc>
          <w:tcPr>
            <w:tcW w:w="2835" w:type="dxa"/>
            <w:tcBorders>
              <w:top w:val="nil"/>
              <w:left w:val="nil"/>
              <w:bottom w:val="nil"/>
              <w:right w:val="nil"/>
            </w:tcBorders>
          </w:tcPr>
          <w:p w14:paraId="10002F86"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722BE9B0"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9B1061E"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37446612"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560C8AB8"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1ADD6D38" w14:textId="77777777" w:rsidTr="00FB5EA5">
        <w:trPr>
          <w:jc w:val="center"/>
        </w:trPr>
        <w:tc>
          <w:tcPr>
            <w:tcW w:w="2835" w:type="dxa"/>
            <w:tcBorders>
              <w:top w:val="nil"/>
              <w:left w:val="nil"/>
              <w:bottom w:val="nil"/>
              <w:right w:val="nil"/>
            </w:tcBorders>
          </w:tcPr>
          <w:p w14:paraId="3F95ECE3" w14:textId="77777777" w:rsidR="007E596C" w:rsidRPr="0009591C" w:rsidRDefault="007E596C" w:rsidP="008F2AC3">
            <w:pPr>
              <w:widowControl w:val="0"/>
              <w:autoSpaceDE w:val="0"/>
              <w:autoSpaceDN w:val="0"/>
              <w:adjustRightInd w:val="0"/>
              <w:rPr>
                <w:sz w:val="22"/>
                <w:szCs w:val="22"/>
              </w:rPr>
            </w:pPr>
            <w:r w:rsidRPr="0009591C">
              <w:rPr>
                <w:sz w:val="22"/>
                <w:szCs w:val="22"/>
              </w:rPr>
              <w:t>Number of pets</w:t>
            </w:r>
          </w:p>
        </w:tc>
        <w:tc>
          <w:tcPr>
            <w:tcW w:w="1559" w:type="dxa"/>
            <w:tcBorders>
              <w:top w:val="nil"/>
              <w:left w:val="nil"/>
              <w:bottom w:val="nil"/>
              <w:right w:val="nil"/>
            </w:tcBorders>
          </w:tcPr>
          <w:p w14:paraId="75AD8D1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-0.0452</w:t>
            </w:r>
          </w:p>
        </w:tc>
        <w:tc>
          <w:tcPr>
            <w:tcW w:w="1559" w:type="dxa"/>
            <w:tcBorders>
              <w:top w:val="nil"/>
              <w:left w:val="nil"/>
              <w:bottom w:val="nil"/>
              <w:right w:val="nil"/>
            </w:tcBorders>
          </w:tcPr>
          <w:p w14:paraId="1E0B8AC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0.163</w:t>
            </w:r>
          </w:p>
        </w:tc>
        <w:tc>
          <w:tcPr>
            <w:tcW w:w="1559" w:type="dxa"/>
            <w:tcBorders>
              <w:top w:val="nil"/>
              <w:left w:val="nil"/>
              <w:bottom w:val="nil"/>
              <w:right w:val="nil"/>
            </w:tcBorders>
          </w:tcPr>
          <w:p w14:paraId="3BD77D8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-0.00227</w:t>
            </w:r>
          </w:p>
        </w:tc>
        <w:tc>
          <w:tcPr>
            <w:tcW w:w="1560" w:type="dxa"/>
            <w:tcBorders>
              <w:top w:val="nil"/>
              <w:left w:val="nil"/>
              <w:bottom w:val="nil"/>
              <w:right w:val="nil"/>
            </w:tcBorders>
          </w:tcPr>
          <w:p w14:paraId="54F6CB2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-0.0195</w:t>
            </w:r>
          </w:p>
        </w:tc>
      </w:tr>
      <w:tr w:rsidR="007E596C" w:rsidRPr="00F16E86" w14:paraId="64990D1F" w14:textId="77777777" w:rsidTr="00FB5EA5">
        <w:trPr>
          <w:jc w:val="center"/>
        </w:trPr>
        <w:tc>
          <w:tcPr>
            <w:tcW w:w="2835" w:type="dxa"/>
            <w:tcBorders>
              <w:top w:val="nil"/>
              <w:left w:val="nil"/>
              <w:bottom w:val="nil"/>
              <w:right w:val="nil"/>
            </w:tcBorders>
          </w:tcPr>
          <w:p w14:paraId="3BB3B817"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78AA0D6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(0.0304)</w:t>
            </w:r>
          </w:p>
        </w:tc>
        <w:tc>
          <w:tcPr>
            <w:tcW w:w="1559" w:type="dxa"/>
            <w:tcBorders>
              <w:top w:val="nil"/>
              <w:left w:val="nil"/>
              <w:bottom w:val="nil"/>
              <w:right w:val="nil"/>
            </w:tcBorders>
          </w:tcPr>
          <w:p w14:paraId="2ED18B2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(0.125)</w:t>
            </w:r>
          </w:p>
        </w:tc>
        <w:tc>
          <w:tcPr>
            <w:tcW w:w="1559" w:type="dxa"/>
            <w:tcBorders>
              <w:top w:val="nil"/>
              <w:left w:val="nil"/>
              <w:bottom w:val="nil"/>
              <w:right w:val="nil"/>
            </w:tcBorders>
          </w:tcPr>
          <w:p w14:paraId="37D4238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(0.0465)</w:t>
            </w:r>
          </w:p>
        </w:tc>
        <w:tc>
          <w:tcPr>
            <w:tcW w:w="1560" w:type="dxa"/>
            <w:tcBorders>
              <w:top w:val="nil"/>
              <w:left w:val="nil"/>
              <w:bottom w:val="nil"/>
              <w:right w:val="nil"/>
            </w:tcBorders>
          </w:tcPr>
          <w:p w14:paraId="606382A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(0.0320)</w:t>
            </w:r>
          </w:p>
        </w:tc>
      </w:tr>
      <w:tr w:rsidR="007E596C" w:rsidRPr="00F16E86" w14:paraId="3A37B313" w14:textId="77777777" w:rsidTr="00FB5EA5">
        <w:trPr>
          <w:jc w:val="center"/>
        </w:trPr>
        <w:tc>
          <w:tcPr>
            <w:tcW w:w="2835" w:type="dxa"/>
            <w:tcBorders>
              <w:top w:val="nil"/>
              <w:left w:val="nil"/>
              <w:bottom w:val="nil"/>
              <w:right w:val="nil"/>
            </w:tcBorders>
          </w:tcPr>
          <w:p w14:paraId="5E995C24" w14:textId="77777777" w:rsidR="007E596C" w:rsidRPr="0009591C" w:rsidRDefault="007E596C" w:rsidP="008F2AC3">
            <w:pPr>
              <w:widowControl w:val="0"/>
              <w:autoSpaceDE w:val="0"/>
              <w:autoSpaceDN w:val="0"/>
              <w:adjustRightInd w:val="0"/>
              <w:rPr>
                <w:sz w:val="22"/>
                <w:szCs w:val="22"/>
              </w:rPr>
            </w:pPr>
            <w:r w:rsidRPr="0009591C">
              <w:rPr>
                <w:sz w:val="22"/>
                <w:szCs w:val="22"/>
              </w:rPr>
              <w:t>Education (school years)</w:t>
            </w:r>
          </w:p>
        </w:tc>
        <w:tc>
          <w:tcPr>
            <w:tcW w:w="1559" w:type="dxa"/>
            <w:tcBorders>
              <w:top w:val="nil"/>
              <w:left w:val="nil"/>
              <w:bottom w:val="nil"/>
              <w:right w:val="nil"/>
            </w:tcBorders>
          </w:tcPr>
          <w:p w14:paraId="3C70B0E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0.111***</w:t>
            </w:r>
          </w:p>
        </w:tc>
        <w:tc>
          <w:tcPr>
            <w:tcW w:w="1559" w:type="dxa"/>
            <w:tcBorders>
              <w:top w:val="nil"/>
              <w:left w:val="nil"/>
              <w:bottom w:val="nil"/>
              <w:right w:val="nil"/>
            </w:tcBorders>
          </w:tcPr>
          <w:p w14:paraId="4A3FC0B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0.135***</w:t>
            </w:r>
          </w:p>
        </w:tc>
        <w:tc>
          <w:tcPr>
            <w:tcW w:w="1559" w:type="dxa"/>
            <w:tcBorders>
              <w:top w:val="nil"/>
              <w:left w:val="nil"/>
              <w:bottom w:val="nil"/>
              <w:right w:val="nil"/>
            </w:tcBorders>
          </w:tcPr>
          <w:p w14:paraId="0AD055A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0.0974***</w:t>
            </w:r>
          </w:p>
        </w:tc>
        <w:tc>
          <w:tcPr>
            <w:tcW w:w="1560" w:type="dxa"/>
            <w:tcBorders>
              <w:top w:val="nil"/>
              <w:left w:val="nil"/>
              <w:bottom w:val="nil"/>
              <w:right w:val="nil"/>
            </w:tcBorders>
          </w:tcPr>
          <w:p w14:paraId="75723A6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0.115***</w:t>
            </w:r>
          </w:p>
        </w:tc>
      </w:tr>
      <w:tr w:rsidR="007E596C" w:rsidRPr="00F16E86" w14:paraId="1A1089A0" w14:textId="77777777" w:rsidTr="00FB5EA5">
        <w:trPr>
          <w:jc w:val="center"/>
        </w:trPr>
        <w:tc>
          <w:tcPr>
            <w:tcW w:w="2835" w:type="dxa"/>
            <w:tcBorders>
              <w:top w:val="nil"/>
              <w:left w:val="nil"/>
              <w:bottom w:val="nil"/>
              <w:right w:val="nil"/>
            </w:tcBorders>
          </w:tcPr>
          <w:p w14:paraId="05DDAD28"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2448956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(0.0185)</w:t>
            </w:r>
          </w:p>
        </w:tc>
        <w:tc>
          <w:tcPr>
            <w:tcW w:w="1559" w:type="dxa"/>
            <w:tcBorders>
              <w:top w:val="nil"/>
              <w:left w:val="nil"/>
              <w:bottom w:val="nil"/>
              <w:right w:val="nil"/>
            </w:tcBorders>
          </w:tcPr>
          <w:p w14:paraId="0F992B6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(0.0225)</w:t>
            </w:r>
          </w:p>
        </w:tc>
        <w:tc>
          <w:tcPr>
            <w:tcW w:w="1559" w:type="dxa"/>
            <w:tcBorders>
              <w:top w:val="nil"/>
              <w:left w:val="nil"/>
              <w:bottom w:val="nil"/>
              <w:right w:val="nil"/>
            </w:tcBorders>
          </w:tcPr>
          <w:p w14:paraId="0223AA4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(0.0272)</w:t>
            </w:r>
          </w:p>
        </w:tc>
        <w:tc>
          <w:tcPr>
            <w:tcW w:w="1560" w:type="dxa"/>
            <w:tcBorders>
              <w:top w:val="nil"/>
              <w:left w:val="nil"/>
              <w:bottom w:val="nil"/>
              <w:right w:val="nil"/>
            </w:tcBorders>
          </w:tcPr>
          <w:p w14:paraId="2D470ED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(0.0187)</w:t>
            </w:r>
          </w:p>
        </w:tc>
      </w:tr>
      <w:tr w:rsidR="007E596C" w:rsidRPr="00F16E86" w14:paraId="2D0AC4CA" w14:textId="77777777" w:rsidTr="00FB5EA5">
        <w:trPr>
          <w:jc w:val="center"/>
        </w:trPr>
        <w:tc>
          <w:tcPr>
            <w:tcW w:w="2835" w:type="dxa"/>
            <w:tcBorders>
              <w:top w:val="nil"/>
              <w:left w:val="nil"/>
              <w:bottom w:val="nil"/>
              <w:right w:val="nil"/>
            </w:tcBorders>
          </w:tcPr>
          <w:p w14:paraId="077C88DC" w14:textId="77777777" w:rsidR="007E596C" w:rsidRPr="0009591C" w:rsidRDefault="007E596C" w:rsidP="008F2AC3">
            <w:pPr>
              <w:widowControl w:val="0"/>
              <w:autoSpaceDE w:val="0"/>
              <w:autoSpaceDN w:val="0"/>
              <w:adjustRightInd w:val="0"/>
              <w:rPr>
                <w:sz w:val="22"/>
                <w:szCs w:val="22"/>
              </w:rPr>
            </w:pPr>
            <w:r w:rsidRPr="0009591C">
              <w:rPr>
                <w:sz w:val="22"/>
                <w:szCs w:val="22"/>
              </w:rPr>
              <w:t>African American</w:t>
            </w:r>
          </w:p>
        </w:tc>
        <w:tc>
          <w:tcPr>
            <w:tcW w:w="1559" w:type="dxa"/>
            <w:tcBorders>
              <w:top w:val="nil"/>
              <w:left w:val="nil"/>
              <w:bottom w:val="nil"/>
              <w:right w:val="nil"/>
            </w:tcBorders>
          </w:tcPr>
          <w:p w14:paraId="4F9B093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-0.00822</w:t>
            </w:r>
          </w:p>
        </w:tc>
        <w:tc>
          <w:tcPr>
            <w:tcW w:w="1559" w:type="dxa"/>
            <w:tcBorders>
              <w:top w:val="nil"/>
              <w:left w:val="nil"/>
              <w:bottom w:val="nil"/>
              <w:right w:val="nil"/>
            </w:tcBorders>
          </w:tcPr>
          <w:p w14:paraId="09BD135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0.000251</w:t>
            </w:r>
          </w:p>
        </w:tc>
        <w:tc>
          <w:tcPr>
            <w:tcW w:w="1559" w:type="dxa"/>
            <w:tcBorders>
              <w:top w:val="nil"/>
              <w:left w:val="nil"/>
              <w:bottom w:val="nil"/>
              <w:right w:val="nil"/>
            </w:tcBorders>
          </w:tcPr>
          <w:p w14:paraId="359AD4D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0.00611</w:t>
            </w:r>
          </w:p>
        </w:tc>
        <w:tc>
          <w:tcPr>
            <w:tcW w:w="1560" w:type="dxa"/>
            <w:tcBorders>
              <w:top w:val="nil"/>
              <w:left w:val="nil"/>
              <w:bottom w:val="nil"/>
              <w:right w:val="nil"/>
            </w:tcBorders>
          </w:tcPr>
          <w:p w14:paraId="0FE3B10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0.171</w:t>
            </w:r>
          </w:p>
        </w:tc>
      </w:tr>
      <w:tr w:rsidR="007E596C" w:rsidRPr="00F16E86" w14:paraId="51F0C8FC" w14:textId="77777777" w:rsidTr="00FB5EA5">
        <w:trPr>
          <w:jc w:val="center"/>
        </w:trPr>
        <w:tc>
          <w:tcPr>
            <w:tcW w:w="2835" w:type="dxa"/>
            <w:tcBorders>
              <w:top w:val="nil"/>
              <w:left w:val="nil"/>
              <w:bottom w:val="nil"/>
              <w:right w:val="nil"/>
            </w:tcBorders>
          </w:tcPr>
          <w:p w14:paraId="112C4729"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AB2B83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(0.133)</w:t>
            </w:r>
          </w:p>
        </w:tc>
        <w:tc>
          <w:tcPr>
            <w:tcW w:w="1559" w:type="dxa"/>
            <w:tcBorders>
              <w:top w:val="nil"/>
              <w:left w:val="nil"/>
              <w:bottom w:val="nil"/>
              <w:right w:val="nil"/>
            </w:tcBorders>
          </w:tcPr>
          <w:p w14:paraId="6551613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(0.132)</w:t>
            </w:r>
          </w:p>
        </w:tc>
        <w:tc>
          <w:tcPr>
            <w:tcW w:w="1559" w:type="dxa"/>
            <w:tcBorders>
              <w:top w:val="nil"/>
              <w:left w:val="nil"/>
              <w:bottom w:val="nil"/>
              <w:right w:val="nil"/>
            </w:tcBorders>
          </w:tcPr>
          <w:p w14:paraId="7E0BF31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(0.210)</w:t>
            </w:r>
          </w:p>
        </w:tc>
        <w:tc>
          <w:tcPr>
            <w:tcW w:w="1560" w:type="dxa"/>
            <w:tcBorders>
              <w:top w:val="nil"/>
              <w:left w:val="nil"/>
              <w:bottom w:val="nil"/>
              <w:right w:val="nil"/>
            </w:tcBorders>
          </w:tcPr>
          <w:p w14:paraId="2B78BCD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(0.144)</w:t>
            </w:r>
          </w:p>
        </w:tc>
      </w:tr>
      <w:tr w:rsidR="007E596C" w:rsidRPr="00F16E86" w14:paraId="224FA1D2" w14:textId="77777777" w:rsidTr="00FB5EA5">
        <w:trPr>
          <w:jc w:val="center"/>
        </w:trPr>
        <w:tc>
          <w:tcPr>
            <w:tcW w:w="2835" w:type="dxa"/>
            <w:tcBorders>
              <w:top w:val="nil"/>
              <w:left w:val="nil"/>
              <w:bottom w:val="nil"/>
              <w:right w:val="nil"/>
            </w:tcBorders>
          </w:tcPr>
          <w:p w14:paraId="1D5B5FB0" w14:textId="77777777" w:rsidR="007E596C" w:rsidRPr="0009591C" w:rsidRDefault="007E596C" w:rsidP="008F2AC3">
            <w:pPr>
              <w:widowControl w:val="0"/>
              <w:autoSpaceDE w:val="0"/>
              <w:autoSpaceDN w:val="0"/>
              <w:adjustRightInd w:val="0"/>
              <w:rPr>
                <w:sz w:val="22"/>
                <w:szCs w:val="22"/>
              </w:rPr>
            </w:pPr>
            <w:r w:rsidRPr="0009591C">
              <w:rPr>
                <w:sz w:val="22"/>
                <w:szCs w:val="22"/>
              </w:rPr>
              <w:t>Other Race</w:t>
            </w:r>
          </w:p>
        </w:tc>
        <w:tc>
          <w:tcPr>
            <w:tcW w:w="1559" w:type="dxa"/>
            <w:tcBorders>
              <w:top w:val="nil"/>
              <w:left w:val="nil"/>
              <w:bottom w:val="nil"/>
              <w:right w:val="nil"/>
            </w:tcBorders>
          </w:tcPr>
          <w:p w14:paraId="5572AB3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-0.456***</w:t>
            </w:r>
          </w:p>
        </w:tc>
        <w:tc>
          <w:tcPr>
            <w:tcW w:w="1559" w:type="dxa"/>
            <w:tcBorders>
              <w:top w:val="nil"/>
              <w:left w:val="nil"/>
              <w:bottom w:val="nil"/>
              <w:right w:val="nil"/>
            </w:tcBorders>
          </w:tcPr>
          <w:p w14:paraId="2B204E3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-0.443***</w:t>
            </w:r>
          </w:p>
        </w:tc>
        <w:tc>
          <w:tcPr>
            <w:tcW w:w="1559" w:type="dxa"/>
            <w:tcBorders>
              <w:top w:val="nil"/>
              <w:left w:val="nil"/>
              <w:bottom w:val="nil"/>
              <w:right w:val="nil"/>
            </w:tcBorders>
          </w:tcPr>
          <w:p w14:paraId="1165E5B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-0.0947</w:t>
            </w:r>
          </w:p>
        </w:tc>
        <w:tc>
          <w:tcPr>
            <w:tcW w:w="1560" w:type="dxa"/>
            <w:tcBorders>
              <w:top w:val="nil"/>
              <w:left w:val="nil"/>
              <w:bottom w:val="nil"/>
              <w:right w:val="nil"/>
            </w:tcBorders>
          </w:tcPr>
          <w:p w14:paraId="0D2A140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-0.384**</w:t>
            </w:r>
          </w:p>
        </w:tc>
      </w:tr>
      <w:tr w:rsidR="007E596C" w:rsidRPr="00F16E86" w14:paraId="541F21F7" w14:textId="77777777" w:rsidTr="00FB5EA5">
        <w:trPr>
          <w:jc w:val="center"/>
        </w:trPr>
        <w:tc>
          <w:tcPr>
            <w:tcW w:w="2835" w:type="dxa"/>
            <w:tcBorders>
              <w:top w:val="nil"/>
              <w:left w:val="nil"/>
              <w:bottom w:val="nil"/>
              <w:right w:val="nil"/>
            </w:tcBorders>
          </w:tcPr>
          <w:p w14:paraId="63FFB520"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3D4838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(0.147)</w:t>
            </w:r>
          </w:p>
        </w:tc>
        <w:tc>
          <w:tcPr>
            <w:tcW w:w="1559" w:type="dxa"/>
            <w:tcBorders>
              <w:top w:val="nil"/>
              <w:left w:val="nil"/>
              <w:bottom w:val="nil"/>
              <w:right w:val="nil"/>
            </w:tcBorders>
          </w:tcPr>
          <w:p w14:paraId="6AC702B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(0.148)</w:t>
            </w:r>
          </w:p>
        </w:tc>
        <w:tc>
          <w:tcPr>
            <w:tcW w:w="1559" w:type="dxa"/>
            <w:tcBorders>
              <w:top w:val="nil"/>
              <w:left w:val="nil"/>
              <w:bottom w:val="nil"/>
              <w:right w:val="nil"/>
            </w:tcBorders>
          </w:tcPr>
          <w:p w14:paraId="6FC058E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(0.258)</w:t>
            </w:r>
          </w:p>
        </w:tc>
        <w:tc>
          <w:tcPr>
            <w:tcW w:w="1560" w:type="dxa"/>
            <w:tcBorders>
              <w:top w:val="nil"/>
              <w:left w:val="nil"/>
              <w:bottom w:val="nil"/>
              <w:right w:val="nil"/>
            </w:tcBorders>
          </w:tcPr>
          <w:p w14:paraId="411EC2A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(0.168)</w:t>
            </w:r>
          </w:p>
        </w:tc>
      </w:tr>
      <w:tr w:rsidR="007E596C" w:rsidRPr="00F16E86" w14:paraId="03A39A1C" w14:textId="77777777" w:rsidTr="00FB5EA5">
        <w:trPr>
          <w:jc w:val="center"/>
        </w:trPr>
        <w:tc>
          <w:tcPr>
            <w:tcW w:w="2835" w:type="dxa"/>
            <w:tcBorders>
              <w:top w:val="nil"/>
              <w:left w:val="nil"/>
              <w:bottom w:val="nil"/>
              <w:right w:val="nil"/>
            </w:tcBorders>
          </w:tcPr>
          <w:p w14:paraId="4966E6A2" w14:textId="77777777" w:rsidR="007E596C" w:rsidRPr="0009591C" w:rsidRDefault="007E596C" w:rsidP="008F2AC3">
            <w:pPr>
              <w:widowControl w:val="0"/>
              <w:autoSpaceDE w:val="0"/>
              <w:autoSpaceDN w:val="0"/>
              <w:adjustRightInd w:val="0"/>
              <w:rPr>
                <w:sz w:val="22"/>
                <w:szCs w:val="22"/>
              </w:rPr>
            </w:pPr>
            <w:r w:rsidRPr="0009591C">
              <w:rPr>
                <w:sz w:val="22"/>
                <w:szCs w:val="22"/>
              </w:rPr>
              <w:t>Female</w:t>
            </w:r>
          </w:p>
        </w:tc>
        <w:tc>
          <w:tcPr>
            <w:tcW w:w="1559" w:type="dxa"/>
            <w:tcBorders>
              <w:top w:val="nil"/>
              <w:left w:val="nil"/>
              <w:bottom w:val="nil"/>
              <w:right w:val="nil"/>
            </w:tcBorders>
          </w:tcPr>
          <w:p w14:paraId="0BAAAFE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-0.360***</w:t>
            </w:r>
          </w:p>
        </w:tc>
        <w:tc>
          <w:tcPr>
            <w:tcW w:w="1559" w:type="dxa"/>
            <w:tcBorders>
              <w:top w:val="nil"/>
              <w:left w:val="nil"/>
              <w:bottom w:val="nil"/>
              <w:right w:val="nil"/>
            </w:tcBorders>
          </w:tcPr>
          <w:p w14:paraId="2E2A8BE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-0.366***</w:t>
            </w:r>
          </w:p>
        </w:tc>
        <w:tc>
          <w:tcPr>
            <w:tcW w:w="1559" w:type="dxa"/>
            <w:tcBorders>
              <w:top w:val="nil"/>
              <w:left w:val="nil"/>
              <w:bottom w:val="nil"/>
              <w:right w:val="nil"/>
            </w:tcBorders>
          </w:tcPr>
          <w:p w14:paraId="3146011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-0.508***</w:t>
            </w:r>
          </w:p>
        </w:tc>
        <w:tc>
          <w:tcPr>
            <w:tcW w:w="1560" w:type="dxa"/>
            <w:tcBorders>
              <w:top w:val="nil"/>
              <w:left w:val="nil"/>
              <w:bottom w:val="nil"/>
              <w:right w:val="nil"/>
            </w:tcBorders>
          </w:tcPr>
          <w:p w14:paraId="65A4F04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-0.388***</w:t>
            </w:r>
          </w:p>
        </w:tc>
      </w:tr>
      <w:tr w:rsidR="007E596C" w:rsidRPr="00F16E86" w14:paraId="5CC484AE" w14:textId="77777777" w:rsidTr="00FB5EA5">
        <w:trPr>
          <w:jc w:val="center"/>
        </w:trPr>
        <w:tc>
          <w:tcPr>
            <w:tcW w:w="2835" w:type="dxa"/>
            <w:tcBorders>
              <w:top w:val="nil"/>
              <w:left w:val="nil"/>
              <w:bottom w:val="nil"/>
              <w:right w:val="nil"/>
            </w:tcBorders>
          </w:tcPr>
          <w:p w14:paraId="365BD95F"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7CAEEA0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(0.0880)</w:t>
            </w:r>
          </w:p>
        </w:tc>
        <w:tc>
          <w:tcPr>
            <w:tcW w:w="1559" w:type="dxa"/>
            <w:tcBorders>
              <w:top w:val="nil"/>
              <w:left w:val="nil"/>
              <w:bottom w:val="nil"/>
              <w:right w:val="nil"/>
            </w:tcBorders>
          </w:tcPr>
          <w:p w14:paraId="5D53EFB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(0.0878)</w:t>
            </w:r>
          </w:p>
        </w:tc>
        <w:tc>
          <w:tcPr>
            <w:tcW w:w="1559" w:type="dxa"/>
            <w:tcBorders>
              <w:top w:val="nil"/>
              <w:left w:val="nil"/>
              <w:bottom w:val="nil"/>
              <w:right w:val="nil"/>
            </w:tcBorders>
          </w:tcPr>
          <w:p w14:paraId="781F568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(0.175)</w:t>
            </w:r>
          </w:p>
        </w:tc>
        <w:tc>
          <w:tcPr>
            <w:tcW w:w="1560" w:type="dxa"/>
            <w:tcBorders>
              <w:top w:val="nil"/>
              <w:left w:val="nil"/>
              <w:bottom w:val="nil"/>
              <w:right w:val="nil"/>
            </w:tcBorders>
          </w:tcPr>
          <w:p w14:paraId="654680B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(0.0874)</w:t>
            </w:r>
          </w:p>
        </w:tc>
      </w:tr>
      <w:tr w:rsidR="007E596C" w:rsidRPr="00F16E86" w14:paraId="5511CF3A" w14:textId="77777777" w:rsidTr="00FB5EA5">
        <w:trPr>
          <w:jc w:val="center"/>
        </w:trPr>
        <w:tc>
          <w:tcPr>
            <w:tcW w:w="2835" w:type="dxa"/>
            <w:tcBorders>
              <w:top w:val="nil"/>
              <w:left w:val="nil"/>
              <w:bottom w:val="nil"/>
              <w:right w:val="nil"/>
            </w:tcBorders>
          </w:tcPr>
          <w:p w14:paraId="7A22FABF" w14:textId="77777777" w:rsidR="007E596C" w:rsidRPr="0009591C" w:rsidRDefault="007E596C" w:rsidP="008F2AC3">
            <w:pPr>
              <w:widowControl w:val="0"/>
              <w:autoSpaceDE w:val="0"/>
              <w:autoSpaceDN w:val="0"/>
              <w:adjustRightInd w:val="0"/>
              <w:rPr>
                <w:sz w:val="22"/>
                <w:szCs w:val="22"/>
              </w:rPr>
            </w:pPr>
            <w:r w:rsidRPr="0009591C">
              <w:rPr>
                <w:sz w:val="22"/>
                <w:szCs w:val="22"/>
              </w:rPr>
              <w:t>Experience</w:t>
            </w:r>
          </w:p>
        </w:tc>
        <w:tc>
          <w:tcPr>
            <w:tcW w:w="1559" w:type="dxa"/>
            <w:tcBorders>
              <w:top w:val="nil"/>
              <w:left w:val="nil"/>
              <w:bottom w:val="nil"/>
              <w:right w:val="nil"/>
            </w:tcBorders>
          </w:tcPr>
          <w:p w14:paraId="2AFA750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0.0560***</w:t>
            </w:r>
          </w:p>
        </w:tc>
        <w:tc>
          <w:tcPr>
            <w:tcW w:w="1559" w:type="dxa"/>
            <w:tcBorders>
              <w:top w:val="nil"/>
              <w:left w:val="nil"/>
              <w:bottom w:val="nil"/>
              <w:right w:val="nil"/>
            </w:tcBorders>
          </w:tcPr>
          <w:p w14:paraId="6568B9A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0.0577***</w:t>
            </w:r>
          </w:p>
        </w:tc>
        <w:tc>
          <w:tcPr>
            <w:tcW w:w="1559" w:type="dxa"/>
            <w:tcBorders>
              <w:top w:val="nil"/>
              <w:left w:val="nil"/>
              <w:bottom w:val="nil"/>
              <w:right w:val="nil"/>
            </w:tcBorders>
          </w:tcPr>
          <w:p w14:paraId="7DA71E4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0.0466**</w:t>
            </w:r>
          </w:p>
        </w:tc>
        <w:tc>
          <w:tcPr>
            <w:tcW w:w="1560" w:type="dxa"/>
            <w:tcBorders>
              <w:top w:val="nil"/>
              <w:left w:val="nil"/>
              <w:bottom w:val="nil"/>
              <w:right w:val="nil"/>
            </w:tcBorders>
          </w:tcPr>
          <w:p w14:paraId="0F413EC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0.0571***</w:t>
            </w:r>
          </w:p>
        </w:tc>
      </w:tr>
      <w:tr w:rsidR="007E596C" w:rsidRPr="00F16E86" w14:paraId="4400C1AF" w14:textId="77777777" w:rsidTr="00FB5EA5">
        <w:trPr>
          <w:jc w:val="center"/>
        </w:trPr>
        <w:tc>
          <w:tcPr>
            <w:tcW w:w="2835" w:type="dxa"/>
            <w:tcBorders>
              <w:top w:val="nil"/>
              <w:left w:val="nil"/>
              <w:bottom w:val="nil"/>
              <w:right w:val="nil"/>
            </w:tcBorders>
          </w:tcPr>
          <w:p w14:paraId="2747BEBC"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66D03E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(0.0141)</w:t>
            </w:r>
          </w:p>
        </w:tc>
        <w:tc>
          <w:tcPr>
            <w:tcW w:w="1559" w:type="dxa"/>
            <w:tcBorders>
              <w:top w:val="nil"/>
              <w:left w:val="nil"/>
              <w:bottom w:val="nil"/>
              <w:right w:val="nil"/>
            </w:tcBorders>
          </w:tcPr>
          <w:p w14:paraId="1F3B3A9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(0.0140)</w:t>
            </w:r>
          </w:p>
        </w:tc>
        <w:tc>
          <w:tcPr>
            <w:tcW w:w="1559" w:type="dxa"/>
            <w:tcBorders>
              <w:top w:val="nil"/>
              <w:left w:val="nil"/>
              <w:bottom w:val="nil"/>
              <w:right w:val="nil"/>
            </w:tcBorders>
          </w:tcPr>
          <w:p w14:paraId="3E446B6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(0.0211)</w:t>
            </w:r>
          </w:p>
        </w:tc>
        <w:tc>
          <w:tcPr>
            <w:tcW w:w="1560" w:type="dxa"/>
            <w:tcBorders>
              <w:top w:val="nil"/>
              <w:left w:val="nil"/>
              <w:bottom w:val="nil"/>
              <w:right w:val="nil"/>
            </w:tcBorders>
          </w:tcPr>
          <w:p w14:paraId="61D859F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(0.0139)</w:t>
            </w:r>
          </w:p>
        </w:tc>
      </w:tr>
      <w:tr w:rsidR="007E596C" w:rsidRPr="00F16E86" w14:paraId="66EC4F89" w14:textId="77777777" w:rsidTr="00FB5EA5">
        <w:trPr>
          <w:jc w:val="center"/>
        </w:trPr>
        <w:tc>
          <w:tcPr>
            <w:tcW w:w="2835" w:type="dxa"/>
            <w:tcBorders>
              <w:top w:val="nil"/>
              <w:left w:val="nil"/>
              <w:bottom w:val="nil"/>
              <w:right w:val="nil"/>
            </w:tcBorders>
          </w:tcPr>
          <w:p w14:paraId="6C1325B2" w14:textId="77777777" w:rsidR="007E596C" w:rsidRPr="0009591C" w:rsidRDefault="007E596C" w:rsidP="008F2AC3">
            <w:pPr>
              <w:widowControl w:val="0"/>
              <w:autoSpaceDE w:val="0"/>
              <w:autoSpaceDN w:val="0"/>
              <w:adjustRightInd w:val="0"/>
              <w:rPr>
                <w:sz w:val="22"/>
                <w:szCs w:val="22"/>
              </w:rPr>
            </w:pPr>
            <w:r w:rsidRPr="0009591C">
              <w:rPr>
                <w:sz w:val="22"/>
                <w:szCs w:val="22"/>
              </w:rPr>
              <w:t>Experience^2</w:t>
            </w:r>
          </w:p>
        </w:tc>
        <w:tc>
          <w:tcPr>
            <w:tcW w:w="1559" w:type="dxa"/>
            <w:tcBorders>
              <w:top w:val="nil"/>
              <w:left w:val="nil"/>
              <w:bottom w:val="nil"/>
              <w:right w:val="nil"/>
            </w:tcBorders>
          </w:tcPr>
          <w:p w14:paraId="359A16A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-0.000772***</w:t>
            </w:r>
          </w:p>
        </w:tc>
        <w:tc>
          <w:tcPr>
            <w:tcW w:w="1559" w:type="dxa"/>
            <w:tcBorders>
              <w:top w:val="nil"/>
              <w:left w:val="nil"/>
              <w:bottom w:val="nil"/>
              <w:right w:val="nil"/>
            </w:tcBorders>
          </w:tcPr>
          <w:p w14:paraId="7364ABC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-0.000796***</w:t>
            </w:r>
          </w:p>
        </w:tc>
        <w:tc>
          <w:tcPr>
            <w:tcW w:w="1559" w:type="dxa"/>
            <w:tcBorders>
              <w:top w:val="nil"/>
              <w:left w:val="nil"/>
              <w:bottom w:val="nil"/>
              <w:right w:val="nil"/>
            </w:tcBorders>
          </w:tcPr>
          <w:p w14:paraId="7820108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-0.000539*</w:t>
            </w:r>
          </w:p>
        </w:tc>
        <w:tc>
          <w:tcPr>
            <w:tcW w:w="1560" w:type="dxa"/>
            <w:tcBorders>
              <w:top w:val="nil"/>
              <w:left w:val="nil"/>
              <w:bottom w:val="nil"/>
              <w:right w:val="nil"/>
            </w:tcBorders>
          </w:tcPr>
          <w:p w14:paraId="0127978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-0.000791***</w:t>
            </w:r>
          </w:p>
        </w:tc>
      </w:tr>
      <w:tr w:rsidR="007E596C" w:rsidRPr="00F16E86" w14:paraId="08F2823D" w14:textId="77777777" w:rsidTr="00FB5EA5">
        <w:trPr>
          <w:jc w:val="center"/>
        </w:trPr>
        <w:tc>
          <w:tcPr>
            <w:tcW w:w="2835" w:type="dxa"/>
            <w:tcBorders>
              <w:top w:val="nil"/>
              <w:left w:val="nil"/>
              <w:bottom w:val="nil"/>
              <w:right w:val="nil"/>
            </w:tcBorders>
          </w:tcPr>
          <w:p w14:paraId="12B41789"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21F79CC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(0.000255)</w:t>
            </w:r>
          </w:p>
        </w:tc>
        <w:tc>
          <w:tcPr>
            <w:tcW w:w="1559" w:type="dxa"/>
            <w:tcBorders>
              <w:top w:val="nil"/>
              <w:left w:val="nil"/>
              <w:bottom w:val="nil"/>
              <w:right w:val="nil"/>
            </w:tcBorders>
          </w:tcPr>
          <w:p w14:paraId="3345D54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(0.000252)</w:t>
            </w:r>
          </w:p>
        </w:tc>
        <w:tc>
          <w:tcPr>
            <w:tcW w:w="1559" w:type="dxa"/>
            <w:tcBorders>
              <w:top w:val="nil"/>
              <w:left w:val="nil"/>
              <w:bottom w:val="nil"/>
              <w:right w:val="nil"/>
            </w:tcBorders>
          </w:tcPr>
          <w:p w14:paraId="191503D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(0.000323)</w:t>
            </w:r>
          </w:p>
        </w:tc>
        <w:tc>
          <w:tcPr>
            <w:tcW w:w="1560" w:type="dxa"/>
            <w:tcBorders>
              <w:top w:val="nil"/>
              <w:left w:val="nil"/>
              <w:bottom w:val="nil"/>
              <w:right w:val="nil"/>
            </w:tcBorders>
          </w:tcPr>
          <w:p w14:paraId="5640A47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(0.000252)</w:t>
            </w:r>
          </w:p>
        </w:tc>
      </w:tr>
      <w:tr w:rsidR="007E596C" w:rsidRPr="00F16E86" w14:paraId="5FA8F736" w14:textId="77777777" w:rsidTr="00FB5EA5">
        <w:trPr>
          <w:jc w:val="center"/>
        </w:trPr>
        <w:tc>
          <w:tcPr>
            <w:tcW w:w="2835" w:type="dxa"/>
            <w:tcBorders>
              <w:top w:val="nil"/>
              <w:left w:val="nil"/>
              <w:bottom w:val="nil"/>
              <w:right w:val="nil"/>
            </w:tcBorders>
          </w:tcPr>
          <w:p w14:paraId="5A7B0E30" w14:textId="77777777" w:rsidR="007E596C" w:rsidRPr="0009591C" w:rsidRDefault="007E596C" w:rsidP="008F2AC3">
            <w:pPr>
              <w:widowControl w:val="0"/>
              <w:autoSpaceDE w:val="0"/>
              <w:autoSpaceDN w:val="0"/>
              <w:adjustRightInd w:val="0"/>
              <w:rPr>
                <w:sz w:val="22"/>
                <w:szCs w:val="22"/>
              </w:rPr>
            </w:pPr>
            <w:r w:rsidRPr="0009591C">
              <w:rPr>
                <w:sz w:val="22"/>
                <w:szCs w:val="22"/>
              </w:rPr>
              <w:t>Weekly hours worked</w:t>
            </w:r>
          </w:p>
        </w:tc>
        <w:tc>
          <w:tcPr>
            <w:tcW w:w="1559" w:type="dxa"/>
            <w:tcBorders>
              <w:top w:val="nil"/>
              <w:left w:val="nil"/>
              <w:bottom w:val="nil"/>
              <w:right w:val="nil"/>
            </w:tcBorders>
          </w:tcPr>
          <w:p w14:paraId="3DDC31D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0.0216***</w:t>
            </w:r>
          </w:p>
        </w:tc>
        <w:tc>
          <w:tcPr>
            <w:tcW w:w="1559" w:type="dxa"/>
            <w:tcBorders>
              <w:top w:val="nil"/>
              <w:left w:val="nil"/>
              <w:bottom w:val="nil"/>
              <w:right w:val="nil"/>
            </w:tcBorders>
          </w:tcPr>
          <w:p w14:paraId="4370B5E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0.0214***</w:t>
            </w:r>
          </w:p>
        </w:tc>
        <w:tc>
          <w:tcPr>
            <w:tcW w:w="1559" w:type="dxa"/>
            <w:tcBorders>
              <w:top w:val="nil"/>
              <w:left w:val="nil"/>
              <w:bottom w:val="nil"/>
              <w:right w:val="nil"/>
            </w:tcBorders>
          </w:tcPr>
          <w:p w14:paraId="55FE827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0.0171***</w:t>
            </w:r>
          </w:p>
        </w:tc>
        <w:tc>
          <w:tcPr>
            <w:tcW w:w="1560" w:type="dxa"/>
            <w:tcBorders>
              <w:top w:val="nil"/>
              <w:left w:val="nil"/>
              <w:bottom w:val="nil"/>
              <w:right w:val="nil"/>
            </w:tcBorders>
          </w:tcPr>
          <w:p w14:paraId="1FDF96C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0.0220***</w:t>
            </w:r>
          </w:p>
        </w:tc>
      </w:tr>
      <w:tr w:rsidR="007E596C" w:rsidRPr="00F16E86" w14:paraId="1097CCB9" w14:textId="77777777" w:rsidTr="00FB5EA5">
        <w:trPr>
          <w:jc w:val="center"/>
        </w:trPr>
        <w:tc>
          <w:tcPr>
            <w:tcW w:w="2835" w:type="dxa"/>
            <w:tcBorders>
              <w:top w:val="nil"/>
              <w:left w:val="nil"/>
              <w:bottom w:val="nil"/>
              <w:right w:val="nil"/>
            </w:tcBorders>
          </w:tcPr>
          <w:p w14:paraId="7020AA0E"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3028DA5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(0.00366)</w:t>
            </w:r>
          </w:p>
        </w:tc>
        <w:tc>
          <w:tcPr>
            <w:tcW w:w="1559" w:type="dxa"/>
            <w:tcBorders>
              <w:top w:val="nil"/>
              <w:left w:val="nil"/>
              <w:bottom w:val="nil"/>
              <w:right w:val="nil"/>
            </w:tcBorders>
          </w:tcPr>
          <w:p w14:paraId="2A4C196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(0.00355)</w:t>
            </w:r>
          </w:p>
        </w:tc>
        <w:tc>
          <w:tcPr>
            <w:tcW w:w="1559" w:type="dxa"/>
            <w:tcBorders>
              <w:top w:val="nil"/>
              <w:left w:val="nil"/>
              <w:bottom w:val="nil"/>
              <w:right w:val="nil"/>
            </w:tcBorders>
          </w:tcPr>
          <w:p w14:paraId="4476BB2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(0.00519)</w:t>
            </w:r>
          </w:p>
        </w:tc>
        <w:tc>
          <w:tcPr>
            <w:tcW w:w="1560" w:type="dxa"/>
            <w:tcBorders>
              <w:top w:val="nil"/>
              <w:left w:val="nil"/>
              <w:bottom w:val="nil"/>
              <w:right w:val="nil"/>
            </w:tcBorders>
          </w:tcPr>
          <w:p w14:paraId="19F6153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(0.00362)</w:t>
            </w:r>
          </w:p>
        </w:tc>
      </w:tr>
      <w:tr w:rsidR="007E596C" w:rsidRPr="00F16E86" w14:paraId="49988E0F" w14:textId="77777777" w:rsidTr="00FB5EA5">
        <w:trPr>
          <w:jc w:val="center"/>
        </w:trPr>
        <w:tc>
          <w:tcPr>
            <w:tcW w:w="2835" w:type="dxa"/>
            <w:tcBorders>
              <w:top w:val="nil"/>
              <w:left w:val="nil"/>
              <w:bottom w:val="nil"/>
              <w:right w:val="nil"/>
            </w:tcBorders>
          </w:tcPr>
          <w:p w14:paraId="2A959978" w14:textId="77777777" w:rsidR="007E596C" w:rsidRPr="0009591C" w:rsidRDefault="007E596C" w:rsidP="008F2AC3">
            <w:pPr>
              <w:widowControl w:val="0"/>
              <w:autoSpaceDE w:val="0"/>
              <w:autoSpaceDN w:val="0"/>
              <w:adjustRightInd w:val="0"/>
              <w:rPr>
                <w:sz w:val="22"/>
                <w:szCs w:val="22"/>
              </w:rPr>
            </w:pPr>
            <w:r w:rsidRPr="0009591C">
              <w:rPr>
                <w:sz w:val="22"/>
                <w:szCs w:val="22"/>
              </w:rPr>
              <w:t>Widowed</w:t>
            </w:r>
          </w:p>
        </w:tc>
        <w:tc>
          <w:tcPr>
            <w:tcW w:w="1559" w:type="dxa"/>
            <w:tcBorders>
              <w:top w:val="nil"/>
              <w:left w:val="nil"/>
              <w:bottom w:val="nil"/>
              <w:right w:val="nil"/>
            </w:tcBorders>
          </w:tcPr>
          <w:p w14:paraId="482D564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-0.259</w:t>
            </w:r>
          </w:p>
        </w:tc>
        <w:tc>
          <w:tcPr>
            <w:tcW w:w="1559" w:type="dxa"/>
            <w:tcBorders>
              <w:top w:val="nil"/>
              <w:left w:val="nil"/>
              <w:bottom w:val="nil"/>
              <w:right w:val="nil"/>
            </w:tcBorders>
          </w:tcPr>
          <w:p w14:paraId="0E53B8C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-0.274</w:t>
            </w:r>
          </w:p>
        </w:tc>
        <w:tc>
          <w:tcPr>
            <w:tcW w:w="1559" w:type="dxa"/>
            <w:tcBorders>
              <w:top w:val="nil"/>
              <w:left w:val="nil"/>
              <w:bottom w:val="nil"/>
              <w:right w:val="nil"/>
            </w:tcBorders>
          </w:tcPr>
          <w:p w14:paraId="3CE4CC7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-1.004***</w:t>
            </w:r>
          </w:p>
        </w:tc>
        <w:tc>
          <w:tcPr>
            <w:tcW w:w="1560" w:type="dxa"/>
            <w:tcBorders>
              <w:top w:val="nil"/>
              <w:left w:val="nil"/>
              <w:bottom w:val="nil"/>
              <w:right w:val="nil"/>
            </w:tcBorders>
          </w:tcPr>
          <w:p w14:paraId="3083C13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-0.264</w:t>
            </w:r>
          </w:p>
        </w:tc>
      </w:tr>
      <w:tr w:rsidR="007E596C" w:rsidRPr="00F16E86" w14:paraId="6D3EC8C9" w14:textId="77777777" w:rsidTr="00FB5EA5">
        <w:trPr>
          <w:jc w:val="center"/>
        </w:trPr>
        <w:tc>
          <w:tcPr>
            <w:tcW w:w="2835" w:type="dxa"/>
            <w:tcBorders>
              <w:top w:val="nil"/>
              <w:left w:val="nil"/>
              <w:bottom w:val="nil"/>
              <w:right w:val="nil"/>
            </w:tcBorders>
          </w:tcPr>
          <w:p w14:paraId="7C8EB3EE"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999B38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(0.328)</w:t>
            </w:r>
          </w:p>
        </w:tc>
        <w:tc>
          <w:tcPr>
            <w:tcW w:w="1559" w:type="dxa"/>
            <w:tcBorders>
              <w:top w:val="nil"/>
              <w:left w:val="nil"/>
              <w:bottom w:val="nil"/>
              <w:right w:val="nil"/>
            </w:tcBorders>
          </w:tcPr>
          <w:p w14:paraId="6889753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(0.325)</w:t>
            </w:r>
          </w:p>
        </w:tc>
        <w:tc>
          <w:tcPr>
            <w:tcW w:w="1559" w:type="dxa"/>
            <w:tcBorders>
              <w:top w:val="nil"/>
              <w:left w:val="nil"/>
              <w:bottom w:val="nil"/>
              <w:right w:val="nil"/>
            </w:tcBorders>
          </w:tcPr>
          <w:p w14:paraId="7C61E49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(0.378)</w:t>
            </w:r>
          </w:p>
        </w:tc>
        <w:tc>
          <w:tcPr>
            <w:tcW w:w="1560" w:type="dxa"/>
            <w:tcBorders>
              <w:top w:val="nil"/>
              <w:left w:val="nil"/>
              <w:bottom w:val="nil"/>
              <w:right w:val="nil"/>
            </w:tcBorders>
          </w:tcPr>
          <w:p w14:paraId="528C58F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(0.329)</w:t>
            </w:r>
          </w:p>
        </w:tc>
      </w:tr>
      <w:tr w:rsidR="007E596C" w:rsidRPr="00F16E86" w14:paraId="025CD8BF" w14:textId="77777777" w:rsidTr="00FB5EA5">
        <w:trPr>
          <w:jc w:val="center"/>
        </w:trPr>
        <w:tc>
          <w:tcPr>
            <w:tcW w:w="2835" w:type="dxa"/>
            <w:tcBorders>
              <w:top w:val="nil"/>
              <w:left w:val="nil"/>
              <w:bottom w:val="nil"/>
              <w:right w:val="nil"/>
            </w:tcBorders>
          </w:tcPr>
          <w:p w14:paraId="1CA9AFEC" w14:textId="77777777" w:rsidR="007E596C" w:rsidRPr="0009591C" w:rsidRDefault="007E596C" w:rsidP="008F2AC3">
            <w:pPr>
              <w:widowControl w:val="0"/>
              <w:autoSpaceDE w:val="0"/>
              <w:autoSpaceDN w:val="0"/>
              <w:adjustRightInd w:val="0"/>
              <w:rPr>
                <w:sz w:val="22"/>
                <w:szCs w:val="22"/>
              </w:rPr>
            </w:pPr>
            <w:r w:rsidRPr="0009591C">
              <w:rPr>
                <w:sz w:val="22"/>
                <w:szCs w:val="22"/>
              </w:rPr>
              <w:t>Divorced</w:t>
            </w:r>
          </w:p>
        </w:tc>
        <w:tc>
          <w:tcPr>
            <w:tcW w:w="1559" w:type="dxa"/>
            <w:tcBorders>
              <w:top w:val="nil"/>
              <w:left w:val="nil"/>
              <w:bottom w:val="nil"/>
              <w:right w:val="nil"/>
            </w:tcBorders>
          </w:tcPr>
          <w:p w14:paraId="34CEAF9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-0.190</w:t>
            </w:r>
          </w:p>
        </w:tc>
        <w:tc>
          <w:tcPr>
            <w:tcW w:w="1559" w:type="dxa"/>
            <w:tcBorders>
              <w:top w:val="nil"/>
              <w:left w:val="nil"/>
              <w:bottom w:val="nil"/>
              <w:right w:val="nil"/>
            </w:tcBorders>
          </w:tcPr>
          <w:p w14:paraId="783369A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-0.199*</w:t>
            </w:r>
          </w:p>
        </w:tc>
        <w:tc>
          <w:tcPr>
            <w:tcW w:w="1559" w:type="dxa"/>
            <w:tcBorders>
              <w:top w:val="nil"/>
              <w:left w:val="nil"/>
              <w:bottom w:val="nil"/>
              <w:right w:val="nil"/>
            </w:tcBorders>
          </w:tcPr>
          <w:p w14:paraId="676838A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-0.0128</w:t>
            </w:r>
          </w:p>
        </w:tc>
        <w:tc>
          <w:tcPr>
            <w:tcW w:w="1560" w:type="dxa"/>
            <w:tcBorders>
              <w:top w:val="nil"/>
              <w:left w:val="nil"/>
              <w:bottom w:val="nil"/>
              <w:right w:val="nil"/>
            </w:tcBorders>
          </w:tcPr>
          <w:p w14:paraId="24523F8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-0.212*</w:t>
            </w:r>
          </w:p>
        </w:tc>
      </w:tr>
      <w:tr w:rsidR="007E596C" w:rsidRPr="00F16E86" w14:paraId="4B649B17" w14:textId="77777777" w:rsidTr="00FB5EA5">
        <w:trPr>
          <w:jc w:val="center"/>
        </w:trPr>
        <w:tc>
          <w:tcPr>
            <w:tcW w:w="2835" w:type="dxa"/>
            <w:tcBorders>
              <w:top w:val="nil"/>
              <w:left w:val="nil"/>
              <w:bottom w:val="nil"/>
              <w:right w:val="nil"/>
            </w:tcBorders>
          </w:tcPr>
          <w:p w14:paraId="3EF3C6AB"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2919593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(0.117)</w:t>
            </w:r>
          </w:p>
        </w:tc>
        <w:tc>
          <w:tcPr>
            <w:tcW w:w="1559" w:type="dxa"/>
            <w:tcBorders>
              <w:top w:val="nil"/>
              <w:left w:val="nil"/>
              <w:bottom w:val="nil"/>
              <w:right w:val="nil"/>
            </w:tcBorders>
          </w:tcPr>
          <w:p w14:paraId="4C7FEA8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(0.117)</w:t>
            </w:r>
          </w:p>
        </w:tc>
        <w:tc>
          <w:tcPr>
            <w:tcW w:w="1559" w:type="dxa"/>
            <w:tcBorders>
              <w:top w:val="nil"/>
              <w:left w:val="nil"/>
              <w:bottom w:val="nil"/>
              <w:right w:val="nil"/>
            </w:tcBorders>
          </w:tcPr>
          <w:p w14:paraId="6254C6D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(0.157)</w:t>
            </w:r>
          </w:p>
        </w:tc>
        <w:tc>
          <w:tcPr>
            <w:tcW w:w="1560" w:type="dxa"/>
            <w:tcBorders>
              <w:top w:val="nil"/>
              <w:left w:val="nil"/>
              <w:bottom w:val="nil"/>
              <w:right w:val="nil"/>
            </w:tcBorders>
          </w:tcPr>
          <w:p w14:paraId="695DB7E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(0.117)</w:t>
            </w:r>
          </w:p>
        </w:tc>
      </w:tr>
      <w:tr w:rsidR="007E596C" w:rsidRPr="00F16E86" w14:paraId="3172E292" w14:textId="77777777" w:rsidTr="00FB5EA5">
        <w:trPr>
          <w:jc w:val="center"/>
        </w:trPr>
        <w:tc>
          <w:tcPr>
            <w:tcW w:w="2835" w:type="dxa"/>
            <w:tcBorders>
              <w:top w:val="nil"/>
              <w:left w:val="nil"/>
              <w:bottom w:val="nil"/>
              <w:right w:val="nil"/>
            </w:tcBorders>
          </w:tcPr>
          <w:p w14:paraId="6D9EA575" w14:textId="77777777" w:rsidR="007E596C" w:rsidRPr="0009591C" w:rsidRDefault="007E596C" w:rsidP="008F2AC3">
            <w:pPr>
              <w:widowControl w:val="0"/>
              <w:autoSpaceDE w:val="0"/>
              <w:autoSpaceDN w:val="0"/>
              <w:adjustRightInd w:val="0"/>
              <w:rPr>
                <w:sz w:val="22"/>
                <w:szCs w:val="22"/>
              </w:rPr>
            </w:pPr>
            <w:r w:rsidRPr="0009591C">
              <w:rPr>
                <w:sz w:val="22"/>
                <w:szCs w:val="22"/>
              </w:rPr>
              <w:t>Separated</w:t>
            </w:r>
          </w:p>
        </w:tc>
        <w:tc>
          <w:tcPr>
            <w:tcW w:w="1559" w:type="dxa"/>
            <w:tcBorders>
              <w:top w:val="nil"/>
              <w:left w:val="nil"/>
              <w:bottom w:val="nil"/>
              <w:right w:val="nil"/>
            </w:tcBorders>
          </w:tcPr>
          <w:p w14:paraId="7A3E6D1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-0.0122</w:t>
            </w:r>
          </w:p>
        </w:tc>
        <w:tc>
          <w:tcPr>
            <w:tcW w:w="1559" w:type="dxa"/>
            <w:tcBorders>
              <w:top w:val="nil"/>
              <w:left w:val="nil"/>
              <w:bottom w:val="nil"/>
              <w:right w:val="nil"/>
            </w:tcBorders>
          </w:tcPr>
          <w:p w14:paraId="47ECFC3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0.0209</w:t>
            </w:r>
          </w:p>
        </w:tc>
        <w:tc>
          <w:tcPr>
            <w:tcW w:w="1559" w:type="dxa"/>
            <w:tcBorders>
              <w:top w:val="nil"/>
              <w:left w:val="nil"/>
              <w:bottom w:val="nil"/>
              <w:right w:val="nil"/>
            </w:tcBorders>
          </w:tcPr>
          <w:p w14:paraId="69951F4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0.456</w:t>
            </w:r>
          </w:p>
        </w:tc>
        <w:tc>
          <w:tcPr>
            <w:tcW w:w="1560" w:type="dxa"/>
            <w:tcBorders>
              <w:top w:val="nil"/>
              <w:left w:val="nil"/>
              <w:bottom w:val="nil"/>
              <w:right w:val="nil"/>
            </w:tcBorders>
          </w:tcPr>
          <w:p w14:paraId="18DEABD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-0.00674</w:t>
            </w:r>
          </w:p>
        </w:tc>
      </w:tr>
      <w:tr w:rsidR="007E596C" w:rsidRPr="00F16E86" w14:paraId="76C859D1" w14:textId="77777777" w:rsidTr="00FB5EA5">
        <w:trPr>
          <w:jc w:val="center"/>
        </w:trPr>
        <w:tc>
          <w:tcPr>
            <w:tcW w:w="2835" w:type="dxa"/>
            <w:tcBorders>
              <w:top w:val="nil"/>
              <w:left w:val="nil"/>
              <w:bottom w:val="nil"/>
              <w:right w:val="nil"/>
            </w:tcBorders>
          </w:tcPr>
          <w:p w14:paraId="1F6ACCDD"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5F41FB3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(0.168)</w:t>
            </w:r>
          </w:p>
        </w:tc>
        <w:tc>
          <w:tcPr>
            <w:tcW w:w="1559" w:type="dxa"/>
            <w:tcBorders>
              <w:top w:val="nil"/>
              <w:left w:val="nil"/>
              <w:bottom w:val="nil"/>
              <w:right w:val="nil"/>
            </w:tcBorders>
          </w:tcPr>
          <w:p w14:paraId="01508C3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(0.175)</w:t>
            </w:r>
          </w:p>
        </w:tc>
        <w:tc>
          <w:tcPr>
            <w:tcW w:w="1559" w:type="dxa"/>
            <w:tcBorders>
              <w:top w:val="nil"/>
              <w:left w:val="nil"/>
              <w:bottom w:val="nil"/>
              <w:right w:val="nil"/>
            </w:tcBorders>
          </w:tcPr>
          <w:p w14:paraId="0A20A64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(0.396)</w:t>
            </w:r>
          </w:p>
        </w:tc>
        <w:tc>
          <w:tcPr>
            <w:tcW w:w="1560" w:type="dxa"/>
            <w:tcBorders>
              <w:top w:val="nil"/>
              <w:left w:val="nil"/>
              <w:bottom w:val="nil"/>
              <w:right w:val="nil"/>
            </w:tcBorders>
          </w:tcPr>
          <w:p w14:paraId="21989CE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(0.170)</w:t>
            </w:r>
          </w:p>
        </w:tc>
      </w:tr>
      <w:tr w:rsidR="007E596C" w:rsidRPr="00F16E86" w14:paraId="77CE7184" w14:textId="77777777" w:rsidTr="00FB5EA5">
        <w:trPr>
          <w:jc w:val="center"/>
        </w:trPr>
        <w:tc>
          <w:tcPr>
            <w:tcW w:w="2835" w:type="dxa"/>
            <w:tcBorders>
              <w:top w:val="nil"/>
              <w:left w:val="nil"/>
              <w:bottom w:val="nil"/>
              <w:right w:val="nil"/>
            </w:tcBorders>
          </w:tcPr>
          <w:p w14:paraId="7F2A8DD6" w14:textId="77777777" w:rsidR="007E596C" w:rsidRPr="0009591C" w:rsidRDefault="007E596C" w:rsidP="008F2AC3">
            <w:pPr>
              <w:widowControl w:val="0"/>
              <w:autoSpaceDE w:val="0"/>
              <w:autoSpaceDN w:val="0"/>
              <w:adjustRightInd w:val="0"/>
              <w:rPr>
                <w:sz w:val="22"/>
                <w:szCs w:val="22"/>
              </w:rPr>
            </w:pPr>
            <w:r w:rsidRPr="0009591C">
              <w:rPr>
                <w:sz w:val="22"/>
                <w:szCs w:val="22"/>
              </w:rPr>
              <w:t>Never married</w:t>
            </w:r>
          </w:p>
        </w:tc>
        <w:tc>
          <w:tcPr>
            <w:tcW w:w="1559" w:type="dxa"/>
            <w:tcBorders>
              <w:top w:val="nil"/>
              <w:left w:val="nil"/>
              <w:bottom w:val="nil"/>
              <w:right w:val="nil"/>
            </w:tcBorders>
          </w:tcPr>
          <w:p w14:paraId="1E904A5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-0.536***</w:t>
            </w:r>
          </w:p>
        </w:tc>
        <w:tc>
          <w:tcPr>
            <w:tcW w:w="1559" w:type="dxa"/>
            <w:tcBorders>
              <w:top w:val="nil"/>
              <w:left w:val="nil"/>
              <w:bottom w:val="nil"/>
              <w:right w:val="nil"/>
            </w:tcBorders>
          </w:tcPr>
          <w:p w14:paraId="2080F8B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-0.530***</w:t>
            </w:r>
          </w:p>
        </w:tc>
        <w:tc>
          <w:tcPr>
            <w:tcW w:w="1559" w:type="dxa"/>
            <w:tcBorders>
              <w:top w:val="nil"/>
              <w:left w:val="nil"/>
              <w:bottom w:val="nil"/>
              <w:right w:val="nil"/>
            </w:tcBorders>
          </w:tcPr>
          <w:p w14:paraId="0ED19FA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-0.574**</w:t>
            </w:r>
          </w:p>
        </w:tc>
        <w:tc>
          <w:tcPr>
            <w:tcW w:w="1560" w:type="dxa"/>
            <w:tcBorders>
              <w:top w:val="nil"/>
              <w:left w:val="nil"/>
              <w:bottom w:val="nil"/>
              <w:right w:val="nil"/>
            </w:tcBorders>
          </w:tcPr>
          <w:p w14:paraId="1AE5AA9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-0.542***</w:t>
            </w:r>
          </w:p>
        </w:tc>
      </w:tr>
      <w:tr w:rsidR="007E596C" w:rsidRPr="00F16E86" w14:paraId="4B8799E4" w14:textId="77777777" w:rsidTr="00FB5EA5">
        <w:trPr>
          <w:jc w:val="center"/>
        </w:trPr>
        <w:tc>
          <w:tcPr>
            <w:tcW w:w="2835" w:type="dxa"/>
            <w:tcBorders>
              <w:top w:val="nil"/>
              <w:left w:val="nil"/>
              <w:bottom w:val="nil"/>
              <w:right w:val="nil"/>
            </w:tcBorders>
          </w:tcPr>
          <w:p w14:paraId="45E5CF29"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1C493BA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(0.127)</w:t>
            </w:r>
          </w:p>
        </w:tc>
        <w:tc>
          <w:tcPr>
            <w:tcW w:w="1559" w:type="dxa"/>
            <w:tcBorders>
              <w:top w:val="nil"/>
              <w:left w:val="nil"/>
              <w:bottom w:val="nil"/>
              <w:right w:val="nil"/>
            </w:tcBorders>
          </w:tcPr>
          <w:p w14:paraId="408139E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(0.127)</w:t>
            </w:r>
          </w:p>
        </w:tc>
        <w:tc>
          <w:tcPr>
            <w:tcW w:w="1559" w:type="dxa"/>
            <w:tcBorders>
              <w:top w:val="nil"/>
              <w:left w:val="nil"/>
              <w:bottom w:val="nil"/>
              <w:right w:val="nil"/>
            </w:tcBorders>
          </w:tcPr>
          <w:p w14:paraId="3896FF0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(0.259)</w:t>
            </w:r>
          </w:p>
        </w:tc>
        <w:tc>
          <w:tcPr>
            <w:tcW w:w="1560" w:type="dxa"/>
            <w:tcBorders>
              <w:top w:val="nil"/>
              <w:left w:val="nil"/>
              <w:bottom w:val="nil"/>
              <w:right w:val="nil"/>
            </w:tcBorders>
          </w:tcPr>
          <w:p w14:paraId="13C36F0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(0.126)</w:t>
            </w:r>
          </w:p>
        </w:tc>
      </w:tr>
      <w:tr w:rsidR="007E596C" w:rsidRPr="00F16E86" w14:paraId="12FAE9A1" w14:textId="77777777" w:rsidTr="00FB5EA5">
        <w:trPr>
          <w:jc w:val="center"/>
        </w:trPr>
        <w:tc>
          <w:tcPr>
            <w:tcW w:w="2835" w:type="dxa"/>
            <w:tcBorders>
              <w:top w:val="nil"/>
              <w:left w:val="nil"/>
              <w:bottom w:val="nil"/>
              <w:right w:val="nil"/>
            </w:tcBorders>
          </w:tcPr>
          <w:p w14:paraId="2C278FB4" w14:textId="77777777" w:rsidR="007E596C" w:rsidRPr="0009591C" w:rsidRDefault="007E596C" w:rsidP="008F2AC3">
            <w:pPr>
              <w:widowControl w:val="0"/>
              <w:autoSpaceDE w:val="0"/>
              <w:autoSpaceDN w:val="0"/>
              <w:adjustRightInd w:val="0"/>
              <w:rPr>
                <w:sz w:val="22"/>
                <w:szCs w:val="22"/>
              </w:rPr>
            </w:pPr>
            <w:r w:rsidRPr="0009591C">
              <w:rPr>
                <w:sz w:val="22"/>
                <w:szCs w:val="22"/>
              </w:rPr>
              <w:t>Number of children</w:t>
            </w:r>
          </w:p>
        </w:tc>
        <w:tc>
          <w:tcPr>
            <w:tcW w:w="1559" w:type="dxa"/>
            <w:tcBorders>
              <w:top w:val="nil"/>
              <w:left w:val="nil"/>
              <w:bottom w:val="nil"/>
              <w:right w:val="nil"/>
            </w:tcBorders>
          </w:tcPr>
          <w:p w14:paraId="04C0B7F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-0.102***</w:t>
            </w:r>
          </w:p>
        </w:tc>
        <w:tc>
          <w:tcPr>
            <w:tcW w:w="1559" w:type="dxa"/>
            <w:tcBorders>
              <w:top w:val="nil"/>
              <w:left w:val="nil"/>
              <w:bottom w:val="nil"/>
              <w:right w:val="nil"/>
            </w:tcBorders>
          </w:tcPr>
          <w:p w14:paraId="705F6FA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-0.101***</w:t>
            </w:r>
          </w:p>
        </w:tc>
        <w:tc>
          <w:tcPr>
            <w:tcW w:w="1559" w:type="dxa"/>
            <w:tcBorders>
              <w:top w:val="nil"/>
              <w:left w:val="nil"/>
              <w:bottom w:val="nil"/>
              <w:right w:val="nil"/>
            </w:tcBorders>
          </w:tcPr>
          <w:p w14:paraId="184C28F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-0.138**</w:t>
            </w:r>
          </w:p>
        </w:tc>
        <w:tc>
          <w:tcPr>
            <w:tcW w:w="1560" w:type="dxa"/>
            <w:tcBorders>
              <w:top w:val="nil"/>
              <w:left w:val="nil"/>
              <w:bottom w:val="nil"/>
              <w:right w:val="nil"/>
            </w:tcBorders>
          </w:tcPr>
          <w:p w14:paraId="3CCCAC4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-0.0982***</w:t>
            </w:r>
          </w:p>
        </w:tc>
      </w:tr>
      <w:tr w:rsidR="007E596C" w:rsidRPr="00F16E86" w14:paraId="4D20A1AF" w14:textId="77777777" w:rsidTr="00FB5EA5">
        <w:trPr>
          <w:jc w:val="center"/>
        </w:trPr>
        <w:tc>
          <w:tcPr>
            <w:tcW w:w="2835" w:type="dxa"/>
            <w:tcBorders>
              <w:top w:val="nil"/>
              <w:left w:val="nil"/>
              <w:bottom w:val="nil"/>
              <w:right w:val="nil"/>
            </w:tcBorders>
          </w:tcPr>
          <w:p w14:paraId="3EE18F4B"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E4306D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(0.0360)</w:t>
            </w:r>
          </w:p>
        </w:tc>
        <w:tc>
          <w:tcPr>
            <w:tcW w:w="1559" w:type="dxa"/>
            <w:tcBorders>
              <w:top w:val="nil"/>
              <w:left w:val="nil"/>
              <w:bottom w:val="nil"/>
              <w:right w:val="nil"/>
            </w:tcBorders>
          </w:tcPr>
          <w:p w14:paraId="1C6B253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(0.0349)</w:t>
            </w:r>
          </w:p>
        </w:tc>
        <w:tc>
          <w:tcPr>
            <w:tcW w:w="1559" w:type="dxa"/>
            <w:tcBorders>
              <w:top w:val="nil"/>
              <w:left w:val="nil"/>
              <w:bottom w:val="nil"/>
              <w:right w:val="nil"/>
            </w:tcBorders>
          </w:tcPr>
          <w:p w14:paraId="557FECE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(0.0618)</w:t>
            </w:r>
          </w:p>
        </w:tc>
        <w:tc>
          <w:tcPr>
            <w:tcW w:w="1560" w:type="dxa"/>
            <w:tcBorders>
              <w:top w:val="nil"/>
              <w:left w:val="nil"/>
              <w:bottom w:val="nil"/>
              <w:right w:val="nil"/>
            </w:tcBorders>
          </w:tcPr>
          <w:p w14:paraId="27B1052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(0.0369)</w:t>
            </w:r>
          </w:p>
        </w:tc>
      </w:tr>
      <w:tr w:rsidR="007E596C" w:rsidRPr="00F16E86" w14:paraId="75CE9298" w14:textId="77777777" w:rsidTr="00FB5EA5">
        <w:trPr>
          <w:jc w:val="center"/>
        </w:trPr>
        <w:tc>
          <w:tcPr>
            <w:tcW w:w="2835" w:type="dxa"/>
            <w:tcBorders>
              <w:top w:val="nil"/>
              <w:left w:val="nil"/>
              <w:bottom w:val="nil"/>
              <w:right w:val="nil"/>
            </w:tcBorders>
          </w:tcPr>
          <w:p w14:paraId="77E78698" w14:textId="77777777" w:rsidR="007E596C" w:rsidRPr="0009591C" w:rsidRDefault="007E596C" w:rsidP="008F2AC3">
            <w:pPr>
              <w:widowControl w:val="0"/>
              <w:autoSpaceDE w:val="0"/>
              <w:autoSpaceDN w:val="0"/>
              <w:adjustRightInd w:val="0"/>
              <w:rPr>
                <w:sz w:val="22"/>
                <w:szCs w:val="22"/>
              </w:rPr>
            </w:pPr>
            <w:r w:rsidRPr="0009591C">
              <w:rPr>
                <w:sz w:val="22"/>
                <w:szCs w:val="22"/>
              </w:rPr>
              <w:t>Mental health score</w:t>
            </w:r>
          </w:p>
        </w:tc>
        <w:tc>
          <w:tcPr>
            <w:tcW w:w="1559" w:type="dxa"/>
            <w:tcBorders>
              <w:top w:val="nil"/>
              <w:left w:val="nil"/>
              <w:bottom w:val="nil"/>
              <w:right w:val="nil"/>
            </w:tcBorders>
          </w:tcPr>
          <w:p w14:paraId="0823752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-0.00246</w:t>
            </w:r>
          </w:p>
        </w:tc>
        <w:tc>
          <w:tcPr>
            <w:tcW w:w="1559" w:type="dxa"/>
            <w:tcBorders>
              <w:top w:val="nil"/>
              <w:left w:val="nil"/>
              <w:bottom w:val="nil"/>
              <w:right w:val="nil"/>
            </w:tcBorders>
          </w:tcPr>
          <w:p w14:paraId="5351027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-0.00270</w:t>
            </w:r>
          </w:p>
        </w:tc>
        <w:tc>
          <w:tcPr>
            <w:tcW w:w="1559" w:type="dxa"/>
            <w:tcBorders>
              <w:top w:val="nil"/>
              <w:left w:val="nil"/>
              <w:bottom w:val="nil"/>
              <w:right w:val="nil"/>
            </w:tcBorders>
          </w:tcPr>
          <w:p w14:paraId="65D9B2F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0.00285</w:t>
            </w:r>
          </w:p>
        </w:tc>
        <w:tc>
          <w:tcPr>
            <w:tcW w:w="1560" w:type="dxa"/>
            <w:tcBorders>
              <w:top w:val="nil"/>
              <w:left w:val="nil"/>
              <w:bottom w:val="nil"/>
              <w:right w:val="nil"/>
            </w:tcBorders>
          </w:tcPr>
          <w:p w14:paraId="6BB40FC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-0.00210</w:t>
            </w:r>
          </w:p>
        </w:tc>
      </w:tr>
      <w:tr w:rsidR="007E596C" w:rsidRPr="00F16E86" w14:paraId="557337F4" w14:textId="77777777" w:rsidTr="00FB5EA5">
        <w:trPr>
          <w:jc w:val="center"/>
        </w:trPr>
        <w:tc>
          <w:tcPr>
            <w:tcW w:w="2835" w:type="dxa"/>
            <w:tcBorders>
              <w:top w:val="nil"/>
              <w:left w:val="nil"/>
              <w:bottom w:val="nil"/>
              <w:right w:val="nil"/>
            </w:tcBorders>
          </w:tcPr>
          <w:p w14:paraId="10DAC5BC"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33E0822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(0.00563)</w:t>
            </w:r>
          </w:p>
        </w:tc>
        <w:tc>
          <w:tcPr>
            <w:tcW w:w="1559" w:type="dxa"/>
            <w:tcBorders>
              <w:top w:val="nil"/>
              <w:left w:val="nil"/>
              <w:bottom w:val="nil"/>
              <w:right w:val="nil"/>
            </w:tcBorders>
          </w:tcPr>
          <w:p w14:paraId="46EE0F9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(0.00568)</w:t>
            </w:r>
          </w:p>
        </w:tc>
        <w:tc>
          <w:tcPr>
            <w:tcW w:w="1559" w:type="dxa"/>
            <w:tcBorders>
              <w:top w:val="nil"/>
              <w:left w:val="nil"/>
              <w:bottom w:val="nil"/>
              <w:right w:val="nil"/>
            </w:tcBorders>
          </w:tcPr>
          <w:p w14:paraId="35D93CF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(0.00941)</w:t>
            </w:r>
          </w:p>
        </w:tc>
        <w:tc>
          <w:tcPr>
            <w:tcW w:w="1560" w:type="dxa"/>
            <w:tcBorders>
              <w:top w:val="nil"/>
              <w:left w:val="nil"/>
              <w:bottom w:val="nil"/>
              <w:right w:val="nil"/>
            </w:tcBorders>
          </w:tcPr>
          <w:p w14:paraId="6A04CE8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(0.00564)</w:t>
            </w:r>
          </w:p>
        </w:tc>
      </w:tr>
      <w:tr w:rsidR="007E596C" w:rsidRPr="00F16E86" w14:paraId="38489FC5" w14:textId="77777777" w:rsidTr="00FB5EA5">
        <w:trPr>
          <w:jc w:val="center"/>
        </w:trPr>
        <w:tc>
          <w:tcPr>
            <w:tcW w:w="2835" w:type="dxa"/>
            <w:tcBorders>
              <w:top w:val="nil"/>
              <w:left w:val="nil"/>
              <w:bottom w:val="nil"/>
              <w:right w:val="nil"/>
            </w:tcBorders>
          </w:tcPr>
          <w:p w14:paraId="4036669B" w14:textId="77777777" w:rsidR="007E596C" w:rsidRPr="0009591C" w:rsidRDefault="007E596C" w:rsidP="008F2AC3">
            <w:pPr>
              <w:widowControl w:val="0"/>
              <w:autoSpaceDE w:val="0"/>
              <w:autoSpaceDN w:val="0"/>
              <w:adjustRightInd w:val="0"/>
              <w:rPr>
                <w:sz w:val="22"/>
                <w:szCs w:val="22"/>
              </w:rPr>
            </w:pPr>
            <w:r w:rsidRPr="0009591C">
              <w:rPr>
                <w:sz w:val="22"/>
                <w:szCs w:val="22"/>
              </w:rPr>
              <w:t>Renting</w:t>
            </w:r>
          </w:p>
        </w:tc>
        <w:tc>
          <w:tcPr>
            <w:tcW w:w="1559" w:type="dxa"/>
            <w:tcBorders>
              <w:top w:val="nil"/>
              <w:left w:val="nil"/>
              <w:bottom w:val="nil"/>
              <w:right w:val="nil"/>
            </w:tcBorders>
          </w:tcPr>
          <w:p w14:paraId="020B0F6B"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7D5B3DCE"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305F020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-0.259</w:t>
            </w:r>
          </w:p>
        </w:tc>
        <w:tc>
          <w:tcPr>
            <w:tcW w:w="1560" w:type="dxa"/>
            <w:tcBorders>
              <w:top w:val="nil"/>
              <w:left w:val="nil"/>
              <w:bottom w:val="nil"/>
              <w:right w:val="nil"/>
            </w:tcBorders>
          </w:tcPr>
          <w:p w14:paraId="47DE5AA7"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70D5D247" w14:textId="77777777" w:rsidTr="00FB5EA5">
        <w:trPr>
          <w:jc w:val="center"/>
        </w:trPr>
        <w:tc>
          <w:tcPr>
            <w:tcW w:w="2835" w:type="dxa"/>
            <w:tcBorders>
              <w:top w:val="nil"/>
              <w:left w:val="nil"/>
              <w:bottom w:val="nil"/>
              <w:right w:val="nil"/>
            </w:tcBorders>
          </w:tcPr>
          <w:p w14:paraId="55262002"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32A6C598"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42F71C07"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CFB212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(0.206)</w:t>
            </w:r>
          </w:p>
        </w:tc>
        <w:tc>
          <w:tcPr>
            <w:tcW w:w="1560" w:type="dxa"/>
            <w:tcBorders>
              <w:top w:val="nil"/>
              <w:left w:val="nil"/>
              <w:bottom w:val="nil"/>
              <w:right w:val="nil"/>
            </w:tcBorders>
          </w:tcPr>
          <w:p w14:paraId="693351CB"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07A3B19A" w14:textId="77777777" w:rsidTr="00FB5EA5">
        <w:trPr>
          <w:jc w:val="center"/>
        </w:trPr>
        <w:tc>
          <w:tcPr>
            <w:tcW w:w="2835" w:type="dxa"/>
            <w:tcBorders>
              <w:top w:val="nil"/>
              <w:left w:val="nil"/>
              <w:bottom w:val="nil"/>
              <w:right w:val="nil"/>
            </w:tcBorders>
          </w:tcPr>
          <w:p w14:paraId="55F0DF75" w14:textId="77777777" w:rsidR="007E596C" w:rsidRPr="0009591C" w:rsidRDefault="007E596C" w:rsidP="008F2AC3">
            <w:pPr>
              <w:widowControl w:val="0"/>
              <w:autoSpaceDE w:val="0"/>
              <w:autoSpaceDN w:val="0"/>
              <w:adjustRightInd w:val="0"/>
              <w:rPr>
                <w:sz w:val="22"/>
                <w:szCs w:val="22"/>
              </w:rPr>
            </w:pPr>
            <w:r w:rsidRPr="0009591C">
              <w:rPr>
                <w:sz w:val="22"/>
                <w:szCs w:val="22"/>
              </w:rPr>
              <w:t>Number of pets*Education</w:t>
            </w:r>
          </w:p>
        </w:tc>
        <w:tc>
          <w:tcPr>
            <w:tcW w:w="1559" w:type="dxa"/>
            <w:tcBorders>
              <w:top w:val="nil"/>
              <w:left w:val="nil"/>
              <w:bottom w:val="nil"/>
              <w:right w:val="nil"/>
            </w:tcBorders>
          </w:tcPr>
          <w:p w14:paraId="14B97A7A"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A9C4E2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-0.0149*</w:t>
            </w:r>
          </w:p>
        </w:tc>
        <w:tc>
          <w:tcPr>
            <w:tcW w:w="1559" w:type="dxa"/>
            <w:tcBorders>
              <w:top w:val="nil"/>
              <w:left w:val="nil"/>
              <w:bottom w:val="nil"/>
              <w:right w:val="nil"/>
            </w:tcBorders>
          </w:tcPr>
          <w:p w14:paraId="496FBC22"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5E914F7F"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1AB06FAA" w14:textId="77777777" w:rsidTr="00FB5EA5">
        <w:trPr>
          <w:jc w:val="center"/>
        </w:trPr>
        <w:tc>
          <w:tcPr>
            <w:tcW w:w="2835" w:type="dxa"/>
            <w:tcBorders>
              <w:top w:val="nil"/>
              <w:left w:val="nil"/>
              <w:bottom w:val="nil"/>
              <w:right w:val="nil"/>
            </w:tcBorders>
          </w:tcPr>
          <w:p w14:paraId="2DE11B17"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2FD91966"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36B021F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(0.00848)</w:t>
            </w:r>
          </w:p>
        </w:tc>
        <w:tc>
          <w:tcPr>
            <w:tcW w:w="1559" w:type="dxa"/>
            <w:tcBorders>
              <w:top w:val="nil"/>
              <w:left w:val="nil"/>
              <w:bottom w:val="nil"/>
              <w:right w:val="nil"/>
            </w:tcBorders>
          </w:tcPr>
          <w:p w14:paraId="1E12E3C2"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55B84EB6"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4BABE079" w14:textId="77777777" w:rsidTr="00FB5EA5">
        <w:trPr>
          <w:jc w:val="center"/>
        </w:trPr>
        <w:tc>
          <w:tcPr>
            <w:tcW w:w="2835" w:type="dxa"/>
            <w:tcBorders>
              <w:top w:val="nil"/>
              <w:left w:val="nil"/>
              <w:bottom w:val="nil"/>
              <w:right w:val="nil"/>
            </w:tcBorders>
          </w:tcPr>
          <w:p w14:paraId="7DB89489" w14:textId="77777777" w:rsidR="007E596C" w:rsidRPr="0009591C" w:rsidRDefault="007E596C" w:rsidP="008F2AC3">
            <w:pPr>
              <w:widowControl w:val="0"/>
              <w:autoSpaceDE w:val="0"/>
              <w:autoSpaceDN w:val="0"/>
              <w:adjustRightInd w:val="0"/>
              <w:rPr>
                <w:sz w:val="22"/>
                <w:szCs w:val="22"/>
              </w:rPr>
            </w:pPr>
            <w:r w:rsidRPr="0009591C">
              <w:rPr>
                <w:sz w:val="22"/>
                <w:szCs w:val="22"/>
              </w:rPr>
              <w:t>Number of pets*Renting</w:t>
            </w:r>
          </w:p>
        </w:tc>
        <w:tc>
          <w:tcPr>
            <w:tcW w:w="1559" w:type="dxa"/>
            <w:tcBorders>
              <w:top w:val="nil"/>
              <w:left w:val="nil"/>
              <w:bottom w:val="nil"/>
              <w:right w:val="nil"/>
            </w:tcBorders>
          </w:tcPr>
          <w:p w14:paraId="2D274C6C"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7ABA06D"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6E36639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-0.144</w:t>
            </w:r>
          </w:p>
        </w:tc>
        <w:tc>
          <w:tcPr>
            <w:tcW w:w="1560" w:type="dxa"/>
            <w:tcBorders>
              <w:top w:val="nil"/>
              <w:left w:val="nil"/>
              <w:bottom w:val="nil"/>
              <w:right w:val="nil"/>
            </w:tcBorders>
          </w:tcPr>
          <w:p w14:paraId="37978A92"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53DB71C8" w14:textId="77777777" w:rsidTr="00FB5EA5">
        <w:trPr>
          <w:jc w:val="center"/>
        </w:trPr>
        <w:tc>
          <w:tcPr>
            <w:tcW w:w="2835" w:type="dxa"/>
            <w:tcBorders>
              <w:top w:val="nil"/>
              <w:left w:val="nil"/>
              <w:bottom w:val="nil"/>
              <w:right w:val="nil"/>
            </w:tcBorders>
          </w:tcPr>
          <w:p w14:paraId="1BCF6F34"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7FE9F148"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4CDA5DBA"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704A8B1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(0.0937)</w:t>
            </w:r>
          </w:p>
        </w:tc>
        <w:tc>
          <w:tcPr>
            <w:tcW w:w="1560" w:type="dxa"/>
            <w:tcBorders>
              <w:top w:val="nil"/>
              <w:left w:val="nil"/>
              <w:bottom w:val="nil"/>
              <w:right w:val="nil"/>
            </w:tcBorders>
          </w:tcPr>
          <w:p w14:paraId="76C738D0" w14:textId="77777777" w:rsidR="007E596C" w:rsidRPr="0009591C" w:rsidRDefault="007E596C" w:rsidP="008F2AC3">
            <w:pPr>
              <w:widowControl w:val="0"/>
              <w:autoSpaceDE w:val="0"/>
              <w:autoSpaceDN w:val="0"/>
              <w:adjustRightInd w:val="0"/>
              <w:jc w:val="center"/>
              <w:rPr>
                <w:sz w:val="22"/>
                <w:szCs w:val="22"/>
              </w:rPr>
            </w:pPr>
          </w:p>
        </w:tc>
      </w:tr>
      <w:tr w:rsidR="007E596C" w:rsidRPr="00F16E86" w14:paraId="2F5EAE1D" w14:textId="77777777" w:rsidTr="00FB5EA5">
        <w:trPr>
          <w:jc w:val="center"/>
        </w:trPr>
        <w:tc>
          <w:tcPr>
            <w:tcW w:w="2835" w:type="dxa"/>
            <w:tcBorders>
              <w:top w:val="nil"/>
              <w:left w:val="nil"/>
              <w:bottom w:val="nil"/>
              <w:right w:val="nil"/>
            </w:tcBorders>
          </w:tcPr>
          <w:p w14:paraId="24A8E6FD" w14:textId="77777777" w:rsidR="007E596C" w:rsidRPr="0009591C" w:rsidRDefault="007E596C" w:rsidP="008F2AC3">
            <w:pPr>
              <w:widowControl w:val="0"/>
              <w:autoSpaceDE w:val="0"/>
              <w:autoSpaceDN w:val="0"/>
              <w:adjustRightInd w:val="0"/>
              <w:rPr>
                <w:sz w:val="22"/>
                <w:szCs w:val="22"/>
              </w:rPr>
            </w:pPr>
            <w:r w:rsidRPr="0009591C">
              <w:rPr>
                <w:sz w:val="22"/>
                <w:szCs w:val="22"/>
              </w:rPr>
              <w:t>Number of pets*African American</w:t>
            </w:r>
          </w:p>
        </w:tc>
        <w:tc>
          <w:tcPr>
            <w:tcW w:w="1559" w:type="dxa"/>
            <w:tcBorders>
              <w:top w:val="nil"/>
              <w:left w:val="nil"/>
              <w:bottom w:val="nil"/>
              <w:right w:val="nil"/>
            </w:tcBorders>
          </w:tcPr>
          <w:p w14:paraId="7EB24FDF"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9AF27A8"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6F91256E"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2E55DF2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-0.237**</w:t>
            </w:r>
          </w:p>
        </w:tc>
      </w:tr>
      <w:tr w:rsidR="007E596C" w:rsidRPr="00F16E86" w14:paraId="25B9473C" w14:textId="77777777" w:rsidTr="00FB5EA5">
        <w:trPr>
          <w:jc w:val="center"/>
        </w:trPr>
        <w:tc>
          <w:tcPr>
            <w:tcW w:w="2835" w:type="dxa"/>
            <w:tcBorders>
              <w:top w:val="nil"/>
              <w:left w:val="nil"/>
              <w:bottom w:val="nil"/>
              <w:right w:val="nil"/>
            </w:tcBorders>
          </w:tcPr>
          <w:p w14:paraId="5E4A6B4B"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8031780"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9A981FC"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6EC7D62"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4992F47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(0.1000)</w:t>
            </w:r>
          </w:p>
        </w:tc>
      </w:tr>
      <w:tr w:rsidR="007E596C" w:rsidRPr="00F16E86" w14:paraId="77F62C99" w14:textId="77777777" w:rsidTr="00FB5EA5">
        <w:trPr>
          <w:jc w:val="center"/>
        </w:trPr>
        <w:tc>
          <w:tcPr>
            <w:tcW w:w="2835" w:type="dxa"/>
            <w:tcBorders>
              <w:top w:val="nil"/>
              <w:left w:val="nil"/>
              <w:bottom w:val="nil"/>
              <w:right w:val="nil"/>
            </w:tcBorders>
          </w:tcPr>
          <w:p w14:paraId="4FEE7FA5" w14:textId="77777777" w:rsidR="007E596C" w:rsidRPr="0009591C" w:rsidRDefault="007E596C" w:rsidP="008F2AC3">
            <w:pPr>
              <w:widowControl w:val="0"/>
              <w:autoSpaceDE w:val="0"/>
              <w:autoSpaceDN w:val="0"/>
              <w:adjustRightInd w:val="0"/>
              <w:rPr>
                <w:sz w:val="22"/>
                <w:szCs w:val="22"/>
              </w:rPr>
            </w:pPr>
            <w:r w:rsidRPr="0009591C">
              <w:rPr>
                <w:sz w:val="22"/>
                <w:szCs w:val="22"/>
              </w:rPr>
              <w:t>Number of pets*Other race</w:t>
            </w:r>
          </w:p>
        </w:tc>
        <w:tc>
          <w:tcPr>
            <w:tcW w:w="1559" w:type="dxa"/>
            <w:tcBorders>
              <w:top w:val="nil"/>
              <w:left w:val="nil"/>
              <w:bottom w:val="nil"/>
              <w:right w:val="nil"/>
            </w:tcBorders>
          </w:tcPr>
          <w:p w14:paraId="0BA3B549"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26E6AEB"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01087219"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3C0DC97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-0.0439</w:t>
            </w:r>
          </w:p>
        </w:tc>
      </w:tr>
      <w:tr w:rsidR="007E596C" w:rsidRPr="00F16E86" w14:paraId="43C4FACD" w14:textId="77777777" w:rsidTr="00FB5EA5">
        <w:trPr>
          <w:jc w:val="center"/>
        </w:trPr>
        <w:tc>
          <w:tcPr>
            <w:tcW w:w="2835" w:type="dxa"/>
            <w:tcBorders>
              <w:top w:val="nil"/>
              <w:left w:val="nil"/>
              <w:bottom w:val="nil"/>
              <w:right w:val="nil"/>
            </w:tcBorders>
          </w:tcPr>
          <w:p w14:paraId="3A19DD7F"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D532AFB"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4AA48A7E"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561DD2A" w14:textId="77777777" w:rsidR="007E596C" w:rsidRPr="0009591C" w:rsidRDefault="007E596C" w:rsidP="008F2AC3">
            <w:pPr>
              <w:widowControl w:val="0"/>
              <w:autoSpaceDE w:val="0"/>
              <w:autoSpaceDN w:val="0"/>
              <w:adjustRightInd w:val="0"/>
              <w:jc w:val="center"/>
              <w:rPr>
                <w:sz w:val="22"/>
                <w:szCs w:val="22"/>
              </w:rPr>
            </w:pPr>
          </w:p>
        </w:tc>
        <w:tc>
          <w:tcPr>
            <w:tcW w:w="1560" w:type="dxa"/>
            <w:tcBorders>
              <w:top w:val="nil"/>
              <w:left w:val="nil"/>
              <w:bottom w:val="nil"/>
              <w:right w:val="nil"/>
            </w:tcBorders>
          </w:tcPr>
          <w:p w14:paraId="366E627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(0.126)</w:t>
            </w:r>
          </w:p>
        </w:tc>
      </w:tr>
      <w:tr w:rsidR="007E596C" w:rsidRPr="00F16E86" w14:paraId="03478995" w14:textId="77777777" w:rsidTr="00FB5EA5">
        <w:trPr>
          <w:jc w:val="center"/>
        </w:trPr>
        <w:tc>
          <w:tcPr>
            <w:tcW w:w="2835" w:type="dxa"/>
            <w:tcBorders>
              <w:top w:val="nil"/>
              <w:left w:val="nil"/>
              <w:bottom w:val="nil"/>
              <w:right w:val="nil"/>
            </w:tcBorders>
          </w:tcPr>
          <w:p w14:paraId="76D65672" w14:textId="77777777" w:rsidR="007E596C" w:rsidRPr="0009591C" w:rsidRDefault="007E596C" w:rsidP="008F2AC3">
            <w:pPr>
              <w:widowControl w:val="0"/>
              <w:autoSpaceDE w:val="0"/>
              <w:autoSpaceDN w:val="0"/>
              <w:adjustRightInd w:val="0"/>
              <w:rPr>
                <w:sz w:val="22"/>
                <w:szCs w:val="22"/>
              </w:rPr>
            </w:pPr>
            <w:r w:rsidRPr="0009591C">
              <w:rPr>
                <w:sz w:val="22"/>
                <w:szCs w:val="22"/>
              </w:rPr>
              <w:t>Constant</w:t>
            </w:r>
          </w:p>
        </w:tc>
        <w:tc>
          <w:tcPr>
            <w:tcW w:w="1559" w:type="dxa"/>
            <w:tcBorders>
              <w:top w:val="nil"/>
              <w:left w:val="nil"/>
              <w:bottom w:val="nil"/>
              <w:right w:val="nil"/>
            </w:tcBorders>
          </w:tcPr>
          <w:p w14:paraId="17BF5AA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7.066***</w:t>
            </w:r>
          </w:p>
        </w:tc>
        <w:tc>
          <w:tcPr>
            <w:tcW w:w="1559" w:type="dxa"/>
            <w:tcBorders>
              <w:top w:val="nil"/>
              <w:left w:val="nil"/>
              <w:bottom w:val="nil"/>
              <w:right w:val="nil"/>
            </w:tcBorders>
          </w:tcPr>
          <w:p w14:paraId="2305D9F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6.691***</w:t>
            </w:r>
          </w:p>
        </w:tc>
        <w:tc>
          <w:tcPr>
            <w:tcW w:w="1559" w:type="dxa"/>
            <w:tcBorders>
              <w:top w:val="nil"/>
              <w:left w:val="nil"/>
              <w:bottom w:val="nil"/>
              <w:right w:val="nil"/>
            </w:tcBorders>
          </w:tcPr>
          <w:p w14:paraId="32889B8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7.277***</w:t>
            </w:r>
          </w:p>
        </w:tc>
        <w:tc>
          <w:tcPr>
            <w:tcW w:w="1560" w:type="dxa"/>
            <w:tcBorders>
              <w:top w:val="nil"/>
              <w:left w:val="nil"/>
              <w:bottom w:val="nil"/>
              <w:right w:val="nil"/>
            </w:tcBorders>
          </w:tcPr>
          <w:p w14:paraId="3DC32AA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6.936***</w:t>
            </w:r>
          </w:p>
        </w:tc>
      </w:tr>
      <w:tr w:rsidR="007E596C" w:rsidRPr="00F16E86" w14:paraId="4B8919D0" w14:textId="77777777" w:rsidTr="00FB5EA5">
        <w:trPr>
          <w:jc w:val="center"/>
        </w:trPr>
        <w:tc>
          <w:tcPr>
            <w:tcW w:w="2835" w:type="dxa"/>
            <w:tcBorders>
              <w:top w:val="nil"/>
              <w:left w:val="nil"/>
              <w:bottom w:val="nil"/>
              <w:right w:val="nil"/>
            </w:tcBorders>
          </w:tcPr>
          <w:p w14:paraId="6A75CEDA"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448D641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(0.441)</w:t>
            </w:r>
          </w:p>
        </w:tc>
        <w:tc>
          <w:tcPr>
            <w:tcW w:w="1559" w:type="dxa"/>
            <w:tcBorders>
              <w:top w:val="nil"/>
              <w:left w:val="nil"/>
              <w:bottom w:val="nil"/>
              <w:right w:val="nil"/>
            </w:tcBorders>
          </w:tcPr>
          <w:p w14:paraId="7F46214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(0.473)</w:t>
            </w:r>
          </w:p>
        </w:tc>
        <w:tc>
          <w:tcPr>
            <w:tcW w:w="1559" w:type="dxa"/>
            <w:tcBorders>
              <w:top w:val="nil"/>
              <w:left w:val="nil"/>
              <w:bottom w:val="nil"/>
              <w:right w:val="nil"/>
            </w:tcBorders>
          </w:tcPr>
          <w:p w14:paraId="4078310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(0.716)</w:t>
            </w:r>
          </w:p>
        </w:tc>
        <w:tc>
          <w:tcPr>
            <w:tcW w:w="1560" w:type="dxa"/>
            <w:tcBorders>
              <w:top w:val="nil"/>
              <w:left w:val="nil"/>
              <w:bottom w:val="nil"/>
              <w:right w:val="nil"/>
            </w:tcBorders>
          </w:tcPr>
          <w:p w14:paraId="5DFCEFD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(0.445)</w:t>
            </w:r>
          </w:p>
        </w:tc>
      </w:tr>
      <w:tr w:rsidR="007E596C" w:rsidRPr="00F16E86" w14:paraId="34D24632" w14:textId="77777777" w:rsidTr="00FB5EA5">
        <w:trPr>
          <w:jc w:val="center"/>
        </w:trPr>
        <w:tc>
          <w:tcPr>
            <w:tcW w:w="2835" w:type="dxa"/>
            <w:tcBorders>
              <w:top w:val="nil"/>
              <w:left w:val="nil"/>
              <w:bottom w:val="single" w:sz="4" w:space="0" w:color="auto"/>
              <w:right w:val="nil"/>
            </w:tcBorders>
          </w:tcPr>
          <w:p w14:paraId="65B02830" w14:textId="77777777" w:rsidR="007E596C" w:rsidRPr="0009591C" w:rsidRDefault="007E596C" w:rsidP="008F2AC3">
            <w:pPr>
              <w:widowControl w:val="0"/>
              <w:autoSpaceDE w:val="0"/>
              <w:autoSpaceDN w:val="0"/>
              <w:adjustRightInd w:val="0"/>
              <w:rPr>
                <w:sz w:val="22"/>
                <w:szCs w:val="22"/>
              </w:rPr>
            </w:pPr>
            <w:r w:rsidRPr="0009591C">
              <w:rPr>
                <w:sz w:val="22"/>
                <w:szCs w:val="22"/>
              </w:rPr>
              <w:t>Regional controls</w:t>
            </w:r>
          </w:p>
          <w:p w14:paraId="32029B4C" w14:textId="77777777" w:rsidR="007E596C" w:rsidRPr="0009591C" w:rsidRDefault="007E596C" w:rsidP="008F2AC3">
            <w:pPr>
              <w:widowControl w:val="0"/>
              <w:autoSpaceDE w:val="0"/>
              <w:autoSpaceDN w:val="0"/>
              <w:adjustRightInd w:val="0"/>
              <w:rPr>
                <w:sz w:val="22"/>
                <w:szCs w:val="22"/>
              </w:rPr>
            </w:pPr>
            <w:r w:rsidRPr="0009591C">
              <w:rPr>
                <w:sz w:val="22"/>
                <w:szCs w:val="22"/>
              </w:rPr>
              <w:t>Dwelling type controls</w:t>
            </w:r>
          </w:p>
        </w:tc>
        <w:tc>
          <w:tcPr>
            <w:tcW w:w="1559" w:type="dxa"/>
            <w:tcBorders>
              <w:top w:val="nil"/>
              <w:left w:val="nil"/>
              <w:bottom w:val="single" w:sz="4" w:space="0" w:color="auto"/>
              <w:right w:val="nil"/>
            </w:tcBorders>
          </w:tcPr>
          <w:p w14:paraId="290C6EA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5CFCDCE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NO</w:t>
            </w:r>
          </w:p>
        </w:tc>
        <w:tc>
          <w:tcPr>
            <w:tcW w:w="1559" w:type="dxa"/>
            <w:tcBorders>
              <w:top w:val="nil"/>
              <w:left w:val="nil"/>
              <w:bottom w:val="single" w:sz="4" w:space="0" w:color="auto"/>
              <w:right w:val="nil"/>
            </w:tcBorders>
          </w:tcPr>
          <w:p w14:paraId="6BB419A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774A212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NO</w:t>
            </w:r>
          </w:p>
        </w:tc>
        <w:tc>
          <w:tcPr>
            <w:tcW w:w="1559" w:type="dxa"/>
            <w:tcBorders>
              <w:top w:val="nil"/>
              <w:left w:val="nil"/>
              <w:bottom w:val="single" w:sz="4" w:space="0" w:color="auto"/>
              <w:right w:val="nil"/>
            </w:tcBorders>
          </w:tcPr>
          <w:p w14:paraId="71E668D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2F522A8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tc>
        <w:tc>
          <w:tcPr>
            <w:tcW w:w="1560" w:type="dxa"/>
            <w:tcBorders>
              <w:top w:val="nil"/>
              <w:left w:val="nil"/>
              <w:bottom w:val="single" w:sz="4" w:space="0" w:color="auto"/>
              <w:right w:val="nil"/>
            </w:tcBorders>
          </w:tcPr>
          <w:p w14:paraId="7E3625B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7E52429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NO</w:t>
            </w:r>
          </w:p>
        </w:tc>
      </w:tr>
      <w:tr w:rsidR="007E596C" w:rsidRPr="00F16E86" w14:paraId="490EDCB3" w14:textId="77777777" w:rsidTr="00FB5EA5">
        <w:trPr>
          <w:jc w:val="center"/>
        </w:trPr>
        <w:tc>
          <w:tcPr>
            <w:tcW w:w="2835" w:type="dxa"/>
            <w:tcBorders>
              <w:top w:val="single" w:sz="4" w:space="0" w:color="auto"/>
              <w:left w:val="nil"/>
              <w:bottom w:val="nil"/>
              <w:right w:val="nil"/>
            </w:tcBorders>
          </w:tcPr>
          <w:p w14:paraId="01DBB8D2" w14:textId="77777777" w:rsidR="007E596C" w:rsidRPr="0009591C" w:rsidRDefault="007E596C" w:rsidP="008F2AC3">
            <w:pPr>
              <w:widowControl w:val="0"/>
              <w:autoSpaceDE w:val="0"/>
              <w:autoSpaceDN w:val="0"/>
              <w:adjustRightInd w:val="0"/>
              <w:rPr>
                <w:sz w:val="22"/>
                <w:szCs w:val="22"/>
              </w:rPr>
            </w:pPr>
            <w:r w:rsidRPr="0009591C">
              <w:rPr>
                <w:sz w:val="22"/>
                <w:szCs w:val="22"/>
              </w:rPr>
              <w:t>Observations</w:t>
            </w:r>
          </w:p>
        </w:tc>
        <w:tc>
          <w:tcPr>
            <w:tcW w:w="1559" w:type="dxa"/>
            <w:tcBorders>
              <w:top w:val="single" w:sz="4" w:space="0" w:color="auto"/>
              <w:left w:val="nil"/>
              <w:bottom w:val="nil"/>
              <w:right w:val="nil"/>
            </w:tcBorders>
          </w:tcPr>
          <w:p w14:paraId="654DFCC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557</w:t>
            </w:r>
          </w:p>
        </w:tc>
        <w:tc>
          <w:tcPr>
            <w:tcW w:w="1559" w:type="dxa"/>
            <w:tcBorders>
              <w:top w:val="single" w:sz="4" w:space="0" w:color="auto"/>
              <w:left w:val="nil"/>
              <w:bottom w:val="nil"/>
              <w:right w:val="nil"/>
            </w:tcBorders>
          </w:tcPr>
          <w:p w14:paraId="7BE7F3E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557</w:t>
            </w:r>
          </w:p>
        </w:tc>
        <w:tc>
          <w:tcPr>
            <w:tcW w:w="1559" w:type="dxa"/>
            <w:tcBorders>
              <w:top w:val="single" w:sz="4" w:space="0" w:color="auto"/>
              <w:left w:val="nil"/>
              <w:bottom w:val="nil"/>
              <w:right w:val="nil"/>
            </w:tcBorders>
          </w:tcPr>
          <w:p w14:paraId="0C84D4F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189</w:t>
            </w:r>
          </w:p>
        </w:tc>
        <w:tc>
          <w:tcPr>
            <w:tcW w:w="1560" w:type="dxa"/>
            <w:tcBorders>
              <w:top w:val="single" w:sz="4" w:space="0" w:color="auto"/>
              <w:left w:val="nil"/>
              <w:bottom w:val="nil"/>
              <w:right w:val="nil"/>
            </w:tcBorders>
          </w:tcPr>
          <w:p w14:paraId="5EE9C3F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557</w:t>
            </w:r>
          </w:p>
        </w:tc>
      </w:tr>
      <w:tr w:rsidR="007E596C" w:rsidRPr="00F16E86" w14:paraId="1465CD84" w14:textId="77777777" w:rsidTr="00FB5EA5">
        <w:tblPrEx>
          <w:tblBorders>
            <w:bottom w:val="single" w:sz="6" w:space="0" w:color="auto"/>
          </w:tblBorders>
        </w:tblPrEx>
        <w:trPr>
          <w:jc w:val="center"/>
        </w:trPr>
        <w:tc>
          <w:tcPr>
            <w:tcW w:w="2835" w:type="dxa"/>
            <w:tcBorders>
              <w:top w:val="nil"/>
              <w:left w:val="nil"/>
              <w:bottom w:val="single" w:sz="6" w:space="0" w:color="auto"/>
              <w:right w:val="nil"/>
            </w:tcBorders>
          </w:tcPr>
          <w:p w14:paraId="5A35AB4C" w14:textId="77777777" w:rsidR="007E596C" w:rsidRPr="0009591C" w:rsidRDefault="007E596C" w:rsidP="008F2AC3">
            <w:pPr>
              <w:widowControl w:val="0"/>
              <w:autoSpaceDE w:val="0"/>
              <w:autoSpaceDN w:val="0"/>
              <w:adjustRightInd w:val="0"/>
              <w:rPr>
                <w:sz w:val="22"/>
                <w:szCs w:val="22"/>
              </w:rPr>
            </w:pPr>
            <w:r w:rsidRPr="0009591C">
              <w:rPr>
                <w:sz w:val="22"/>
                <w:szCs w:val="22"/>
              </w:rPr>
              <w:t>R-squared</w:t>
            </w:r>
          </w:p>
        </w:tc>
        <w:tc>
          <w:tcPr>
            <w:tcW w:w="1559" w:type="dxa"/>
            <w:tcBorders>
              <w:top w:val="nil"/>
              <w:left w:val="nil"/>
              <w:bottom w:val="single" w:sz="6" w:space="0" w:color="auto"/>
              <w:right w:val="nil"/>
            </w:tcBorders>
          </w:tcPr>
          <w:p w14:paraId="57F96E8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0.411</w:t>
            </w:r>
          </w:p>
        </w:tc>
        <w:tc>
          <w:tcPr>
            <w:tcW w:w="1559" w:type="dxa"/>
            <w:tcBorders>
              <w:top w:val="nil"/>
              <w:left w:val="nil"/>
              <w:bottom w:val="single" w:sz="6" w:space="0" w:color="auto"/>
              <w:right w:val="nil"/>
            </w:tcBorders>
          </w:tcPr>
          <w:p w14:paraId="17113A4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0.415</w:t>
            </w:r>
          </w:p>
        </w:tc>
        <w:tc>
          <w:tcPr>
            <w:tcW w:w="1559" w:type="dxa"/>
            <w:tcBorders>
              <w:top w:val="nil"/>
              <w:left w:val="nil"/>
              <w:bottom w:val="single" w:sz="6" w:space="0" w:color="auto"/>
              <w:right w:val="nil"/>
            </w:tcBorders>
          </w:tcPr>
          <w:p w14:paraId="0AF5B9D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0.487</w:t>
            </w:r>
          </w:p>
        </w:tc>
        <w:tc>
          <w:tcPr>
            <w:tcW w:w="1560" w:type="dxa"/>
            <w:tcBorders>
              <w:top w:val="nil"/>
              <w:left w:val="nil"/>
              <w:bottom w:val="single" w:sz="6" w:space="0" w:color="auto"/>
              <w:right w:val="nil"/>
            </w:tcBorders>
          </w:tcPr>
          <w:p w14:paraId="0FE662B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0.421</w:t>
            </w:r>
          </w:p>
        </w:tc>
      </w:tr>
    </w:tbl>
    <w:p w14:paraId="2089FBED" w14:textId="77777777" w:rsidR="007E596C" w:rsidRPr="00F16E86" w:rsidRDefault="007E596C" w:rsidP="007E596C">
      <w:pPr>
        <w:widowControl w:val="0"/>
        <w:autoSpaceDE w:val="0"/>
        <w:autoSpaceDN w:val="0"/>
        <w:adjustRightInd w:val="0"/>
        <w:rPr>
          <w:i/>
          <w:iCs/>
          <w:sz w:val="20"/>
          <w:szCs w:val="20"/>
        </w:rPr>
      </w:pPr>
      <w:r w:rsidRPr="00F16E86">
        <w:rPr>
          <w:i/>
          <w:iCs/>
          <w:sz w:val="20"/>
          <w:szCs w:val="20"/>
        </w:rPr>
        <w:t>Note: Robust standard errors in parentheses; *** p&lt;0.01, ** p&lt;0.05, * p&lt;0.1</w:t>
      </w:r>
    </w:p>
    <w:p w14:paraId="689264B3" w14:textId="77777777" w:rsidR="007E596C" w:rsidRDefault="007E596C" w:rsidP="007E596C">
      <w:pPr>
        <w:spacing w:line="480" w:lineRule="auto"/>
        <w:jc w:val="both"/>
        <w:rPr>
          <w:lang w:val="mi-NZ"/>
        </w:rPr>
      </w:pPr>
    </w:p>
    <w:p w14:paraId="532E0A4E" w14:textId="77777777" w:rsidR="007E596C" w:rsidRDefault="007E596C" w:rsidP="007E596C">
      <w:pPr>
        <w:rPr>
          <w:b/>
          <w:bCs/>
          <w:lang w:val="mi-NZ"/>
        </w:rPr>
      </w:pPr>
      <w:r>
        <w:rPr>
          <w:b/>
          <w:bCs/>
          <w:lang w:val="mi-NZ"/>
        </w:rPr>
        <w:br w:type="page"/>
      </w:r>
    </w:p>
    <w:p w14:paraId="284E4607" w14:textId="77777777" w:rsidR="007E596C" w:rsidRPr="00B416F4" w:rsidRDefault="007E596C" w:rsidP="00697F2C">
      <w:pPr>
        <w:spacing w:line="276" w:lineRule="auto"/>
        <w:jc w:val="both"/>
        <w:rPr>
          <w:b/>
          <w:bCs/>
          <w:lang w:val="mi-NZ"/>
        </w:rPr>
      </w:pPr>
      <w:r>
        <w:rPr>
          <w:b/>
          <w:bCs/>
          <w:lang w:val="mi-NZ"/>
        </w:rPr>
        <w:lastRenderedPageBreak/>
        <w:t>Table 3. OLS regression results for supplementary analyses with a binary pets variable</w:t>
      </w:r>
    </w:p>
    <w:tbl>
      <w:tblPr>
        <w:tblW w:w="8930" w:type="dxa"/>
        <w:jc w:val="center"/>
        <w:tblLayout w:type="fixed"/>
        <w:tblCellMar>
          <w:left w:w="75" w:type="dxa"/>
          <w:right w:w="75" w:type="dxa"/>
        </w:tblCellMar>
        <w:tblLook w:val="0000" w:firstRow="0" w:lastRow="0" w:firstColumn="0" w:lastColumn="0" w:noHBand="0" w:noVBand="0"/>
      </w:tblPr>
      <w:tblGrid>
        <w:gridCol w:w="2694"/>
        <w:gridCol w:w="1559"/>
        <w:gridCol w:w="1559"/>
        <w:gridCol w:w="1559"/>
        <w:gridCol w:w="1559"/>
      </w:tblGrid>
      <w:tr w:rsidR="007E596C" w:rsidRPr="007377FC" w14:paraId="4DB1DDED" w14:textId="77777777" w:rsidTr="00FB5EA5">
        <w:trPr>
          <w:jc w:val="center"/>
        </w:trPr>
        <w:tc>
          <w:tcPr>
            <w:tcW w:w="2694" w:type="dxa"/>
            <w:tcBorders>
              <w:top w:val="single" w:sz="6" w:space="0" w:color="auto"/>
              <w:left w:val="nil"/>
              <w:bottom w:val="nil"/>
              <w:right w:val="nil"/>
            </w:tcBorders>
          </w:tcPr>
          <w:p w14:paraId="5DE13F67" w14:textId="77777777" w:rsidR="007E596C" w:rsidRPr="0009591C" w:rsidRDefault="007E596C" w:rsidP="008F2AC3">
            <w:pPr>
              <w:widowControl w:val="0"/>
              <w:autoSpaceDE w:val="0"/>
              <w:autoSpaceDN w:val="0"/>
              <w:adjustRightInd w:val="0"/>
              <w:rPr>
                <w:sz w:val="22"/>
                <w:szCs w:val="22"/>
              </w:rPr>
            </w:pPr>
          </w:p>
        </w:tc>
        <w:tc>
          <w:tcPr>
            <w:tcW w:w="1559" w:type="dxa"/>
            <w:tcBorders>
              <w:top w:val="single" w:sz="6" w:space="0" w:color="auto"/>
              <w:left w:val="nil"/>
              <w:bottom w:val="nil"/>
              <w:right w:val="nil"/>
            </w:tcBorders>
          </w:tcPr>
          <w:p w14:paraId="254A297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(1)</w:t>
            </w:r>
          </w:p>
        </w:tc>
        <w:tc>
          <w:tcPr>
            <w:tcW w:w="1559" w:type="dxa"/>
            <w:tcBorders>
              <w:top w:val="single" w:sz="6" w:space="0" w:color="auto"/>
              <w:left w:val="nil"/>
              <w:bottom w:val="nil"/>
              <w:right w:val="nil"/>
            </w:tcBorders>
          </w:tcPr>
          <w:p w14:paraId="2926566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(2)</w:t>
            </w:r>
          </w:p>
        </w:tc>
        <w:tc>
          <w:tcPr>
            <w:tcW w:w="1559" w:type="dxa"/>
            <w:tcBorders>
              <w:top w:val="single" w:sz="6" w:space="0" w:color="auto"/>
              <w:left w:val="nil"/>
              <w:bottom w:val="nil"/>
              <w:right w:val="nil"/>
            </w:tcBorders>
          </w:tcPr>
          <w:p w14:paraId="3ECEB8B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(3)</w:t>
            </w:r>
          </w:p>
        </w:tc>
        <w:tc>
          <w:tcPr>
            <w:tcW w:w="1559" w:type="dxa"/>
            <w:tcBorders>
              <w:top w:val="single" w:sz="6" w:space="0" w:color="auto"/>
              <w:left w:val="nil"/>
              <w:bottom w:val="nil"/>
              <w:right w:val="nil"/>
            </w:tcBorders>
          </w:tcPr>
          <w:p w14:paraId="1B92116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(4)</w:t>
            </w:r>
          </w:p>
        </w:tc>
      </w:tr>
      <w:tr w:rsidR="007E596C" w:rsidRPr="007377FC" w14:paraId="5AD63AAE" w14:textId="77777777" w:rsidTr="00FB5EA5">
        <w:trPr>
          <w:jc w:val="center"/>
        </w:trPr>
        <w:tc>
          <w:tcPr>
            <w:tcW w:w="2694" w:type="dxa"/>
            <w:tcBorders>
              <w:top w:val="nil"/>
              <w:left w:val="nil"/>
              <w:bottom w:val="single" w:sz="6" w:space="0" w:color="auto"/>
              <w:right w:val="nil"/>
            </w:tcBorders>
          </w:tcPr>
          <w:p w14:paraId="3B9BBA92" w14:textId="77777777" w:rsidR="007E596C" w:rsidRPr="0009591C" w:rsidRDefault="007E596C" w:rsidP="008F2AC3">
            <w:pPr>
              <w:widowControl w:val="0"/>
              <w:autoSpaceDE w:val="0"/>
              <w:autoSpaceDN w:val="0"/>
              <w:adjustRightInd w:val="0"/>
              <w:rPr>
                <w:sz w:val="22"/>
                <w:szCs w:val="22"/>
              </w:rPr>
            </w:pPr>
            <w:r w:rsidRPr="0009591C">
              <w:rPr>
                <w:sz w:val="22"/>
                <w:szCs w:val="22"/>
              </w:rPr>
              <w:t>Ln (real income, 1986 USD)</w:t>
            </w:r>
          </w:p>
        </w:tc>
        <w:tc>
          <w:tcPr>
            <w:tcW w:w="1559" w:type="dxa"/>
            <w:tcBorders>
              <w:top w:val="nil"/>
              <w:left w:val="nil"/>
              <w:bottom w:val="single" w:sz="6" w:space="0" w:color="auto"/>
              <w:right w:val="nil"/>
            </w:tcBorders>
          </w:tcPr>
          <w:p w14:paraId="605134F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Basic</w:t>
            </w:r>
          </w:p>
        </w:tc>
        <w:tc>
          <w:tcPr>
            <w:tcW w:w="1559" w:type="dxa"/>
            <w:tcBorders>
              <w:top w:val="nil"/>
              <w:left w:val="nil"/>
              <w:bottom w:val="single" w:sz="6" w:space="0" w:color="auto"/>
              <w:right w:val="nil"/>
            </w:tcBorders>
          </w:tcPr>
          <w:p w14:paraId="266A2EA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Educ interact</w:t>
            </w:r>
          </w:p>
        </w:tc>
        <w:tc>
          <w:tcPr>
            <w:tcW w:w="1559" w:type="dxa"/>
            <w:tcBorders>
              <w:top w:val="nil"/>
              <w:left w:val="nil"/>
              <w:bottom w:val="single" w:sz="6" w:space="0" w:color="auto"/>
              <w:right w:val="nil"/>
            </w:tcBorders>
          </w:tcPr>
          <w:p w14:paraId="528D136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Tenure interact</w:t>
            </w:r>
          </w:p>
        </w:tc>
        <w:tc>
          <w:tcPr>
            <w:tcW w:w="1559" w:type="dxa"/>
            <w:tcBorders>
              <w:top w:val="nil"/>
              <w:left w:val="nil"/>
              <w:bottom w:val="single" w:sz="6" w:space="0" w:color="auto"/>
              <w:right w:val="nil"/>
            </w:tcBorders>
          </w:tcPr>
          <w:p w14:paraId="092E935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Race interact</w:t>
            </w:r>
          </w:p>
        </w:tc>
      </w:tr>
      <w:tr w:rsidR="007E596C" w:rsidRPr="007377FC" w14:paraId="2FB96455" w14:textId="77777777" w:rsidTr="00FB5EA5">
        <w:trPr>
          <w:jc w:val="center"/>
        </w:trPr>
        <w:tc>
          <w:tcPr>
            <w:tcW w:w="2694" w:type="dxa"/>
            <w:tcBorders>
              <w:top w:val="nil"/>
              <w:left w:val="nil"/>
              <w:bottom w:val="nil"/>
              <w:right w:val="nil"/>
            </w:tcBorders>
          </w:tcPr>
          <w:p w14:paraId="6795FE26"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043E8F3"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484C7065"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37809C6C"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BFDB945"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308EB8A9" w14:textId="77777777" w:rsidTr="00FB5EA5">
        <w:trPr>
          <w:jc w:val="center"/>
        </w:trPr>
        <w:tc>
          <w:tcPr>
            <w:tcW w:w="2694" w:type="dxa"/>
            <w:tcBorders>
              <w:top w:val="nil"/>
              <w:left w:val="nil"/>
              <w:bottom w:val="nil"/>
              <w:right w:val="nil"/>
            </w:tcBorders>
          </w:tcPr>
          <w:p w14:paraId="764AE9AA" w14:textId="77777777" w:rsidR="007E596C" w:rsidRPr="0009591C" w:rsidRDefault="007E596C" w:rsidP="008F2AC3">
            <w:pPr>
              <w:widowControl w:val="0"/>
              <w:autoSpaceDE w:val="0"/>
              <w:autoSpaceDN w:val="0"/>
              <w:adjustRightInd w:val="0"/>
              <w:rPr>
                <w:sz w:val="22"/>
                <w:szCs w:val="22"/>
              </w:rPr>
            </w:pPr>
            <w:r w:rsidRPr="0009591C">
              <w:rPr>
                <w:sz w:val="22"/>
                <w:szCs w:val="22"/>
              </w:rPr>
              <w:t>Owns a pet</w:t>
            </w:r>
          </w:p>
        </w:tc>
        <w:tc>
          <w:tcPr>
            <w:tcW w:w="1559" w:type="dxa"/>
            <w:tcBorders>
              <w:top w:val="nil"/>
              <w:left w:val="nil"/>
              <w:bottom w:val="nil"/>
              <w:right w:val="nil"/>
            </w:tcBorders>
          </w:tcPr>
          <w:p w14:paraId="32F3285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-0.0369</w:t>
            </w:r>
          </w:p>
        </w:tc>
        <w:tc>
          <w:tcPr>
            <w:tcW w:w="1559" w:type="dxa"/>
            <w:tcBorders>
              <w:top w:val="nil"/>
              <w:left w:val="nil"/>
              <w:bottom w:val="nil"/>
              <w:right w:val="nil"/>
            </w:tcBorders>
          </w:tcPr>
          <w:p w14:paraId="355EE4E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-0.0424</w:t>
            </w:r>
          </w:p>
        </w:tc>
        <w:tc>
          <w:tcPr>
            <w:tcW w:w="1559" w:type="dxa"/>
            <w:tcBorders>
              <w:top w:val="nil"/>
              <w:left w:val="nil"/>
              <w:bottom w:val="nil"/>
              <w:right w:val="nil"/>
            </w:tcBorders>
          </w:tcPr>
          <w:p w14:paraId="147F2E5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0.0288</w:t>
            </w:r>
          </w:p>
        </w:tc>
        <w:tc>
          <w:tcPr>
            <w:tcW w:w="1559" w:type="dxa"/>
            <w:tcBorders>
              <w:top w:val="nil"/>
              <w:left w:val="nil"/>
              <w:bottom w:val="nil"/>
              <w:right w:val="nil"/>
            </w:tcBorders>
          </w:tcPr>
          <w:p w14:paraId="6E222FC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0.117</w:t>
            </w:r>
          </w:p>
        </w:tc>
      </w:tr>
      <w:tr w:rsidR="007E596C" w:rsidRPr="007377FC" w14:paraId="6F7995E8" w14:textId="77777777" w:rsidTr="00FB5EA5">
        <w:trPr>
          <w:jc w:val="center"/>
        </w:trPr>
        <w:tc>
          <w:tcPr>
            <w:tcW w:w="2694" w:type="dxa"/>
            <w:tcBorders>
              <w:top w:val="nil"/>
              <w:left w:val="nil"/>
              <w:bottom w:val="nil"/>
              <w:right w:val="nil"/>
            </w:tcBorders>
          </w:tcPr>
          <w:p w14:paraId="6E4EF20D"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5A8C19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(0.0925)</w:t>
            </w:r>
          </w:p>
        </w:tc>
        <w:tc>
          <w:tcPr>
            <w:tcW w:w="1559" w:type="dxa"/>
            <w:tcBorders>
              <w:top w:val="nil"/>
              <w:left w:val="nil"/>
              <w:bottom w:val="nil"/>
              <w:right w:val="nil"/>
            </w:tcBorders>
          </w:tcPr>
          <w:p w14:paraId="1617112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(0.500)</w:t>
            </w:r>
          </w:p>
        </w:tc>
        <w:tc>
          <w:tcPr>
            <w:tcW w:w="1559" w:type="dxa"/>
            <w:tcBorders>
              <w:top w:val="nil"/>
              <w:left w:val="nil"/>
              <w:bottom w:val="nil"/>
              <w:right w:val="nil"/>
            </w:tcBorders>
          </w:tcPr>
          <w:p w14:paraId="0DF8C19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(0.187)</w:t>
            </w:r>
          </w:p>
        </w:tc>
        <w:tc>
          <w:tcPr>
            <w:tcW w:w="1559" w:type="dxa"/>
            <w:tcBorders>
              <w:top w:val="nil"/>
              <w:left w:val="nil"/>
              <w:bottom w:val="nil"/>
              <w:right w:val="nil"/>
            </w:tcBorders>
          </w:tcPr>
          <w:p w14:paraId="1B282E0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(0.104)</w:t>
            </w:r>
          </w:p>
        </w:tc>
      </w:tr>
      <w:tr w:rsidR="007E596C" w:rsidRPr="007377FC" w14:paraId="5A75681F" w14:textId="77777777" w:rsidTr="00FB5EA5">
        <w:trPr>
          <w:jc w:val="center"/>
        </w:trPr>
        <w:tc>
          <w:tcPr>
            <w:tcW w:w="2694" w:type="dxa"/>
            <w:tcBorders>
              <w:top w:val="nil"/>
              <w:left w:val="nil"/>
              <w:bottom w:val="nil"/>
              <w:right w:val="nil"/>
            </w:tcBorders>
          </w:tcPr>
          <w:p w14:paraId="2678D24E" w14:textId="77777777" w:rsidR="007E596C" w:rsidRPr="0009591C" w:rsidRDefault="007E596C" w:rsidP="008F2AC3">
            <w:pPr>
              <w:widowControl w:val="0"/>
              <w:autoSpaceDE w:val="0"/>
              <w:autoSpaceDN w:val="0"/>
              <w:adjustRightInd w:val="0"/>
              <w:rPr>
                <w:sz w:val="22"/>
                <w:szCs w:val="22"/>
              </w:rPr>
            </w:pPr>
            <w:r w:rsidRPr="0009591C">
              <w:rPr>
                <w:sz w:val="22"/>
                <w:szCs w:val="22"/>
              </w:rPr>
              <w:t>Education (school years)</w:t>
            </w:r>
          </w:p>
        </w:tc>
        <w:tc>
          <w:tcPr>
            <w:tcW w:w="1559" w:type="dxa"/>
            <w:tcBorders>
              <w:top w:val="nil"/>
              <w:left w:val="nil"/>
              <w:bottom w:val="nil"/>
              <w:right w:val="nil"/>
            </w:tcBorders>
          </w:tcPr>
          <w:p w14:paraId="0428B8E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0.115***</w:t>
            </w:r>
          </w:p>
        </w:tc>
        <w:tc>
          <w:tcPr>
            <w:tcW w:w="1559" w:type="dxa"/>
            <w:tcBorders>
              <w:top w:val="nil"/>
              <w:left w:val="nil"/>
              <w:bottom w:val="nil"/>
              <w:right w:val="nil"/>
            </w:tcBorders>
          </w:tcPr>
          <w:p w14:paraId="294A431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0.115***</w:t>
            </w:r>
          </w:p>
        </w:tc>
        <w:tc>
          <w:tcPr>
            <w:tcW w:w="1559" w:type="dxa"/>
            <w:tcBorders>
              <w:top w:val="nil"/>
              <w:left w:val="nil"/>
              <w:bottom w:val="nil"/>
              <w:right w:val="nil"/>
            </w:tcBorders>
          </w:tcPr>
          <w:p w14:paraId="20FCCD0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0.0936***</w:t>
            </w:r>
          </w:p>
        </w:tc>
        <w:tc>
          <w:tcPr>
            <w:tcW w:w="1559" w:type="dxa"/>
            <w:tcBorders>
              <w:top w:val="nil"/>
              <w:left w:val="nil"/>
              <w:bottom w:val="nil"/>
              <w:right w:val="nil"/>
            </w:tcBorders>
          </w:tcPr>
          <w:p w14:paraId="1D517EA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0.113***</w:t>
            </w:r>
          </w:p>
        </w:tc>
      </w:tr>
      <w:tr w:rsidR="007E596C" w:rsidRPr="007377FC" w14:paraId="3B7E7A0F" w14:textId="77777777" w:rsidTr="00FB5EA5">
        <w:trPr>
          <w:jc w:val="center"/>
        </w:trPr>
        <w:tc>
          <w:tcPr>
            <w:tcW w:w="2694" w:type="dxa"/>
            <w:tcBorders>
              <w:top w:val="nil"/>
              <w:left w:val="nil"/>
              <w:bottom w:val="nil"/>
              <w:right w:val="nil"/>
            </w:tcBorders>
          </w:tcPr>
          <w:p w14:paraId="65284CB8"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5614186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(0.0183)</w:t>
            </w:r>
          </w:p>
        </w:tc>
        <w:tc>
          <w:tcPr>
            <w:tcW w:w="1559" w:type="dxa"/>
            <w:tcBorders>
              <w:top w:val="nil"/>
              <w:left w:val="nil"/>
              <w:bottom w:val="nil"/>
              <w:right w:val="nil"/>
            </w:tcBorders>
          </w:tcPr>
          <w:p w14:paraId="5BF9981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(0.0231)</w:t>
            </w:r>
          </w:p>
        </w:tc>
        <w:tc>
          <w:tcPr>
            <w:tcW w:w="1559" w:type="dxa"/>
            <w:tcBorders>
              <w:top w:val="nil"/>
              <w:left w:val="nil"/>
              <w:bottom w:val="nil"/>
              <w:right w:val="nil"/>
            </w:tcBorders>
          </w:tcPr>
          <w:p w14:paraId="114C6E5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(0.0275)</w:t>
            </w:r>
          </w:p>
        </w:tc>
        <w:tc>
          <w:tcPr>
            <w:tcW w:w="1559" w:type="dxa"/>
            <w:tcBorders>
              <w:top w:val="nil"/>
              <w:left w:val="nil"/>
              <w:bottom w:val="nil"/>
              <w:right w:val="nil"/>
            </w:tcBorders>
          </w:tcPr>
          <w:p w14:paraId="3C30E99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(0.0177)</w:t>
            </w:r>
          </w:p>
        </w:tc>
      </w:tr>
      <w:tr w:rsidR="007E596C" w:rsidRPr="007377FC" w14:paraId="1B6C4B1C" w14:textId="77777777" w:rsidTr="00FB5EA5">
        <w:trPr>
          <w:jc w:val="center"/>
        </w:trPr>
        <w:tc>
          <w:tcPr>
            <w:tcW w:w="2694" w:type="dxa"/>
            <w:tcBorders>
              <w:top w:val="nil"/>
              <w:left w:val="nil"/>
              <w:bottom w:val="nil"/>
              <w:right w:val="nil"/>
            </w:tcBorders>
          </w:tcPr>
          <w:p w14:paraId="7E1D655E" w14:textId="77777777" w:rsidR="007E596C" w:rsidRPr="0009591C" w:rsidRDefault="007E596C" w:rsidP="008F2AC3">
            <w:pPr>
              <w:widowControl w:val="0"/>
              <w:autoSpaceDE w:val="0"/>
              <w:autoSpaceDN w:val="0"/>
              <w:adjustRightInd w:val="0"/>
              <w:rPr>
                <w:sz w:val="22"/>
                <w:szCs w:val="22"/>
              </w:rPr>
            </w:pPr>
            <w:r w:rsidRPr="0009591C">
              <w:rPr>
                <w:sz w:val="22"/>
                <w:szCs w:val="22"/>
              </w:rPr>
              <w:t>African American</w:t>
            </w:r>
          </w:p>
        </w:tc>
        <w:tc>
          <w:tcPr>
            <w:tcW w:w="1559" w:type="dxa"/>
            <w:tcBorders>
              <w:top w:val="nil"/>
              <w:left w:val="nil"/>
              <w:bottom w:val="nil"/>
              <w:right w:val="nil"/>
            </w:tcBorders>
          </w:tcPr>
          <w:p w14:paraId="48C6B1C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0.0316</w:t>
            </w:r>
          </w:p>
        </w:tc>
        <w:tc>
          <w:tcPr>
            <w:tcW w:w="1559" w:type="dxa"/>
            <w:tcBorders>
              <w:top w:val="nil"/>
              <w:left w:val="nil"/>
              <w:bottom w:val="nil"/>
              <w:right w:val="nil"/>
            </w:tcBorders>
          </w:tcPr>
          <w:p w14:paraId="099EBEB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0.0315</w:t>
            </w:r>
          </w:p>
        </w:tc>
        <w:tc>
          <w:tcPr>
            <w:tcW w:w="1559" w:type="dxa"/>
            <w:tcBorders>
              <w:top w:val="nil"/>
              <w:left w:val="nil"/>
              <w:bottom w:val="nil"/>
              <w:right w:val="nil"/>
            </w:tcBorders>
          </w:tcPr>
          <w:p w14:paraId="2A0643E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-0.00892</w:t>
            </w:r>
          </w:p>
        </w:tc>
        <w:tc>
          <w:tcPr>
            <w:tcW w:w="1559" w:type="dxa"/>
            <w:tcBorders>
              <w:top w:val="nil"/>
              <w:left w:val="nil"/>
              <w:bottom w:val="nil"/>
              <w:right w:val="nil"/>
            </w:tcBorders>
          </w:tcPr>
          <w:p w14:paraId="4D679FD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0.332**</w:t>
            </w:r>
          </w:p>
        </w:tc>
      </w:tr>
      <w:tr w:rsidR="007E596C" w:rsidRPr="007377FC" w14:paraId="22ED2776" w14:textId="77777777" w:rsidTr="00FB5EA5">
        <w:trPr>
          <w:jc w:val="center"/>
        </w:trPr>
        <w:tc>
          <w:tcPr>
            <w:tcW w:w="2694" w:type="dxa"/>
            <w:tcBorders>
              <w:top w:val="nil"/>
              <w:left w:val="nil"/>
              <w:bottom w:val="nil"/>
              <w:right w:val="nil"/>
            </w:tcBorders>
          </w:tcPr>
          <w:p w14:paraId="248A2DA4"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405B67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(0.133)</w:t>
            </w:r>
          </w:p>
        </w:tc>
        <w:tc>
          <w:tcPr>
            <w:tcW w:w="1559" w:type="dxa"/>
            <w:tcBorders>
              <w:top w:val="nil"/>
              <w:left w:val="nil"/>
              <w:bottom w:val="nil"/>
              <w:right w:val="nil"/>
            </w:tcBorders>
          </w:tcPr>
          <w:p w14:paraId="4A35841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(0.134)</w:t>
            </w:r>
          </w:p>
        </w:tc>
        <w:tc>
          <w:tcPr>
            <w:tcW w:w="1559" w:type="dxa"/>
            <w:tcBorders>
              <w:top w:val="nil"/>
              <w:left w:val="nil"/>
              <w:bottom w:val="nil"/>
              <w:right w:val="nil"/>
            </w:tcBorders>
          </w:tcPr>
          <w:p w14:paraId="02193B2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(0.213)</w:t>
            </w:r>
          </w:p>
        </w:tc>
        <w:tc>
          <w:tcPr>
            <w:tcW w:w="1559" w:type="dxa"/>
            <w:tcBorders>
              <w:top w:val="nil"/>
              <w:left w:val="nil"/>
              <w:bottom w:val="nil"/>
              <w:right w:val="nil"/>
            </w:tcBorders>
          </w:tcPr>
          <w:p w14:paraId="1CFFF88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(0.163)</w:t>
            </w:r>
          </w:p>
        </w:tc>
      </w:tr>
      <w:tr w:rsidR="007E596C" w:rsidRPr="007377FC" w14:paraId="631C7BA2" w14:textId="77777777" w:rsidTr="00FB5EA5">
        <w:trPr>
          <w:jc w:val="center"/>
        </w:trPr>
        <w:tc>
          <w:tcPr>
            <w:tcW w:w="2694" w:type="dxa"/>
            <w:tcBorders>
              <w:top w:val="nil"/>
              <w:left w:val="nil"/>
              <w:bottom w:val="nil"/>
              <w:right w:val="nil"/>
            </w:tcBorders>
          </w:tcPr>
          <w:p w14:paraId="7F0FA5FE" w14:textId="77777777" w:rsidR="007E596C" w:rsidRPr="0009591C" w:rsidRDefault="007E596C" w:rsidP="008F2AC3">
            <w:pPr>
              <w:widowControl w:val="0"/>
              <w:autoSpaceDE w:val="0"/>
              <w:autoSpaceDN w:val="0"/>
              <w:adjustRightInd w:val="0"/>
              <w:rPr>
                <w:sz w:val="22"/>
                <w:szCs w:val="22"/>
              </w:rPr>
            </w:pPr>
            <w:r w:rsidRPr="0009591C">
              <w:rPr>
                <w:sz w:val="22"/>
                <w:szCs w:val="22"/>
              </w:rPr>
              <w:t>Other Race</w:t>
            </w:r>
          </w:p>
        </w:tc>
        <w:tc>
          <w:tcPr>
            <w:tcW w:w="1559" w:type="dxa"/>
            <w:tcBorders>
              <w:top w:val="nil"/>
              <w:left w:val="nil"/>
              <w:bottom w:val="nil"/>
              <w:right w:val="nil"/>
            </w:tcBorders>
          </w:tcPr>
          <w:p w14:paraId="165FF01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-0.408***</w:t>
            </w:r>
          </w:p>
        </w:tc>
        <w:tc>
          <w:tcPr>
            <w:tcW w:w="1559" w:type="dxa"/>
            <w:tcBorders>
              <w:top w:val="nil"/>
              <w:left w:val="nil"/>
              <w:bottom w:val="nil"/>
              <w:right w:val="nil"/>
            </w:tcBorders>
          </w:tcPr>
          <w:p w14:paraId="798A951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-0.408***</w:t>
            </w:r>
          </w:p>
        </w:tc>
        <w:tc>
          <w:tcPr>
            <w:tcW w:w="1559" w:type="dxa"/>
            <w:tcBorders>
              <w:top w:val="nil"/>
              <w:left w:val="nil"/>
              <w:bottom w:val="nil"/>
              <w:right w:val="nil"/>
            </w:tcBorders>
          </w:tcPr>
          <w:p w14:paraId="5485B0E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-0.121</w:t>
            </w:r>
          </w:p>
        </w:tc>
        <w:tc>
          <w:tcPr>
            <w:tcW w:w="1559" w:type="dxa"/>
            <w:tcBorders>
              <w:top w:val="nil"/>
              <w:left w:val="nil"/>
              <w:bottom w:val="nil"/>
              <w:right w:val="nil"/>
            </w:tcBorders>
          </w:tcPr>
          <w:p w14:paraId="27E04DF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-0.179</w:t>
            </w:r>
          </w:p>
        </w:tc>
      </w:tr>
      <w:tr w:rsidR="007E596C" w:rsidRPr="007377FC" w14:paraId="754D30C5" w14:textId="77777777" w:rsidTr="00FB5EA5">
        <w:trPr>
          <w:jc w:val="center"/>
        </w:trPr>
        <w:tc>
          <w:tcPr>
            <w:tcW w:w="2694" w:type="dxa"/>
            <w:tcBorders>
              <w:top w:val="nil"/>
              <w:left w:val="nil"/>
              <w:bottom w:val="nil"/>
              <w:right w:val="nil"/>
            </w:tcBorders>
          </w:tcPr>
          <w:p w14:paraId="56BFF3CE"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1CF90CA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(0.148)</w:t>
            </w:r>
          </w:p>
        </w:tc>
        <w:tc>
          <w:tcPr>
            <w:tcW w:w="1559" w:type="dxa"/>
            <w:tcBorders>
              <w:top w:val="nil"/>
              <w:left w:val="nil"/>
              <w:bottom w:val="nil"/>
              <w:right w:val="nil"/>
            </w:tcBorders>
          </w:tcPr>
          <w:p w14:paraId="1966AB2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(0.147)</w:t>
            </w:r>
          </w:p>
        </w:tc>
        <w:tc>
          <w:tcPr>
            <w:tcW w:w="1559" w:type="dxa"/>
            <w:tcBorders>
              <w:top w:val="nil"/>
              <w:left w:val="nil"/>
              <w:bottom w:val="nil"/>
              <w:right w:val="nil"/>
            </w:tcBorders>
          </w:tcPr>
          <w:p w14:paraId="12C093C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(0.268)</w:t>
            </w:r>
          </w:p>
        </w:tc>
        <w:tc>
          <w:tcPr>
            <w:tcW w:w="1559" w:type="dxa"/>
            <w:tcBorders>
              <w:top w:val="nil"/>
              <w:left w:val="nil"/>
              <w:bottom w:val="nil"/>
              <w:right w:val="nil"/>
            </w:tcBorders>
          </w:tcPr>
          <w:p w14:paraId="00F2951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(0.176)</w:t>
            </w:r>
          </w:p>
        </w:tc>
      </w:tr>
      <w:tr w:rsidR="007E596C" w:rsidRPr="007377FC" w14:paraId="1442EC0E" w14:textId="77777777" w:rsidTr="00FB5EA5">
        <w:trPr>
          <w:jc w:val="center"/>
        </w:trPr>
        <w:tc>
          <w:tcPr>
            <w:tcW w:w="2694" w:type="dxa"/>
            <w:tcBorders>
              <w:top w:val="nil"/>
              <w:left w:val="nil"/>
              <w:bottom w:val="nil"/>
              <w:right w:val="nil"/>
            </w:tcBorders>
          </w:tcPr>
          <w:p w14:paraId="2D54EAFB" w14:textId="77777777" w:rsidR="007E596C" w:rsidRPr="0009591C" w:rsidRDefault="007E596C" w:rsidP="008F2AC3">
            <w:pPr>
              <w:widowControl w:val="0"/>
              <w:autoSpaceDE w:val="0"/>
              <w:autoSpaceDN w:val="0"/>
              <w:adjustRightInd w:val="0"/>
              <w:rPr>
                <w:sz w:val="22"/>
                <w:szCs w:val="22"/>
              </w:rPr>
            </w:pPr>
            <w:r w:rsidRPr="0009591C">
              <w:rPr>
                <w:sz w:val="22"/>
                <w:szCs w:val="22"/>
              </w:rPr>
              <w:t>Female</w:t>
            </w:r>
          </w:p>
        </w:tc>
        <w:tc>
          <w:tcPr>
            <w:tcW w:w="1559" w:type="dxa"/>
            <w:tcBorders>
              <w:top w:val="nil"/>
              <w:left w:val="nil"/>
              <w:bottom w:val="nil"/>
              <w:right w:val="nil"/>
            </w:tcBorders>
          </w:tcPr>
          <w:p w14:paraId="2DC7767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-0.359***</w:t>
            </w:r>
          </w:p>
        </w:tc>
        <w:tc>
          <w:tcPr>
            <w:tcW w:w="1559" w:type="dxa"/>
            <w:tcBorders>
              <w:top w:val="nil"/>
              <w:left w:val="nil"/>
              <w:bottom w:val="nil"/>
              <w:right w:val="nil"/>
            </w:tcBorders>
          </w:tcPr>
          <w:p w14:paraId="5818F13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-0.359***</w:t>
            </w:r>
          </w:p>
        </w:tc>
        <w:tc>
          <w:tcPr>
            <w:tcW w:w="1559" w:type="dxa"/>
            <w:tcBorders>
              <w:top w:val="nil"/>
              <w:left w:val="nil"/>
              <w:bottom w:val="nil"/>
              <w:right w:val="nil"/>
            </w:tcBorders>
          </w:tcPr>
          <w:p w14:paraId="4FEBF04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-0.509***</w:t>
            </w:r>
          </w:p>
        </w:tc>
        <w:tc>
          <w:tcPr>
            <w:tcW w:w="1559" w:type="dxa"/>
            <w:tcBorders>
              <w:top w:val="nil"/>
              <w:left w:val="nil"/>
              <w:bottom w:val="nil"/>
              <w:right w:val="nil"/>
            </w:tcBorders>
          </w:tcPr>
          <w:p w14:paraId="296EA1D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-0.368***</w:t>
            </w:r>
          </w:p>
        </w:tc>
      </w:tr>
      <w:tr w:rsidR="007E596C" w:rsidRPr="007377FC" w14:paraId="6C12CE16" w14:textId="77777777" w:rsidTr="00FB5EA5">
        <w:trPr>
          <w:jc w:val="center"/>
        </w:trPr>
        <w:tc>
          <w:tcPr>
            <w:tcW w:w="2694" w:type="dxa"/>
            <w:tcBorders>
              <w:top w:val="nil"/>
              <w:left w:val="nil"/>
              <w:bottom w:val="nil"/>
              <w:right w:val="nil"/>
            </w:tcBorders>
          </w:tcPr>
          <w:p w14:paraId="666684BD"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5FF349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(0.0887)</w:t>
            </w:r>
          </w:p>
        </w:tc>
        <w:tc>
          <w:tcPr>
            <w:tcW w:w="1559" w:type="dxa"/>
            <w:tcBorders>
              <w:top w:val="nil"/>
              <w:left w:val="nil"/>
              <w:bottom w:val="nil"/>
              <w:right w:val="nil"/>
            </w:tcBorders>
          </w:tcPr>
          <w:p w14:paraId="2A90FD8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(0.0886)</w:t>
            </w:r>
          </w:p>
        </w:tc>
        <w:tc>
          <w:tcPr>
            <w:tcW w:w="1559" w:type="dxa"/>
            <w:tcBorders>
              <w:top w:val="nil"/>
              <w:left w:val="nil"/>
              <w:bottom w:val="nil"/>
              <w:right w:val="nil"/>
            </w:tcBorders>
          </w:tcPr>
          <w:p w14:paraId="175A6C1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(0.169)</w:t>
            </w:r>
          </w:p>
        </w:tc>
        <w:tc>
          <w:tcPr>
            <w:tcW w:w="1559" w:type="dxa"/>
            <w:tcBorders>
              <w:top w:val="nil"/>
              <w:left w:val="nil"/>
              <w:bottom w:val="nil"/>
              <w:right w:val="nil"/>
            </w:tcBorders>
          </w:tcPr>
          <w:p w14:paraId="02F0D47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(0.0869)</w:t>
            </w:r>
          </w:p>
        </w:tc>
      </w:tr>
      <w:tr w:rsidR="007E596C" w:rsidRPr="007377FC" w14:paraId="4D656AC8" w14:textId="77777777" w:rsidTr="00FB5EA5">
        <w:trPr>
          <w:jc w:val="center"/>
        </w:trPr>
        <w:tc>
          <w:tcPr>
            <w:tcW w:w="2694" w:type="dxa"/>
            <w:tcBorders>
              <w:top w:val="nil"/>
              <w:left w:val="nil"/>
              <w:bottom w:val="nil"/>
              <w:right w:val="nil"/>
            </w:tcBorders>
          </w:tcPr>
          <w:p w14:paraId="2879166F" w14:textId="77777777" w:rsidR="007E596C" w:rsidRPr="0009591C" w:rsidRDefault="007E596C" w:rsidP="008F2AC3">
            <w:pPr>
              <w:widowControl w:val="0"/>
              <w:autoSpaceDE w:val="0"/>
              <w:autoSpaceDN w:val="0"/>
              <w:adjustRightInd w:val="0"/>
              <w:rPr>
                <w:sz w:val="22"/>
                <w:szCs w:val="22"/>
              </w:rPr>
            </w:pPr>
            <w:r w:rsidRPr="0009591C">
              <w:rPr>
                <w:sz w:val="22"/>
                <w:szCs w:val="22"/>
              </w:rPr>
              <w:t>Experience</w:t>
            </w:r>
          </w:p>
        </w:tc>
        <w:tc>
          <w:tcPr>
            <w:tcW w:w="1559" w:type="dxa"/>
            <w:tcBorders>
              <w:top w:val="nil"/>
              <w:left w:val="nil"/>
              <w:bottom w:val="nil"/>
              <w:right w:val="nil"/>
            </w:tcBorders>
          </w:tcPr>
          <w:p w14:paraId="485E753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0.0571***</w:t>
            </w:r>
          </w:p>
        </w:tc>
        <w:tc>
          <w:tcPr>
            <w:tcW w:w="1559" w:type="dxa"/>
            <w:tcBorders>
              <w:top w:val="nil"/>
              <w:left w:val="nil"/>
              <w:bottom w:val="nil"/>
              <w:right w:val="nil"/>
            </w:tcBorders>
          </w:tcPr>
          <w:p w14:paraId="6AC3B77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0.0571***</w:t>
            </w:r>
          </w:p>
        </w:tc>
        <w:tc>
          <w:tcPr>
            <w:tcW w:w="1559" w:type="dxa"/>
            <w:tcBorders>
              <w:top w:val="nil"/>
              <w:left w:val="nil"/>
              <w:bottom w:val="nil"/>
              <w:right w:val="nil"/>
            </w:tcBorders>
          </w:tcPr>
          <w:p w14:paraId="71622D1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0.0487**</w:t>
            </w:r>
          </w:p>
        </w:tc>
        <w:tc>
          <w:tcPr>
            <w:tcW w:w="1559" w:type="dxa"/>
            <w:tcBorders>
              <w:top w:val="nil"/>
              <w:left w:val="nil"/>
              <w:bottom w:val="nil"/>
              <w:right w:val="nil"/>
            </w:tcBorders>
          </w:tcPr>
          <w:p w14:paraId="5E67C10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0.0591***</w:t>
            </w:r>
          </w:p>
        </w:tc>
      </w:tr>
      <w:tr w:rsidR="007E596C" w:rsidRPr="007377FC" w14:paraId="2338B1EA" w14:textId="77777777" w:rsidTr="00FB5EA5">
        <w:trPr>
          <w:jc w:val="center"/>
        </w:trPr>
        <w:tc>
          <w:tcPr>
            <w:tcW w:w="2694" w:type="dxa"/>
            <w:tcBorders>
              <w:top w:val="nil"/>
              <w:left w:val="nil"/>
              <w:bottom w:val="nil"/>
              <w:right w:val="nil"/>
            </w:tcBorders>
          </w:tcPr>
          <w:p w14:paraId="46BE65CE"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11545FF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(0.0141)</w:t>
            </w:r>
          </w:p>
        </w:tc>
        <w:tc>
          <w:tcPr>
            <w:tcW w:w="1559" w:type="dxa"/>
            <w:tcBorders>
              <w:top w:val="nil"/>
              <w:left w:val="nil"/>
              <w:bottom w:val="nil"/>
              <w:right w:val="nil"/>
            </w:tcBorders>
          </w:tcPr>
          <w:p w14:paraId="6CF1345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(0.0142)</w:t>
            </w:r>
          </w:p>
        </w:tc>
        <w:tc>
          <w:tcPr>
            <w:tcW w:w="1559" w:type="dxa"/>
            <w:tcBorders>
              <w:top w:val="nil"/>
              <w:left w:val="nil"/>
              <w:bottom w:val="nil"/>
              <w:right w:val="nil"/>
            </w:tcBorders>
          </w:tcPr>
          <w:p w14:paraId="7C7178E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(0.0198)</w:t>
            </w:r>
          </w:p>
        </w:tc>
        <w:tc>
          <w:tcPr>
            <w:tcW w:w="1559" w:type="dxa"/>
            <w:tcBorders>
              <w:top w:val="nil"/>
              <w:left w:val="nil"/>
              <w:bottom w:val="nil"/>
              <w:right w:val="nil"/>
            </w:tcBorders>
          </w:tcPr>
          <w:p w14:paraId="2838B9B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(0.0139)</w:t>
            </w:r>
          </w:p>
        </w:tc>
      </w:tr>
      <w:tr w:rsidR="007E596C" w:rsidRPr="007377FC" w14:paraId="605B1412" w14:textId="77777777" w:rsidTr="00FB5EA5">
        <w:trPr>
          <w:jc w:val="center"/>
        </w:trPr>
        <w:tc>
          <w:tcPr>
            <w:tcW w:w="2694" w:type="dxa"/>
            <w:tcBorders>
              <w:top w:val="nil"/>
              <w:left w:val="nil"/>
              <w:bottom w:val="nil"/>
              <w:right w:val="nil"/>
            </w:tcBorders>
          </w:tcPr>
          <w:p w14:paraId="510E2617" w14:textId="77777777" w:rsidR="007E596C" w:rsidRPr="0009591C" w:rsidRDefault="007E596C" w:rsidP="008F2AC3">
            <w:pPr>
              <w:widowControl w:val="0"/>
              <w:autoSpaceDE w:val="0"/>
              <w:autoSpaceDN w:val="0"/>
              <w:adjustRightInd w:val="0"/>
              <w:rPr>
                <w:sz w:val="22"/>
                <w:szCs w:val="22"/>
              </w:rPr>
            </w:pPr>
            <w:r w:rsidRPr="0009591C">
              <w:rPr>
                <w:sz w:val="22"/>
                <w:szCs w:val="22"/>
              </w:rPr>
              <w:t>Experience^2</w:t>
            </w:r>
          </w:p>
        </w:tc>
        <w:tc>
          <w:tcPr>
            <w:tcW w:w="1559" w:type="dxa"/>
            <w:tcBorders>
              <w:top w:val="nil"/>
              <w:left w:val="nil"/>
              <w:bottom w:val="nil"/>
              <w:right w:val="nil"/>
            </w:tcBorders>
          </w:tcPr>
          <w:p w14:paraId="26D8102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-0.000783***</w:t>
            </w:r>
          </w:p>
        </w:tc>
        <w:tc>
          <w:tcPr>
            <w:tcW w:w="1559" w:type="dxa"/>
            <w:tcBorders>
              <w:top w:val="nil"/>
              <w:left w:val="nil"/>
              <w:bottom w:val="nil"/>
              <w:right w:val="nil"/>
            </w:tcBorders>
          </w:tcPr>
          <w:p w14:paraId="49F0932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-0.000783***</w:t>
            </w:r>
          </w:p>
        </w:tc>
        <w:tc>
          <w:tcPr>
            <w:tcW w:w="1559" w:type="dxa"/>
            <w:tcBorders>
              <w:top w:val="nil"/>
              <w:left w:val="nil"/>
              <w:bottom w:val="nil"/>
              <w:right w:val="nil"/>
            </w:tcBorders>
          </w:tcPr>
          <w:p w14:paraId="2D4A9AC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-0.000564*</w:t>
            </w:r>
          </w:p>
        </w:tc>
        <w:tc>
          <w:tcPr>
            <w:tcW w:w="1559" w:type="dxa"/>
            <w:tcBorders>
              <w:top w:val="nil"/>
              <w:left w:val="nil"/>
              <w:bottom w:val="nil"/>
              <w:right w:val="nil"/>
            </w:tcBorders>
          </w:tcPr>
          <w:p w14:paraId="2220D36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-0.000801***</w:t>
            </w:r>
          </w:p>
        </w:tc>
      </w:tr>
      <w:tr w:rsidR="007E596C" w:rsidRPr="007377FC" w14:paraId="32F2E886" w14:textId="77777777" w:rsidTr="00FB5EA5">
        <w:trPr>
          <w:jc w:val="center"/>
        </w:trPr>
        <w:tc>
          <w:tcPr>
            <w:tcW w:w="2694" w:type="dxa"/>
            <w:tcBorders>
              <w:top w:val="nil"/>
              <w:left w:val="nil"/>
              <w:bottom w:val="nil"/>
              <w:right w:val="nil"/>
            </w:tcBorders>
          </w:tcPr>
          <w:p w14:paraId="211DE7D5"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1353A26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(0.000255)</w:t>
            </w:r>
          </w:p>
        </w:tc>
        <w:tc>
          <w:tcPr>
            <w:tcW w:w="1559" w:type="dxa"/>
            <w:tcBorders>
              <w:top w:val="nil"/>
              <w:left w:val="nil"/>
              <w:bottom w:val="nil"/>
              <w:right w:val="nil"/>
            </w:tcBorders>
          </w:tcPr>
          <w:p w14:paraId="0A8B3DD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(0.000255)</w:t>
            </w:r>
          </w:p>
        </w:tc>
        <w:tc>
          <w:tcPr>
            <w:tcW w:w="1559" w:type="dxa"/>
            <w:tcBorders>
              <w:top w:val="nil"/>
              <w:left w:val="nil"/>
              <w:bottom w:val="nil"/>
              <w:right w:val="nil"/>
            </w:tcBorders>
          </w:tcPr>
          <w:p w14:paraId="1ACF24F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(0.000309)</w:t>
            </w:r>
          </w:p>
        </w:tc>
        <w:tc>
          <w:tcPr>
            <w:tcW w:w="1559" w:type="dxa"/>
            <w:tcBorders>
              <w:top w:val="nil"/>
              <w:left w:val="nil"/>
              <w:bottom w:val="nil"/>
              <w:right w:val="nil"/>
            </w:tcBorders>
          </w:tcPr>
          <w:p w14:paraId="17C9C76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(0.000251)</w:t>
            </w:r>
          </w:p>
        </w:tc>
      </w:tr>
      <w:tr w:rsidR="007E596C" w:rsidRPr="007377FC" w14:paraId="3693C0AD" w14:textId="77777777" w:rsidTr="00FB5EA5">
        <w:trPr>
          <w:jc w:val="center"/>
        </w:trPr>
        <w:tc>
          <w:tcPr>
            <w:tcW w:w="2694" w:type="dxa"/>
            <w:tcBorders>
              <w:top w:val="nil"/>
              <w:left w:val="nil"/>
              <w:bottom w:val="nil"/>
              <w:right w:val="nil"/>
            </w:tcBorders>
          </w:tcPr>
          <w:p w14:paraId="2BCF2211" w14:textId="77777777" w:rsidR="007E596C" w:rsidRPr="0009591C" w:rsidRDefault="007E596C" w:rsidP="008F2AC3">
            <w:pPr>
              <w:widowControl w:val="0"/>
              <w:autoSpaceDE w:val="0"/>
              <w:autoSpaceDN w:val="0"/>
              <w:adjustRightInd w:val="0"/>
              <w:rPr>
                <w:sz w:val="22"/>
                <w:szCs w:val="22"/>
              </w:rPr>
            </w:pPr>
            <w:r w:rsidRPr="0009591C">
              <w:rPr>
                <w:sz w:val="22"/>
                <w:szCs w:val="22"/>
              </w:rPr>
              <w:t>Weekly hours worked</w:t>
            </w:r>
          </w:p>
        </w:tc>
        <w:tc>
          <w:tcPr>
            <w:tcW w:w="1559" w:type="dxa"/>
            <w:tcBorders>
              <w:top w:val="nil"/>
              <w:left w:val="nil"/>
              <w:bottom w:val="nil"/>
              <w:right w:val="nil"/>
            </w:tcBorders>
          </w:tcPr>
          <w:p w14:paraId="445AA14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0.0214***</w:t>
            </w:r>
          </w:p>
        </w:tc>
        <w:tc>
          <w:tcPr>
            <w:tcW w:w="1559" w:type="dxa"/>
            <w:tcBorders>
              <w:top w:val="nil"/>
              <w:left w:val="nil"/>
              <w:bottom w:val="nil"/>
              <w:right w:val="nil"/>
            </w:tcBorders>
          </w:tcPr>
          <w:p w14:paraId="63EAA02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0.0214***</w:t>
            </w:r>
          </w:p>
        </w:tc>
        <w:tc>
          <w:tcPr>
            <w:tcW w:w="1559" w:type="dxa"/>
            <w:tcBorders>
              <w:top w:val="nil"/>
              <w:left w:val="nil"/>
              <w:bottom w:val="nil"/>
              <w:right w:val="nil"/>
            </w:tcBorders>
          </w:tcPr>
          <w:p w14:paraId="3B0EACD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0.0178***</w:t>
            </w:r>
          </w:p>
        </w:tc>
        <w:tc>
          <w:tcPr>
            <w:tcW w:w="1559" w:type="dxa"/>
            <w:tcBorders>
              <w:top w:val="nil"/>
              <w:left w:val="nil"/>
              <w:bottom w:val="nil"/>
              <w:right w:val="nil"/>
            </w:tcBorders>
          </w:tcPr>
          <w:p w14:paraId="3D09A88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0.0222***</w:t>
            </w:r>
          </w:p>
        </w:tc>
      </w:tr>
      <w:tr w:rsidR="007E596C" w:rsidRPr="007377FC" w14:paraId="20434BF6" w14:textId="77777777" w:rsidTr="00FB5EA5">
        <w:trPr>
          <w:jc w:val="center"/>
        </w:trPr>
        <w:tc>
          <w:tcPr>
            <w:tcW w:w="2694" w:type="dxa"/>
            <w:tcBorders>
              <w:top w:val="nil"/>
              <w:left w:val="nil"/>
              <w:bottom w:val="nil"/>
              <w:right w:val="nil"/>
            </w:tcBorders>
          </w:tcPr>
          <w:p w14:paraId="5D538111"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78B494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(0.00364)</w:t>
            </w:r>
          </w:p>
        </w:tc>
        <w:tc>
          <w:tcPr>
            <w:tcW w:w="1559" w:type="dxa"/>
            <w:tcBorders>
              <w:top w:val="nil"/>
              <w:left w:val="nil"/>
              <w:bottom w:val="nil"/>
              <w:right w:val="nil"/>
            </w:tcBorders>
          </w:tcPr>
          <w:p w14:paraId="6588374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(0.00364)</w:t>
            </w:r>
          </w:p>
        </w:tc>
        <w:tc>
          <w:tcPr>
            <w:tcW w:w="1559" w:type="dxa"/>
            <w:tcBorders>
              <w:top w:val="nil"/>
              <w:left w:val="nil"/>
              <w:bottom w:val="nil"/>
              <w:right w:val="nil"/>
            </w:tcBorders>
          </w:tcPr>
          <w:p w14:paraId="35BCDDD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(0.00504)</w:t>
            </w:r>
          </w:p>
        </w:tc>
        <w:tc>
          <w:tcPr>
            <w:tcW w:w="1559" w:type="dxa"/>
            <w:tcBorders>
              <w:top w:val="nil"/>
              <w:left w:val="nil"/>
              <w:bottom w:val="nil"/>
              <w:right w:val="nil"/>
            </w:tcBorders>
          </w:tcPr>
          <w:p w14:paraId="2996FBB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(0.00358)</w:t>
            </w:r>
          </w:p>
        </w:tc>
      </w:tr>
      <w:tr w:rsidR="007E596C" w:rsidRPr="007377FC" w14:paraId="0897C7FF" w14:textId="77777777" w:rsidTr="00FB5EA5">
        <w:trPr>
          <w:jc w:val="center"/>
        </w:trPr>
        <w:tc>
          <w:tcPr>
            <w:tcW w:w="2694" w:type="dxa"/>
            <w:tcBorders>
              <w:top w:val="nil"/>
              <w:left w:val="nil"/>
              <w:bottom w:val="nil"/>
              <w:right w:val="nil"/>
            </w:tcBorders>
          </w:tcPr>
          <w:p w14:paraId="50C5E3D9" w14:textId="77777777" w:rsidR="007E596C" w:rsidRPr="0009591C" w:rsidRDefault="007E596C" w:rsidP="008F2AC3">
            <w:pPr>
              <w:widowControl w:val="0"/>
              <w:autoSpaceDE w:val="0"/>
              <w:autoSpaceDN w:val="0"/>
              <w:adjustRightInd w:val="0"/>
              <w:rPr>
                <w:sz w:val="22"/>
                <w:szCs w:val="22"/>
              </w:rPr>
            </w:pPr>
            <w:r w:rsidRPr="0009591C">
              <w:rPr>
                <w:sz w:val="22"/>
                <w:szCs w:val="22"/>
              </w:rPr>
              <w:t>Widowed</w:t>
            </w:r>
          </w:p>
        </w:tc>
        <w:tc>
          <w:tcPr>
            <w:tcW w:w="1559" w:type="dxa"/>
            <w:tcBorders>
              <w:top w:val="nil"/>
              <w:left w:val="nil"/>
              <w:bottom w:val="nil"/>
              <w:right w:val="nil"/>
            </w:tcBorders>
          </w:tcPr>
          <w:p w14:paraId="52C2E09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-0.298</w:t>
            </w:r>
          </w:p>
        </w:tc>
        <w:tc>
          <w:tcPr>
            <w:tcW w:w="1559" w:type="dxa"/>
            <w:tcBorders>
              <w:top w:val="nil"/>
              <w:left w:val="nil"/>
              <w:bottom w:val="nil"/>
              <w:right w:val="nil"/>
            </w:tcBorders>
          </w:tcPr>
          <w:p w14:paraId="192FA64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-0.298</w:t>
            </w:r>
          </w:p>
        </w:tc>
        <w:tc>
          <w:tcPr>
            <w:tcW w:w="1559" w:type="dxa"/>
            <w:tcBorders>
              <w:top w:val="nil"/>
              <w:left w:val="nil"/>
              <w:bottom w:val="nil"/>
              <w:right w:val="nil"/>
            </w:tcBorders>
          </w:tcPr>
          <w:p w14:paraId="540AB0F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-0.955**</w:t>
            </w:r>
          </w:p>
        </w:tc>
        <w:tc>
          <w:tcPr>
            <w:tcW w:w="1559" w:type="dxa"/>
            <w:tcBorders>
              <w:top w:val="nil"/>
              <w:left w:val="nil"/>
              <w:bottom w:val="nil"/>
              <w:right w:val="nil"/>
            </w:tcBorders>
          </w:tcPr>
          <w:p w14:paraId="3933859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-0.328</w:t>
            </w:r>
          </w:p>
        </w:tc>
      </w:tr>
      <w:tr w:rsidR="007E596C" w:rsidRPr="007377FC" w14:paraId="6CCAD526" w14:textId="77777777" w:rsidTr="00FB5EA5">
        <w:trPr>
          <w:jc w:val="center"/>
        </w:trPr>
        <w:tc>
          <w:tcPr>
            <w:tcW w:w="2694" w:type="dxa"/>
            <w:tcBorders>
              <w:top w:val="nil"/>
              <w:left w:val="nil"/>
              <w:bottom w:val="nil"/>
              <w:right w:val="nil"/>
            </w:tcBorders>
          </w:tcPr>
          <w:p w14:paraId="41E03D94"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52A73C9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(0.330)</w:t>
            </w:r>
          </w:p>
        </w:tc>
        <w:tc>
          <w:tcPr>
            <w:tcW w:w="1559" w:type="dxa"/>
            <w:tcBorders>
              <w:top w:val="nil"/>
              <w:left w:val="nil"/>
              <w:bottom w:val="nil"/>
              <w:right w:val="nil"/>
            </w:tcBorders>
          </w:tcPr>
          <w:p w14:paraId="74CC674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(0.330)</w:t>
            </w:r>
          </w:p>
        </w:tc>
        <w:tc>
          <w:tcPr>
            <w:tcW w:w="1559" w:type="dxa"/>
            <w:tcBorders>
              <w:top w:val="nil"/>
              <w:left w:val="nil"/>
              <w:bottom w:val="nil"/>
              <w:right w:val="nil"/>
            </w:tcBorders>
          </w:tcPr>
          <w:p w14:paraId="60A3541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(0.382)</w:t>
            </w:r>
          </w:p>
        </w:tc>
        <w:tc>
          <w:tcPr>
            <w:tcW w:w="1559" w:type="dxa"/>
            <w:tcBorders>
              <w:top w:val="nil"/>
              <w:left w:val="nil"/>
              <w:bottom w:val="nil"/>
              <w:right w:val="nil"/>
            </w:tcBorders>
          </w:tcPr>
          <w:p w14:paraId="74DD672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(0.370)</w:t>
            </w:r>
          </w:p>
        </w:tc>
      </w:tr>
      <w:tr w:rsidR="007E596C" w:rsidRPr="007377FC" w14:paraId="712980AF" w14:textId="77777777" w:rsidTr="00FB5EA5">
        <w:trPr>
          <w:jc w:val="center"/>
        </w:trPr>
        <w:tc>
          <w:tcPr>
            <w:tcW w:w="2694" w:type="dxa"/>
            <w:tcBorders>
              <w:top w:val="nil"/>
              <w:left w:val="nil"/>
              <w:bottom w:val="nil"/>
              <w:right w:val="nil"/>
            </w:tcBorders>
          </w:tcPr>
          <w:p w14:paraId="3C60036C" w14:textId="77777777" w:rsidR="007E596C" w:rsidRPr="0009591C" w:rsidRDefault="007E596C" w:rsidP="008F2AC3">
            <w:pPr>
              <w:widowControl w:val="0"/>
              <w:autoSpaceDE w:val="0"/>
              <w:autoSpaceDN w:val="0"/>
              <w:adjustRightInd w:val="0"/>
              <w:rPr>
                <w:sz w:val="22"/>
                <w:szCs w:val="22"/>
              </w:rPr>
            </w:pPr>
            <w:r w:rsidRPr="0009591C">
              <w:rPr>
                <w:sz w:val="22"/>
                <w:szCs w:val="22"/>
              </w:rPr>
              <w:t>Divorced</w:t>
            </w:r>
          </w:p>
        </w:tc>
        <w:tc>
          <w:tcPr>
            <w:tcW w:w="1559" w:type="dxa"/>
            <w:tcBorders>
              <w:top w:val="nil"/>
              <w:left w:val="nil"/>
              <w:bottom w:val="nil"/>
              <w:right w:val="nil"/>
            </w:tcBorders>
          </w:tcPr>
          <w:p w14:paraId="4A70205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-0.194*</w:t>
            </w:r>
          </w:p>
        </w:tc>
        <w:tc>
          <w:tcPr>
            <w:tcW w:w="1559" w:type="dxa"/>
            <w:tcBorders>
              <w:top w:val="nil"/>
              <w:left w:val="nil"/>
              <w:bottom w:val="nil"/>
              <w:right w:val="nil"/>
            </w:tcBorders>
          </w:tcPr>
          <w:p w14:paraId="4A96CA0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-0.194*</w:t>
            </w:r>
          </w:p>
        </w:tc>
        <w:tc>
          <w:tcPr>
            <w:tcW w:w="1559" w:type="dxa"/>
            <w:tcBorders>
              <w:top w:val="nil"/>
              <w:left w:val="nil"/>
              <w:bottom w:val="nil"/>
              <w:right w:val="nil"/>
            </w:tcBorders>
          </w:tcPr>
          <w:p w14:paraId="15D26A5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0.00434</w:t>
            </w:r>
          </w:p>
        </w:tc>
        <w:tc>
          <w:tcPr>
            <w:tcW w:w="1559" w:type="dxa"/>
            <w:tcBorders>
              <w:top w:val="nil"/>
              <w:left w:val="nil"/>
              <w:bottom w:val="nil"/>
              <w:right w:val="nil"/>
            </w:tcBorders>
          </w:tcPr>
          <w:p w14:paraId="4446F4C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-0.210*</w:t>
            </w:r>
          </w:p>
        </w:tc>
      </w:tr>
      <w:tr w:rsidR="007E596C" w:rsidRPr="007377FC" w14:paraId="1D698E65" w14:textId="77777777" w:rsidTr="00FB5EA5">
        <w:trPr>
          <w:jc w:val="center"/>
        </w:trPr>
        <w:tc>
          <w:tcPr>
            <w:tcW w:w="2694" w:type="dxa"/>
            <w:tcBorders>
              <w:top w:val="nil"/>
              <w:left w:val="nil"/>
              <w:bottom w:val="nil"/>
              <w:right w:val="nil"/>
            </w:tcBorders>
          </w:tcPr>
          <w:p w14:paraId="603AA638"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45079AD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(0.112)</w:t>
            </w:r>
          </w:p>
        </w:tc>
        <w:tc>
          <w:tcPr>
            <w:tcW w:w="1559" w:type="dxa"/>
            <w:tcBorders>
              <w:top w:val="nil"/>
              <w:left w:val="nil"/>
              <w:bottom w:val="nil"/>
              <w:right w:val="nil"/>
            </w:tcBorders>
          </w:tcPr>
          <w:p w14:paraId="4FCD1F6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(0.111)</w:t>
            </w:r>
          </w:p>
        </w:tc>
        <w:tc>
          <w:tcPr>
            <w:tcW w:w="1559" w:type="dxa"/>
            <w:tcBorders>
              <w:top w:val="nil"/>
              <w:left w:val="nil"/>
              <w:bottom w:val="nil"/>
              <w:right w:val="nil"/>
            </w:tcBorders>
          </w:tcPr>
          <w:p w14:paraId="0B3A635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(0.155)</w:t>
            </w:r>
          </w:p>
        </w:tc>
        <w:tc>
          <w:tcPr>
            <w:tcW w:w="1559" w:type="dxa"/>
            <w:tcBorders>
              <w:top w:val="nil"/>
              <w:left w:val="nil"/>
              <w:bottom w:val="nil"/>
              <w:right w:val="nil"/>
            </w:tcBorders>
          </w:tcPr>
          <w:p w14:paraId="5A02184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(0.109)</w:t>
            </w:r>
          </w:p>
        </w:tc>
      </w:tr>
      <w:tr w:rsidR="007E596C" w:rsidRPr="007377FC" w14:paraId="3250DC86" w14:textId="77777777" w:rsidTr="00FB5EA5">
        <w:trPr>
          <w:jc w:val="center"/>
        </w:trPr>
        <w:tc>
          <w:tcPr>
            <w:tcW w:w="2694" w:type="dxa"/>
            <w:tcBorders>
              <w:top w:val="nil"/>
              <w:left w:val="nil"/>
              <w:bottom w:val="nil"/>
              <w:right w:val="nil"/>
            </w:tcBorders>
          </w:tcPr>
          <w:p w14:paraId="75887A2D" w14:textId="77777777" w:rsidR="007E596C" w:rsidRPr="0009591C" w:rsidRDefault="007E596C" w:rsidP="008F2AC3">
            <w:pPr>
              <w:widowControl w:val="0"/>
              <w:autoSpaceDE w:val="0"/>
              <w:autoSpaceDN w:val="0"/>
              <w:adjustRightInd w:val="0"/>
              <w:rPr>
                <w:sz w:val="22"/>
                <w:szCs w:val="22"/>
              </w:rPr>
            </w:pPr>
            <w:r w:rsidRPr="0009591C">
              <w:rPr>
                <w:sz w:val="22"/>
                <w:szCs w:val="22"/>
              </w:rPr>
              <w:t>Separated</w:t>
            </w:r>
          </w:p>
        </w:tc>
        <w:tc>
          <w:tcPr>
            <w:tcW w:w="1559" w:type="dxa"/>
            <w:tcBorders>
              <w:top w:val="nil"/>
              <w:left w:val="nil"/>
              <w:bottom w:val="nil"/>
              <w:right w:val="nil"/>
            </w:tcBorders>
          </w:tcPr>
          <w:p w14:paraId="0FC4071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-0.0195</w:t>
            </w:r>
          </w:p>
        </w:tc>
        <w:tc>
          <w:tcPr>
            <w:tcW w:w="1559" w:type="dxa"/>
            <w:tcBorders>
              <w:top w:val="nil"/>
              <w:left w:val="nil"/>
              <w:bottom w:val="nil"/>
              <w:right w:val="nil"/>
            </w:tcBorders>
          </w:tcPr>
          <w:p w14:paraId="6E51934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-0.0196</w:t>
            </w:r>
          </w:p>
        </w:tc>
        <w:tc>
          <w:tcPr>
            <w:tcW w:w="1559" w:type="dxa"/>
            <w:tcBorders>
              <w:top w:val="nil"/>
              <w:left w:val="nil"/>
              <w:bottom w:val="nil"/>
              <w:right w:val="nil"/>
            </w:tcBorders>
          </w:tcPr>
          <w:p w14:paraId="4A8B663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0.280</w:t>
            </w:r>
          </w:p>
        </w:tc>
        <w:tc>
          <w:tcPr>
            <w:tcW w:w="1559" w:type="dxa"/>
            <w:tcBorders>
              <w:top w:val="nil"/>
              <w:left w:val="nil"/>
              <w:bottom w:val="nil"/>
              <w:right w:val="nil"/>
            </w:tcBorders>
          </w:tcPr>
          <w:p w14:paraId="60DDA6B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-0.0309</w:t>
            </w:r>
          </w:p>
        </w:tc>
      </w:tr>
      <w:tr w:rsidR="007E596C" w:rsidRPr="007377FC" w14:paraId="6711E95E" w14:textId="77777777" w:rsidTr="00FB5EA5">
        <w:trPr>
          <w:jc w:val="center"/>
        </w:trPr>
        <w:tc>
          <w:tcPr>
            <w:tcW w:w="2694" w:type="dxa"/>
            <w:tcBorders>
              <w:top w:val="nil"/>
              <w:left w:val="nil"/>
              <w:bottom w:val="nil"/>
              <w:right w:val="nil"/>
            </w:tcBorders>
          </w:tcPr>
          <w:p w14:paraId="6328BCB2"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2CDBE57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(0.166)</w:t>
            </w:r>
          </w:p>
        </w:tc>
        <w:tc>
          <w:tcPr>
            <w:tcW w:w="1559" w:type="dxa"/>
            <w:tcBorders>
              <w:top w:val="nil"/>
              <w:left w:val="nil"/>
              <w:bottom w:val="nil"/>
              <w:right w:val="nil"/>
            </w:tcBorders>
          </w:tcPr>
          <w:p w14:paraId="0AFEAFD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(0.166)</w:t>
            </w:r>
          </w:p>
        </w:tc>
        <w:tc>
          <w:tcPr>
            <w:tcW w:w="1559" w:type="dxa"/>
            <w:tcBorders>
              <w:top w:val="nil"/>
              <w:left w:val="nil"/>
              <w:bottom w:val="nil"/>
              <w:right w:val="nil"/>
            </w:tcBorders>
          </w:tcPr>
          <w:p w14:paraId="67ABB77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(0.349)</w:t>
            </w:r>
          </w:p>
        </w:tc>
        <w:tc>
          <w:tcPr>
            <w:tcW w:w="1559" w:type="dxa"/>
            <w:tcBorders>
              <w:top w:val="nil"/>
              <w:left w:val="nil"/>
              <w:bottom w:val="nil"/>
              <w:right w:val="nil"/>
            </w:tcBorders>
          </w:tcPr>
          <w:p w14:paraId="41AB636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(0.161)</w:t>
            </w:r>
          </w:p>
        </w:tc>
      </w:tr>
      <w:tr w:rsidR="007E596C" w:rsidRPr="007377FC" w14:paraId="4B3D5523" w14:textId="77777777" w:rsidTr="00FB5EA5">
        <w:trPr>
          <w:jc w:val="center"/>
        </w:trPr>
        <w:tc>
          <w:tcPr>
            <w:tcW w:w="2694" w:type="dxa"/>
            <w:tcBorders>
              <w:top w:val="nil"/>
              <w:left w:val="nil"/>
              <w:bottom w:val="nil"/>
              <w:right w:val="nil"/>
            </w:tcBorders>
          </w:tcPr>
          <w:p w14:paraId="3532B1C3" w14:textId="77777777" w:rsidR="007E596C" w:rsidRPr="0009591C" w:rsidRDefault="007E596C" w:rsidP="008F2AC3">
            <w:pPr>
              <w:widowControl w:val="0"/>
              <w:autoSpaceDE w:val="0"/>
              <w:autoSpaceDN w:val="0"/>
              <w:adjustRightInd w:val="0"/>
              <w:rPr>
                <w:sz w:val="22"/>
                <w:szCs w:val="22"/>
              </w:rPr>
            </w:pPr>
            <w:r w:rsidRPr="0009591C">
              <w:rPr>
                <w:sz w:val="22"/>
                <w:szCs w:val="22"/>
              </w:rPr>
              <w:t>Never married</w:t>
            </w:r>
          </w:p>
        </w:tc>
        <w:tc>
          <w:tcPr>
            <w:tcW w:w="1559" w:type="dxa"/>
            <w:tcBorders>
              <w:top w:val="nil"/>
              <w:left w:val="nil"/>
              <w:bottom w:val="nil"/>
              <w:right w:val="nil"/>
            </w:tcBorders>
          </w:tcPr>
          <w:p w14:paraId="74DA4DE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-0.530***</w:t>
            </w:r>
          </w:p>
        </w:tc>
        <w:tc>
          <w:tcPr>
            <w:tcW w:w="1559" w:type="dxa"/>
            <w:tcBorders>
              <w:top w:val="nil"/>
              <w:left w:val="nil"/>
              <w:bottom w:val="nil"/>
              <w:right w:val="nil"/>
            </w:tcBorders>
          </w:tcPr>
          <w:p w14:paraId="75EC268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-0.530***</w:t>
            </w:r>
          </w:p>
        </w:tc>
        <w:tc>
          <w:tcPr>
            <w:tcW w:w="1559" w:type="dxa"/>
            <w:tcBorders>
              <w:top w:val="nil"/>
              <w:left w:val="nil"/>
              <w:bottom w:val="nil"/>
              <w:right w:val="nil"/>
            </w:tcBorders>
          </w:tcPr>
          <w:p w14:paraId="7F8F1A7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-0.570**</w:t>
            </w:r>
          </w:p>
        </w:tc>
        <w:tc>
          <w:tcPr>
            <w:tcW w:w="1559" w:type="dxa"/>
            <w:tcBorders>
              <w:top w:val="nil"/>
              <w:left w:val="nil"/>
              <w:bottom w:val="nil"/>
              <w:right w:val="nil"/>
            </w:tcBorders>
          </w:tcPr>
          <w:p w14:paraId="2FF7A9E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-0.499***</w:t>
            </w:r>
          </w:p>
        </w:tc>
      </w:tr>
      <w:tr w:rsidR="007E596C" w:rsidRPr="007377FC" w14:paraId="584E9F9F" w14:textId="77777777" w:rsidTr="00FB5EA5">
        <w:trPr>
          <w:jc w:val="center"/>
        </w:trPr>
        <w:tc>
          <w:tcPr>
            <w:tcW w:w="2694" w:type="dxa"/>
            <w:tcBorders>
              <w:top w:val="nil"/>
              <w:left w:val="nil"/>
              <w:bottom w:val="nil"/>
              <w:right w:val="nil"/>
            </w:tcBorders>
          </w:tcPr>
          <w:p w14:paraId="0AF7FA3B"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6476D1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(0.126)</w:t>
            </w:r>
          </w:p>
        </w:tc>
        <w:tc>
          <w:tcPr>
            <w:tcW w:w="1559" w:type="dxa"/>
            <w:tcBorders>
              <w:top w:val="nil"/>
              <w:left w:val="nil"/>
              <w:bottom w:val="nil"/>
              <w:right w:val="nil"/>
            </w:tcBorders>
          </w:tcPr>
          <w:p w14:paraId="5D310C6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(0.126)</w:t>
            </w:r>
          </w:p>
        </w:tc>
        <w:tc>
          <w:tcPr>
            <w:tcW w:w="1559" w:type="dxa"/>
            <w:tcBorders>
              <w:top w:val="nil"/>
              <w:left w:val="nil"/>
              <w:bottom w:val="nil"/>
              <w:right w:val="nil"/>
            </w:tcBorders>
          </w:tcPr>
          <w:p w14:paraId="3DB4DD3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(0.253)</w:t>
            </w:r>
          </w:p>
        </w:tc>
        <w:tc>
          <w:tcPr>
            <w:tcW w:w="1559" w:type="dxa"/>
            <w:tcBorders>
              <w:top w:val="nil"/>
              <w:left w:val="nil"/>
              <w:bottom w:val="nil"/>
              <w:right w:val="nil"/>
            </w:tcBorders>
          </w:tcPr>
          <w:p w14:paraId="5E96BFF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(0.123)</w:t>
            </w:r>
          </w:p>
        </w:tc>
      </w:tr>
      <w:tr w:rsidR="007E596C" w:rsidRPr="007377FC" w14:paraId="59C4AABA" w14:textId="77777777" w:rsidTr="00FB5EA5">
        <w:trPr>
          <w:jc w:val="center"/>
        </w:trPr>
        <w:tc>
          <w:tcPr>
            <w:tcW w:w="2694" w:type="dxa"/>
            <w:tcBorders>
              <w:top w:val="nil"/>
              <w:left w:val="nil"/>
              <w:bottom w:val="nil"/>
              <w:right w:val="nil"/>
            </w:tcBorders>
          </w:tcPr>
          <w:p w14:paraId="5B4E8880" w14:textId="77777777" w:rsidR="007E596C" w:rsidRPr="0009591C" w:rsidRDefault="007E596C" w:rsidP="008F2AC3">
            <w:pPr>
              <w:widowControl w:val="0"/>
              <w:autoSpaceDE w:val="0"/>
              <w:autoSpaceDN w:val="0"/>
              <w:adjustRightInd w:val="0"/>
              <w:rPr>
                <w:sz w:val="22"/>
                <w:szCs w:val="22"/>
              </w:rPr>
            </w:pPr>
            <w:r w:rsidRPr="0009591C">
              <w:rPr>
                <w:sz w:val="22"/>
                <w:szCs w:val="22"/>
              </w:rPr>
              <w:t>Mental health score</w:t>
            </w:r>
          </w:p>
        </w:tc>
        <w:tc>
          <w:tcPr>
            <w:tcW w:w="1559" w:type="dxa"/>
            <w:tcBorders>
              <w:top w:val="nil"/>
              <w:left w:val="nil"/>
              <w:bottom w:val="nil"/>
              <w:right w:val="nil"/>
            </w:tcBorders>
          </w:tcPr>
          <w:p w14:paraId="6ED78C5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-0.00297</w:t>
            </w:r>
          </w:p>
        </w:tc>
        <w:tc>
          <w:tcPr>
            <w:tcW w:w="1559" w:type="dxa"/>
            <w:tcBorders>
              <w:top w:val="nil"/>
              <w:left w:val="nil"/>
              <w:bottom w:val="nil"/>
              <w:right w:val="nil"/>
            </w:tcBorders>
          </w:tcPr>
          <w:p w14:paraId="5E309AE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-0.00297</w:t>
            </w:r>
          </w:p>
        </w:tc>
        <w:tc>
          <w:tcPr>
            <w:tcW w:w="1559" w:type="dxa"/>
            <w:tcBorders>
              <w:top w:val="nil"/>
              <w:left w:val="nil"/>
              <w:bottom w:val="nil"/>
              <w:right w:val="nil"/>
            </w:tcBorders>
          </w:tcPr>
          <w:p w14:paraId="09B3AF4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0.00244</w:t>
            </w:r>
          </w:p>
        </w:tc>
        <w:tc>
          <w:tcPr>
            <w:tcW w:w="1559" w:type="dxa"/>
            <w:tcBorders>
              <w:top w:val="nil"/>
              <w:left w:val="nil"/>
              <w:bottom w:val="nil"/>
              <w:right w:val="nil"/>
            </w:tcBorders>
          </w:tcPr>
          <w:p w14:paraId="4D58912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-0.00257</w:t>
            </w:r>
          </w:p>
        </w:tc>
      </w:tr>
      <w:tr w:rsidR="007E596C" w:rsidRPr="007377FC" w14:paraId="7C4EFBD0" w14:textId="77777777" w:rsidTr="00FB5EA5">
        <w:trPr>
          <w:jc w:val="center"/>
        </w:trPr>
        <w:tc>
          <w:tcPr>
            <w:tcW w:w="2694" w:type="dxa"/>
            <w:tcBorders>
              <w:top w:val="nil"/>
              <w:left w:val="nil"/>
              <w:bottom w:val="nil"/>
              <w:right w:val="nil"/>
            </w:tcBorders>
          </w:tcPr>
          <w:p w14:paraId="68D6988E"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BA76A8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(0.00567)</w:t>
            </w:r>
          </w:p>
        </w:tc>
        <w:tc>
          <w:tcPr>
            <w:tcW w:w="1559" w:type="dxa"/>
            <w:tcBorders>
              <w:top w:val="nil"/>
              <w:left w:val="nil"/>
              <w:bottom w:val="nil"/>
              <w:right w:val="nil"/>
            </w:tcBorders>
          </w:tcPr>
          <w:p w14:paraId="30ADDEC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(0.00566)</w:t>
            </w:r>
          </w:p>
        </w:tc>
        <w:tc>
          <w:tcPr>
            <w:tcW w:w="1559" w:type="dxa"/>
            <w:tcBorders>
              <w:top w:val="nil"/>
              <w:left w:val="nil"/>
              <w:bottom w:val="nil"/>
              <w:right w:val="nil"/>
            </w:tcBorders>
          </w:tcPr>
          <w:p w14:paraId="19488B8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(0.00923)</w:t>
            </w:r>
          </w:p>
        </w:tc>
        <w:tc>
          <w:tcPr>
            <w:tcW w:w="1559" w:type="dxa"/>
            <w:tcBorders>
              <w:top w:val="nil"/>
              <w:left w:val="nil"/>
              <w:bottom w:val="nil"/>
              <w:right w:val="nil"/>
            </w:tcBorders>
          </w:tcPr>
          <w:p w14:paraId="0F1D90F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(0.00571)</w:t>
            </w:r>
          </w:p>
        </w:tc>
      </w:tr>
      <w:tr w:rsidR="007E596C" w:rsidRPr="007377FC" w14:paraId="7C30739F" w14:textId="77777777" w:rsidTr="00FB5EA5">
        <w:trPr>
          <w:jc w:val="center"/>
        </w:trPr>
        <w:tc>
          <w:tcPr>
            <w:tcW w:w="2694" w:type="dxa"/>
            <w:tcBorders>
              <w:top w:val="nil"/>
              <w:left w:val="nil"/>
              <w:bottom w:val="nil"/>
              <w:right w:val="nil"/>
            </w:tcBorders>
          </w:tcPr>
          <w:p w14:paraId="7D1F6194" w14:textId="77777777" w:rsidR="007E596C" w:rsidRPr="0009591C" w:rsidRDefault="007E596C" w:rsidP="008F2AC3">
            <w:pPr>
              <w:widowControl w:val="0"/>
              <w:autoSpaceDE w:val="0"/>
              <w:autoSpaceDN w:val="0"/>
              <w:adjustRightInd w:val="0"/>
              <w:rPr>
                <w:sz w:val="22"/>
                <w:szCs w:val="22"/>
              </w:rPr>
            </w:pPr>
            <w:r w:rsidRPr="0009591C">
              <w:rPr>
                <w:sz w:val="22"/>
                <w:szCs w:val="22"/>
              </w:rPr>
              <w:t>Number of children</w:t>
            </w:r>
          </w:p>
        </w:tc>
        <w:tc>
          <w:tcPr>
            <w:tcW w:w="1559" w:type="dxa"/>
            <w:tcBorders>
              <w:top w:val="nil"/>
              <w:left w:val="nil"/>
              <w:bottom w:val="nil"/>
              <w:right w:val="nil"/>
            </w:tcBorders>
          </w:tcPr>
          <w:p w14:paraId="37EF774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-0.108***</w:t>
            </w:r>
          </w:p>
        </w:tc>
        <w:tc>
          <w:tcPr>
            <w:tcW w:w="1559" w:type="dxa"/>
            <w:tcBorders>
              <w:top w:val="nil"/>
              <w:left w:val="nil"/>
              <w:bottom w:val="nil"/>
              <w:right w:val="nil"/>
            </w:tcBorders>
          </w:tcPr>
          <w:p w14:paraId="78BEE8A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-0.108***</w:t>
            </w:r>
          </w:p>
        </w:tc>
        <w:tc>
          <w:tcPr>
            <w:tcW w:w="1559" w:type="dxa"/>
            <w:tcBorders>
              <w:top w:val="nil"/>
              <w:left w:val="nil"/>
              <w:bottom w:val="nil"/>
              <w:right w:val="nil"/>
            </w:tcBorders>
          </w:tcPr>
          <w:p w14:paraId="4EEF578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-0.134**</w:t>
            </w:r>
          </w:p>
        </w:tc>
        <w:tc>
          <w:tcPr>
            <w:tcW w:w="1559" w:type="dxa"/>
            <w:tcBorders>
              <w:top w:val="nil"/>
              <w:left w:val="nil"/>
              <w:bottom w:val="nil"/>
              <w:right w:val="nil"/>
            </w:tcBorders>
          </w:tcPr>
          <w:p w14:paraId="4EFDDDB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-0.0986**</w:t>
            </w:r>
          </w:p>
        </w:tc>
      </w:tr>
      <w:tr w:rsidR="007E596C" w:rsidRPr="007377FC" w14:paraId="39209541" w14:textId="77777777" w:rsidTr="00FB5EA5">
        <w:trPr>
          <w:jc w:val="center"/>
        </w:trPr>
        <w:tc>
          <w:tcPr>
            <w:tcW w:w="2694" w:type="dxa"/>
            <w:tcBorders>
              <w:top w:val="nil"/>
              <w:left w:val="nil"/>
              <w:bottom w:val="nil"/>
              <w:right w:val="nil"/>
            </w:tcBorders>
          </w:tcPr>
          <w:p w14:paraId="69D0A467"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43FF73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(0.0380)</w:t>
            </w:r>
          </w:p>
        </w:tc>
        <w:tc>
          <w:tcPr>
            <w:tcW w:w="1559" w:type="dxa"/>
            <w:tcBorders>
              <w:top w:val="nil"/>
              <w:left w:val="nil"/>
              <w:bottom w:val="nil"/>
              <w:right w:val="nil"/>
            </w:tcBorders>
          </w:tcPr>
          <w:p w14:paraId="24FA91E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(0.0380)</w:t>
            </w:r>
          </w:p>
        </w:tc>
        <w:tc>
          <w:tcPr>
            <w:tcW w:w="1559" w:type="dxa"/>
            <w:tcBorders>
              <w:top w:val="nil"/>
              <w:left w:val="nil"/>
              <w:bottom w:val="nil"/>
              <w:right w:val="nil"/>
            </w:tcBorders>
          </w:tcPr>
          <w:p w14:paraId="3BBC1DD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(0.0637)</w:t>
            </w:r>
          </w:p>
        </w:tc>
        <w:tc>
          <w:tcPr>
            <w:tcW w:w="1559" w:type="dxa"/>
            <w:tcBorders>
              <w:top w:val="nil"/>
              <w:left w:val="nil"/>
              <w:bottom w:val="nil"/>
              <w:right w:val="nil"/>
            </w:tcBorders>
          </w:tcPr>
          <w:p w14:paraId="3AD2840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(0.0386)</w:t>
            </w:r>
          </w:p>
        </w:tc>
      </w:tr>
      <w:tr w:rsidR="007E596C" w:rsidRPr="007377FC" w14:paraId="4270FD08" w14:textId="77777777" w:rsidTr="00FB5EA5">
        <w:trPr>
          <w:jc w:val="center"/>
        </w:trPr>
        <w:tc>
          <w:tcPr>
            <w:tcW w:w="2694" w:type="dxa"/>
            <w:tcBorders>
              <w:top w:val="nil"/>
              <w:left w:val="nil"/>
              <w:bottom w:val="nil"/>
              <w:right w:val="nil"/>
            </w:tcBorders>
          </w:tcPr>
          <w:p w14:paraId="320AB0BC" w14:textId="77777777" w:rsidR="007E596C" w:rsidRPr="0009591C" w:rsidRDefault="007E596C" w:rsidP="008F2AC3">
            <w:pPr>
              <w:widowControl w:val="0"/>
              <w:autoSpaceDE w:val="0"/>
              <w:autoSpaceDN w:val="0"/>
              <w:adjustRightInd w:val="0"/>
              <w:rPr>
                <w:sz w:val="22"/>
                <w:szCs w:val="22"/>
              </w:rPr>
            </w:pPr>
            <w:r w:rsidRPr="0009591C">
              <w:rPr>
                <w:sz w:val="22"/>
                <w:szCs w:val="22"/>
              </w:rPr>
              <w:t>Renting</w:t>
            </w:r>
          </w:p>
        </w:tc>
        <w:tc>
          <w:tcPr>
            <w:tcW w:w="1559" w:type="dxa"/>
            <w:tcBorders>
              <w:top w:val="nil"/>
              <w:left w:val="nil"/>
              <w:bottom w:val="nil"/>
              <w:right w:val="nil"/>
            </w:tcBorders>
          </w:tcPr>
          <w:p w14:paraId="5F2AF922"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0EA46938"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46530F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-0.0447</w:t>
            </w:r>
          </w:p>
        </w:tc>
        <w:tc>
          <w:tcPr>
            <w:tcW w:w="1559" w:type="dxa"/>
            <w:tcBorders>
              <w:top w:val="nil"/>
              <w:left w:val="nil"/>
              <w:bottom w:val="nil"/>
              <w:right w:val="nil"/>
            </w:tcBorders>
          </w:tcPr>
          <w:p w14:paraId="4914EA65"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76B3606F" w14:textId="77777777" w:rsidTr="00FB5EA5">
        <w:trPr>
          <w:jc w:val="center"/>
        </w:trPr>
        <w:tc>
          <w:tcPr>
            <w:tcW w:w="2694" w:type="dxa"/>
            <w:tcBorders>
              <w:top w:val="nil"/>
              <w:left w:val="nil"/>
              <w:bottom w:val="nil"/>
              <w:right w:val="nil"/>
            </w:tcBorders>
          </w:tcPr>
          <w:p w14:paraId="03A7FBAB"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5E6E87D7"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15E3033"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56C005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(0.276)</w:t>
            </w:r>
          </w:p>
        </w:tc>
        <w:tc>
          <w:tcPr>
            <w:tcW w:w="1559" w:type="dxa"/>
            <w:tcBorders>
              <w:top w:val="nil"/>
              <w:left w:val="nil"/>
              <w:bottom w:val="nil"/>
              <w:right w:val="nil"/>
            </w:tcBorders>
          </w:tcPr>
          <w:p w14:paraId="3B563EC8"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1FD06D06" w14:textId="77777777" w:rsidTr="00FB5EA5">
        <w:trPr>
          <w:jc w:val="center"/>
        </w:trPr>
        <w:tc>
          <w:tcPr>
            <w:tcW w:w="2694" w:type="dxa"/>
            <w:tcBorders>
              <w:top w:val="nil"/>
              <w:left w:val="nil"/>
              <w:bottom w:val="nil"/>
              <w:right w:val="nil"/>
            </w:tcBorders>
          </w:tcPr>
          <w:p w14:paraId="5A878419" w14:textId="77777777" w:rsidR="007E596C" w:rsidRPr="0009591C" w:rsidRDefault="007E596C" w:rsidP="008F2AC3">
            <w:pPr>
              <w:widowControl w:val="0"/>
              <w:autoSpaceDE w:val="0"/>
              <w:autoSpaceDN w:val="0"/>
              <w:adjustRightInd w:val="0"/>
              <w:rPr>
                <w:sz w:val="22"/>
                <w:szCs w:val="22"/>
              </w:rPr>
            </w:pPr>
            <w:r w:rsidRPr="0009591C">
              <w:rPr>
                <w:sz w:val="22"/>
                <w:szCs w:val="22"/>
              </w:rPr>
              <w:t>Owns a pet*Education</w:t>
            </w:r>
          </w:p>
        </w:tc>
        <w:tc>
          <w:tcPr>
            <w:tcW w:w="1559" w:type="dxa"/>
            <w:tcBorders>
              <w:top w:val="nil"/>
              <w:left w:val="nil"/>
              <w:bottom w:val="nil"/>
              <w:right w:val="nil"/>
            </w:tcBorders>
          </w:tcPr>
          <w:p w14:paraId="1BE3A400"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0717639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0.000385</w:t>
            </w:r>
          </w:p>
        </w:tc>
        <w:tc>
          <w:tcPr>
            <w:tcW w:w="1559" w:type="dxa"/>
            <w:tcBorders>
              <w:top w:val="nil"/>
              <w:left w:val="nil"/>
              <w:bottom w:val="nil"/>
              <w:right w:val="nil"/>
            </w:tcBorders>
          </w:tcPr>
          <w:p w14:paraId="2753D47F"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60BDAA9"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55A61165" w14:textId="77777777" w:rsidTr="00FB5EA5">
        <w:trPr>
          <w:jc w:val="center"/>
        </w:trPr>
        <w:tc>
          <w:tcPr>
            <w:tcW w:w="2694" w:type="dxa"/>
            <w:tcBorders>
              <w:top w:val="nil"/>
              <w:left w:val="nil"/>
              <w:bottom w:val="nil"/>
              <w:right w:val="nil"/>
            </w:tcBorders>
          </w:tcPr>
          <w:p w14:paraId="19F33AAD"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231EBADE"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6CF39D1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(0.0330)</w:t>
            </w:r>
          </w:p>
        </w:tc>
        <w:tc>
          <w:tcPr>
            <w:tcW w:w="1559" w:type="dxa"/>
            <w:tcBorders>
              <w:top w:val="nil"/>
              <w:left w:val="nil"/>
              <w:bottom w:val="nil"/>
              <w:right w:val="nil"/>
            </w:tcBorders>
          </w:tcPr>
          <w:p w14:paraId="58DDFE94"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77C4669"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5DB48780" w14:textId="77777777" w:rsidTr="00FB5EA5">
        <w:trPr>
          <w:jc w:val="center"/>
        </w:trPr>
        <w:tc>
          <w:tcPr>
            <w:tcW w:w="2694" w:type="dxa"/>
            <w:tcBorders>
              <w:top w:val="nil"/>
              <w:left w:val="nil"/>
              <w:bottom w:val="nil"/>
              <w:right w:val="nil"/>
            </w:tcBorders>
          </w:tcPr>
          <w:p w14:paraId="5EF63511" w14:textId="77777777" w:rsidR="007E596C" w:rsidRPr="0009591C" w:rsidRDefault="007E596C" w:rsidP="008F2AC3">
            <w:pPr>
              <w:widowControl w:val="0"/>
              <w:autoSpaceDE w:val="0"/>
              <w:autoSpaceDN w:val="0"/>
              <w:adjustRightInd w:val="0"/>
              <w:rPr>
                <w:sz w:val="22"/>
                <w:szCs w:val="22"/>
              </w:rPr>
            </w:pPr>
            <w:r w:rsidRPr="0009591C">
              <w:rPr>
                <w:sz w:val="22"/>
                <w:szCs w:val="22"/>
              </w:rPr>
              <w:t>Owns a pet*Renting</w:t>
            </w:r>
          </w:p>
        </w:tc>
        <w:tc>
          <w:tcPr>
            <w:tcW w:w="1559" w:type="dxa"/>
            <w:tcBorders>
              <w:top w:val="nil"/>
              <w:left w:val="nil"/>
              <w:bottom w:val="nil"/>
              <w:right w:val="nil"/>
            </w:tcBorders>
          </w:tcPr>
          <w:p w14:paraId="265EC42A"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C9843D2"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86E8A7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-0.578*</w:t>
            </w:r>
          </w:p>
        </w:tc>
        <w:tc>
          <w:tcPr>
            <w:tcW w:w="1559" w:type="dxa"/>
            <w:tcBorders>
              <w:top w:val="nil"/>
              <w:left w:val="nil"/>
              <w:bottom w:val="nil"/>
              <w:right w:val="nil"/>
            </w:tcBorders>
          </w:tcPr>
          <w:p w14:paraId="63C37D8D"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0FFD775A" w14:textId="77777777" w:rsidTr="00FB5EA5">
        <w:trPr>
          <w:jc w:val="center"/>
        </w:trPr>
        <w:tc>
          <w:tcPr>
            <w:tcW w:w="2694" w:type="dxa"/>
            <w:tcBorders>
              <w:top w:val="nil"/>
              <w:left w:val="nil"/>
              <w:bottom w:val="nil"/>
              <w:right w:val="nil"/>
            </w:tcBorders>
          </w:tcPr>
          <w:p w14:paraId="71BF2E4F"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4E6093B8"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6A0FDFF8"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7E101D08"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(0.314)</w:t>
            </w:r>
          </w:p>
        </w:tc>
        <w:tc>
          <w:tcPr>
            <w:tcW w:w="1559" w:type="dxa"/>
            <w:tcBorders>
              <w:top w:val="nil"/>
              <w:left w:val="nil"/>
              <w:bottom w:val="nil"/>
              <w:right w:val="nil"/>
            </w:tcBorders>
          </w:tcPr>
          <w:p w14:paraId="4B36CA58" w14:textId="77777777" w:rsidR="007E596C" w:rsidRPr="0009591C" w:rsidRDefault="007E596C" w:rsidP="008F2AC3">
            <w:pPr>
              <w:widowControl w:val="0"/>
              <w:autoSpaceDE w:val="0"/>
              <w:autoSpaceDN w:val="0"/>
              <w:adjustRightInd w:val="0"/>
              <w:jc w:val="center"/>
              <w:rPr>
                <w:sz w:val="22"/>
                <w:szCs w:val="22"/>
              </w:rPr>
            </w:pPr>
          </w:p>
        </w:tc>
      </w:tr>
      <w:tr w:rsidR="007E596C" w:rsidRPr="007377FC" w14:paraId="24315740" w14:textId="77777777" w:rsidTr="00FB5EA5">
        <w:trPr>
          <w:jc w:val="center"/>
        </w:trPr>
        <w:tc>
          <w:tcPr>
            <w:tcW w:w="2694" w:type="dxa"/>
            <w:tcBorders>
              <w:top w:val="nil"/>
              <w:left w:val="nil"/>
              <w:bottom w:val="nil"/>
              <w:right w:val="nil"/>
            </w:tcBorders>
          </w:tcPr>
          <w:p w14:paraId="09D861F5" w14:textId="77777777" w:rsidR="007E596C" w:rsidRPr="0009591C" w:rsidRDefault="007E596C" w:rsidP="008F2AC3">
            <w:pPr>
              <w:widowControl w:val="0"/>
              <w:autoSpaceDE w:val="0"/>
              <w:autoSpaceDN w:val="0"/>
              <w:adjustRightInd w:val="0"/>
              <w:rPr>
                <w:sz w:val="22"/>
                <w:szCs w:val="22"/>
              </w:rPr>
            </w:pPr>
            <w:r w:rsidRPr="0009591C">
              <w:rPr>
                <w:sz w:val="22"/>
                <w:szCs w:val="22"/>
              </w:rPr>
              <w:t>Owns a pet*African American</w:t>
            </w:r>
          </w:p>
        </w:tc>
        <w:tc>
          <w:tcPr>
            <w:tcW w:w="1559" w:type="dxa"/>
            <w:tcBorders>
              <w:top w:val="nil"/>
              <w:left w:val="nil"/>
              <w:bottom w:val="nil"/>
              <w:right w:val="nil"/>
            </w:tcBorders>
          </w:tcPr>
          <w:p w14:paraId="4D32B890"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DDF4DDF"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6ABB2A84"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95B073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-0.754***</w:t>
            </w:r>
          </w:p>
        </w:tc>
      </w:tr>
      <w:tr w:rsidR="007E596C" w:rsidRPr="007377FC" w14:paraId="66997AFB" w14:textId="77777777" w:rsidTr="00FB5EA5">
        <w:trPr>
          <w:jc w:val="center"/>
        </w:trPr>
        <w:tc>
          <w:tcPr>
            <w:tcW w:w="2694" w:type="dxa"/>
            <w:tcBorders>
              <w:top w:val="nil"/>
              <w:left w:val="nil"/>
              <w:bottom w:val="nil"/>
              <w:right w:val="nil"/>
            </w:tcBorders>
          </w:tcPr>
          <w:p w14:paraId="13ECEC8C"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033B767A"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B3CE1F7"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09B58AB1"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1496572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(0.252)</w:t>
            </w:r>
          </w:p>
        </w:tc>
      </w:tr>
      <w:tr w:rsidR="007E596C" w:rsidRPr="007377FC" w14:paraId="054C3C80" w14:textId="77777777" w:rsidTr="00FB5EA5">
        <w:trPr>
          <w:jc w:val="center"/>
        </w:trPr>
        <w:tc>
          <w:tcPr>
            <w:tcW w:w="2694" w:type="dxa"/>
            <w:tcBorders>
              <w:top w:val="nil"/>
              <w:left w:val="nil"/>
              <w:bottom w:val="nil"/>
              <w:right w:val="nil"/>
            </w:tcBorders>
          </w:tcPr>
          <w:p w14:paraId="290FE1E7" w14:textId="77777777" w:rsidR="007E596C" w:rsidRPr="0009591C" w:rsidRDefault="007E596C" w:rsidP="008F2AC3">
            <w:pPr>
              <w:widowControl w:val="0"/>
              <w:autoSpaceDE w:val="0"/>
              <w:autoSpaceDN w:val="0"/>
              <w:adjustRightInd w:val="0"/>
              <w:rPr>
                <w:sz w:val="22"/>
                <w:szCs w:val="22"/>
              </w:rPr>
            </w:pPr>
            <w:r w:rsidRPr="0009591C">
              <w:rPr>
                <w:sz w:val="22"/>
                <w:szCs w:val="22"/>
              </w:rPr>
              <w:t>Owns a pet*Other race</w:t>
            </w:r>
          </w:p>
        </w:tc>
        <w:tc>
          <w:tcPr>
            <w:tcW w:w="1559" w:type="dxa"/>
            <w:tcBorders>
              <w:top w:val="nil"/>
              <w:left w:val="nil"/>
              <w:bottom w:val="nil"/>
              <w:right w:val="nil"/>
            </w:tcBorders>
          </w:tcPr>
          <w:p w14:paraId="615A11EA"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76E2449"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3772DC09"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4C70251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-0.358</w:t>
            </w:r>
          </w:p>
        </w:tc>
      </w:tr>
      <w:tr w:rsidR="007E596C" w:rsidRPr="007377FC" w14:paraId="37A2688D" w14:textId="77777777" w:rsidTr="00FB5EA5">
        <w:trPr>
          <w:jc w:val="center"/>
        </w:trPr>
        <w:tc>
          <w:tcPr>
            <w:tcW w:w="2694" w:type="dxa"/>
            <w:tcBorders>
              <w:top w:val="nil"/>
              <w:left w:val="nil"/>
              <w:bottom w:val="nil"/>
              <w:right w:val="nil"/>
            </w:tcBorders>
          </w:tcPr>
          <w:p w14:paraId="58B9BD1C"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bottom w:val="nil"/>
              <w:right w:val="nil"/>
            </w:tcBorders>
          </w:tcPr>
          <w:p w14:paraId="6898C75E"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48254614"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58FE3A71" w14:textId="77777777" w:rsidR="007E596C" w:rsidRPr="0009591C" w:rsidRDefault="007E596C" w:rsidP="008F2AC3">
            <w:pPr>
              <w:widowControl w:val="0"/>
              <w:autoSpaceDE w:val="0"/>
              <w:autoSpaceDN w:val="0"/>
              <w:adjustRightInd w:val="0"/>
              <w:jc w:val="center"/>
              <w:rPr>
                <w:sz w:val="22"/>
                <w:szCs w:val="22"/>
              </w:rPr>
            </w:pPr>
          </w:p>
        </w:tc>
        <w:tc>
          <w:tcPr>
            <w:tcW w:w="1559" w:type="dxa"/>
            <w:tcBorders>
              <w:top w:val="nil"/>
              <w:left w:val="nil"/>
              <w:bottom w:val="nil"/>
              <w:right w:val="nil"/>
            </w:tcBorders>
          </w:tcPr>
          <w:p w14:paraId="2C14DE57"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(0.278)</w:t>
            </w:r>
          </w:p>
        </w:tc>
      </w:tr>
      <w:tr w:rsidR="007E596C" w:rsidRPr="007377FC" w14:paraId="609C30FA" w14:textId="77777777" w:rsidTr="00FB5EA5">
        <w:trPr>
          <w:jc w:val="center"/>
        </w:trPr>
        <w:tc>
          <w:tcPr>
            <w:tcW w:w="2694" w:type="dxa"/>
            <w:tcBorders>
              <w:top w:val="nil"/>
              <w:left w:val="nil"/>
              <w:bottom w:val="nil"/>
              <w:right w:val="nil"/>
            </w:tcBorders>
          </w:tcPr>
          <w:p w14:paraId="6C91C4DC" w14:textId="77777777" w:rsidR="007E596C" w:rsidRPr="0009591C" w:rsidRDefault="007E596C" w:rsidP="008F2AC3">
            <w:pPr>
              <w:widowControl w:val="0"/>
              <w:autoSpaceDE w:val="0"/>
              <w:autoSpaceDN w:val="0"/>
              <w:adjustRightInd w:val="0"/>
              <w:rPr>
                <w:sz w:val="22"/>
                <w:szCs w:val="22"/>
              </w:rPr>
            </w:pPr>
            <w:r w:rsidRPr="0009591C">
              <w:rPr>
                <w:sz w:val="22"/>
                <w:szCs w:val="22"/>
              </w:rPr>
              <w:t>Constant</w:t>
            </w:r>
          </w:p>
        </w:tc>
        <w:tc>
          <w:tcPr>
            <w:tcW w:w="1559" w:type="dxa"/>
            <w:tcBorders>
              <w:top w:val="nil"/>
              <w:left w:val="nil"/>
              <w:bottom w:val="nil"/>
              <w:right w:val="nil"/>
            </w:tcBorders>
          </w:tcPr>
          <w:p w14:paraId="2F3A0B6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6.925***</w:t>
            </w:r>
          </w:p>
        </w:tc>
        <w:tc>
          <w:tcPr>
            <w:tcW w:w="1559" w:type="dxa"/>
            <w:tcBorders>
              <w:top w:val="nil"/>
              <w:left w:val="nil"/>
              <w:bottom w:val="nil"/>
              <w:right w:val="nil"/>
            </w:tcBorders>
          </w:tcPr>
          <w:p w14:paraId="60D371F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6.929***</w:t>
            </w:r>
          </w:p>
        </w:tc>
        <w:tc>
          <w:tcPr>
            <w:tcW w:w="1559" w:type="dxa"/>
            <w:tcBorders>
              <w:top w:val="nil"/>
              <w:left w:val="nil"/>
              <w:bottom w:val="nil"/>
              <w:right w:val="nil"/>
            </w:tcBorders>
          </w:tcPr>
          <w:p w14:paraId="2AC7CF8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7.126***</w:t>
            </w:r>
          </w:p>
        </w:tc>
        <w:tc>
          <w:tcPr>
            <w:tcW w:w="1559" w:type="dxa"/>
            <w:tcBorders>
              <w:top w:val="nil"/>
              <w:left w:val="nil"/>
              <w:bottom w:val="nil"/>
              <w:right w:val="nil"/>
            </w:tcBorders>
          </w:tcPr>
          <w:p w14:paraId="4E710366"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6.817***</w:t>
            </w:r>
          </w:p>
        </w:tc>
      </w:tr>
      <w:tr w:rsidR="007E596C" w:rsidRPr="007377FC" w14:paraId="51B8D71E" w14:textId="77777777" w:rsidTr="00FB5EA5">
        <w:trPr>
          <w:jc w:val="center"/>
        </w:trPr>
        <w:tc>
          <w:tcPr>
            <w:tcW w:w="2694" w:type="dxa"/>
            <w:tcBorders>
              <w:top w:val="nil"/>
              <w:left w:val="nil"/>
              <w:right w:val="nil"/>
            </w:tcBorders>
          </w:tcPr>
          <w:p w14:paraId="630FC740" w14:textId="77777777" w:rsidR="007E596C" w:rsidRPr="0009591C" w:rsidRDefault="007E596C" w:rsidP="008F2AC3">
            <w:pPr>
              <w:widowControl w:val="0"/>
              <w:autoSpaceDE w:val="0"/>
              <w:autoSpaceDN w:val="0"/>
              <w:adjustRightInd w:val="0"/>
              <w:rPr>
                <w:sz w:val="22"/>
                <w:szCs w:val="22"/>
              </w:rPr>
            </w:pPr>
          </w:p>
        </w:tc>
        <w:tc>
          <w:tcPr>
            <w:tcW w:w="1559" w:type="dxa"/>
            <w:tcBorders>
              <w:top w:val="nil"/>
              <w:left w:val="nil"/>
              <w:right w:val="nil"/>
            </w:tcBorders>
          </w:tcPr>
          <w:p w14:paraId="6F5BD9AF"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(0.456)</w:t>
            </w:r>
          </w:p>
        </w:tc>
        <w:tc>
          <w:tcPr>
            <w:tcW w:w="1559" w:type="dxa"/>
            <w:tcBorders>
              <w:top w:val="nil"/>
              <w:left w:val="nil"/>
              <w:right w:val="nil"/>
            </w:tcBorders>
          </w:tcPr>
          <w:p w14:paraId="31BAFCF2"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(0.508)</w:t>
            </w:r>
          </w:p>
        </w:tc>
        <w:tc>
          <w:tcPr>
            <w:tcW w:w="1559" w:type="dxa"/>
            <w:tcBorders>
              <w:top w:val="nil"/>
              <w:left w:val="nil"/>
              <w:right w:val="nil"/>
            </w:tcBorders>
          </w:tcPr>
          <w:p w14:paraId="6D8698D1"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(0.697)</w:t>
            </w:r>
          </w:p>
        </w:tc>
        <w:tc>
          <w:tcPr>
            <w:tcW w:w="1559" w:type="dxa"/>
            <w:tcBorders>
              <w:top w:val="nil"/>
              <w:left w:val="nil"/>
              <w:right w:val="nil"/>
            </w:tcBorders>
          </w:tcPr>
          <w:p w14:paraId="5FA1800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(0.443)</w:t>
            </w:r>
          </w:p>
        </w:tc>
      </w:tr>
      <w:tr w:rsidR="007E596C" w:rsidRPr="007377FC" w14:paraId="20C86EE6" w14:textId="77777777" w:rsidTr="00FB5EA5">
        <w:trPr>
          <w:jc w:val="center"/>
        </w:trPr>
        <w:tc>
          <w:tcPr>
            <w:tcW w:w="2694" w:type="dxa"/>
            <w:tcBorders>
              <w:top w:val="nil"/>
              <w:left w:val="nil"/>
              <w:bottom w:val="single" w:sz="4" w:space="0" w:color="auto"/>
              <w:right w:val="nil"/>
            </w:tcBorders>
          </w:tcPr>
          <w:p w14:paraId="3B21868C" w14:textId="77777777" w:rsidR="007E596C" w:rsidRPr="0009591C" w:rsidRDefault="007E596C" w:rsidP="008F2AC3">
            <w:pPr>
              <w:widowControl w:val="0"/>
              <w:autoSpaceDE w:val="0"/>
              <w:autoSpaceDN w:val="0"/>
              <w:adjustRightInd w:val="0"/>
              <w:rPr>
                <w:sz w:val="22"/>
                <w:szCs w:val="22"/>
              </w:rPr>
            </w:pPr>
            <w:r w:rsidRPr="0009591C">
              <w:rPr>
                <w:sz w:val="22"/>
                <w:szCs w:val="22"/>
              </w:rPr>
              <w:t>Regional controls</w:t>
            </w:r>
          </w:p>
          <w:p w14:paraId="10336AE0" w14:textId="77777777" w:rsidR="007E596C" w:rsidRPr="0009591C" w:rsidRDefault="007E596C" w:rsidP="008F2AC3">
            <w:pPr>
              <w:widowControl w:val="0"/>
              <w:autoSpaceDE w:val="0"/>
              <w:autoSpaceDN w:val="0"/>
              <w:adjustRightInd w:val="0"/>
              <w:rPr>
                <w:sz w:val="22"/>
                <w:szCs w:val="22"/>
              </w:rPr>
            </w:pPr>
            <w:r w:rsidRPr="0009591C">
              <w:rPr>
                <w:sz w:val="22"/>
                <w:szCs w:val="22"/>
              </w:rPr>
              <w:t>Dwelling type controls</w:t>
            </w:r>
          </w:p>
        </w:tc>
        <w:tc>
          <w:tcPr>
            <w:tcW w:w="1559" w:type="dxa"/>
            <w:tcBorders>
              <w:top w:val="nil"/>
              <w:left w:val="nil"/>
              <w:bottom w:val="single" w:sz="4" w:space="0" w:color="auto"/>
              <w:right w:val="nil"/>
            </w:tcBorders>
          </w:tcPr>
          <w:p w14:paraId="1F97C7D4"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1CD9C930"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NO</w:t>
            </w:r>
          </w:p>
        </w:tc>
        <w:tc>
          <w:tcPr>
            <w:tcW w:w="1559" w:type="dxa"/>
            <w:tcBorders>
              <w:top w:val="nil"/>
              <w:left w:val="nil"/>
              <w:bottom w:val="single" w:sz="4" w:space="0" w:color="auto"/>
              <w:right w:val="nil"/>
            </w:tcBorders>
          </w:tcPr>
          <w:p w14:paraId="6A08009D"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500C807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NO</w:t>
            </w:r>
          </w:p>
        </w:tc>
        <w:tc>
          <w:tcPr>
            <w:tcW w:w="1559" w:type="dxa"/>
            <w:tcBorders>
              <w:top w:val="nil"/>
              <w:left w:val="nil"/>
              <w:bottom w:val="single" w:sz="4" w:space="0" w:color="auto"/>
              <w:right w:val="nil"/>
            </w:tcBorders>
          </w:tcPr>
          <w:p w14:paraId="0AAA4C7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42448A9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tc>
        <w:tc>
          <w:tcPr>
            <w:tcW w:w="1559" w:type="dxa"/>
            <w:tcBorders>
              <w:top w:val="nil"/>
              <w:left w:val="nil"/>
              <w:bottom w:val="single" w:sz="4" w:space="0" w:color="auto"/>
              <w:right w:val="nil"/>
            </w:tcBorders>
          </w:tcPr>
          <w:p w14:paraId="5A86558B"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YES</w:t>
            </w:r>
          </w:p>
          <w:p w14:paraId="6E8C8B49"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NO</w:t>
            </w:r>
          </w:p>
        </w:tc>
      </w:tr>
      <w:tr w:rsidR="007E596C" w:rsidRPr="007377FC" w14:paraId="6764FFB0" w14:textId="77777777" w:rsidTr="00FB5EA5">
        <w:trPr>
          <w:jc w:val="center"/>
        </w:trPr>
        <w:tc>
          <w:tcPr>
            <w:tcW w:w="2694" w:type="dxa"/>
            <w:tcBorders>
              <w:top w:val="single" w:sz="4" w:space="0" w:color="auto"/>
              <w:left w:val="nil"/>
              <w:bottom w:val="nil"/>
              <w:right w:val="nil"/>
            </w:tcBorders>
          </w:tcPr>
          <w:p w14:paraId="44533F4D" w14:textId="77777777" w:rsidR="007E596C" w:rsidRPr="0009591C" w:rsidRDefault="007E596C" w:rsidP="008F2AC3">
            <w:pPr>
              <w:widowControl w:val="0"/>
              <w:autoSpaceDE w:val="0"/>
              <w:autoSpaceDN w:val="0"/>
              <w:adjustRightInd w:val="0"/>
              <w:rPr>
                <w:sz w:val="22"/>
                <w:szCs w:val="22"/>
              </w:rPr>
            </w:pPr>
            <w:r w:rsidRPr="0009591C">
              <w:rPr>
                <w:sz w:val="22"/>
                <w:szCs w:val="22"/>
              </w:rPr>
              <w:t>Observations</w:t>
            </w:r>
          </w:p>
        </w:tc>
        <w:tc>
          <w:tcPr>
            <w:tcW w:w="1559" w:type="dxa"/>
            <w:tcBorders>
              <w:top w:val="single" w:sz="4" w:space="0" w:color="auto"/>
              <w:left w:val="nil"/>
              <w:bottom w:val="nil"/>
              <w:right w:val="nil"/>
            </w:tcBorders>
          </w:tcPr>
          <w:p w14:paraId="48B04D5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557</w:t>
            </w:r>
          </w:p>
        </w:tc>
        <w:tc>
          <w:tcPr>
            <w:tcW w:w="1559" w:type="dxa"/>
            <w:tcBorders>
              <w:top w:val="single" w:sz="4" w:space="0" w:color="auto"/>
              <w:left w:val="nil"/>
              <w:bottom w:val="nil"/>
              <w:right w:val="nil"/>
            </w:tcBorders>
          </w:tcPr>
          <w:p w14:paraId="2E937FF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557</w:t>
            </w:r>
          </w:p>
        </w:tc>
        <w:tc>
          <w:tcPr>
            <w:tcW w:w="1559" w:type="dxa"/>
            <w:tcBorders>
              <w:top w:val="single" w:sz="4" w:space="0" w:color="auto"/>
              <w:left w:val="nil"/>
              <w:bottom w:val="nil"/>
              <w:right w:val="nil"/>
            </w:tcBorders>
          </w:tcPr>
          <w:p w14:paraId="6BA1B2AC"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189</w:t>
            </w:r>
          </w:p>
        </w:tc>
        <w:tc>
          <w:tcPr>
            <w:tcW w:w="1559" w:type="dxa"/>
            <w:tcBorders>
              <w:top w:val="single" w:sz="4" w:space="0" w:color="auto"/>
              <w:left w:val="nil"/>
              <w:bottom w:val="nil"/>
              <w:right w:val="nil"/>
            </w:tcBorders>
          </w:tcPr>
          <w:p w14:paraId="35505F4E"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556</w:t>
            </w:r>
          </w:p>
        </w:tc>
      </w:tr>
      <w:tr w:rsidR="007E596C" w:rsidRPr="007377FC" w14:paraId="0932A5C9" w14:textId="77777777" w:rsidTr="00FB5EA5">
        <w:tblPrEx>
          <w:tblBorders>
            <w:bottom w:val="single" w:sz="6" w:space="0" w:color="auto"/>
          </w:tblBorders>
        </w:tblPrEx>
        <w:trPr>
          <w:jc w:val="center"/>
        </w:trPr>
        <w:tc>
          <w:tcPr>
            <w:tcW w:w="2694" w:type="dxa"/>
            <w:tcBorders>
              <w:top w:val="nil"/>
              <w:left w:val="nil"/>
              <w:bottom w:val="single" w:sz="6" w:space="0" w:color="auto"/>
              <w:right w:val="nil"/>
            </w:tcBorders>
          </w:tcPr>
          <w:p w14:paraId="28B1E04D" w14:textId="77777777" w:rsidR="007E596C" w:rsidRPr="0009591C" w:rsidRDefault="007E596C" w:rsidP="008F2AC3">
            <w:pPr>
              <w:widowControl w:val="0"/>
              <w:autoSpaceDE w:val="0"/>
              <w:autoSpaceDN w:val="0"/>
              <w:adjustRightInd w:val="0"/>
              <w:rPr>
                <w:sz w:val="22"/>
                <w:szCs w:val="22"/>
              </w:rPr>
            </w:pPr>
            <w:r w:rsidRPr="0009591C">
              <w:rPr>
                <w:sz w:val="22"/>
                <w:szCs w:val="22"/>
              </w:rPr>
              <w:t>R-squared</w:t>
            </w:r>
          </w:p>
        </w:tc>
        <w:tc>
          <w:tcPr>
            <w:tcW w:w="1559" w:type="dxa"/>
            <w:tcBorders>
              <w:top w:val="nil"/>
              <w:left w:val="nil"/>
              <w:bottom w:val="single" w:sz="6" w:space="0" w:color="auto"/>
              <w:right w:val="nil"/>
            </w:tcBorders>
          </w:tcPr>
          <w:p w14:paraId="4AF6A9E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0.407</w:t>
            </w:r>
          </w:p>
        </w:tc>
        <w:tc>
          <w:tcPr>
            <w:tcW w:w="1559" w:type="dxa"/>
            <w:tcBorders>
              <w:top w:val="nil"/>
              <w:left w:val="nil"/>
              <w:bottom w:val="single" w:sz="6" w:space="0" w:color="auto"/>
              <w:right w:val="nil"/>
            </w:tcBorders>
          </w:tcPr>
          <w:p w14:paraId="73E040FA"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0.407</w:t>
            </w:r>
          </w:p>
        </w:tc>
        <w:tc>
          <w:tcPr>
            <w:tcW w:w="1559" w:type="dxa"/>
            <w:tcBorders>
              <w:top w:val="nil"/>
              <w:left w:val="nil"/>
              <w:bottom w:val="single" w:sz="6" w:space="0" w:color="auto"/>
              <w:right w:val="nil"/>
            </w:tcBorders>
          </w:tcPr>
          <w:p w14:paraId="7D29BD03"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0.493</w:t>
            </w:r>
          </w:p>
        </w:tc>
        <w:tc>
          <w:tcPr>
            <w:tcW w:w="1559" w:type="dxa"/>
            <w:tcBorders>
              <w:top w:val="nil"/>
              <w:left w:val="nil"/>
              <w:bottom w:val="single" w:sz="6" w:space="0" w:color="auto"/>
              <w:right w:val="nil"/>
            </w:tcBorders>
          </w:tcPr>
          <w:p w14:paraId="45452895" w14:textId="77777777" w:rsidR="007E596C" w:rsidRPr="0009591C" w:rsidRDefault="007E596C" w:rsidP="008F2AC3">
            <w:pPr>
              <w:widowControl w:val="0"/>
              <w:autoSpaceDE w:val="0"/>
              <w:autoSpaceDN w:val="0"/>
              <w:adjustRightInd w:val="0"/>
              <w:jc w:val="center"/>
              <w:rPr>
                <w:sz w:val="22"/>
                <w:szCs w:val="22"/>
              </w:rPr>
            </w:pPr>
            <w:r w:rsidRPr="0009591C">
              <w:rPr>
                <w:sz w:val="22"/>
                <w:szCs w:val="22"/>
              </w:rPr>
              <w:t>0.420</w:t>
            </w:r>
          </w:p>
        </w:tc>
      </w:tr>
    </w:tbl>
    <w:p w14:paraId="770ED8B2" w14:textId="77777777" w:rsidR="007E596C" w:rsidRPr="00690C22" w:rsidRDefault="007E596C" w:rsidP="007E596C">
      <w:pPr>
        <w:widowControl w:val="0"/>
        <w:autoSpaceDE w:val="0"/>
        <w:autoSpaceDN w:val="0"/>
        <w:adjustRightInd w:val="0"/>
        <w:rPr>
          <w:i/>
          <w:iCs/>
          <w:sz w:val="20"/>
          <w:szCs w:val="20"/>
        </w:rPr>
      </w:pPr>
      <w:r w:rsidRPr="00690C22">
        <w:rPr>
          <w:i/>
          <w:iCs/>
          <w:sz w:val="20"/>
          <w:szCs w:val="20"/>
        </w:rPr>
        <w:t>Note: Robust standard errors in parentheses; *** p&lt;0.01, ** p&lt;0.05, * p&lt;0.1</w:t>
      </w:r>
    </w:p>
    <w:p w14:paraId="0F9C2C36" w14:textId="77777777" w:rsidR="007E596C" w:rsidRDefault="007E596C" w:rsidP="007E596C">
      <w:pPr>
        <w:spacing w:line="480" w:lineRule="auto"/>
        <w:jc w:val="both"/>
        <w:rPr>
          <w:lang w:val="mi-NZ"/>
        </w:rPr>
      </w:pPr>
    </w:p>
    <w:p w14:paraId="7558DDB8" w14:textId="77777777" w:rsidR="007E596C" w:rsidRDefault="007E596C" w:rsidP="007E596C">
      <w:pPr>
        <w:spacing w:line="480" w:lineRule="auto"/>
        <w:jc w:val="both"/>
        <w:rPr>
          <w:lang w:val="mi-NZ"/>
        </w:rPr>
      </w:pPr>
      <w:r>
        <w:rPr>
          <w:noProof/>
          <w:lang w:val="en-NZ" w:eastAsia="zh-CN"/>
        </w:rPr>
        <w:lastRenderedPageBreak/>
        <w:drawing>
          <wp:inline distT="0" distB="0" distL="0" distR="0" wp14:anchorId="5F0987A2" wp14:editId="0BA53B6E">
            <wp:extent cx="5731510" cy="4172585"/>
            <wp:effectExtent l="0" t="0" r="254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4172585"/>
                    </a:xfrm>
                    <a:prstGeom prst="rect">
                      <a:avLst/>
                    </a:prstGeom>
                  </pic:spPr>
                </pic:pic>
              </a:graphicData>
            </a:graphic>
          </wp:inline>
        </w:drawing>
      </w:r>
    </w:p>
    <w:p w14:paraId="6D3ECE55" w14:textId="77777777" w:rsidR="007E596C" w:rsidRDefault="007E596C" w:rsidP="00697F2C">
      <w:pPr>
        <w:spacing w:line="288" w:lineRule="auto"/>
        <w:rPr>
          <w:b/>
          <w:bCs/>
          <w:lang w:val="mi-NZ"/>
        </w:rPr>
      </w:pPr>
      <w:r>
        <w:rPr>
          <w:b/>
          <w:bCs/>
          <w:lang w:val="mi-NZ"/>
        </w:rPr>
        <w:t>Figure 1. Plot of the marginal effect of pet ownership on the log of real income by education</w:t>
      </w:r>
    </w:p>
    <w:p w14:paraId="792D218A" w14:textId="77777777" w:rsidR="00697F2C" w:rsidRPr="00720E27" w:rsidRDefault="00697F2C" w:rsidP="00697F2C">
      <w:pPr>
        <w:spacing w:line="288" w:lineRule="auto"/>
        <w:rPr>
          <w:b/>
          <w:bCs/>
          <w:lang w:val="mi-NZ"/>
        </w:rPr>
      </w:pPr>
    </w:p>
    <w:p w14:paraId="1D7E81B3" w14:textId="77777777" w:rsidR="007E596C" w:rsidRDefault="007E596C" w:rsidP="00697F2C">
      <w:pPr>
        <w:spacing w:line="24" w:lineRule="atLeast"/>
        <w:ind w:firstLine="720"/>
        <w:jc w:val="both"/>
        <w:rPr>
          <w:lang w:val="mi-NZ"/>
        </w:rPr>
      </w:pPr>
      <w:r>
        <w:rPr>
          <w:lang w:val="mi-NZ"/>
        </w:rPr>
        <w:t xml:space="preserve">We propose possible interpretations for these results in line with the literature. First, there may be fewer mobility issues and mobility-related opportunities for income gain for low-skilled workers. Studies show that high-skilled workers are more geographically mobile and move more often for work (Amior, 2015; Machin et al., 2012; Malamud and Wozniak, 2012). Amior (2015) confirm that a majority of high-income workers cite moving for “job reasons”. Moretti (2011) argues that this is because there are smaller geographical wage differentials for low-skilled workers (relative to high-skilled workers) and thus there is less financial motivation for low-skilled workers to relocate. Therefore, if pet ownership restricts mobility, the effect on work opportunities may be smaller for low-skilled workers (Amior, 2015). </w:t>
      </w:r>
    </w:p>
    <w:p w14:paraId="281F55C1" w14:textId="77777777" w:rsidR="00697F2C" w:rsidRDefault="00697F2C" w:rsidP="00697F2C">
      <w:pPr>
        <w:spacing w:line="24" w:lineRule="atLeast"/>
        <w:ind w:firstLine="720"/>
        <w:jc w:val="both"/>
        <w:rPr>
          <w:lang w:val="mi-NZ"/>
        </w:rPr>
      </w:pPr>
    </w:p>
    <w:p w14:paraId="19427C62" w14:textId="77777777" w:rsidR="007E596C" w:rsidRDefault="007E596C" w:rsidP="00697F2C">
      <w:pPr>
        <w:spacing w:line="24" w:lineRule="atLeast"/>
        <w:ind w:firstLine="720"/>
        <w:jc w:val="both"/>
        <w:rPr>
          <w:lang w:val="mi-NZ"/>
        </w:rPr>
      </w:pPr>
      <w:r>
        <w:rPr>
          <w:lang w:val="mi-NZ"/>
        </w:rPr>
        <w:t>Second, at low levels of completed education, owning a pet may garner social attributes (such as compassion, improved mental health, better social skills) that are desirable to employers (and that more educated people would gain through their time at school) (</w:t>
      </w:r>
      <w:r w:rsidRPr="00B81172">
        <w:rPr>
          <w:lang w:val="mi-NZ"/>
        </w:rPr>
        <w:t>Bao</w:t>
      </w:r>
      <w:r>
        <w:rPr>
          <w:b/>
          <w:bCs/>
          <w:lang w:val="mi-NZ"/>
        </w:rPr>
        <w:t xml:space="preserve"> </w:t>
      </w:r>
      <w:r>
        <w:rPr>
          <w:lang w:val="mi-NZ"/>
        </w:rPr>
        <w:t xml:space="preserve">and </w:t>
      </w:r>
      <w:proofErr w:type="spellStart"/>
      <w:r w:rsidRPr="00B81172">
        <w:t>Schreer</w:t>
      </w:r>
      <w:proofErr w:type="spellEnd"/>
      <w:r>
        <w:t>, 2016</w:t>
      </w:r>
      <w:r w:rsidRPr="00797CE8">
        <w:rPr>
          <w:b/>
          <w:bCs/>
          <w:lang w:val="mi-NZ"/>
        </w:rPr>
        <w:t xml:space="preserve">; </w:t>
      </w:r>
      <w:r w:rsidRPr="00CA451E">
        <w:rPr>
          <w:lang w:val="mi-NZ"/>
        </w:rPr>
        <w:t>Jennings</w:t>
      </w:r>
      <w:r>
        <w:rPr>
          <w:lang w:val="mi-NZ"/>
        </w:rPr>
        <w:t>,</w:t>
      </w:r>
      <w:r>
        <w:rPr>
          <w:b/>
          <w:bCs/>
          <w:lang w:val="mi-NZ"/>
        </w:rPr>
        <w:t xml:space="preserve"> </w:t>
      </w:r>
      <w:r w:rsidRPr="00CA451E">
        <w:rPr>
          <w:lang w:val="mi-NZ"/>
        </w:rPr>
        <w:t>1997</w:t>
      </w:r>
      <w:r>
        <w:rPr>
          <w:lang w:val="mi-NZ"/>
        </w:rPr>
        <w:t>; McNicholas et al., 2005). Therefore, real income may be higher for uneducated (zero school years) individuals who have pets than those who don’t. The combination of these two effects – the effect of pet ownership on mobility, and the effect of pet ownership on desirable labour market skills, could explain our results. Future research should explore these mechanisms in greater detail and may elucidate why our results do not hold at the extensive margin (Table 3).</w:t>
      </w:r>
    </w:p>
    <w:p w14:paraId="35AF8196" w14:textId="77777777" w:rsidR="00697F2C" w:rsidRDefault="00697F2C" w:rsidP="00697F2C">
      <w:pPr>
        <w:spacing w:line="24" w:lineRule="atLeast"/>
        <w:ind w:firstLine="720"/>
        <w:jc w:val="both"/>
        <w:rPr>
          <w:lang w:val="mi-NZ"/>
        </w:rPr>
      </w:pPr>
    </w:p>
    <w:p w14:paraId="26AA729A" w14:textId="77777777" w:rsidR="007E596C" w:rsidRDefault="007E596C" w:rsidP="00697F2C">
      <w:pPr>
        <w:spacing w:line="24" w:lineRule="atLeast"/>
        <w:ind w:firstLine="720"/>
        <w:jc w:val="both"/>
        <w:rPr>
          <w:lang w:val="mi-NZ"/>
        </w:rPr>
      </w:pPr>
      <w:r>
        <w:rPr>
          <w:lang w:val="mi-NZ"/>
        </w:rPr>
        <w:t xml:space="preserve">Further considering the role of mobility, when we include controls and interactions for housing tenure (owning or renting), the correlation between pet ownership and real income is </w:t>
      </w:r>
      <w:r>
        <w:rPr>
          <w:lang w:val="mi-NZ"/>
        </w:rPr>
        <w:lastRenderedPageBreak/>
        <w:t>insignificant for home-owners, but negative and almost significant for renters. For those renting, owning an additional pet is associated with 13.4% lower real income, ceteris paribus. Despite this coefficient being statistically insignificant at conventional levels, it is pertinent to consider how the marginal effect of renting on real income changes with differing levels of pet ownership. Figure 2 illustrates that renting with pets significantly reduces real income (and does so to a greater extent as the number of pets rises). Moreover, at the extensive margin (Table 3), pet ownership is associated with 43.9% lower real income on average (and is statistically significant).</w:t>
      </w:r>
    </w:p>
    <w:p w14:paraId="2CF4C11D" w14:textId="77777777" w:rsidR="00697F2C" w:rsidRDefault="00697F2C" w:rsidP="00697F2C">
      <w:pPr>
        <w:spacing w:line="24" w:lineRule="atLeast"/>
        <w:ind w:firstLine="720"/>
        <w:jc w:val="both"/>
        <w:rPr>
          <w:lang w:val="mi-NZ"/>
        </w:rPr>
      </w:pPr>
    </w:p>
    <w:p w14:paraId="73FB3DDB" w14:textId="77777777" w:rsidR="007E596C" w:rsidRDefault="007E596C" w:rsidP="007E596C">
      <w:pPr>
        <w:spacing w:line="480" w:lineRule="auto"/>
        <w:jc w:val="both"/>
        <w:rPr>
          <w:b/>
          <w:bCs/>
          <w:lang w:val="mi-NZ"/>
        </w:rPr>
      </w:pPr>
      <w:r>
        <w:rPr>
          <w:noProof/>
          <w:lang w:val="en-NZ" w:eastAsia="zh-CN"/>
        </w:rPr>
        <w:drawing>
          <wp:inline distT="0" distB="0" distL="0" distR="0" wp14:anchorId="5CE59BD0" wp14:editId="6F9764E2">
            <wp:extent cx="5731510" cy="4172585"/>
            <wp:effectExtent l="0" t="0" r="254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4172585"/>
                    </a:xfrm>
                    <a:prstGeom prst="rect">
                      <a:avLst/>
                    </a:prstGeom>
                  </pic:spPr>
                </pic:pic>
              </a:graphicData>
            </a:graphic>
          </wp:inline>
        </w:drawing>
      </w:r>
    </w:p>
    <w:p w14:paraId="0880F871" w14:textId="77777777" w:rsidR="007E596C" w:rsidRDefault="007E596C" w:rsidP="00697F2C">
      <w:pPr>
        <w:spacing w:line="288" w:lineRule="auto"/>
        <w:jc w:val="both"/>
        <w:rPr>
          <w:b/>
          <w:bCs/>
          <w:lang w:val="mi-NZ"/>
        </w:rPr>
      </w:pPr>
      <w:r>
        <w:rPr>
          <w:b/>
          <w:bCs/>
          <w:lang w:val="mi-NZ"/>
        </w:rPr>
        <w:t xml:space="preserve">Figure 2. Plot of the marginal effect of renting on the log of real income by differing levels of pet ownership </w:t>
      </w:r>
    </w:p>
    <w:p w14:paraId="1DE8965D" w14:textId="77777777" w:rsidR="00697F2C" w:rsidRPr="008F19B6" w:rsidRDefault="00697F2C" w:rsidP="00697F2C">
      <w:pPr>
        <w:spacing w:line="288" w:lineRule="auto"/>
        <w:jc w:val="both"/>
        <w:rPr>
          <w:b/>
          <w:bCs/>
          <w:lang w:val="mi-NZ"/>
        </w:rPr>
      </w:pPr>
    </w:p>
    <w:p w14:paraId="56C7C085" w14:textId="77777777" w:rsidR="007E596C" w:rsidRDefault="007E596C" w:rsidP="00697F2C">
      <w:pPr>
        <w:spacing w:line="24" w:lineRule="atLeast"/>
        <w:ind w:firstLine="720"/>
        <w:jc w:val="both"/>
        <w:rPr>
          <w:lang w:val="mi-NZ"/>
        </w:rPr>
      </w:pPr>
      <w:r>
        <w:rPr>
          <w:lang w:val="mi-NZ"/>
        </w:rPr>
        <w:t>We suggest that renters (relative to homeowners) face greater mobility restrictions from pet ownership and may have lower incomes as a result. Many landlords impose restrictions on pet ownership (Graham et al., 2018; Power, 2016). Graham et al. (2020) survey renters with pets and find that they make considerable compromises when looking for rental properties in order to keep their pets. In particular, dog owners struggle to find rental accomodation (Graham et al., 2020), which is particularly pertinent given that dogs are the “pet of choice” in the US (Applebaum, 2020).</w:t>
      </w:r>
      <w:r w:rsidDel="00B001AC">
        <w:rPr>
          <w:lang w:val="mi-NZ"/>
        </w:rPr>
        <w:t xml:space="preserve"> </w:t>
      </w:r>
      <w:r>
        <w:rPr>
          <w:lang w:val="mi-NZ"/>
        </w:rPr>
        <w:t xml:space="preserve">In contrast, the Oswald Hypothesis suggests that homeowners may be generally less mobile than renters (Cochrane and Poot, 2020). However, we don’t expect pet ownership to reduce homeowners’ mobility, because they do not face the same restrictions on pet ownership that renters do. Thus, these results again suggest that a negative relationship between income an pet ownership for workers who are less mobile. </w:t>
      </w:r>
    </w:p>
    <w:p w14:paraId="06F83A7F" w14:textId="77777777" w:rsidR="00697F2C" w:rsidRDefault="00697F2C" w:rsidP="00697F2C">
      <w:pPr>
        <w:spacing w:line="24" w:lineRule="atLeast"/>
        <w:ind w:firstLine="720"/>
        <w:jc w:val="both"/>
        <w:rPr>
          <w:lang w:val="mi-NZ"/>
        </w:rPr>
      </w:pPr>
    </w:p>
    <w:p w14:paraId="4831945E" w14:textId="4FD0FAB4" w:rsidR="007E596C" w:rsidRDefault="007E596C" w:rsidP="00697F2C">
      <w:pPr>
        <w:spacing w:line="24" w:lineRule="atLeast"/>
        <w:ind w:firstLine="360"/>
        <w:jc w:val="both"/>
        <w:rPr>
          <w:lang w:val="mi-NZ"/>
        </w:rPr>
      </w:pPr>
      <w:r>
        <w:rPr>
          <w:lang w:val="mi-NZ"/>
        </w:rPr>
        <w:lastRenderedPageBreak/>
        <w:t xml:space="preserve">In our final model, the coefficient on pet ownership is negative and significant for African Americans and insignificant for Whites and people of </w:t>
      </w:r>
      <w:r w:rsidRPr="000E066C">
        <w:rPr>
          <w:lang w:val="mi-NZ"/>
        </w:rPr>
        <w:t>other</w:t>
      </w:r>
      <w:r>
        <w:rPr>
          <w:i/>
          <w:iCs/>
          <w:lang w:val="mi-NZ"/>
        </w:rPr>
        <w:t xml:space="preserve"> </w:t>
      </w:r>
      <w:r>
        <w:rPr>
          <w:lang w:val="mi-NZ"/>
        </w:rPr>
        <w:t>races. On average, for African Americans, an additional pet is associated with 21.1% lower real income, ceteris paribus. On average, at the extensive margin (Table 3), pet ownership is associated with 53.0% lower income, ceteris paribus. This supports our initial hypothesis that the combination of racial biases and pet ownership may significantly reduce African Americans’</w:t>
      </w:r>
      <w:r w:rsidDel="002C2EAB">
        <w:rPr>
          <w:lang w:val="mi-NZ"/>
        </w:rPr>
        <w:t xml:space="preserve"> </w:t>
      </w:r>
      <w:r>
        <w:rPr>
          <w:lang w:val="mi-NZ"/>
        </w:rPr>
        <w:t xml:space="preserve">labour mobility and their subsequent wage income (Fischer and Massey, 2004; Ondrich et al., 1999). We suspect the potential effects may be concentrated in the rental housing market, as noted above. In our smaller sample (those who saw the housing tenure questions), almost twice as many African Americans are renters (58.9%) compared to Whites (32.8%). Therefore, mobility issues associated with pet ownership may have disproportionate impacts on minority populations. </w:t>
      </w:r>
    </w:p>
    <w:p w14:paraId="1F2EA5D5" w14:textId="77777777" w:rsidR="00AB5A35" w:rsidRDefault="00AB5A35" w:rsidP="00697F2C">
      <w:pPr>
        <w:spacing w:line="24" w:lineRule="atLeast"/>
        <w:ind w:firstLine="360"/>
        <w:jc w:val="both"/>
        <w:rPr>
          <w:lang w:val="mi-NZ"/>
        </w:rPr>
      </w:pPr>
    </w:p>
    <w:p w14:paraId="2B13E981" w14:textId="77777777" w:rsidR="00697F2C" w:rsidRPr="004D0126" w:rsidRDefault="00697F2C" w:rsidP="00697F2C">
      <w:pPr>
        <w:spacing w:line="24" w:lineRule="atLeast"/>
        <w:ind w:firstLine="360"/>
        <w:jc w:val="both"/>
        <w:rPr>
          <w:lang w:val="mi-NZ"/>
        </w:rPr>
      </w:pPr>
    </w:p>
    <w:p w14:paraId="3115C320" w14:textId="587A6B7C" w:rsidR="007E596C" w:rsidRDefault="007E596C" w:rsidP="00AB5A35">
      <w:pPr>
        <w:pStyle w:val="ListParagraph"/>
        <w:numPr>
          <w:ilvl w:val="0"/>
          <w:numId w:val="48"/>
        </w:numPr>
        <w:spacing w:after="160" w:line="24" w:lineRule="atLeast"/>
        <w:ind w:left="360"/>
        <w:jc w:val="both"/>
        <w:rPr>
          <w:b/>
          <w:bCs/>
          <w:lang w:val="mi-NZ"/>
        </w:rPr>
      </w:pPr>
      <w:r>
        <w:rPr>
          <w:b/>
          <w:bCs/>
          <w:lang w:val="mi-NZ"/>
        </w:rPr>
        <w:t>Conclusions</w:t>
      </w:r>
    </w:p>
    <w:p w14:paraId="6B7A59B9" w14:textId="77777777" w:rsidR="00AB5A35" w:rsidRPr="007D243F" w:rsidRDefault="00AB5A35" w:rsidP="00AB5A35">
      <w:pPr>
        <w:pStyle w:val="ListParagraph"/>
        <w:spacing w:after="160" w:line="24" w:lineRule="atLeast"/>
        <w:ind w:left="360"/>
        <w:jc w:val="both"/>
        <w:rPr>
          <w:b/>
          <w:bCs/>
          <w:lang w:val="mi-NZ"/>
        </w:rPr>
      </w:pPr>
    </w:p>
    <w:p w14:paraId="2AEB6876" w14:textId="77777777" w:rsidR="007E596C" w:rsidRDefault="007E596C" w:rsidP="00AB5A35">
      <w:pPr>
        <w:spacing w:line="24" w:lineRule="atLeast"/>
        <w:jc w:val="both"/>
        <w:rPr>
          <w:lang w:val="mi-NZ"/>
        </w:rPr>
      </w:pPr>
      <w:r>
        <w:rPr>
          <w:lang w:val="mi-NZ"/>
        </w:rPr>
        <w:t xml:space="preserve">Overall, our results provide some initial support for the claim that pet ownership reduces labour mobility and negatively impacts workers’ earnings potential (particularly for highly educated workers, renters, and African Americans). However, our analysis has some key limitations. First, we do not generate causal estimates for the relationship between pet ownership and wage income. Pet ownership (and other explanatory control variables) is likely to be endogenous to some extent and this would introduce bias into our OLS estimates. Moreover, the data on pet ownership is limited to a single cross-section in the GSS, and the range of pet ownership variables is limited. We also cannot determine how long each individual has owned a pet for. This may be an issue because the impact on labour mobility may differ depending on how long a worker has owned pets. For instance, long-term pet owners may be more reluctant to give up their pets to enable a work-related move. The sample size limitation is most relevant for our analysis of housing tenure and pet ownership. Further exploration of these issues, perhaps with a large-scale bespoke survey, is warranted. </w:t>
      </w:r>
    </w:p>
    <w:p w14:paraId="17EF021A" w14:textId="77777777" w:rsidR="00697F2C" w:rsidRDefault="00697F2C" w:rsidP="00697F2C">
      <w:pPr>
        <w:spacing w:line="24" w:lineRule="atLeast"/>
        <w:ind w:firstLine="360"/>
        <w:jc w:val="both"/>
        <w:rPr>
          <w:lang w:val="mi-NZ"/>
        </w:rPr>
      </w:pPr>
    </w:p>
    <w:p w14:paraId="2413356F" w14:textId="77777777" w:rsidR="007E596C" w:rsidRDefault="007E596C" w:rsidP="00697F2C">
      <w:pPr>
        <w:spacing w:line="24" w:lineRule="atLeast"/>
        <w:ind w:firstLine="360"/>
        <w:jc w:val="both"/>
        <w:rPr>
          <w:lang w:val="mi-NZ"/>
        </w:rPr>
      </w:pPr>
      <w:r>
        <w:rPr>
          <w:lang w:val="mi-NZ"/>
        </w:rPr>
        <w:t>In spite of these limitations, this exercise is a useful first exploration of the correlations between pet ownership and wage income in the US. Our findings improve our understanding of the costs and benefits of pet ownership and the tradeoffs pet owners make for their pets. We show that pet ownership is negatively associated with real income for highly educated individuals, renters, and African Americans. We argue that these correlations may be driven by mobility constraints associated with pet ownership. We also find that pet ownership is positively correlated with real income for uneducated workers and this may suggest that pet ownership garners desirable social attributes that are valuable in the labour market.</w:t>
      </w:r>
    </w:p>
    <w:p w14:paraId="25B024FA" w14:textId="77777777" w:rsidR="00697F2C" w:rsidRDefault="00697F2C" w:rsidP="00697F2C">
      <w:pPr>
        <w:spacing w:line="24" w:lineRule="atLeast"/>
        <w:ind w:firstLine="360"/>
        <w:jc w:val="both"/>
        <w:rPr>
          <w:lang w:val="mi-NZ"/>
        </w:rPr>
      </w:pPr>
    </w:p>
    <w:p w14:paraId="0FF5B081" w14:textId="77777777" w:rsidR="007E596C" w:rsidRPr="007945BD" w:rsidRDefault="007E596C" w:rsidP="00697F2C">
      <w:pPr>
        <w:spacing w:line="24" w:lineRule="atLeast"/>
        <w:ind w:firstLine="360"/>
        <w:jc w:val="both"/>
        <w:rPr>
          <w:lang w:val="mi-NZ"/>
        </w:rPr>
      </w:pPr>
      <w:r>
        <w:rPr>
          <w:lang w:val="mi-NZ"/>
        </w:rPr>
        <w:t>The full range of costs and benefits of pet ownership are still being identified. We have contributed to this literature through an examination of the labour market impacts of pet ownership. While pet owners will undoubtedly assert that their pets are worth it, understanding these dynamics could help policy makers improve labour mobility and labour market outcomes for pet owners.</w:t>
      </w:r>
    </w:p>
    <w:p w14:paraId="5F80FBC9" w14:textId="77777777" w:rsidR="007E596C" w:rsidRPr="006A42F1" w:rsidRDefault="007E596C" w:rsidP="003342DE">
      <w:pPr>
        <w:spacing w:line="24" w:lineRule="atLeast"/>
        <w:rPr>
          <w:lang w:val="mi-NZ"/>
        </w:rPr>
      </w:pPr>
    </w:p>
    <w:p w14:paraId="72482D53" w14:textId="77777777" w:rsidR="007E596C" w:rsidRDefault="007E596C" w:rsidP="003342DE">
      <w:pPr>
        <w:spacing w:line="24" w:lineRule="atLeast"/>
        <w:rPr>
          <w:lang w:val="mi-NZ"/>
        </w:rPr>
      </w:pPr>
    </w:p>
    <w:p w14:paraId="55FFCB27" w14:textId="77777777" w:rsidR="007E596C" w:rsidRDefault="007E596C" w:rsidP="003342DE">
      <w:pPr>
        <w:spacing w:line="24" w:lineRule="atLeast"/>
        <w:rPr>
          <w:lang w:val="mi-NZ"/>
        </w:rPr>
      </w:pPr>
    </w:p>
    <w:p w14:paraId="512176B3" w14:textId="77777777" w:rsidR="007E596C" w:rsidRDefault="007E596C" w:rsidP="003342DE">
      <w:pPr>
        <w:spacing w:line="24" w:lineRule="atLeast"/>
        <w:rPr>
          <w:lang w:val="mi-NZ"/>
        </w:rPr>
      </w:pPr>
    </w:p>
    <w:p w14:paraId="0BD3A193" w14:textId="77777777" w:rsidR="007E596C" w:rsidRDefault="007E596C" w:rsidP="003342DE">
      <w:pPr>
        <w:spacing w:line="24" w:lineRule="atLeast"/>
        <w:rPr>
          <w:lang w:val="mi-NZ"/>
        </w:rPr>
      </w:pPr>
    </w:p>
    <w:p w14:paraId="50EA3122" w14:textId="77777777" w:rsidR="007E596C" w:rsidRDefault="007E596C" w:rsidP="007E596C">
      <w:pPr>
        <w:rPr>
          <w:b/>
          <w:bCs/>
          <w:lang w:val="mi-NZ"/>
        </w:rPr>
      </w:pPr>
      <w:r>
        <w:rPr>
          <w:b/>
          <w:bCs/>
          <w:lang w:val="mi-NZ"/>
        </w:rPr>
        <w:br w:type="page"/>
      </w:r>
    </w:p>
    <w:p w14:paraId="436BD00D" w14:textId="77777777" w:rsidR="007E596C" w:rsidRDefault="007E596C" w:rsidP="00057246">
      <w:pPr>
        <w:spacing w:line="288" w:lineRule="auto"/>
        <w:rPr>
          <w:b/>
          <w:bCs/>
          <w:lang w:val="mi-NZ"/>
        </w:rPr>
      </w:pPr>
      <w:r>
        <w:rPr>
          <w:b/>
          <w:bCs/>
          <w:lang w:val="mi-NZ"/>
        </w:rPr>
        <w:lastRenderedPageBreak/>
        <w:t>References</w:t>
      </w:r>
    </w:p>
    <w:p w14:paraId="1A194F60" w14:textId="77777777" w:rsidR="007E596C" w:rsidRPr="00CF0D11" w:rsidRDefault="007E596C" w:rsidP="00057246">
      <w:pPr>
        <w:spacing w:line="288" w:lineRule="auto"/>
        <w:ind w:left="720" w:hanging="720"/>
      </w:pPr>
      <w:proofErr w:type="spellStart"/>
      <w:r w:rsidRPr="00CF0D11">
        <w:t>Amior</w:t>
      </w:r>
      <w:proofErr w:type="spellEnd"/>
      <w:r w:rsidRPr="00CF0D11">
        <w:t>, M. (2015).</w:t>
      </w:r>
      <w:r w:rsidRPr="00CF0D11">
        <w:rPr>
          <w:i/>
          <w:iCs/>
        </w:rPr>
        <w:t xml:space="preserve"> Why are higher skilled workers more mobile geographically? The role of the job surplus</w:t>
      </w:r>
      <w:r w:rsidRPr="00CF0D11">
        <w:t xml:space="preserve"> (CEP Discussion Paper No: 1338). https://cep.lse.ac.uk/pubs/download/dp1338.pdf</w:t>
      </w:r>
    </w:p>
    <w:p w14:paraId="5806E8BF" w14:textId="77777777" w:rsidR="007E596C" w:rsidRDefault="007E596C" w:rsidP="00057246">
      <w:pPr>
        <w:spacing w:line="288" w:lineRule="auto"/>
        <w:ind w:left="720" w:hanging="720"/>
      </w:pPr>
      <w:r w:rsidRPr="000E066C">
        <w:rPr>
          <w:lang w:val="nl-NL"/>
        </w:rPr>
        <w:t xml:space="preserve">Anderson, W. P., Reid, C. M., &amp; Jennings, G. L. (1992). </w:t>
      </w:r>
      <w:r w:rsidRPr="005D649C">
        <w:t>Pet ownership and risk factors for cardiovascular disease. The Medical Journal of Australia, 157(5), 298–301.</w:t>
      </w:r>
    </w:p>
    <w:p w14:paraId="1C1BBD2F" w14:textId="0C5694A6" w:rsidR="007E596C" w:rsidRPr="00B81172" w:rsidRDefault="007E596C" w:rsidP="00057246">
      <w:pPr>
        <w:spacing w:line="288" w:lineRule="auto"/>
        <w:ind w:left="720" w:hanging="720"/>
      </w:pPr>
      <w:r w:rsidRPr="00B81172">
        <w:t xml:space="preserve">Applebaum, J. W., Peek, C. W., &amp; </w:t>
      </w:r>
      <w:proofErr w:type="spellStart"/>
      <w:r w:rsidRPr="00B81172">
        <w:t>Zsembik</w:t>
      </w:r>
      <w:proofErr w:type="spellEnd"/>
      <w:r w:rsidRPr="00B81172">
        <w:t xml:space="preserve">, B. A. (2020). Examining U.S. pet ownership using the General Social Survey. </w:t>
      </w:r>
      <w:r w:rsidRPr="00B81172">
        <w:rPr>
          <w:i/>
          <w:iCs/>
        </w:rPr>
        <w:t>The Social Science Journal</w:t>
      </w:r>
      <w:r w:rsidRPr="00B81172">
        <w:t xml:space="preserve">, </w:t>
      </w:r>
      <w:r w:rsidRPr="00B81172">
        <w:rPr>
          <w:i/>
          <w:iCs/>
        </w:rPr>
        <w:t>0</w:t>
      </w:r>
      <w:r w:rsidRPr="00B81172">
        <w:t xml:space="preserve">(0), 1–10. </w:t>
      </w:r>
      <w:r w:rsidRPr="00891805">
        <w:t>https://doi.org/10.1080/03623319.2020.1728507</w:t>
      </w:r>
    </w:p>
    <w:p w14:paraId="6F3566B9" w14:textId="12ECE4D0" w:rsidR="007E596C" w:rsidRPr="00B81172" w:rsidRDefault="007E596C" w:rsidP="00057246">
      <w:pPr>
        <w:spacing w:line="288" w:lineRule="auto"/>
        <w:ind w:left="720" w:hanging="720"/>
      </w:pPr>
      <w:r w:rsidRPr="00B81172">
        <w:t xml:space="preserve">Bao, K. J., &amp; </w:t>
      </w:r>
      <w:proofErr w:type="spellStart"/>
      <w:r w:rsidRPr="00B81172">
        <w:t>Schreer</w:t>
      </w:r>
      <w:proofErr w:type="spellEnd"/>
      <w:r w:rsidRPr="00B81172">
        <w:t xml:space="preserve">, G. (2016). Pets and </w:t>
      </w:r>
      <w:r>
        <w:t>h</w:t>
      </w:r>
      <w:r w:rsidRPr="00B81172">
        <w:t xml:space="preserve">appiness: Examining the </w:t>
      </w:r>
      <w:r>
        <w:t>a</w:t>
      </w:r>
      <w:r w:rsidRPr="00B81172">
        <w:t xml:space="preserve">ssociation between </w:t>
      </w:r>
      <w:r>
        <w:t>p</w:t>
      </w:r>
      <w:r w:rsidRPr="00B81172">
        <w:t xml:space="preserve">et </w:t>
      </w:r>
      <w:r>
        <w:t>o</w:t>
      </w:r>
      <w:r w:rsidRPr="00B81172">
        <w:t xml:space="preserve">wnership and </w:t>
      </w:r>
      <w:r>
        <w:t>w</w:t>
      </w:r>
      <w:r w:rsidRPr="00B81172">
        <w:t xml:space="preserve">ellbeing. </w:t>
      </w:r>
      <w:proofErr w:type="spellStart"/>
      <w:r w:rsidRPr="00B81172">
        <w:rPr>
          <w:i/>
          <w:iCs/>
        </w:rPr>
        <w:t>Anthrozoös</w:t>
      </w:r>
      <w:proofErr w:type="spellEnd"/>
      <w:r w:rsidRPr="00B81172">
        <w:t xml:space="preserve">, </w:t>
      </w:r>
      <w:r w:rsidRPr="00B81172">
        <w:rPr>
          <w:i/>
          <w:iCs/>
        </w:rPr>
        <w:t>29</w:t>
      </w:r>
      <w:r w:rsidRPr="00B81172">
        <w:t xml:space="preserve">(2), 283–296. </w:t>
      </w:r>
      <w:r w:rsidRPr="00891805">
        <w:t>https://doi.org/10.1080/08927936.2016.1152721</w:t>
      </w:r>
    </w:p>
    <w:p w14:paraId="6EB2BF51" w14:textId="77777777" w:rsidR="007E596C" w:rsidRPr="00B81172" w:rsidRDefault="007E596C" w:rsidP="00057246">
      <w:pPr>
        <w:spacing w:line="288" w:lineRule="auto"/>
        <w:ind w:left="720" w:hanging="720"/>
      </w:pPr>
      <w:r w:rsidRPr="00B81172">
        <w:t xml:space="preserve">Blocker, T. J., &amp; Eckberg, D. L. (1997). Gender and </w:t>
      </w:r>
      <w:r>
        <w:t>e</w:t>
      </w:r>
      <w:r w:rsidRPr="00B81172">
        <w:t xml:space="preserve">nvironmentalism: Results from the 1993 General Social Survey. </w:t>
      </w:r>
      <w:r w:rsidRPr="00B81172">
        <w:rPr>
          <w:i/>
          <w:iCs/>
        </w:rPr>
        <w:t>Social Science Quarterly</w:t>
      </w:r>
      <w:r w:rsidRPr="00B81172">
        <w:t xml:space="preserve">, </w:t>
      </w:r>
      <w:r w:rsidRPr="00B81172">
        <w:rPr>
          <w:i/>
          <w:iCs/>
        </w:rPr>
        <w:t>78</w:t>
      </w:r>
      <w:r w:rsidRPr="00B81172">
        <w:t>(4), 841–858.</w:t>
      </w:r>
    </w:p>
    <w:p w14:paraId="5A6266DB" w14:textId="5CA7330F" w:rsidR="007E596C" w:rsidRPr="00B81172" w:rsidRDefault="007E596C" w:rsidP="00057246">
      <w:pPr>
        <w:spacing w:line="288" w:lineRule="auto"/>
        <w:ind w:left="720" w:hanging="720"/>
      </w:pPr>
      <w:r w:rsidRPr="00B81172">
        <w:t xml:space="preserve">Burt, R. S. (1984). Network items and the general social survey. </w:t>
      </w:r>
      <w:r w:rsidRPr="00B81172">
        <w:rPr>
          <w:i/>
          <w:iCs/>
        </w:rPr>
        <w:t>Social Networks</w:t>
      </w:r>
      <w:r w:rsidRPr="00B81172">
        <w:t xml:space="preserve">, </w:t>
      </w:r>
      <w:r w:rsidRPr="00B81172">
        <w:rPr>
          <w:i/>
          <w:iCs/>
        </w:rPr>
        <w:t>6</w:t>
      </w:r>
      <w:r w:rsidRPr="00B81172">
        <w:t xml:space="preserve">(4), 293–339. </w:t>
      </w:r>
      <w:r w:rsidRPr="00891805">
        <w:t>https://doi.org/10.1016/0378-8733(84)90007-8</w:t>
      </w:r>
    </w:p>
    <w:p w14:paraId="0C10D713" w14:textId="6A82C531" w:rsidR="007E596C" w:rsidRPr="00AC686C" w:rsidRDefault="007E596C" w:rsidP="00057246">
      <w:pPr>
        <w:spacing w:line="288" w:lineRule="auto"/>
        <w:ind w:left="720" w:hanging="720"/>
      </w:pPr>
      <w:bookmarkStart w:id="2" w:name="_Hlk87102502"/>
      <w:r w:rsidRPr="00AC686C">
        <w:t>Carlsson, M., &amp; Eriksson,</w:t>
      </w:r>
      <w:bookmarkEnd w:id="2"/>
      <w:r w:rsidRPr="00AC686C">
        <w:t xml:space="preserve"> S. (2014). Discrimination in the rental market for apartments. </w:t>
      </w:r>
      <w:r w:rsidRPr="00AC686C">
        <w:rPr>
          <w:i/>
          <w:iCs/>
        </w:rPr>
        <w:t>Journal of Housing Economics</w:t>
      </w:r>
      <w:r w:rsidRPr="00AC686C">
        <w:t xml:space="preserve">, </w:t>
      </w:r>
      <w:r w:rsidRPr="00AC686C">
        <w:rPr>
          <w:i/>
          <w:iCs/>
        </w:rPr>
        <w:t>23</w:t>
      </w:r>
      <w:r w:rsidRPr="00AC686C">
        <w:t xml:space="preserve">, 41–54. </w:t>
      </w:r>
      <w:r w:rsidRPr="00891805">
        <w:t>https://doi.org/10.1016/j.jhe.2013.11.004</w:t>
      </w:r>
    </w:p>
    <w:p w14:paraId="7D179C83" w14:textId="18FE5252" w:rsidR="007E596C" w:rsidRPr="00FE1C0B" w:rsidRDefault="007E596C" w:rsidP="00057246">
      <w:pPr>
        <w:spacing w:line="288" w:lineRule="auto"/>
        <w:ind w:left="720" w:hanging="720"/>
      </w:pPr>
      <w:r w:rsidRPr="00FE1C0B">
        <w:t xml:space="preserve">Cochrane, W., &amp; Poot, J. (2020). Did the post-1986 decline in the homeownership rate benefit the New Zealand </w:t>
      </w:r>
      <w:proofErr w:type="spellStart"/>
      <w:r w:rsidRPr="00FE1C0B">
        <w:t>labour</w:t>
      </w:r>
      <w:proofErr w:type="spellEnd"/>
      <w:r w:rsidRPr="00FE1C0B">
        <w:t xml:space="preserve"> market? A spatial-econometric exploration. </w:t>
      </w:r>
      <w:r w:rsidRPr="00FE1C0B">
        <w:rPr>
          <w:i/>
          <w:iCs/>
        </w:rPr>
        <w:t>Asia-Pacific Journal of Regional Science</w:t>
      </w:r>
      <w:r w:rsidRPr="00FE1C0B">
        <w:t xml:space="preserve">, </w:t>
      </w:r>
      <w:r w:rsidRPr="00FE1C0B">
        <w:rPr>
          <w:i/>
          <w:iCs/>
        </w:rPr>
        <w:t>4</w:t>
      </w:r>
      <w:r w:rsidRPr="00FE1C0B">
        <w:t xml:space="preserve">(1), 261–284. </w:t>
      </w:r>
      <w:r w:rsidRPr="00891805">
        <w:t>https://doi.org/10.1007/s41685-020-00148-6</w:t>
      </w:r>
    </w:p>
    <w:p w14:paraId="0DDC38AA" w14:textId="3A5B7D15" w:rsidR="007E596C" w:rsidRPr="003E1F95" w:rsidRDefault="007E596C" w:rsidP="00057246">
      <w:pPr>
        <w:spacing w:line="288" w:lineRule="auto"/>
        <w:ind w:left="720" w:hanging="720"/>
      </w:pPr>
      <w:r w:rsidRPr="00FB5EA5">
        <w:rPr>
          <w:lang w:val="de-DE"/>
        </w:rPr>
        <w:t xml:space="preserve">Fischer, M. J., &amp; Massey, D. S. (2004). </w:t>
      </w:r>
      <w:r w:rsidRPr="003E1F95">
        <w:t xml:space="preserve">The </w:t>
      </w:r>
      <w:r>
        <w:t>e</w:t>
      </w:r>
      <w:r w:rsidRPr="003E1F95">
        <w:t xml:space="preserve">cology of </w:t>
      </w:r>
      <w:r>
        <w:t>r</w:t>
      </w:r>
      <w:r w:rsidRPr="003E1F95">
        <w:t xml:space="preserve">acial </w:t>
      </w:r>
      <w:r>
        <w:t>d</w:t>
      </w:r>
      <w:r w:rsidRPr="003E1F95">
        <w:t xml:space="preserve">iscrimination. </w:t>
      </w:r>
      <w:r w:rsidRPr="003E1F95">
        <w:rPr>
          <w:i/>
          <w:iCs/>
        </w:rPr>
        <w:t>City &amp; Community</w:t>
      </w:r>
      <w:r w:rsidRPr="003E1F95">
        <w:t xml:space="preserve">, </w:t>
      </w:r>
      <w:r w:rsidRPr="003E1F95">
        <w:rPr>
          <w:i/>
          <w:iCs/>
        </w:rPr>
        <w:t>3</w:t>
      </w:r>
      <w:r w:rsidRPr="003E1F95">
        <w:t xml:space="preserve">(3), 221–241. </w:t>
      </w:r>
      <w:r w:rsidRPr="00891805">
        <w:t>https://doi.org/10.1111/j.1535-6841.2004.00079.x</w:t>
      </w:r>
    </w:p>
    <w:p w14:paraId="54769AF6" w14:textId="6CC1B979" w:rsidR="007E596C" w:rsidRPr="00B81172" w:rsidRDefault="007E596C" w:rsidP="00057246">
      <w:pPr>
        <w:spacing w:line="288" w:lineRule="auto"/>
        <w:ind w:left="720" w:hanging="720"/>
      </w:pPr>
      <w:proofErr w:type="spellStart"/>
      <w:r w:rsidRPr="00B81172">
        <w:t>Ghayad</w:t>
      </w:r>
      <w:proofErr w:type="spellEnd"/>
      <w:r w:rsidRPr="00B81172">
        <w:t xml:space="preserve">, R., &amp; Dickens, W. T. (2012). What </w:t>
      </w:r>
      <w:r>
        <w:t>c</w:t>
      </w:r>
      <w:r w:rsidRPr="00B81172">
        <w:t xml:space="preserve">an </w:t>
      </w:r>
      <w:r>
        <w:t>w</w:t>
      </w:r>
      <w:r w:rsidRPr="00B81172">
        <w:t xml:space="preserve">e </w:t>
      </w:r>
      <w:r>
        <w:t>l</w:t>
      </w:r>
      <w:r w:rsidRPr="00B81172">
        <w:t xml:space="preserve">earn by </w:t>
      </w:r>
      <w:r>
        <w:t>d</w:t>
      </w:r>
      <w:r w:rsidRPr="00B81172">
        <w:t xml:space="preserve">isaggregating the </w:t>
      </w:r>
      <w:r>
        <w:t>u</w:t>
      </w:r>
      <w:r w:rsidRPr="00B81172">
        <w:t>nemployment-</w:t>
      </w:r>
      <w:r>
        <w:t>v</w:t>
      </w:r>
      <w:r w:rsidRPr="00B81172">
        <w:t xml:space="preserve">acancy </w:t>
      </w:r>
      <w:r>
        <w:t>r</w:t>
      </w:r>
      <w:r w:rsidRPr="00B81172">
        <w:t xml:space="preserve">elationship? </w:t>
      </w:r>
      <w:r w:rsidRPr="00B81172">
        <w:rPr>
          <w:i/>
          <w:iCs/>
        </w:rPr>
        <w:t>SSRN Electronic Journal</w:t>
      </w:r>
      <w:r w:rsidRPr="00B81172">
        <w:t xml:space="preserve">. </w:t>
      </w:r>
      <w:r w:rsidRPr="00891805">
        <w:t>https://doi.org/10.2139/ssrn.2285075</w:t>
      </w:r>
    </w:p>
    <w:p w14:paraId="6523BAF6" w14:textId="77777777" w:rsidR="007E596C" w:rsidRDefault="007E596C" w:rsidP="00057246">
      <w:pPr>
        <w:spacing w:line="288" w:lineRule="auto"/>
        <w:ind w:left="720" w:hanging="720"/>
      </w:pPr>
      <w:r>
        <w:t xml:space="preserve">Global Pet Relocation. (2021). </w:t>
      </w:r>
      <w:r>
        <w:rPr>
          <w:i/>
          <w:iCs/>
        </w:rPr>
        <w:t>Frequently asked questions</w:t>
      </w:r>
      <w:r>
        <w:t xml:space="preserve">. </w:t>
      </w:r>
      <w:r w:rsidRPr="006A68C7">
        <w:t>https://www.globalpetrelocation.com/faqs-pet-relocation</w:t>
      </w:r>
    </w:p>
    <w:p w14:paraId="26C86947" w14:textId="057F4D40" w:rsidR="007E596C" w:rsidRDefault="007E596C" w:rsidP="00057246">
      <w:pPr>
        <w:spacing w:line="288" w:lineRule="auto"/>
        <w:ind w:left="720" w:hanging="720"/>
      </w:pPr>
      <w:r w:rsidRPr="00744E42">
        <w:t xml:space="preserve">Graham, T. M., </w:t>
      </w:r>
      <w:proofErr w:type="spellStart"/>
      <w:r w:rsidRPr="00744E42">
        <w:t>Milaney</w:t>
      </w:r>
      <w:proofErr w:type="spellEnd"/>
      <w:r w:rsidRPr="00744E42">
        <w:t xml:space="preserve">, K. J., Adams, C. L., &amp; Rock, M. J. (2018). “Pets </w:t>
      </w:r>
      <w:r>
        <w:t>n</w:t>
      </w:r>
      <w:r w:rsidRPr="00744E42">
        <w:t xml:space="preserve">egotiable”: How </w:t>
      </w:r>
      <w:r>
        <w:t>d</w:t>
      </w:r>
      <w:r w:rsidRPr="00744E42">
        <w:t xml:space="preserve">o the </w:t>
      </w:r>
      <w:r>
        <w:t>p</w:t>
      </w:r>
      <w:r w:rsidRPr="00744E42">
        <w:t xml:space="preserve">erspectives of </w:t>
      </w:r>
      <w:r>
        <w:t>l</w:t>
      </w:r>
      <w:r w:rsidRPr="00744E42">
        <w:t xml:space="preserve">andlords and </w:t>
      </w:r>
      <w:r>
        <w:t>p</w:t>
      </w:r>
      <w:r w:rsidRPr="00744E42">
        <w:t xml:space="preserve">roperty </w:t>
      </w:r>
      <w:r>
        <w:t>m</w:t>
      </w:r>
      <w:r w:rsidRPr="00744E42">
        <w:t xml:space="preserve">anagers </w:t>
      </w:r>
      <w:r>
        <w:t>c</w:t>
      </w:r>
      <w:r w:rsidRPr="00744E42">
        <w:t xml:space="preserve">ompare with </w:t>
      </w:r>
      <w:r>
        <w:t>t</w:t>
      </w:r>
      <w:r w:rsidRPr="00744E42">
        <w:t xml:space="preserve">hose of </w:t>
      </w:r>
      <w:r>
        <w:t>y</w:t>
      </w:r>
      <w:r w:rsidRPr="00744E42">
        <w:t xml:space="preserve">ounger </w:t>
      </w:r>
      <w:r>
        <w:t>te</w:t>
      </w:r>
      <w:r w:rsidRPr="00744E42">
        <w:t xml:space="preserve">nants with </w:t>
      </w:r>
      <w:r>
        <w:t>d</w:t>
      </w:r>
      <w:r w:rsidRPr="00744E42">
        <w:t xml:space="preserve">ogs? </w:t>
      </w:r>
      <w:r w:rsidRPr="00744E42">
        <w:rPr>
          <w:i/>
          <w:iCs/>
        </w:rPr>
        <w:t>Animals: An Open Access Journal from MDPI</w:t>
      </w:r>
      <w:r w:rsidRPr="00744E42">
        <w:t xml:space="preserve">, </w:t>
      </w:r>
      <w:r w:rsidRPr="00744E42">
        <w:rPr>
          <w:i/>
          <w:iCs/>
        </w:rPr>
        <w:t>8</w:t>
      </w:r>
      <w:r w:rsidRPr="00744E42">
        <w:t xml:space="preserve">(3), 32. </w:t>
      </w:r>
      <w:r w:rsidRPr="00891805">
        <w:t>https://doi.org/10.3390/ani8030032</w:t>
      </w:r>
    </w:p>
    <w:p w14:paraId="717B9092" w14:textId="7E44082F" w:rsidR="007E596C" w:rsidRPr="00C7611A" w:rsidRDefault="007E596C" w:rsidP="00057246">
      <w:pPr>
        <w:spacing w:line="288" w:lineRule="auto"/>
        <w:ind w:left="720" w:hanging="720"/>
      </w:pPr>
      <w:r w:rsidRPr="00C7611A">
        <w:t xml:space="preserve">Jennings, L. B. (1997). Potential </w:t>
      </w:r>
      <w:r>
        <w:t>b</w:t>
      </w:r>
      <w:r w:rsidRPr="00C7611A">
        <w:t xml:space="preserve">enefits of </w:t>
      </w:r>
      <w:r>
        <w:t>p</w:t>
      </w:r>
      <w:r w:rsidRPr="00C7611A">
        <w:t xml:space="preserve">et </w:t>
      </w:r>
      <w:r>
        <w:t>o</w:t>
      </w:r>
      <w:r w:rsidRPr="00C7611A">
        <w:t xml:space="preserve">wnership in </w:t>
      </w:r>
      <w:r>
        <w:t>h</w:t>
      </w:r>
      <w:r w:rsidRPr="00C7611A">
        <w:t xml:space="preserve">ealth </w:t>
      </w:r>
      <w:r>
        <w:t>p</w:t>
      </w:r>
      <w:r w:rsidRPr="00C7611A">
        <w:t xml:space="preserve">romotion. </w:t>
      </w:r>
      <w:r w:rsidRPr="00C7611A">
        <w:rPr>
          <w:i/>
          <w:iCs/>
        </w:rPr>
        <w:t>Journal of Holistic Nursing</w:t>
      </w:r>
      <w:r w:rsidRPr="00C7611A">
        <w:t xml:space="preserve">, </w:t>
      </w:r>
      <w:r w:rsidRPr="00C7611A">
        <w:rPr>
          <w:i/>
          <w:iCs/>
        </w:rPr>
        <w:t>15</w:t>
      </w:r>
      <w:r w:rsidRPr="00C7611A">
        <w:t xml:space="preserve">(4), 358–372. </w:t>
      </w:r>
      <w:r w:rsidRPr="00891805">
        <w:t>https://doi.org/10.1177/089801019701500404</w:t>
      </w:r>
    </w:p>
    <w:p w14:paraId="2C6631B1" w14:textId="77777777" w:rsidR="007E596C" w:rsidRDefault="007E596C" w:rsidP="00057246">
      <w:pPr>
        <w:spacing w:line="288" w:lineRule="auto"/>
        <w:ind w:left="720" w:hanging="720"/>
      </w:pPr>
      <w:r w:rsidRPr="00916D50">
        <w:t xml:space="preserve">Machin, S., </w:t>
      </w:r>
      <w:proofErr w:type="spellStart"/>
      <w:r w:rsidRPr="00916D50">
        <w:t>Salvanes</w:t>
      </w:r>
      <w:proofErr w:type="spellEnd"/>
      <w:r w:rsidRPr="00916D50">
        <w:t xml:space="preserve">, K. G., &amp; </w:t>
      </w:r>
      <w:proofErr w:type="spellStart"/>
      <w:r w:rsidRPr="00916D50">
        <w:t>Pelkonen</w:t>
      </w:r>
      <w:proofErr w:type="spellEnd"/>
      <w:r w:rsidRPr="00916D50">
        <w:t>, P. (2012). Education and mobility.</w:t>
      </w:r>
      <w:r>
        <w:t xml:space="preserve"> </w:t>
      </w:r>
      <w:r w:rsidRPr="00916D50">
        <w:rPr>
          <w:i/>
          <w:iCs/>
        </w:rPr>
        <w:t>Journal of the European Economic Association, 10(2)</w:t>
      </w:r>
      <w:r w:rsidRPr="00916D50">
        <w:t>, 417–450.</w:t>
      </w:r>
    </w:p>
    <w:p w14:paraId="678D287E" w14:textId="77777777" w:rsidR="007E596C" w:rsidRPr="00916D50" w:rsidRDefault="007E596C" w:rsidP="00057246">
      <w:pPr>
        <w:spacing w:line="288" w:lineRule="auto"/>
        <w:ind w:left="720" w:hanging="720"/>
      </w:pPr>
      <w:r w:rsidRPr="00916D50">
        <w:t xml:space="preserve">Malamud, O., &amp; Wozniak, A. (2012). The </w:t>
      </w:r>
      <w:r>
        <w:t>i</w:t>
      </w:r>
      <w:r w:rsidRPr="00916D50">
        <w:t xml:space="preserve">mpact of college on migration: Evidence from the Vietnam generation. </w:t>
      </w:r>
      <w:r w:rsidRPr="00916D50">
        <w:rPr>
          <w:i/>
          <w:iCs/>
        </w:rPr>
        <w:t>Journal of Human resources</w:t>
      </w:r>
      <w:r w:rsidRPr="00916D50">
        <w:t>, 47(4): 913–950.</w:t>
      </w:r>
    </w:p>
    <w:p w14:paraId="2D5757C5" w14:textId="3D965C19" w:rsidR="007E596C" w:rsidRPr="00B81172" w:rsidRDefault="007E596C" w:rsidP="00057246">
      <w:pPr>
        <w:spacing w:line="288" w:lineRule="auto"/>
        <w:ind w:left="720" w:hanging="720"/>
      </w:pPr>
      <w:r w:rsidRPr="00B81172">
        <w:t xml:space="preserve">McNicholas, J., </w:t>
      </w:r>
      <w:proofErr w:type="spellStart"/>
      <w:r w:rsidRPr="00B81172">
        <w:t>Gilbey</w:t>
      </w:r>
      <w:proofErr w:type="spellEnd"/>
      <w:r w:rsidRPr="00B81172">
        <w:t xml:space="preserve">, A., Rennie, A., </w:t>
      </w:r>
      <w:proofErr w:type="spellStart"/>
      <w:r w:rsidRPr="00B81172">
        <w:t>Ahmedzai</w:t>
      </w:r>
      <w:proofErr w:type="spellEnd"/>
      <w:r w:rsidRPr="00B81172">
        <w:t xml:space="preserve">, S., </w:t>
      </w:r>
      <w:proofErr w:type="spellStart"/>
      <w:r w:rsidRPr="00B81172">
        <w:t>Dono</w:t>
      </w:r>
      <w:proofErr w:type="spellEnd"/>
      <w:r w:rsidRPr="00B81172">
        <w:t xml:space="preserve">, J.-A., &amp; Ormerod, E. (2005). Pet ownership and human health: A brief review of evidence and issues. </w:t>
      </w:r>
      <w:r w:rsidRPr="00B81172">
        <w:rPr>
          <w:i/>
          <w:iCs/>
        </w:rPr>
        <w:t>BMJ</w:t>
      </w:r>
      <w:r w:rsidRPr="00B81172">
        <w:t xml:space="preserve">, </w:t>
      </w:r>
      <w:r w:rsidRPr="00B81172">
        <w:rPr>
          <w:i/>
          <w:iCs/>
        </w:rPr>
        <w:t>331</w:t>
      </w:r>
      <w:r w:rsidRPr="00B81172">
        <w:t xml:space="preserve">(7527), 1252–1254. </w:t>
      </w:r>
      <w:r w:rsidRPr="00891805">
        <w:t>https://doi.org/10.1136/bmj.331.7527.1252</w:t>
      </w:r>
    </w:p>
    <w:p w14:paraId="0ACEECEC" w14:textId="77777777" w:rsidR="007E596C" w:rsidRPr="00B81172" w:rsidRDefault="007E596C" w:rsidP="00057246">
      <w:pPr>
        <w:spacing w:line="288" w:lineRule="auto"/>
        <w:ind w:left="720" w:hanging="720"/>
      </w:pPr>
      <w:r w:rsidRPr="00B81172">
        <w:lastRenderedPageBreak/>
        <w:t xml:space="preserve">Mincer, J. (1958). Investment in </w:t>
      </w:r>
      <w:r>
        <w:t>h</w:t>
      </w:r>
      <w:r w:rsidRPr="00B81172">
        <w:t xml:space="preserve">uman </w:t>
      </w:r>
      <w:r>
        <w:t>c</w:t>
      </w:r>
      <w:r w:rsidRPr="00B81172">
        <w:t xml:space="preserve">apital and </w:t>
      </w:r>
      <w:r>
        <w:t>p</w:t>
      </w:r>
      <w:r w:rsidRPr="00B81172">
        <w:t xml:space="preserve">ersonal </w:t>
      </w:r>
      <w:r>
        <w:t>i</w:t>
      </w:r>
      <w:r w:rsidRPr="00B81172">
        <w:t xml:space="preserve">ncome </w:t>
      </w:r>
      <w:r>
        <w:t>d</w:t>
      </w:r>
      <w:r w:rsidRPr="00B81172">
        <w:t xml:space="preserve">istribution. </w:t>
      </w:r>
      <w:r w:rsidRPr="00B81172">
        <w:rPr>
          <w:i/>
          <w:iCs/>
        </w:rPr>
        <w:t>Journal of Political Economy</w:t>
      </w:r>
      <w:r w:rsidRPr="00B81172">
        <w:t xml:space="preserve">, </w:t>
      </w:r>
      <w:r w:rsidRPr="00B81172">
        <w:rPr>
          <w:i/>
          <w:iCs/>
        </w:rPr>
        <w:t>66</w:t>
      </w:r>
      <w:r w:rsidRPr="00B81172">
        <w:t>(4), 281–302.</w:t>
      </w:r>
    </w:p>
    <w:p w14:paraId="3F63D0BB" w14:textId="77777777" w:rsidR="007E596C" w:rsidRPr="00BB329C" w:rsidRDefault="007E596C" w:rsidP="00057246">
      <w:pPr>
        <w:spacing w:line="288" w:lineRule="auto"/>
        <w:ind w:left="720" w:hanging="720"/>
      </w:pPr>
      <w:r w:rsidRPr="00BB329C">
        <w:t>Moretti,</w:t>
      </w:r>
      <w:r>
        <w:t xml:space="preserve"> E</w:t>
      </w:r>
      <w:r w:rsidRPr="00BB329C">
        <w:t xml:space="preserve">. </w:t>
      </w:r>
      <w:r>
        <w:t>(</w:t>
      </w:r>
      <w:r w:rsidRPr="00BB329C">
        <w:t>2011</w:t>
      </w:r>
      <w:r>
        <w:t>)</w:t>
      </w:r>
      <w:r w:rsidRPr="00BB329C">
        <w:t>. Local</w:t>
      </w:r>
      <w:r>
        <w:t xml:space="preserve"> l</w:t>
      </w:r>
      <w:r w:rsidRPr="00BB329C">
        <w:t xml:space="preserve">abor </w:t>
      </w:r>
      <w:r>
        <w:t>m</w:t>
      </w:r>
      <w:r w:rsidRPr="00BB329C">
        <w:t xml:space="preserve">arkets. In </w:t>
      </w:r>
      <w:r>
        <w:t xml:space="preserve">D. Card &amp; O. </w:t>
      </w:r>
      <w:proofErr w:type="spellStart"/>
      <w:r>
        <w:t>Ashenfelter</w:t>
      </w:r>
      <w:proofErr w:type="spellEnd"/>
      <w:r>
        <w:t xml:space="preserve"> (Eds.), </w:t>
      </w:r>
      <w:r w:rsidRPr="00C05C36">
        <w:rPr>
          <w:i/>
          <w:iCs/>
        </w:rPr>
        <w:t>Handbook of Labor Economics</w:t>
      </w:r>
      <w:r>
        <w:t xml:space="preserve"> (</w:t>
      </w:r>
      <w:r w:rsidRPr="00BB329C">
        <w:t>Vol. 4B,</w:t>
      </w:r>
      <w:r>
        <w:t xml:space="preserve"> pp. </w:t>
      </w:r>
      <w:r w:rsidRPr="00BB329C">
        <w:t>1237–1313</w:t>
      </w:r>
      <w:r>
        <w:t xml:space="preserve">). </w:t>
      </w:r>
      <w:r w:rsidRPr="00BB329C">
        <w:t>Elsevier</w:t>
      </w:r>
      <w:r>
        <w:t>.</w:t>
      </w:r>
    </w:p>
    <w:p w14:paraId="734B7C35" w14:textId="77777777" w:rsidR="007E596C" w:rsidRPr="00E50041" w:rsidRDefault="007E596C" w:rsidP="00057246">
      <w:pPr>
        <w:spacing w:line="288" w:lineRule="auto"/>
        <w:ind w:left="720" w:hanging="720"/>
      </w:pPr>
      <w:r>
        <w:t xml:space="preserve">NORC. (2019). </w:t>
      </w:r>
      <w:r>
        <w:rPr>
          <w:i/>
          <w:iCs/>
        </w:rPr>
        <w:t>General Social Surveys, 1973-2018: Cumulative codebook</w:t>
      </w:r>
      <w:r>
        <w:t xml:space="preserve">. </w:t>
      </w:r>
      <w:r w:rsidRPr="0073693D">
        <w:t>https://gss.norc.org/documents/codebook/gss_codebook.pdf</w:t>
      </w:r>
    </w:p>
    <w:p w14:paraId="31E8FB22" w14:textId="64326C67" w:rsidR="007E596C" w:rsidRPr="000E066C" w:rsidRDefault="007E596C" w:rsidP="00057246">
      <w:pPr>
        <w:spacing w:line="288" w:lineRule="auto"/>
        <w:ind w:left="720" w:hanging="720"/>
        <w:rPr>
          <w:lang w:val="fr-FR"/>
        </w:rPr>
      </w:pPr>
      <w:proofErr w:type="spellStart"/>
      <w:r w:rsidRPr="00911662">
        <w:t>Ondrich</w:t>
      </w:r>
      <w:proofErr w:type="spellEnd"/>
      <w:r w:rsidRPr="00911662">
        <w:t xml:space="preserve">, J., Stricker, A., &amp; </w:t>
      </w:r>
      <w:proofErr w:type="spellStart"/>
      <w:r w:rsidRPr="00911662">
        <w:t>Yinger</w:t>
      </w:r>
      <w:proofErr w:type="spellEnd"/>
      <w:r w:rsidRPr="00911662">
        <w:t xml:space="preserve">, J. (1999). Do </w:t>
      </w:r>
      <w:r>
        <w:t>l</w:t>
      </w:r>
      <w:r w:rsidRPr="00911662">
        <w:t xml:space="preserve">andlords </w:t>
      </w:r>
      <w:r>
        <w:t>d</w:t>
      </w:r>
      <w:r w:rsidRPr="00911662">
        <w:t xml:space="preserve">iscriminate? The </w:t>
      </w:r>
      <w:r>
        <w:t>i</w:t>
      </w:r>
      <w:r w:rsidRPr="00911662">
        <w:t xml:space="preserve">ncidence and </w:t>
      </w:r>
      <w:r>
        <w:t>c</w:t>
      </w:r>
      <w:r w:rsidRPr="00911662">
        <w:t xml:space="preserve">auses of </w:t>
      </w:r>
      <w:r>
        <w:t>r</w:t>
      </w:r>
      <w:r w:rsidRPr="00911662">
        <w:t xml:space="preserve">acial </w:t>
      </w:r>
      <w:r>
        <w:t>d</w:t>
      </w:r>
      <w:r w:rsidRPr="00911662">
        <w:t xml:space="preserve">iscrimination in </w:t>
      </w:r>
      <w:r>
        <w:t>r</w:t>
      </w:r>
      <w:r w:rsidRPr="00911662">
        <w:t xml:space="preserve">ental </w:t>
      </w:r>
      <w:r>
        <w:t>h</w:t>
      </w:r>
      <w:r w:rsidRPr="00911662">
        <w:t xml:space="preserve">ousing </w:t>
      </w:r>
      <w:r>
        <w:t>m</w:t>
      </w:r>
      <w:r w:rsidRPr="00911662">
        <w:t xml:space="preserve">arkets. </w:t>
      </w:r>
      <w:r w:rsidRPr="000E066C">
        <w:rPr>
          <w:i/>
          <w:iCs/>
          <w:lang w:val="fr-FR"/>
        </w:rPr>
        <w:t xml:space="preserve">Journal of </w:t>
      </w:r>
      <w:proofErr w:type="spellStart"/>
      <w:r w:rsidRPr="000E066C">
        <w:rPr>
          <w:i/>
          <w:iCs/>
          <w:lang w:val="fr-FR"/>
        </w:rPr>
        <w:t>Housing</w:t>
      </w:r>
      <w:proofErr w:type="spellEnd"/>
      <w:r w:rsidRPr="000E066C">
        <w:rPr>
          <w:i/>
          <w:iCs/>
          <w:lang w:val="fr-FR"/>
        </w:rPr>
        <w:t xml:space="preserve"> </w:t>
      </w:r>
      <w:proofErr w:type="spellStart"/>
      <w:r w:rsidRPr="000E066C">
        <w:rPr>
          <w:i/>
          <w:iCs/>
          <w:lang w:val="fr-FR"/>
        </w:rPr>
        <w:t>Economics</w:t>
      </w:r>
      <w:proofErr w:type="spellEnd"/>
      <w:r w:rsidRPr="000E066C">
        <w:rPr>
          <w:lang w:val="fr-FR"/>
        </w:rPr>
        <w:t xml:space="preserve">, </w:t>
      </w:r>
      <w:r w:rsidRPr="000E066C">
        <w:rPr>
          <w:i/>
          <w:iCs/>
          <w:lang w:val="fr-FR"/>
        </w:rPr>
        <w:t>8</w:t>
      </w:r>
      <w:r w:rsidRPr="000E066C">
        <w:rPr>
          <w:lang w:val="fr-FR"/>
        </w:rPr>
        <w:t xml:space="preserve">(3), 185–204. </w:t>
      </w:r>
      <w:r w:rsidRPr="00891805">
        <w:rPr>
          <w:lang w:val="fr-FR"/>
        </w:rPr>
        <w:t>https://doi.org/10.1006/jhec.1999.0249</w:t>
      </w:r>
    </w:p>
    <w:p w14:paraId="51F7272F" w14:textId="20C263EF" w:rsidR="007E596C" w:rsidRPr="00B81172" w:rsidRDefault="007E596C" w:rsidP="00057246">
      <w:pPr>
        <w:spacing w:line="288" w:lineRule="auto"/>
        <w:ind w:left="720" w:hanging="720"/>
      </w:pPr>
      <w:r w:rsidRPr="000E066C">
        <w:rPr>
          <w:lang w:val="fr-FR"/>
        </w:rPr>
        <w:t xml:space="preserve">Pilar de Luis </w:t>
      </w:r>
      <w:proofErr w:type="spellStart"/>
      <w:r w:rsidRPr="000E066C">
        <w:rPr>
          <w:lang w:val="fr-FR"/>
        </w:rPr>
        <w:t>Carnicer</w:t>
      </w:r>
      <w:proofErr w:type="spellEnd"/>
      <w:r w:rsidRPr="000E066C">
        <w:rPr>
          <w:lang w:val="fr-FR"/>
        </w:rPr>
        <w:t xml:space="preserve">, M., </w:t>
      </w:r>
      <w:proofErr w:type="spellStart"/>
      <w:r w:rsidRPr="000E066C">
        <w:rPr>
          <w:lang w:val="fr-FR"/>
        </w:rPr>
        <w:t>Martínez</w:t>
      </w:r>
      <w:proofErr w:type="spellEnd"/>
      <w:r w:rsidRPr="000E066C">
        <w:rPr>
          <w:lang w:val="fr-FR"/>
        </w:rPr>
        <w:t xml:space="preserve"> </w:t>
      </w:r>
      <w:proofErr w:type="spellStart"/>
      <w:r w:rsidRPr="000E066C">
        <w:rPr>
          <w:lang w:val="fr-FR"/>
        </w:rPr>
        <w:t>Sánchez</w:t>
      </w:r>
      <w:proofErr w:type="spellEnd"/>
      <w:r w:rsidRPr="000E066C">
        <w:rPr>
          <w:lang w:val="fr-FR"/>
        </w:rPr>
        <w:t xml:space="preserve">, A., Pérez </w:t>
      </w:r>
      <w:proofErr w:type="spellStart"/>
      <w:r w:rsidRPr="000E066C">
        <w:rPr>
          <w:lang w:val="fr-FR"/>
        </w:rPr>
        <w:t>Pérez</w:t>
      </w:r>
      <w:proofErr w:type="spellEnd"/>
      <w:r w:rsidRPr="000E066C">
        <w:rPr>
          <w:lang w:val="fr-FR"/>
        </w:rPr>
        <w:t xml:space="preserve">, M., &amp; José Vela Jiménez, M. (2004). </w:t>
      </w:r>
      <w:r w:rsidRPr="00B81172">
        <w:t xml:space="preserve">Analysis of internal and external </w:t>
      </w:r>
      <w:proofErr w:type="spellStart"/>
      <w:r w:rsidRPr="00B81172">
        <w:t>labour</w:t>
      </w:r>
      <w:proofErr w:type="spellEnd"/>
      <w:r w:rsidRPr="00B81172">
        <w:t xml:space="preserve"> mobility: A model of job‐related and non‐related factors. </w:t>
      </w:r>
      <w:r w:rsidRPr="00B81172">
        <w:rPr>
          <w:i/>
          <w:iCs/>
        </w:rPr>
        <w:t>Personnel Review</w:t>
      </w:r>
      <w:r w:rsidRPr="00B81172">
        <w:t xml:space="preserve">, </w:t>
      </w:r>
      <w:r w:rsidRPr="00B81172">
        <w:rPr>
          <w:i/>
          <w:iCs/>
        </w:rPr>
        <w:t>33</w:t>
      </w:r>
      <w:r w:rsidRPr="00B81172">
        <w:t xml:space="preserve">(2), 222–240. </w:t>
      </w:r>
      <w:r w:rsidRPr="00891805">
        <w:t>https://doi.org/10.1108/00483480410518068</w:t>
      </w:r>
    </w:p>
    <w:p w14:paraId="11A71C21" w14:textId="77777777" w:rsidR="007E596C" w:rsidRPr="00CE6244" w:rsidRDefault="007E596C" w:rsidP="00057246">
      <w:pPr>
        <w:spacing w:line="288" w:lineRule="auto"/>
        <w:ind w:left="720" w:hanging="720"/>
      </w:pPr>
      <w:r>
        <w:t xml:space="preserve">Power, A. (2016, August 16). </w:t>
      </w:r>
      <w:r w:rsidRPr="00C05C36">
        <w:rPr>
          <w:i/>
          <w:iCs/>
        </w:rPr>
        <w:t>As pet owners suffer rental insecurity, perhaps landlords should think again</w:t>
      </w:r>
      <w:r>
        <w:t xml:space="preserve">. The Conversation. </w:t>
      </w:r>
      <w:r w:rsidRPr="00DA182E">
        <w:t>https://theconversation.com/as-pet-owners-suffer-rental-insecurity-perhaps-landlords-should-think-again-63275</w:t>
      </w:r>
    </w:p>
    <w:p w14:paraId="52EEE099" w14:textId="4C3FDA04" w:rsidR="007E596C" w:rsidRPr="00C05C36" w:rsidRDefault="007E596C" w:rsidP="00057246">
      <w:pPr>
        <w:spacing w:line="288" w:lineRule="auto"/>
        <w:ind w:left="720" w:hanging="720"/>
        <w:rPr>
          <w:lang w:val="it-IT"/>
        </w:rPr>
      </w:pPr>
      <w:r w:rsidRPr="00B81172">
        <w:t>Rogerson, R., Shimer, R., &amp; Wright, R. (2005). Search-</w:t>
      </w:r>
      <w:r>
        <w:t>t</w:t>
      </w:r>
      <w:r w:rsidRPr="00B81172">
        <w:t xml:space="preserve">heoretic </w:t>
      </w:r>
      <w:r>
        <w:t>m</w:t>
      </w:r>
      <w:r w:rsidRPr="00B81172">
        <w:t xml:space="preserve">odels of the </w:t>
      </w:r>
      <w:r>
        <w:t>l</w:t>
      </w:r>
      <w:r w:rsidRPr="00B81172">
        <w:t xml:space="preserve">abor </w:t>
      </w:r>
      <w:r>
        <w:t>m</w:t>
      </w:r>
      <w:r w:rsidRPr="00B81172">
        <w:t xml:space="preserve">arket: A </w:t>
      </w:r>
      <w:r>
        <w:t>s</w:t>
      </w:r>
      <w:r w:rsidRPr="00B81172">
        <w:t xml:space="preserve">urvey. </w:t>
      </w:r>
      <w:r w:rsidRPr="00C05C36">
        <w:rPr>
          <w:i/>
          <w:iCs/>
          <w:lang w:val="it-IT"/>
        </w:rPr>
        <w:t>Journal of Economic Literature</w:t>
      </w:r>
      <w:r w:rsidRPr="00C05C36">
        <w:rPr>
          <w:lang w:val="it-IT"/>
        </w:rPr>
        <w:t xml:space="preserve">, </w:t>
      </w:r>
      <w:r w:rsidRPr="00C05C36">
        <w:rPr>
          <w:i/>
          <w:iCs/>
          <w:lang w:val="it-IT"/>
        </w:rPr>
        <w:t>43</w:t>
      </w:r>
      <w:r w:rsidRPr="00C05C36">
        <w:rPr>
          <w:lang w:val="it-IT"/>
        </w:rPr>
        <w:t xml:space="preserve">(4), 959–988. </w:t>
      </w:r>
      <w:r w:rsidRPr="00891805">
        <w:rPr>
          <w:lang w:val="it-IT"/>
        </w:rPr>
        <w:t>https://doi.org/10.1257/002205105775362014</w:t>
      </w:r>
    </w:p>
    <w:p w14:paraId="312B39C8" w14:textId="19909859" w:rsidR="007E596C" w:rsidRPr="00B81172" w:rsidRDefault="007E596C" w:rsidP="00057246">
      <w:pPr>
        <w:spacing w:line="288" w:lineRule="auto"/>
        <w:ind w:left="720" w:hanging="720"/>
      </w:pPr>
      <w:r w:rsidRPr="00C05C36">
        <w:rPr>
          <w:lang w:val="it-IT"/>
        </w:rPr>
        <w:t xml:space="preserve">Schioppa, F. P. &amp; La Sapienza and the Libra Universita Internazionale Degli Studi Sociale (Eds.). </w:t>
      </w:r>
      <w:r w:rsidRPr="00B81172">
        <w:t xml:space="preserve">(1991). </w:t>
      </w:r>
      <w:r w:rsidRPr="00B81172">
        <w:rPr>
          <w:i/>
          <w:iCs/>
        </w:rPr>
        <w:t xml:space="preserve">Mismatch and </w:t>
      </w:r>
      <w:proofErr w:type="spellStart"/>
      <w:r w:rsidRPr="00B81172">
        <w:rPr>
          <w:i/>
          <w:iCs/>
        </w:rPr>
        <w:t>Labour</w:t>
      </w:r>
      <w:proofErr w:type="spellEnd"/>
      <w:r w:rsidRPr="00B81172">
        <w:rPr>
          <w:i/>
          <w:iCs/>
        </w:rPr>
        <w:t xml:space="preserve"> Mobility</w:t>
      </w:r>
      <w:r w:rsidRPr="00B81172">
        <w:t xml:space="preserve">. Cambridge University Press. </w:t>
      </w:r>
      <w:r w:rsidRPr="00891805">
        <w:t>https://doi.org/10.1017/CBO9780511599316</w:t>
      </w:r>
    </w:p>
    <w:p w14:paraId="62546C38" w14:textId="0C62EC1D" w:rsidR="007E596C" w:rsidRPr="00B81172" w:rsidRDefault="007E596C" w:rsidP="00057246">
      <w:pPr>
        <w:spacing w:line="288" w:lineRule="auto"/>
        <w:ind w:left="720" w:hanging="720"/>
      </w:pPr>
      <w:proofErr w:type="spellStart"/>
      <w:r w:rsidRPr="00B81172">
        <w:t>Serpell</w:t>
      </w:r>
      <w:proofErr w:type="spellEnd"/>
      <w:r w:rsidRPr="00B81172">
        <w:t xml:space="preserve">, J. (1991). Beneficial </w:t>
      </w:r>
      <w:r>
        <w:t>e</w:t>
      </w:r>
      <w:r w:rsidRPr="00B81172">
        <w:t xml:space="preserve">ffects of </w:t>
      </w:r>
      <w:r>
        <w:t>p</w:t>
      </w:r>
      <w:r w:rsidRPr="00B81172">
        <w:t xml:space="preserve">et </w:t>
      </w:r>
      <w:r>
        <w:t>o</w:t>
      </w:r>
      <w:r w:rsidRPr="00B81172">
        <w:t xml:space="preserve">wnership on </w:t>
      </w:r>
      <w:r>
        <w:t>s</w:t>
      </w:r>
      <w:r w:rsidRPr="00B81172">
        <w:t xml:space="preserve">ome </w:t>
      </w:r>
      <w:r>
        <w:t>a</w:t>
      </w:r>
      <w:r w:rsidRPr="00B81172">
        <w:t xml:space="preserve">spects of </w:t>
      </w:r>
      <w:r>
        <w:t>h</w:t>
      </w:r>
      <w:r w:rsidRPr="00B81172">
        <w:t xml:space="preserve">uman </w:t>
      </w:r>
      <w:r>
        <w:t>h</w:t>
      </w:r>
      <w:r w:rsidRPr="00B81172">
        <w:t xml:space="preserve">ealth and </w:t>
      </w:r>
      <w:proofErr w:type="spellStart"/>
      <w:r>
        <w:t>b</w:t>
      </w:r>
      <w:r w:rsidRPr="00B81172">
        <w:t>ehaviour</w:t>
      </w:r>
      <w:proofErr w:type="spellEnd"/>
      <w:r w:rsidRPr="00B81172">
        <w:t xml:space="preserve">. </w:t>
      </w:r>
      <w:r w:rsidRPr="00B81172">
        <w:rPr>
          <w:i/>
          <w:iCs/>
        </w:rPr>
        <w:t>Journal of the Royal Society of Medicine</w:t>
      </w:r>
      <w:r w:rsidRPr="00B81172">
        <w:t xml:space="preserve">, </w:t>
      </w:r>
      <w:r w:rsidRPr="00B81172">
        <w:rPr>
          <w:i/>
          <w:iCs/>
        </w:rPr>
        <w:t>84</w:t>
      </w:r>
      <w:r w:rsidRPr="00B81172">
        <w:t xml:space="preserve">(12), 717–720. </w:t>
      </w:r>
      <w:r w:rsidRPr="00891805">
        <w:t>https://doi.org/10.1177/014107689108401208</w:t>
      </w:r>
    </w:p>
    <w:p w14:paraId="5BC893E2" w14:textId="510D08CF" w:rsidR="007E596C" w:rsidRDefault="007E596C" w:rsidP="00057246">
      <w:pPr>
        <w:spacing w:line="288" w:lineRule="auto"/>
        <w:ind w:left="720" w:hanging="720"/>
      </w:pPr>
      <w:r w:rsidRPr="008D0D02">
        <w:t xml:space="preserve">South, S. J., &amp; Deane, G. D. (1993). Race and </w:t>
      </w:r>
      <w:r>
        <w:t>r</w:t>
      </w:r>
      <w:r w:rsidRPr="008D0D02">
        <w:t xml:space="preserve">esidential </w:t>
      </w:r>
      <w:r>
        <w:t>m</w:t>
      </w:r>
      <w:r w:rsidRPr="008D0D02">
        <w:t xml:space="preserve">obility: Individual </w:t>
      </w:r>
      <w:r>
        <w:t>d</w:t>
      </w:r>
      <w:r w:rsidRPr="008D0D02">
        <w:t xml:space="preserve">eterminants and </w:t>
      </w:r>
      <w:r>
        <w:t>s</w:t>
      </w:r>
      <w:r w:rsidRPr="008D0D02">
        <w:t xml:space="preserve">tructural </w:t>
      </w:r>
      <w:r>
        <w:t>c</w:t>
      </w:r>
      <w:r w:rsidRPr="008D0D02">
        <w:t xml:space="preserve">onstraints. </w:t>
      </w:r>
      <w:r w:rsidRPr="008D0D02">
        <w:rPr>
          <w:i/>
          <w:iCs/>
        </w:rPr>
        <w:t>Social Forces</w:t>
      </w:r>
      <w:r w:rsidRPr="008D0D02">
        <w:t xml:space="preserve">, </w:t>
      </w:r>
      <w:r w:rsidRPr="008D0D02">
        <w:rPr>
          <w:i/>
          <w:iCs/>
        </w:rPr>
        <w:t>72</w:t>
      </w:r>
      <w:r w:rsidRPr="008D0D02">
        <w:t xml:space="preserve">(1), 147–167. </w:t>
      </w:r>
      <w:r w:rsidRPr="00891805">
        <w:t>https://doi.org/10.1093/sf/72.1.147</w:t>
      </w:r>
    </w:p>
    <w:p w14:paraId="38DE2263" w14:textId="77777777" w:rsidR="007E596C" w:rsidRDefault="007E596C" w:rsidP="00057246">
      <w:pPr>
        <w:spacing w:line="288" w:lineRule="auto"/>
        <w:ind w:left="720" w:hanging="720"/>
      </w:pPr>
      <w:proofErr w:type="spellStart"/>
      <w:r w:rsidRPr="00235BB8">
        <w:t>Sharkin</w:t>
      </w:r>
      <w:proofErr w:type="spellEnd"/>
      <w:r w:rsidRPr="00235BB8">
        <w:t xml:space="preserve">, B. S., &amp; Knox, D. (2003). Pet loss: Issues and implications for the psychologist. </w:t>
      </w:r>
      <w:r w:rsidRPr="008D0D02">
        <w:rPr>
          <w:i/>
          <w:iCs/>
        </w:rPr>
        <w:t>Professional Psychology: Research and Practice, 34</w:t>
      </w:r>
      <w:r w:rsidRPr="00235BB8">
        <w:t>(4), 414–421. https://doi.org/10.1037/0735-7028.34.4.414</w:t>
      </w:r>
    </w:p>
    <w:p w14:paraId="3CDA0F46" w14:textId="37F39407" w:rsidR="007E596C" w:rsidRPr="00B81172" w:rsidRDefault="007E596C" w:rsidP="00057246">
      <w:pPr>
        <w:spacing w:line="288" w:lineRule="auto"/>
        <w:ind w:left="720" w:hanging="720"/>
      </w:pPr>
      <w:r w:rsidRPr="00B81172">
        <w:t xml:space="preserve">Thompson, K., Every, D., Rainbird, S., Cornell, V., Smith, B., &amp; Trigg, J. (2014). No Pet or Their Person Left Behind: Increasing the Disaster Resilience of Vulnerable Groups through Animal Attachment, Activities and Networks. </w:t>
      </w:r>
      <w:r w:rsidRPr="00B81172">
        <w:rPr>
          <w:i/>
          <w:iCs/>
        </w:rPr>
        <w:t>Animals</w:t>
      </w:r>
      <w:r w:rsidRPr="00B81172">
        <w:t xml:space="preserve">, </w:t>
      </w:r>
      <w:r w:rsidRPr="00B81172">
        <w:rPr>
          <w:i/>
          <w:iCs/>
        </w:rPr>
        <w:t>4</w:t>
      </w:r>
      <w:r w:rsidRPr="00B81172">
        <w:t xml:space="preserve">(2), 214–240. </w:t>
      </w:r>
      <w:r w:rsidRPr="00891805">
        <w:t>https://doi.org/10.3390/ani4020214</w:t>
      </w:r>
    </w:p>
    <w:p w14:paraId="27B0BD3E" w14:textId="7B0D05B3" w:rsidR="00BF7B8D" w:rsidRPr="00CE5D16" w:rsidRDefault="00BF7B8D" w:rsidP="007E596C">
      <w:pPr>
        <w:pStyle w:val="Heading1"/>
        <w:spacing w:before="0" w:after="0" w:line="288" w:lineRule="auto"/>
      </w:pPr>
    </w:p>
    <w:sectPr w:rsidR="00BF7B8D" w:rsidRPr="00CE5D16" w:rsidSect="00A408D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AEB98" w14:textId="77777777" w:rsidR="004E28AA" w:rsidRDefault="004E28AA" w:rsidP="00041B51">
      <w:r>
        <w:separator/>
      </w:r>
    </w:p>
  </w:endnote>
  <w:endnote w:type="continuationSeparator" w:id="0">
    <w:p w14:paraId="4D0A8B51" w14:textId="77777777" w:rsidR="004E28AA" w:rsidRDefault="004E28AA"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16733"/>
      <w:docPartObj>
        <w:docPartGallery w:val="Page Numbers (Bottom of Page)"/>
        <w:docPartUnique/>
      </w:docPartObj>
    </w:sdtPr>
    <w:sdtEndPr>
      <w:rPr>
        <w:noProof/>
      </w:rPr>
    </w:sdtEndPr>
    <w:sdtContent>
      <w:p w14:paraId="4134563E" w14:textId="3750E8B5" w:rsidR="008F2AC3" w:rsidRDefault="008F2AC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FDD55B4" w14:textId="77777777" w:rsidR="008F2AC3" w:rsidRDefault="008F2AC3"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454F" w14:textId="77777777" w:rsidR="004E28AA" w:rsidRDefault="004E28AA" w:rsidP="00041B51">
      <w:r>
        <w:separator/>
      </w:r>
    </w:p>
  </w:footnote>
  <w:footnote w:type="continuationSeparator" w:id="0">
    <w:p w14:paraId="291C61B9" w14:textId="77777777" w:rsidR="004E28AA" w:rsidRDefault="004E28AA" w:rsidP="0004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0D5"/>
    <w:multiLevelType w:val="hybridMultilevel"/>
    <w:tmpl w:val="DEF4DF7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06A35A50"/>
    <w:multiLevelType w:val="multilevel"/>
    <w:tmpl w:val="F22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CA4AFA"/>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BE74FC"/>
    <w:multiLevelType w:val="hybridMultilevel"/>
    <w:tmpl w:val="F3243D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1947B57"/>
    <w:multiLevelType w:val="hybridMultilevel"/>
    <w:tmpl w:val="0F022D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3509CA"/>
    <w:multiLevelType w:val="hybridMultilevel"/>
    <w:tmpl w:val="9B743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BE179F"/>
    <w:multiLevelType w:val="hybridMultilevel"/>
    <w:tmpl w:val="D1A8A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7122877"/>
    <w:multiLevelType w:val="hybridMultilevel"/>
    <w:tmpl w:val="3CF0209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72436E"/>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2AD618F2"/>
    <w:multiLevelType w:val="hybridMultilevel"/>
    <w:tmpl w:val="6AC45CA4"/>
    <w:lvl w:ilvl="0" w:tplc="83168C5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F5218"/>
    <w:multiLevelType w:val="hybridMultilevel"/>
    <w:tmpl w:val="0862E60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EB0D51"/>
    <w:multiLevelType w:val="hybridMultilevel"/>
    <w:tmpl w:val="00562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3835630"/>
    <w:multiLevelType w:val="hybridMultilevel"/>
    <w:tmpl w:val="4C0A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3FF0590"/>
    <w:multiLevelType w:val="multilevel"/>
    <w:tmpl w:val="48A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6AC31CD"/>
    <w:multiLevelType w:val="multilevel"/>
    <w:tmpl w:val="778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14770BF"/>
    <w:multiLevelType w:val="hybridMultilevel"/>
    <w:tmpl w:val="1DF4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2BE46B3"/>
    <w:multiLevelType w:val="hybridMultilevel"/>
    <w:tmpl w:val="F9920512"/>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33B02F2"/>
    <w:multiLevelType w:val="hybridMultilevel"/>
    <w:tmpl w:val="91BE902E"/>
    <w:lvl w:ilvl="0" w:tplc="01F67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4FE132C0"/>
    <w:multiLevelType w:val="hybridMultilevel"/>
    <w:tmpl w:val="5900E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3454BC6"/>
    <w:multiLevelType w:val="multilevel"/>
    <w:tmpl w:val="676E6D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5102168"/>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4" w15:restartNumberingAfterBreak="0">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D9A2D08"/>
    <w:multiLevelType w:val="hybridMultilevel"/>
    <w:tmpl w:val="B44E9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9" w15:restartNumberingAfterBreak="0">
    <w:nsid w:val="605D229A"/>
    <w:multiLevelType w:val="hybridMultilevel"/>
    <w:tmpl w:val="3D66D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0D92002"/>
    <w:multiLevelType w:val="hybridMultilevel"/>
    <w:tmpl w:val="74AC82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622A3114"/>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2" w15:restartNumberingAfterBreak="0">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8C76C36"/>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4" w15:restartNumberingAfterBreak="0">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6D230D6"/>
    <w:multiLevelType w:val="hybridMultilevel"/>
    <w:tmpl w:val="700A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99B0762"/>
    <w:multiLevelType w:val="hybridMultilevel"/>
    <w:tmpl w:val="45CE56CE"/>
    <w:lvl w:ilvl="0" w:tplc="37F64CEA">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num>
  <w:num w:numId="3">
    <w:abstractNumId w:val="45"/>
  </w:num>
  <w:num w:numId="4">
    <w:abstractNumId w:val="3"/>
  </w:num>
  <w:num w:numId="5">
    <w:abstractNumId w:val="41"/>
  </w:num>
  <w:num w:numId="6">
    <w:abstractNumId w:val="14"/>
  </w:num>
  <w:num w:numId="7">
    <w:abstractNumId w:val="33"/>
  </w:num>
  <w:num w:numId="8">
    <w:abstractNumId w:val="19"/>
  </w:num>
  <w:num w:numId="9">
    <w:abstractNumId w:val="1"/>
  </w:num>
  <w:num w:numId="10">
    <w:abstractNumId w:val="21"/>
  </w:num>
  <w:num w:numId="11">
    <w:abstractNumId w:val="30"/>
  </w:num>
  <w:num w:numId="12">
    <w:abstractNumId w:val="24"/>
  </w:num>
  <w:num w:numId="13">
    <w:abstractNumId w:val="39"/>
  </w:num>
  <w:num w:numId="14">
    <w:abstractNumId w:val="9"/>
  </w:num>
  <w:num w:numId="15">
    <w:abstractNumId w:val="10"/>
  </w:num>
  <w:num w:numId="16">
    <w:abstractNumId w:val="35"/>
  </w:num>
  <w:num w:numId="17">
    <w:abstractNumId w:val="17"/>
  </w:num>
  <w:num w:numId="18">
    <w:abstractNumId w:val="37"/>
  </w:num>
  <w:num w:numId="19">
    <w:abstractNumId w:val="15"/>
  </w:num>
  <w:num w:numId="20">
    <w:abstractNumId w:val="31"/>
  </w:num>
  <w:num w:numId="21">
    <w:abstractNumId w:val="7"/>
  </w:num>
  <w:num w:numId="22">
    <w:abstractNumId w:val="13"/>
  </w:num>
  <w:num w:numId="23">
    <w:abstractNumId w:val="25"/>
  </w:num>
  <w:num w:numId="24">
    <w:abstractNumId w:val="47"/>
  </w:num>
  <w:num w:numId="25">
    <w:abstractNumId w:val="5"/>
  </w:num>
  <w:num w:numId="26">
    <w:abstractNumId w:val="0"/>
  </w:num>
  <w:num w:numId="27">
    <w:abstractNumId w:val="29"/>
  </w:num>
  <w:num w:numId="28">
    <w:abstractNumId w:val="11"/>
  </w:num>
  <w:num w:numId="29">
    <w:abstractNumId w:val="46"/>
  </w:num>
  <w:num w:numId="30">
    <w:abstractNumId w:val="42"/>
  </w:num>
  <w:num w:numId="31">
    <w:abstractNumId w:val="38"/>
  </w:num>
  <w:num w:numId="32">
    <w:abstractNumId w:val="23"/>
  </w:num>
  <w:num w:numId="33">
    <w:abstractNumId w:val="44"/>
  </w:num>
  <w:num w:numId="34">
    <w:abstractNumId w:val="20"/>
  </w:num>
  <w:num w:numId="35">
    <w:abstractNumId w:val="34"/>
  </w:num>
  <w:num w:numId="36">
    <w:abstractNumId w:val="6"/>
  </w:num>
  <w:num w:numId="37">
    <w:abstractNumId w:val="12"/>
  </w:num>
  <w:num w:numId="38">
    <w:abstractNumId w:val="32"/>
  </w:num>
  <w:num w:numId="39">
    <w:abstractNumId w:val="28"/>
  </w:num>
  <w:num w:numId="40">
    <w:abstractNumId w:val="8"/>
  </w:num>
  <w:num w:numId="41">
    <w:abstractNumId w:val="2"/>
  </w:num>
  <w:num w:numId="42">
    <w:abstractNumId w:val="4"/>
  </w:num>
  <w:num w:numId="43">
    <w:abstractNumId w:val="27"/>
  </w:num>
  <w:num w:numId="44">
    <w:abstractNumId w:val="22"/>
  </w:num>
  <w:num w:numId="45">
    <w:abstractNumId w:val="36"/>
  </w:num>
  <w:num w:numId="46">
    <w:abstractNumId w:val="26"/>
  </w:num>
  <w:num w:numId="47">
    <w:abstractNumId w:val="18"/>
  </w:num>
  <w:num w:numId="48">
    <w:abstractNumId w:val="4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activeWritingStyle w:appName="MSWord" w:lang="en-GB" w:vendorID="64" w:dllVersion="6" w:nlCheck="1" w:checkStyle="1"/>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1243"/>
    <w:rsid w:val="00021D2B"/>
    <w:rsid w:val="00021FDB"/>
    <w:rsid w:val="00022849"/>
    <w:rsid w:val="00022BD3"/>
    <w:rsid w:val="00023B26"/>
    <w:rsid w:val="000245C0"/>
    <w:rsid w:val="00030582"/>
    <w:rsid w:val="00031228"/>
    <w:rsid w:val="00033032"/>
    <w:rsid w:val="000367C1"/>
    <w:rsid w:val="00041B51"/>
    <w:rsid w:val="00041E5C"/>
    <w:rsid w:val="0004779F"/>
    <w:rsid w:val="00047837"/>
    <w:rsid w:val="00050CF8"/>
    <w:rsid w:val="00051386"/>
    <w:rsid w:val="00057246"/>
    <w:rsid w:val="0005755C"/>
    <w:rsid w:val="00057C45"/>
    <w:rsid w:val="0006349F"/>
    <w:rsid w:val="00063F3F"/>
    <w:rsid w:val="000675D8"/>
    <w:rsid w:val="00067FBF"/>
    <w:rsid w:val="00070987"/>
    <w:rsid w:val="00072E9C"/>
    <w:rsid w:val="000735B3"/>
    <w:rsid w:val="0007389D"/>
    <w:rsid w:val="00073911"/>
    <w:rsid w:val="000746F6"/>
    <w:rsid w:val="0007486A"/>
    <w:rsid w:val="00075C7F"/>
    <w:rsid w:val="00075D0A"/>
    <w:rsid w:val="00076DD0"/>
    <w:rsid w:val="00076ED3"/>
    <w:rsid w:val="00076FB3"/>
    <w:rsid w:val="00077434"/>
    <w:rsid w:val="00077A3F"/>
    <w:rsid w:val="00077DE2"/>
    <w:rsid w:val="00080196"/>
    <w:rsid w:val="00080319"/>
    <w:rsid w:val="00080954"/>
    <w:rsid w:val="000809B4"/>
    <w:rsid w:val="00081CA9"/>
    <w:rsid w:val="00082789"/>
    <w:rsid w:val="00085255"/>
    <w:rsid w:val="00085A14"/>
    <w:rsid w:val="00087F1A"/>
    <w:rsid w:val="0009132D"/>
    <w:rsid w:val="00092191"/>
    <w:rsid w:val="0009591C"/>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2275"/>
    <w:rsid w:val="000C32BA"/>
    <w:rsid w:val="000C55CE"/>
    <w:rsid w:val="000C612D"/>
    <w:rsid w:val="000D2B7A"/>
    <w:rsid w:val="000D3A42"/>
    <w:rsid w:val="000D466A"/>
    <w:rsid w:val="000D6E62"/>
    <w:rsid w:val="000D7123"/>
    <w:rsid w:val="000D7322"/>
    <w:rsid w:val="000D7EE3"/>
    <w:rsid w:val="000E097C"/>
    <w:rsid w:val="000E1EF5"/>
    <w:rsid w:val="000E2C56"/>
    <w:rsid w:val="000E360C"/>
    <w:rsid w:val="000E6E10"/>
    <w:rsid w:val="000E7FB2"/>
    <w:rsid w:val="000F556D"/>
    <w:rsid w:val="000F63EA"/>
    <w:rsid w:val="000F760B"/>
    <w:rsid w:val="00100E46"/>
    <w:rsid w:val="00100FD0"/>
    <w:rsid w:val="00102D8A"/>
    <w:rsid w:val="00103DED"/>
    <w:rsid w:val="001051ED"/>
    <w:rsid w:val="0010523C"/>
    <w:rsid w:val="00105E90"/>
    <w:rsid w:val="001101B6"/>
    <w:rsid w:val="00111C29"/>
    <w:rsid w:val="00112072"/>
    <w:rsid w:val="001132DC"/>
    <w:rsid w:val="00113B5B"/>
    <w:rsid w:val="001148D8"/>
    <w:rsid w:val="00114F12"/>
    <w:rsid w:val="0011564B"/>
    <w:rsid w:val="00116589"/>
    <w:rsid w:val="00117759"/>
    <w:rsid w:val="00120E4B"/>
    <w:rsid w:val="00121852"/>
    <w:rsid w:val="00122E4C"/>
    <w:rsid w:val="001234F8"/>
    <w:rsid w:val="001272C5"/>
    <w:rsid w:val="00131967"/>
    <w:rsid w:val="00132277"/>
    <w:rsid w:val="001324E7"/>
    <w:rsid w:val="0013261C"/>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2222"/>
    <w:rsid w:val="00182776"/>
    <w:rsid w:val="00183ACF"/>
    <w:rsid w:val="001855F8"/>
    <w:rsid w:val="00185A52"/>
    <w:rsid w:val="0018663F"/>
    <w:rsid w:val="00187CA2"/>
    <w:rsid w:val="00191DB6"/>
    <w:rsid w:val="0019302A"/>
    <w:rsid w:val="00193663"/>
    <w:rsid w:val="00195037"/>
    <w:rsid w:val="001978E7"/>
    <w:rsid w:val="00197C48"/>
    <w:rsid w:val="001A1470"/>
    <w:rsid w:val="001A223D"/>
    <w:rsid w:val="001A5A99"/>
    <w:rsid w:val="001A5D60"/>
    <w:rsid w:val="001A63E7"/>
    <w:rsid w:val="001A6B16"/>
    <w:rsid w:val="001B0300"/>
    <w:rsid w:val="001B33C1"/>
    <w:rsid w:val="001B3915"/>
    <w:rsid w:val="001B7029"/>
    <w:rsid w:val="001C0A06"/>
    <w:rsid w:val="001C1801"/>
    <w:rsid w:val="001C28FF"/>
    <w:rsid w:val="001C5335"/>
    <w:rsid w:val="001C5F85"/>
    <w:rsid w:val="001D0327"/>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07C"/>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21D4"/>
    <w:rsid w:val="002121D7"/>
    <w:rsid w:val="00212D3A"/>
    <w:rsid w:val="00214245"/>
    <w:rsid w:val="002147D4"/>
    <w:rsid w:val="00214D6D"/>
    <w:rsid w:val="0021571F"/>
    <w:rsid w:val="00217343"/>
    <w:rsid w:val="002175A5"/>
    <w:rsid w:val="002205FA"/>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494C"/>
    <w:rsid w:val="00275DEB"/>
    <w:rsid w:val="0027648E"/>
    <w:rsid w:val="002767FE"/>
    <w:rsid w:val="00277C9F"/>
    <w:rsid w:val="00280B54"/>
    <w:rsid w:val="002839BE"/>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704E"/>
    <w:rsid w:val="002D7CE4"/>
    <w:rsid w:val="002E05FD"/>
    <w:rsid w:val="002E069C"/>
    <w:rsid w:val="002E15C8"/>
    <w:rsid w:val="002E1C34"/>
    <w:rsid w:val="002E1DF4"/>
    <w:rsid w:val="002E2956"/>
    <w:rsid w:val="002E4254"/>
    <w:rsid w:val="002E53BE"/>
    <w:rsid w:val="002E6897"/>
    <w:rsid w:val="002F0F43"/>
    <w:rsid w:val="002F2FB3"/>
    <w:rsid w:val="002F5A31"/>
    <w:rsid w:val="002F6035"/>
    <w:rsid w:val="002F6C68"/>
    <w:rsid w:val="002F6FB2"/>
    <w:rsid w:val="002F7103"/>
    <w:rsid w:val="00300A6E"/>
    <w:rsid w:val="0030393C"/>
    <w:rsid w:val="00307DD4"/>
    <w:rsid w:val="00310AE8"/>
    <w:rsid w:val="003139FE"/>
    <w:rsid w:val="00314C6B"/>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2DE"/>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74E0"/>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1988"/>
    <w:rsid w:val="003F4E4D"/>
    <w:rsid w:val="003F5709"/>
    <w:rsid w:val="003F5953"/>
    <w:rsid w:val="003F6007"/>
    <w:rsid w:val="003F68B6"/>
    <w:rsid w:val="003F7445"/>
    <w:rsid w:val="003F7CEF"/>
    <w:rsid w:val="00400954"/>
    <w:rsid w:val="00400C3E"/>
    <w:rsid w:val="00403225"/>
    <w:rsid w:val="0040455A"/>
    <w:rsid w:val="00411893"/>
    <w:rsid w:val="00413602"/>
    <w:rsid w:val="00414EFB"/>
    <w:rsid w:val="00415DB3"/>
    <w:rsid w:val="00415F6F"/>
    <w:rsid w:val="00421708"/>
    <w:rsid w:val="00431D62"/>
    <w:rsid w:val="0043532C"/>
    <w:rsid w:val="00436AC7"/>
    <w:rsid w:val="00437BCC"/>
    <w:rsid w:val="004411EA"/>
    <w:rsid w:val="00442D88"/>
    <w:rsid w:val="00442E2C"/>
    <w:rsid w:val="00446566"/>
    <w:rsid w:val="00450E78"/>
    <w:rsid w:val="0045120A"/>
    <w:rsid w:val="00452611"/>
    <w:rsid w:val="00457422"/>
    <w:rsid w:val="004578DB"/>
    <w:rsid w:val="00461332"/>
    <w:rsid w:val="00461EBA"/>
    <w:rsid w:val="0046230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61F7"/>
    <w:rsid w:val="004B684E"/>
    <w:rsid w:val="004C0A4E"/>
    <w:rsid w:val="004C2A4D"/>
    <w:rsid w:val="004C3AC7"/>
    <w:rsid w:val="004C65D7"/>
    <w:rsid w:val="004C6610"/>
    <w:rsid w:val="004D395A"/>
    <w:rsid w:val="004D5A2F"/>
    <w:rsid w:val="004D6270"/>
    <w:rsid w:val="004D679B"/>
    <w:rsid w:val="004D6E30"/>
    <w:rsid w:val="004D7120"/>
    <w:rsid w:val="004E02FD"/>
    <w:rsid w:val="004E0672"/>
    <w:rsid w:val="004E0B09"/>
    <w:rsid w:val="004E1E2C"/>
    <w:rsid w:val="004E22D1"/>
    <w:rsid w:val="004E28AA"/>
    <w:rsid w:val="004E4ABA"/>
    <w:rsid w:val="004E5E11"/>
    <w:rsid w:val="004E7228"/>
    <w:rsid w:val="004F0B12"/>
    <w:rsid w:val="004F0E6F"/>
    <w:rsid w:val="004F3A7C"/>
    <w:rsid w:val="004F56BD"/>
    <w:rsid w:val="004F7051"/>
    <w:rsid w:val="004F7B43"/>
    <w:rsid w:val="00500048"/>
    <w:rsid w:val="00500654"/>
    <w:rsid w:val="00501910"/>
    <w:rsid w:val="0050259F"/>
    <w:rsid w:val="005034D0"/>
    <w:rsid w:val="005042B5"/>
    <w:rsid w:val="00505496"/>
    <w:rsid w:val="00506F13"/>
    <w:rsid w:val="00513614"/>
    <w:rsid w:val="0051697B"/>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37FB"/>
    <w:rsid w:val="0054435E"/>
    <w:rsid w:val="005446E5"/>
    <w:rsid w:val="00547A1E"/>
    <w:rsid w:val="00552696"/>
    <w:rsid w:val="005560AB"/>
    <w:rsid w:val="005561C2"/>
    <w:rsid w:val="00556285"/>
    <w:rsid w:val="005574E1"/>
    <w:rsid w:val="00561455"/>
    <w:rsid w:val="00562410"/>
    <w:rsid w:val="00562C53"/>
    <w:rsid w:val="005630AA"/>
    <w:rsid w:val="00565AA2"/>
    <w:rsid w:val="00566CBC"/>
    <w:rsid w:val="00574485"/>
    <w:rsid w:val="00581D4D"/>
    <w:rsid w:val="005824C3"/>
    <w:rsid w:val="00584CCB"/>
    <w:rsid w:val="00585DB9"/>
    <w:rsid w:val="005878FF"/>
    <w:rsid w:val="00590CCB"/>
    <w:rsid w:val="00592B27"/>
    <w:rsid w:val="005937CD"/>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3692"/>
    <w:rsid w:val="006636DE"/>
    <w:rsid w:val="00663A39"/>
    <w:rsid w:val="0066591F"/>
    <w:rsid w:val="00672201"/>
    <w:rsid w:val="006727DE"/>
    <w:rsid w:val="00672C40"/>
    <w:rsid w:val="00674B7E"/>
    <w:rsid w:val="006752D5"/>
    <w:rsid w:val="00675423"/>
    <w:rsid w:val="00675A8E"/>
    <w:rsid w:val="006814E7"/>
    <w:rsid w:val="006823AB"/>
    <w:rsid w:val="006847A8"/>
    <w:rsid w:val="00684AA6"/>
    <w:rsid w:val="00691CA2"/>
    <w:rsid w:val="00691EEB"/>
    <w:rsid w:val="00692A2A"/>
    <w:rsid w:val="00693715"/>
    <w:rsid w:val="00693AC7"/>
    <w:rsid w:val="0069455C"/>
    <w:rsid w:val="00694B75"/>
    <w:rsid w:val="00695E48"/>
    <w:rsid w:val="00697962"/>
    <w:rsid w:val="00697D88"/>
    <w:rsid w:val="00697F2C"/>
    <w:rsid w:val="006A34A3"/>
    <w:rsid w:val="006A4C7C"/>
    <w:rsid w:val="006A5EAB"/>
    <w:rsid w:val="006B5973"/>
    <w:rsid w:val="006B76A8"/>
    <w:rsid w:val="006C0B8A"/>
    <w:rsid w:val="006C18F4"/>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E0D"/>
    <w:rsid w:val="006F2263"/>
    <w:rsid w:val="006F2F0A"/>
    <w:rsid w:val="006F3636"/>
    <w:rsid w:val="006F377B"/>
    <w:rsid w:val="006F3B4E"/>
    <w:rsid w:val="006F40DA"/>
    <w:rsid w:val="006F6232"/>
    <w:rsid w:val="006F7A1E"/>
    <w:rsid w:val="007007E6"/>
    <w:rsid w:val="00702F1D"/>
    <w:rsid w:val="00705D79"/>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404B8"/>
    <w:rsid w:val="00742333"/>
    <w:rsid w:val="00743152"/>
    <w:rsid w:val="007455B5"/>
    <w:rsid w:val="0074622A"/>
    <w:rsid w:val="0074636F"/>
    <w:rsid w:val="00750B1B"/>
    <w:rsid w:val="007530E5"/>
    <w:rsid w:val="00753B69"/>
    <w:rsid w:val="00754523"/>
    <w:rsid w:val="0075767E"/>
    <w:rsid w:val="0075774E"/>
    <w:rsid w:val="00760083"/>
    <w:rsid w:val="00761230"/>
    <w:rsid w:val="00761405"/>
    <w:rsid w:val="00761E34"/>
    <w:rsid w:val="0076311C"/>
    <w:rsid w:val="00763BEE"/>
    <w:rsid w:val="00764844"/>
    <w:rsid w:val="00767086"/>
    <w:rsid w:val="00774997"/>
    <w:rsid w:val="00775E17"/>
    <w:rsid w:val="00781B1E"/>
    <w:rsid w:val="007839CF"/>
    <w:rsid w:val="00785ED2"/>
    <w:rsid w:val="00787C02"/>
    <w:rsid w:val="00790A4E"/>
    <w:rsid w:val="00791D90"/>
    <w:rsid w:val="00792DD7"/>
    <w:rsid w:val="0079469B"/>
    <w:rsid w:val="00794891"/>
    <w:rsid w:val="0079528C"/>
    <w:rsid w:val="00797145"/>
    <w:rsid w:val="007A2D16"/>
    <w:rsid w:val="007A5F7A"/>
    <w:rsid w:val="007A6663"/>
    <w:rsid w:val="007A72C4"/>
    <w:rsid w:val="007B0002"/>
    <w:rsid w:val="007B05A6"/>
    <w:rsid w:val="007B0FEF"/>
    <w:rsid w:val="007B7B9A"/>
    <w:rsid w:val="007C01EB"/>
    <w:rsid w:val="007C2169"/>
    <w:rsid w:val="007C7E76"/>
    <w:rsid w:val="007D1B22"/>
    <w:rsid w:val="007D4107"/>
    <w:rsid w:val="007D4CF7"/>
    <w:rsid w:val="007E1621"/>
    <w:rsid w:val="007E3CB6"/>
    <w:rsid w:val="007E4A46"/>
    <w:rsid w:val="007E596C"/>
    <w:rsid w:val="007F0037"/>
    <w:rsid w:val="007F0A77"/>
    <w:rsid w:val="007F1D28"/>
    <w:rsid w:val="007F202A"/>
    <w:rsid w:val="007F261C"/>
    <w:rsid w:val="007F4475"/>
    <w:rsid w:val="007F571E"/>
    <w:rsid w:val="007F794E"/>
    <w:rsid w:val="008030B2"/>
    <w:rsid w:val="00803DB8"/>
    <w:rsid w:val="00806AFF"/>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1805"/>
    <w:rsid w:val="008922C7"/>
    <w:rsid w:val="0089365D"/>
    <w:rsid w:val="00893CD0"/>
    <w:rsid w:val="00895989"/>
    <w:rsid w:val="008A08D2"/>
    <w:rsid w:val="008A1B28"/>
    <w:rsid w:val="008A2853"/>
    <w:rsid w:val="008A33CD"/>
    <w:rsid w:val="008B0808"/>
    <w:rsid w:val="008B0A9B"/>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56A"/>
    <w:rsid w:val="008E771A"/>
    <w:rsid w:val="008F0AF8"/>
    <w:rsid w:val="008F1037"/>
    <w:rsid w:val="008F2AC3"/>
    <w:rsid w:val="008F3B19"/>
    <w:rsid w:val="008F4DBB"/>
    <w:rsid w:val="008F6131"/>
    <w:rsid w:val="008F61FB"/>
    <w:rsid w:val="009066D5"/>
    <w:rsid w:val="00906876"/>
    <w:rsid w:val="009068DB"/>
    <w:rsid w:val="00911B11"/>
    <w:rsid w:val="00912585"/>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52E4"/>
    <w:rsid w:val="00965C7D"/>
    <w:rsid w:val="009666E8"/>
    <w:rsid w:val="00967724"/>
    <w:rsid w:val="00971B27"/>
    <w:rsid w:val="00971CA3"/>
    <w:rsid w:val="009737DD"/>
    <w:rsid w:val="00976106"/>
    <w:rsid w:val="0097653E"/>
    <w:rsid w:val="009768A8"/>
    <w:rsid w:val="00976E56"/>
    <w:rsid w:val="00980DEB"/>
    <w:rsid w:val="00980F76"/>
    <w:rsid w:val="0098144E"/>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93692"/>
    <w:rsid w:val="009A1144"/>
    <w:rsid w:val="009A1476"/>
    <w:rsid w:val="009A1B06"/>
    <w:rsid w:val="009A2520"/>
    <w:rsid w:val="009A3363"/>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849"/>
    <w:rsid w:val="009F38D6"/>
    <w:rsid w:val="009F5844"/>
    <w:rsid w:val="009F6F29"/>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EA2"/>
    <w:rsid w:val="00A70F30"/>
    <w:rsid w:val="00A719D8"/>
    <w:rsid w:val="00A75581"/>
    <w:rsid w:val="00A770C8"/>
    <w:rsid w:val="00A81148"/>
    <w:rsid w:val="00A83553"/>
    <w:rsid w:val="00A83633"/>
    <w:rsid w:val="00A83F73"/>
    <w:rsid w:val="00A84BE3"/>
    <w:rsid w:val="00A854F0"/>
    <w:rsid w:val="00A85A98"/>
    <w:rsid w:val="00A90CE1"/>
    <w:rsid w:val="00A91023"/>
    <w:rsid w:val="00A91CBB"/>
    <w:rsid w:val="00A91DF9"/>
    <w:rsid w:val="00A91FCC"/>
    <w:rsid w:val="00A931AD"/>
    <w:rsid w:val="00A9721F"/>
    <w:rsid w:val="00A978F6"/>
    <w:rsid w:val="00A97D6D"/>
    <w:rsid w:val="00AA1236"/>
    <w:rsid w:val="00AA24EE"/>
    <w:rsid w:val="00AA2F03"/>
    <w:rsid w:val="00AA4700"/>
    <w:rsid w:val="00AA53D6"/>
    <w:rsid w:val="00AA5465"/>
    <w:rsid w:val="00AB3594"/>
    <w:rsid w:val="00AB4FA3"/>
    <w:rsid w:val="00AB526E"/>
    <w:rsid w:val="00AB5A35"/>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4172"/>
    <w:rsid w:val="00B31694"/>
    <w:rsid w:val="00B34BCF"/>
    <w:rsid w:val="00B35D24"/>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62D"/>
    <w:rsid w:val="00B568DF"/>
    <w:rsid w:val="00B56BD2"/>
    <w:rsid w:val="00B614FF"/>
    <w:rsid w:val="00B66111"/>
    <w:rsid w:val="00B66525"/>
    <w:rsid w:val="00B66E89"/>
    <w:rsid w:val="00B73DA6"/>
    <w:rsid w:val="00B75322"/>
    <w:rsid w:val="00B75857"/>
    <w:rsid w:val="00B75B66"/>
    <w:rsid w:val="00B76A5A"/>
    <w:rsid w:val="00B8172B"/>
    <w:rsid w:val="00B8391E"/>
    <w:rsid w:val="00B83D9B"/>
    <w:rsid w:val="00B86A26"/>
    <w:rsid w:val="00B900D5"/>
    <w:rsid w:val="00B91E27"/>
    <w:rsid w:val="00B96DB8"/>
    <w:rsid w:val="00B97B17"/>
    <w:rsid w:val="00B97B7E"/>
    <w:rsid w:val="00B97C93"/>
    <w:rsid w:val="00BA3553"/>
    <w:rsid w:val="00BA3BB3"/>
    <w:rsid w:val="00BA4DF2"/>
    <w:rsid w:val="00BA5C21"/>
    <w:rsid w:val="00BA60F3"/>
    <w:rsid w:val="00BA76B5"/>
    <w:rsid w:val="00BB0235"/>
    <w:rsid w:val="00BB0332"/>
    <w:rsid w:val="00BB31EE"/>
    <w:rsid w:val="00BB46B3"/>
    <w:rsid w:val="00BB6DE3"/>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7B8D"/>
    <w:rsid w:val="00C00086"/>
    <w:rsid w:val="00C01D3A"/>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51BF3"/>
    <w:rsid w:val="00C51C6C"/>
    <w:rsid w:val="00C53925"/>
    <w:rsid w:val="00C5547F"/>
    <w:rsid w:val="00C55837"/>
    <w:rsid w:val="00C57F2C"/>
    <w:rsid w:val="00C60F98"/>
    <w:rsid w:val="00C61EFB"/>
    <w:rsid w:val="00C66B12"/>
    <w:rsid w:val="00C66C2C"/>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91DC8"/>
    <w:rsid w:val="00C92200"/>
    <w:rsid w:val="00C93DFA"/>
    <w:rsid w:val="00C93E51"/>
    <w:rsid w:val="00C96DF0"/>
    <w:rsid w:val="00CA051A"/>
    <w:rsid w:val="00CA13EE"/>
    <w:rsid w:val="00CA39F7"/>
    <w:rsid w:val="00CA6257"/>
    <w:rsid w:val="00CA736A"/>
    <w:rsid w:val="00CB2CA0"/>
    <w:rsid w:val="00CB3EF6"/>
    <w:rsid w:val="00CB48D0"/>
    <w:rsid w:val="00CB4D36"/>
    <w:rsid w:val="00CB4D4E"/>
    <w:rsid w:val="00CB5B33"/>
    <w:rsid w:val="00CB69D8"/>
    <w:rsid w:val="00CB7353"/>
    <w:rsid w:val="00CB7CA2"/>
    <w:rsid w:val="00CC02D9"/>
    <w:rsid w:val="00CC2D2B"/>
    <w:rsid w:val="00CC2EB9"/>
    <w:rsid w:val="00CC5CA4"/>
    <w:rsid w:val="00CC7ECC"/>
    <w:rsid w:val="00CD046D"/>
    <w:rsid w:val="00CD4A47"/>
    <w:rsid w:val="00CD7D4C"/>
    <w:rsid w:val="00CE0CBE"/>
    <w:rsid w:val="00CE1572"/>
    <w:rsid w:val="00CE182F"/>
    <w:rsid w:val="00CE25E5"/>
    <w:rsid w:val="00CE2E8C"/>
    <w:rsid w:val="00CE311F"/>
    <w:rsid w:val="00CE43A0"/>
    <w:rsid w:val="00CE4824"/>
    <w:rsid w:val="00CE533A"/>
    <w:rsid w:val="00CE5D16"/>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0FE4"/>
    <w:rsid w:val="00D21BFB"/>
    <w:rsid w:val="00D24B9F"/>
    <w:rsid w:val="00D2604F"/>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686E"/>
    <w:rsid w:val="00D66F92"/>
    <w:rsid w:val="00D674FA"/>
    <w:rsid w:val="00D7517F"/>
    <w:rsid w:val="00D7575A"/>
    <w:rsid w:val="00D83741"/>
    <w:rsid w:val="00D837D2"/>
    <w:rsid w:val="00D83871"/>
    <w:rsid w:val="00D85411"/>
    <w:rsid w:val="00D86966"/>
    <w:rsid w:val="00D90FE8"/>
    <w:rsid w:val="00D92199"/>
    <w:rsid w:val="00D93C2E"/>
    <w:rsid w:val="00D93F71"/>
    <w:rsid w:val="00D943D1"/>
    <w:rsid w:val="00D94956"/>
    <w:rsid w:val="00D94F9D"/>
    <w:rsid w:val="00DA1622"/>
    <w:rsid w:val="00DA1F34"/>
    <w:rsid w:val="00DA29AD"/>
    <w:rsid w:val="00DA321B"/>
    <w:rsid w:val="00DA41A7"/>
    <w:rsid w:val="00DA6D30"/>
    <w:rsid w:val="00DA790F"/>
    <w:rsid w:val="00DB13BE"/>
    <w:rsid w:val="00DB31FF"/>
    <w:rsid w:val="00DB3D6E"/>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6E93"/>
    <w:rsid w:val="00DE74F2"/>
    <w:rsid w:val="00DF00E4"/>
    <w:rsid w:val="00DF06C0"/>
    <w:rsid w:val="00DF15E4"/>
    <w:rsid w:val="00DF3D53"/>
    <w:rsid w:val="00DF4C6C"/>
    <w:rsid w:val="00DF65E6"/>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424E0"/>
    <w:rsid w:val="00E440C4"/>
    <w:rsid w:val="00E443DD"/>
    <w:rsid w:val="00E45268"/>
    <w:rsid w:val="00E45BFA"/>
    <w:rsid w:val="00E45C2E"/>
    <w:rsid w:val="00E473A6"/>
    <w:rsid w:val="00E47E51"/>
    <w:rsid w:val="00E5327B"/>
    <w:rsid w:val="00E54FD9"/>
    <w:rsid w:val="00E5711A"/>
    <w:rsid w:val="00E608A2"/>
    <w:rsid w:val="00E60996"/>
    <w:rsid w:val="00E649F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72F2"/>
    <w:rsid w:val="00EA0988"/>
    <w:rsid w:val="00EA357E"/>
    <w:rsid w:val="00EB050E"/>
    <w:rsid w:val="00EB1449"/>
    <w:rsid w:val="00EB1EED"/>
    <w:rsid w:val="00EB1F62"/>
    <w:rsid w:val="00EB2F9D"/>
    <w:rsid w:val="00EB45D4"/>
    <w:rsid w:val="00EB5645"/>
    <w:rsid w:val="00EB734E"/>
    <w:rsid w:val="00EB76D1"/>
    <w:rsid w:val="00EC3457"/>
    <w:rsid w:val="00EC366B"/>
    <w:rsid w:val="00EC5409"/>
    <w:rsid w:val="00EC5A13"/>
    <w:rsid w:val="00ED4A27"/>
    <w:rsid w:val="00ED4A6F"/>
    <w:rsid w:val="00ED7A65"/>
    <w:rsid w:val="00EE1957"/>
    <w:rsid w:val="00EE2CA7"/>
    <w:rsid w:val="00EE3C91"/>
    <w:rsid w:val="00EE558B"/>
    <w:rsid w:val="00EE6DC2"/>
    <w:rsid w:val="00EE72E3"/>
    <w:rsid w:val="00EF017A"/>
    <w:rsid w:val="00EF24A5"/>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A9A"/>
    <w:rsid w:val="00F6111B"/>
    <w:rsid w:val="00F61B82"/>
    <w:rsid w:val="00F625A2"/>
    <w:rsid w:val="00F6270C"/>
    <w:rsid w:val="00F62D43"/>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3025"/>
    <w:rsid w:val="00FA42B7"/>
    <w:rsid w:val="00FA50CD"/>
    <w:rsid w:val="00FA65DE"/>
    <w:rsid w:val="00FA669D"/>
    <w:rsid w:val="00FA72AF"/>
    <w:rsid w:val="00FB254C"/>
    <w:rsid w:val="00FB2E0C"/>
    <w:rsid w:val="00FB3BD3"/>
    <w:rsid w:val="00FB4F27"/>
    <w:rsid w:val="00FB594C"/>
    <w:rsid w:val="00FB5EA5"/>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unhideWhenUsed/>
    <w:qFormat/>
    <w:rsid w:val="00041B51"/>
    <w:rPr>
      <w:sz w:val="20"/>
      <w:szCs w:val="20"/>
    </w:rPr>
  </w:style>
  <w:style w:type="character" w:customStyle="1" w:styleId="FootnoteTextChar">
    <w:name w:val="Footnote Text Char"/>
    <w:basedOn w:val="DefaultParagraphFont"/>
    <w:link w:val="FootnoteText"/>
    <w:uiPriority w:val="99"/>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3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 w:type="paragraph" w:styleId="Subtitle">
    <w:name w:val="Subtitle"/>
    <w:basedOn w:val="Normal"/>
    <w:next w:val="Normal"/>
    <w:link w:val="SubtitleChar"/>
    <w:uiPriority w:val="11"/>
    <w:qFormat/>
    <w:rsid w:val="00761E34"/>
    <w:pPr>
      <w:numPr>
        <w:ilvl w:val="1"/>
      </w:numPr>
      <w:spacing w:after="200" w:line="276" w:lineRule="auto"/>
    </w:pPr>
    <w:rPr>
      <w:rFonts w:asciiTheme="majorHAnsi" w:eastAsiaTheme="majorEastAsia" w:hAnsiTheme="majorHAnsi" w:cstheme="majorBidi"/>
      <w:i/>
      <w:iCs/>
      <w:color w:val="5B9BD5" w:themeColor="accent1"/>
      <w:spacing w:val="15"/>
      <w:lang w:val="en-NZ" w:eastAsia="zh-CN"/>
    </w:rPr>
  </w:style>
  <w:style w:type="character" w:customStyle="1" w:styleId="SubtitleChar">
    <w:name w:val="Subtitle Char"/>
    <w:basedOn w:val="DefaultParagraphFont"/>
    <w:link w:val="Subtitle"/>
    <w:uiPriority w:val="11"/>
    <w:rsid w:val="00761E3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761E34"/>
    <w:pPr>
      <w:spacing w:after="120"/>
      <w:ind w:left="720" w:right="1111"/>
    </w:pPr>
    <w:rPr>
      <w:i/>
      <w:iCs/>
      <w:color w:val="000000"/>
      <w:sz w:val="22"/>
      <w:szCs w:val="22"/>
      <w:lang w:val="en-NZ" w:eastAsia="zh-CN"/>
    </w:rPr>
  </w:style>
  <w:style w:type="character" w:customStyle="1" w:styleId="QuoteChar">
    <w:name w:val="Quote Char"/>
    <w:basedOn w:val="DefaultParagraphFont"/>
    <w:link w:val="Quote"/>
    <w:uiPriority w:val="29"/>
    <w:rsid w:val="00761E34"/>
    <w:rPr>
      <w:rFonts w:ascii="Times New Roman" w:eastAsia="Times New Roman" w:hAnsi="Times New Roman" w:cs="Times New Roman"/>
      <w:i/>
      <w:iCs/>
      <w:color w:val="000000"/>
    </w:rPr>
  </w:style>
  <w:style w:type="character" w:customStyle="1" w:styleId="il">
    <w:name w:val="il"/>
    <w:basedOn w:val="DefaultParagraphFont"/>
    <w:rsid w:val="00B35D24"/>
  </w:style>
  <w:style w:type="character" w:customStyle="1" w:styleId="UnresolvedMention2">
    <w:name w:val="Unresolved Mention2"/>
    <w:basedOn w:val="DefaultParagraphFont"/>
    <w:uiPriority w:val="99"/>
    <w:semiHidden/>
    <w:unhideWhenUsed/>
    <w:rsid w:val="007E596C"/>
    <w:rPr>
      <w:color w:val="605E5C"/>
      <w:shd w:val="clear" w:color="auto" w:fill="E1DFDD"/>
    </w:rPr>
  </w:style>
  <w:style w:type="paragraph" w:styleId="Revision">
    <w:name w:val="Revision"/>
    <w:hidden/>
    <w:uiPriority w:val="99"/>
    <w:semiHidden/>
    <w:rsid w:val="007E596C"/>
    <w:pPr>
      <w:spacing w:after="0" w:line="240" w:lineRule="auto"/>
    </w:pPr>
    <w:rPr>
      <w:rFonts w:eastAsiaTheme="minorHAnsi"/>
      <w:lang w:eastAsia="en-US"/>
    </w:rPr>
  </w:style>
  <w:style w:type="paragraph" w:customStyle="1" w:styleId="CM23">
    <w:name w:val="CM23"/>
    <w:basedOn w:val="Default"/>
    <w:next w:val="Default"/>
    <w:rsid w:val="00CC7ECC"/>
    <w:pPr>
      <w:widowControl w:val="0"/>
      <w:spacing w:after="233"/>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8542946">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95C3-1FE7-4B88-B168-6367C6F4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4854</Words>
  <Characters>27673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Geua Boe-Gibson</cp:lastModifiedBy>
  <cp:revision>2</cp:revision>
  <cp:lastPrinted>2018-09-23T21:28:00Z</cp:lastPrinted>
  <dcterms:created xsi:type="dcterms:W3CDTF">2022-02-08T00:56:00Z</dcterms:created>
  <dcterms:modified xsi:type="dcterms:W3CDTF">2022-02-08T00:56:00Z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