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C79" w:rsidRDefault="00E67C79" w:rsidP="00E67C79">
      <w:pPr>
        <w:spacing w:after="0" w:line="300" w:lineRule="auto"/>
        <w:rPr>
          <w:rFonts w:eastAsia="Times New Roman"/>
          <w:b/>
          <w:bCs/>
          <w:sz w:val="28"/>
          <w:lang w:val="en-US"/>
        </w:rPr>
      </w:pPr>
    </w:p>
    <w:p w:rsidR="00E67C79" w:rsidRDefault="00E67C79" w:rsidP="00E67C79">
      <w:pPr>
        <w:pStyle w:val="PlainText"/>
        <w:tabs>
          <w:tab w:val="left" w:pos="284"/>
        </w:tabs>
        <w:jc w:val="center"/>
        <w:rPr>
          <w:rFonts w:ascii="Times New Roman" w:hAnsi="Times New Roman"/>
          <w:b/>
          <w:sz w:val="28"/>
        </w:rPr>
      </w:pPr>
    </w:p>
    <w:p w:rsidR="00E67C79" w:rsidRDefault="00E67C79" w:rsidP="00E67C79">
      <w:pPr>
        <w:pStyle w:val="PlainText"/>
        <w:tabs>
          <w:tab w:val="left" w:pos="284"/>
        </w:tabs>
        <w:jc w:val="center"/>
        <w:rPr>
          <w:rFonts w:ascii="Times New Roman" w:hAnsi="Times New Roman"/>
          <w:b/>
          <w:sz w:val="28"/>
        </w:rPr>
      </w:pPr>
      <w:r>
        <w:rPr>
          <w:rFonts w:ascii="Times New Roman" w:hAnsi="Times New Roman"/>
          <w:b/>
          <w:sz w:val="28"/>
        </w:rPr>
        <w:t>UNIVERSITY OF WAIKATO</w:t>
      </w:r>
    </w:p>
    <w:p w:rsidR="00E67C79" w:rsidRDefault="00E67C79" w:rsidP="00E67C79">
      <w:pPr>
        <w:pStyle w:val="PlainText"/>
        <w:tabs>
          <w:tab w:val="left" w:pos="284"/>
        </w:tabs>
        <w:jc w:val="center"/>
        <w:rPr>
          <w:rFonts w:ascii="Times New Roman" w:hAnsi="Times New Roman"/>
          <w:b/>
          <w:sz w:val="28"/>
        </w:rPr>
      </w:pPr>
    </w:p>
    <w:p w:rsidR="00E67C79" w:rsidRDefault="00E67C79" w:rsidP="00E67C79">
      <w:pPr>
        <w:pStyle w:val="PlainText"/>
        <w:tabs>
          <w:tab w:val="left" w:pos="284"/>
        </w:tabs>
        <w:jc w:val="center"/>
        <w:rPr>
          <w:rFonts w:ascii="Times New Roman" w:hAnsi="Times New Roman"/>
          <w:b/>
          <w:sz w:val="28"/>
        </w:rPr>
      </w:pPr>
      <w:r>
        <w:rPr>
          <w:rFonts w:ascii="Times New Roman" w:hAnsi="Times New Roman"/>
          <w:b/>
          <w:sz w:val="28"/>
        </w:rPr>
        <w:t>Hamilton</w:t>
      </w:r>
    </w:p>
    <w:p w:rsidR="00E67C79" w:rsidRDefault="00E67C79" w:rsidP="00E67C79">
      <w:pPr>
        <w:pStyle w:val="PlainText"/>
        <w:tabs>
          <w:tab w:val="left" w:pos="284"/>
        </w:tabs>
        <w:jc w:val="center"/>
        <w:rPr>
          <w:rFonts w:ascii="Times New Roman" w:hAnsi="Times New Roman"/>
          <w:b/>
          <w:sz w:val="28"/>
        </w:rPr>
      </w:pPr>
      <w:r>
        <w:rPr>
          <w:rFonts w:ascii="Times New Roman" w:hAnsi="Times New Roman"/>
          <w:b/>
          <w:sz w:val="28"/>
        </w:rPr>
        <w:t>New Zealand</w:t>
      </w:r>
    </w:p>
    <w:p w:rsidR="00E67C79" w:rsidRDefault="00E67C79" w:rsidP="00E67C79">
      <w:pPr>
        <w:pStyle w:val="PlainText"/>
        <w:tabs>
          <w:tab w:val="left" w:pos="284"/>
        </w:tabs>
        <w:jc w:val="center"/>
        <w:rPr>
          <w:rFonts w:ascii="Times New Roman" w:hAnsi="Times New Roman"/>
          <w:b/>
          <w:sz w:val="28"/>
        </w:rPr>
      </w:pPr>
    </w:p>
    <w:p w:rsidR="006B0214" w:rsidRDefault="006B0214" w:rsidP="00E67C79">
      <w:pPr>
        <w:pStyle w:val="PlainText"/>
        <w:tabs>
          <w:tab w:val="left" w:pos="284"/>
        </w:tabs>
        <w:jc w:val="center"/>
        <w:rPr>
          <w:rFonts w:ascii="Times New Roman" w:hAnsi="Times New Roman"/>
          <w:b/>
          <w:sz w:val="28"/>
        </w:rPr>
      </w:pPr>
    </w:p>
    <w:p w:rsidR="00E67C79" w:rsidRDefault="00E67C79" w:rsidP="00E67C79">
      <w:pPr>
        <w:pStyle w:val="PlainText"/>
        <w:tabs>
          <w:tab w:val="left" w:pos="284"/>
        </w:tabs>
        <w:jc w:val="center"/>
        <w:rPr>
          <w:rFonts w:ascii="Times New Roman" w:hAnsi="Times New Roman"/>
          <w:b/>
          <w:sz w:val="28"/>
        </w:rPr>
      </w:pPr>
    </w:p>
    <w:p w:rsidR="00E67C79" w:rsidRPr="00E67C79" w:rsidRDefault="00E67C79" w:rsidP="0051423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bCs/>
          <w:sz w:val="14"/>
          <w:szCs w:val="14"/>
        </w:rPr>
      </w:pPr>
      <w:r w:rsidRPr="009C0F5A">
        <w:rPr>
          <w:rFonts w:cs="Arial"/>
          <w:b/>
          <w:bCs/>
          <w:sz w:val="12"/>
          <w:szCs w:val="12"/>
        </w:rPr>
        <w:br/>
      </w:r>
      <w:r w:rsidR="00514237">
        <w:rPr>
          <w:rFonts w:asciiTheme="majorBidi" w:hAnsiTheme="majorBidi" w:cstheme="majorBidi"/>
          <w:b/>
          <w:bCs/>
          <w:sz w:val="26"/>
          <w:szCs w:val="26"/>
        </w:rPr>
        <w:t>Mass Covid-19 Vaccination and</w:t>
      </w:r>
      <w:r w:rsidR="00704E84" w:rsidRPr="00704E84">
        <w:rPr>
          <w:rFonts w:asciiTheme="majorBidi" w:hAnsiTheme="majorBidi" w:cstheme="majorBidi"/>
          <w:b/>
          <w:bCs/>
          <w:sz w:val="26"/>
          <w:szCs w:val="26"/>
        </w:rPr>
        <w:t xml:space="preserve"> Excess Mortality</w:t>
      </w:r>
      <w:r w:rsidR="00514237">
        <w:rPr>
          <w:rFonts w:asciiTheme="majorBidi" w:hAnsiTheme="majorBidi" w:cstheme="majorBidi"/>
          <w:b/>
          <w:bCs/>
          <w:sz w:val="26"/>
          <w:szCs w:val="26"/>
        </w:rPr>
        <w:t xml:space="preserve">: </w:t>
      </w:r>
      <w:r w:rsidR="00514237" w:rsidRPr="00704E84">
        <w:rPr>
          <w:rFonts w:asciiTheme="majorBidi" w:hAnsiTheme="majorBidi" w:cstheme="majorBidi"/>
          <w:b/>
          <w:bCs/>
          <w:sz w:val="26"/>
          <w:szCs w:val="26"/>
        </w:rPr>
        <w:t>Di</w:t>
      </w:r>
      <w:r w:rsidR="00514237">
        <w:rPr>
          <w:rFonts w:asciiTheme="majorBidi" w:hAnsiTheme="majorBidi" w:cstheme="majorBidi"/>
          <w:b/>
          <w:bCs/>
          <w:sz w:val="26"/>
          <w:szCs w:val="26"/>
        </w:rPr>
        <w:t>rect and Indirect Pathways</w:t>
      </w:r>
      <w:r w:rsidRPr="00E67C79">
        <w:rPr>
          <w:rFonts w:cs="Arial"/>
          <w:b/>
          <w:bCs/>
          <w:sz w:val="28"/>
          <w:szCs w:val="28"/>
        </w:rPr>
        <w:br/>
      </w:r>
      <w:r w:rsidRPr="00E67C79">
        <w:rPr>
          <w:rFonts w:ascii="Times New Roman" w:hAnsi="Times New Roman"/>
          <w:b/>
          <w:bCs/>
          <w:sz w:val="28"/>
          <w:szCs w:val="28"/>
        </w:rPr>
        <w:t xml:space="preserve"> </w:t>
      </w:r>
    </w:p>
    <w:p w:rsidR="00E67C79" w:rsidRDefault="00E67C79" w:rsidP="009C0F5A">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sz w:val="28"/>
        </w:rPr>
      </w:pPr>
      <w:r>
        <w:rPr>
          <w:rFonts w:ascii="Times New Roman" w:hAnsi="Times New Roman"/>
          <w:sz w:val="28"/>
        </w:rPr>
        <w:t xml:space="preserve">John Gibson </w:t>
      </w:r>
    </w:p>
    <w:p w:rsidR="00E67C79" w:rsidRDefault="00E67C79" w:rsidP="00E67C7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8"/>
        </w:rPr>
      </w:pPr>
    </w:p>
    <w:p w:rsidR="00E67C79" w:rsidRDefault="00E67C79" w:rsidP="00E67C79">
      <w:pPr>
        <w:pStyle w:val="PlainText"/>
        <w:tabs>
          <w:tab w:val="left" w:pos="284"/>
        </w:tabs>
        <w:rPr>
          <w:rFonts w:ascii="Times New Roman" w:hAnsi="Times New Roman"/>
          <w:b/>
          <w:sz w:val="28"/>
        </w:rPr>
      </w:pPr>
    </w:p>
    <w:p w:rsidR="00E67C79" w:rsidRDefault="00E67C79" w:rsidP="00E67C79">
      <w:pPr>
        <w:pStyle w:val="PlainText"/>
        <w:tabs>
          <w:tab w:val="left" w:pos="284"/>
        </w:tabs>
        <w:rPr>
          <w:rFonts w:ascii="Times New Roman" w:hAnsi="Times New Roman"/>
          <w:b/>
          <w:sz w:val="28"/>
        </w:rPr>
      </w:pPr>
    </w:p>
    <w:p w:rsidR="00E67C79" w:rsidRDefault="00704E84" w:rsidP="00E67C79">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Working Paper in Economics 13</w:t>
      </w:r>
      <w:r w:rsidR="00E67C79">
        <w:rPr>
          <w:rFonts w:ascii="Times New Roman" w:hAnsi="Times New Roman"/>
          <w:b/>
          <w:bCs/>
          <w:sz w:val="28"/>
        </w:rPr>
        <w:t>/21</w:t>
      </w:r>
    </w:p>
    <w:p w:rsidR="00E67C79" w:rsidRDefault="000147B4" w:rsidP="00E67C79">
      <w:pPr>
        <w:pStyle w:val="PlainText"/>
        <w:tabs>
          <w:tab w:val="left" w:pos="284"/>
        </w:tabs>
        <w:spacing w:before="100" w:line="360" w:lineRule="auto"/>
        <w:jc w:val="center"/>
        <w:rPr>
          <w:rFonts w:ascii="Times New Roman" w:hAnsi="Times New Roman"/>
          <w:sz w:val="28"/>
        </w:rPr>
      </w:pPr>
      <w:r>
        <w:rPr>
          <w:rFonts w:ascii="Times New Roman" w:hAnsi="Times New Roman"/>
          <w:sz w:val="28"/>
        </w:rPr>
        <w:t>November</w:t>
      </w:r>
      <w:r w:rsidR="00E67C79">
        <w:rPr>
          <w:rFonts w:ascii="Times New Roman" w:hAnsi="Times New Roman"/>
          <w:sz w:val="28"/>
        </w:rPr>
        <w:t xml:space="preserve"> 2021</w:t>
      </w:r>
    </w:p>
    <w:p w:rsidR="006B0214" w:rsidRDefault="006B0214" w:rsidP="009C0F5A">
      <w:pPr>
        <w:spacing w:after="0" w:line="276" w:lineRule="auto"/>
        <w:jc w:val="center"/>
        <w:rPr>
          <w:sz w:val="32"/>
          <w:szCs w:val="32"/>
        </w:rPr>
      </w:pPr>
    </w:p>
    <w:p w:rsidR="006B0214" w:rsidRDefault="006B0214" w:rsidP="009C0F5A">
      <w:pPr>
        <w:spacing w:after="0" w:line="276" w:lineRule="auto"/>
        <w:jc w:val="center"/>
        <w:rPr>
          <w:sz w:val="32"/>
          <w:szCs w:val="32"/>
        </w:rPr>
      </w:pPr>
    </w:p>
    <w:p w:rsidR="002A198C" w:rsidRDefault="002A198C" w:rsidP="009C0F5A">
      <w:pPr>
        <w:spacing w:after="0" w:line="276" w:lineRule="auto"/>
        <w:jc w:val="center"/>
        <w:rPr>
          <w:sz w:val="32"/>
          <w:szCs w:val="32"/>
        </w:rPr>
      </w:pPr>
    </w:p>
    <w:p w:rsidR="002A198C" w:rsidRDefault="002A198C" w:rsidP="009C0F5A">
      <w:pPr>
        <w:spacing w:after="0" w:line="276" w:lineRule="auto"/>
        <w:jc w:val="center"/>
        <w:rPr>
          <w:sz w:val="32"/>
          <w:szCs w:val="32"/>
        </w:rPr>
      </w:pPr>
    </w:p>
    <w:p w:rsidR="006B0214" w:rsidRDefault="006B0214" w:rsidP="009C0F5A">
      <w:pPr>
        <w:spacing w:after="0" w:line="276" w:lineRule="auto"/>
        <w:jc w:val="center"/>
        <w:rPr>
          <w:sz w:val="32"/>
          <w:szCs w:val="32"/>
        </w:rPr>
      </w:pPr>
    </w:p>
    <w:p w:rsidR="006B0214" w:rsidRDefault="006B0214" w:rsidP="009C0F5A">
      <w:pPr>
        <w:spacing w:after="0" w:line="276" w:lineRule="auto"/>
        <w:jc w:val="center"/>
        <w:rPr>
          <w:sz w:val="32"/>
          <w:szCs w:val="32"/>
        </w:rPr>
      </w:pPr>
    </w:p>
    <w:p w:rsidR="00AE73E2" w:rsidRPr="005B2FFB" w:rsidRDefault="00AE73E2" w:rsidP="009C0F5A">
      <w:pPr>
        <w:spacing w:after="0" w:line="276" w:lineRule="auto"/>
        <w:jc w:val="center"/>
        <w:rPr>
          <w:b/>
          <w:bCs/>
          <w:sz w:val="12"/>
          <w:szCs w:val="12"/>
        </w:rPr>
      </w:pPr>
      <w:r>
        <w:rPr>
          <w:sz w:val="32"/>
          <w:szCs w:val="32"/>
        </w:rPr>
        <w:br/>
      </w:r>
    </w:p>
    <w:p w:rsidR="00AE73E2" w:rsidRPr="0076045F" w:rsidRDefault="00AE73E2" w:rsidP="00AE73E2">
      <w:pPr>
        <w:pStyle w:val="CM4"/>
        <w:spacing w:before="60" w:line="240" w:lineRule="auto"/>
        <w:jc w:val="center"/>
      </w:pPr>
      <w:r w:rsidRPr="0076045F">
        <w:rPr>
          <w:b/>
          <w:bCs/>
        </w:rPr>
        <w:t>John Gibson</w:t>
      </w:r>
    </w:p>
    <w:p w:rsidR="00AE73E2" w:rsidRDefault="00AE73E2" w:rsidP="00AE73E2">
      <w:pPr>
        <w:pStyle w:val="CM23"/>
        <w:spacing w:after="0"/>
        <w:jc w:val="center"/>
      </w:pPr>
      <w:r w:rsidRPr="0076045F">
        <w:t xml:space="preserve">School of Accounting, Finance </w:t>
      </w:r>
    </w:p>
    <w:p w:rsidR="00AE73E2" w:rsidRPr="0076045F" w:rsidRDefault="00AE73E2" w:rsidP="00AE73E2">
      <w:pPr>
        <w:pStyle w:val="CM23"/>
        <w:spacing w:after="0"/>
        <w:jc w:val="center"/>
      </w:pPr>
      <w:r>
        <w:t xml:space="preserve">and </w:t>
      </w:r>
      <w:r w:rsidRPr="0076045F">
        <w:t>Economics</w:t>
      </w:r>
    </w:p>
    <w:p w:rsidR="00AE73E2" w:rsidRPr="0076045F" w:rsidRDefault="00AE73E2" w:rsidP="00AE73E2">
      <w:pPr>
        <w:pStyle w:val="CM23"/>
        <w:spacing w:after="0"/>
        <w:jc w:val="center"/>
      </w:pPr>
      <w:r w:rsidRPr="0076045F">
        <w:t>University of Waikato</w:t>
      </w:r>
    </w:p>
    <w:p w:rsidR="00AE73E2" w:rsidRPr="0076045F" w:rsidRDefault="00AE73E2" w:rsidP="00AE73E2">
      <w:pPr>
        <w:pStyle w:val="CM23"/>
        <w:spacing w:after="0"/>
        <w:jc w:val="center"/>
      </w:pPr>
      <w:r w:rsidRPr="0076045F">
        <w:t>Private Bag 3105</w:t>
      </w:r>
    </w:p>
    <w:p w:rsidR="00AE73E2" w:rsidRPr="0076045F" w:rsidRDefault="00AE73E2" w:rsidP="00AE73E2">
      <w:pPr>
        <w:pStyle w:val="CM23"/>
        <w:spacing w:after="0"/>
        <w:jc w:val="center"/>
      </w:pPr>
      <w:r w:rsidRPr="0076045F">
        <w:t>Hamilton, 3240</w:t>
      </w:r>
    </w:p>
    <w:p w:rsidR="00AE73E2" w:rsidRPr="0076045F" w:rsidRDefault="00AE73E2" w:rsidP="00AE73E2">
      <w:pPr>
        <w:pStyle w:val="CM23"/>
        <w:spacing w:after="0"/>
        <w:jc w:val="center"/>
      </w:pPr>
      <w:r w:rsidRPr="0076045F">
        <w:t xml:space="preserve">New Zealand </w:t>
      </w:r>
    </w:p>
    <w:p w:rsidR="00AE73E2" w:rsidRPr="00CD094B" w:rsidRDefault="00AE73E2" w:rsidP="00AE73E2">
      <w:pPr>
        <w:pStyle w:val="Default"/>
        <w:rPr>
          <w:sz w:val="12"/>
          <w:szCs w:val="12"/>
        </w:rPr>
      </w:pPr>
    </w:p>
    <w:p w:rsidR="00AE73E2" w:rsidRPr="0076045F" w:rsidRDefault="00AE73E2" w:rsidP="00AE73E2">
      <w:pPr>
        <w:pStyle w:val="Default"/>
        <w:jc w:val="center"/>
      </w:pPr>
      <w:r w:rsidRPr="0076045F">
        <w:t>Tel: +64 (7) 838 4289</w:t>
      </w:r>
    </w:p>
    <w:p w:rsidR="00AE73E2" w:rsidRPr="0076045F" w:rsidRDefault="00AE73E2" w:rsidP="00AE73E2">
      <w:pPr>
        <w:pStyle w:val="CM3"/>
        <w:jc w:val="center"/>
        <w:rPr>
          <w:bCs/>
        </w:rPr>
      </w:pPr>
      <w:r w:rsidRPr="0076045F">
        <w:rPr>
          <w:bCs/>
        </w:rPr>
        <w:t>Email: jkgibson@waikato.ac.nz</w:t>
      </w:r>
    </w:p>
    <w:p w:rsidR="00AE73E2" w:rsidRPr="00AE73E2" w:rsidRDefault="00AE73E2" w:rsidP="00AE73E2">
      <w:pPr>
        <w:spacing w:after="0" w:line="276" w:lineRule="auto"/>
        <w:jc w:val="center"/>
        <w:rPr>
          <w:lang w:val="en-US"/>
        </w:rPr>
      </w:pPr>
    </w:p>
    <w:p w:rsidR="005D3F48" w:rsidRDefault="005D3F48" w:rsidP="005D3F48">
      <w:pPr>
        <w:spacing w:line="240" w:lineRule="auto"/>
        <w:jc w:val="center"/>
        <w:rPr>
          <w:b/>
          <w:bCs/>
        </w:rPr>
      </w:pPr>
    </w:p>
    <w:p w:rsidR="009C0F5A" w:rsidRDefault="009C0F5A">
      <w:pPr>
        <w:rPr>
          <w:b/>
          <w:bCs/>
        </w:rPr>
      </w:pPr>
      <w:r>
        <w:rPr>
          <w:b/>
          <w:bCs/>
        </w:rPr>
        <w:br w:type="page"/>
      </w:r>
    </w:p>
    <w:p w:rsidR="005D3F48" w:rsidRDefault="005D3F48" w:rsidP="005D3F48">
      <w:pPr>
        <w:spacing w:line="240" w:lineRule="auto"/>
        <w:jc w:val="center"/>
        <w:rPr>
          <w:b/>
          <w:bCs/>
        </w:rPr>
      </w:pPr>
    </w:p>
    <w:p w:rsidR="00E67C79" w:rsidRDefault="00E67C79" w:rsidP="005D3F48">
      <w:pPr>
        <w:spacing w:line="240" w:lineRule="auto"/>
        <w:jc w:val="center"/>
        <w:rPr>
          <w:b/>
        </w:rPr>
      </w:pPr>
      <w:r w:rsidRPr="00AF7EC2">
        <w:rPr>
          <w:b/>
        </w:rPr>
        <w:t>Abstract</w:t>
      </w:r>
    </w:p>
    <w:p w:rsidR="005D3F48" w:rsidRPr="00AF7EC2" w:rsidRDefault="005D3F48" w:rsidP="005D3F48">
      <w:pPr>
        <w:spacing w:line="240" w:lineRule="auto"/>
        <w:jc w:val="center"/>
        <w:rPr>
          <w:b/>
        </w:rPr>
      </w:pPr>
    </w:p>
    <w:p w:rsidR="002A198C" w:rsidRDefault="009C0F5A" w:rsidP="00F5700D">
      <w:pPr>
        <w:spacing w:after="0" w:line="360" w:lineRule="auto"/>
        <w:jc w:val="both"/>
        <w:rPr>
          <w:rFonts w:asciiTheme="majorBidi" w:hAnsiTheme="majorBidi" w:cstheme="majorBidi"/>
          <w:bCs/>
          <w:lang w:val="en-US"/>
        </w:rPr>
      </w:pPr>
      <w:r w:rsidRPr="009C0F5A">
        <w:rPr>
          <w:bCs/>
          <w:lang w:val="en-US"/>
        </w:rPr>
        <w:t xml:space="preserve">The </w:t>
      </w:r>
      <w:r w:rsidR="002A198C">
        <w:rPr>
          <w:bCs/>
          <w:lang w:val="en-US"/>
        </w:rPr>
        <w:t xml:space="preserve">rollout </w:t>
      </w:r>
      <w:r w:rsidRPr="009C0F5A">
        <w:rPr>
          <w:bCs/>
          <w:lang w:val="en-US"/>
        </w:rPr>
        <w:t>of Covid-19 vaccination</w:t>
      </w:r>
      <w:r w:rsidR="002A198C">
        <w:rPr>
          <w:bCs/>
          <w:lang w:val="en-US"/>
        </w:rPr>
        <w:t>s is unprecedented in pace and scope. Over seven billion doses have been administered to date</w:t>
      </w:r>
      <w:r w:rsidRPr="009C0F5A">
        <w:rPr>
          <w:bCs/>
          <w:lang w:val="en-US"/>
        </w:rPr>
        <w:t xml:space="preserve"> </w:t>
      </w:r>
      <w:r w:rsidR="002A198C">
        <w:rPr>
          <w:bCs/>
          <w:lang w:val="en-US"/>
        </w:rPr>
        <w:t xml:space="preserve">so aggregate effects should have become apparent. This </w:t>
      </w:r>
      <w:r w:rsidR="00F5700D">
        <w:rPr>
          <w:bCs/>
          <w:lang w:val="en-US"/>
        </w:rPr>
        <w:t xml:space="preserve">cross-country panel data </w:t>
      </w:r>
      <w:r w:rsidR="002A198C">
        <w:rPr>
          <w:bCs/>
          <w:lang w:val="en-US"/>
        </w:rPr>
        <w:t xml:space="preserve">study relates </w:t>
      </w:r>
      <w:r w:rsidR="002A198C">
        <w:rPr>
          <w:rFonts w:asciiTheme="majorBidi" w:hAnsiTheme="majorBidi" w:cstheme="majorBidi"/>
          <w:bCs/>
          <w:lang w:val="en-US"/>
        </w:rPr>
        <w:t xml:space="preserve">weekly estimates of excess mortality to the incidence of Covid-19 vaccinations, for the 32 OECD countries with high frequency excess mortality data available. The correlation </w:t>
      </w:r>
      <w:r w:rsidR="002A198C">
        <w:rPr>
          <w:rFonts w:asciiTheme="majorBidi" w:hAnsiTheme="majorBidi" w:cstheme="majorBidi"/>
          <w:bCs/>
        </w:rPr>
        <w:t xml:space="preserve">between excess mortality and vaccination incidence is decomposed into two pathways: one from vaccination via </w:t>
      </w:r>
      <w:proofErr w:type="spellStart"/>
      <w:r w:rsidR="002A198C">
        <w:rPr>
          <w:rFonts w:asciiTheme="majorBidi" w:hAnsiTheme="majorBidi" w:cstheme="majorBidi"/>
          <w:bCs/>
        </w:rPr>
        <w:t>Covid</w:t>
      </w:r>
      <w:proofErr w:type="spellEnd"/>
      <w:r w:rsidR="002A198C">
        <w:rPr>
          <w:rFonts w:asciiTheme="majorBidi" w:hAnsiTheme="majorBidi" w:cstheme="majorBidi"/>
          <w:bCs/>
        </w:rPr>
        <w:t>-attributed deaths to excess mortality and a non-</w:t>
      </w:r>
      <w:proofErr w:type="spellStart"/>
      <w:r w:rsidR="002A198C">
        <w:rPr>
          <w:rFonts w:asciiTheme="majorBidi" w:hAnsiTheme="majorBidi" w:cstheme="majorBidi"/>
          <w:bCs/>
        </w:rPr>
        <w:t>Covid</w:t>
      </w:r>
      <w:proofErr w:type="spellEnd"/>
      <w:r w:rsidR="002A198C">
        <w:rPr>
          <w:rFonts w:asciiTheme="majorBidi" w:hAnsiTheme="majorBidi" w:cstheme="majorBidi"/>
          <w:bCs/>
        </w:rPr>
        <w:t xml:space="preserve"> pathway that goes directly from vaccination to excess mortality, with Covid-19 deaths held constant. The non-</w:t>
      </w:r>
      <w:proofErr w:type="spellStart"/>
      <w:r w:rsidR="002A198C">
        <w:rPr>
          <w:rFonts w:asciiTheme="majorBidi" w:hAnsiTheme="majorBidi" w:cstheme="majorBidi"/>
          <w:bCs/>
        </w:rPr>
        <w:t>Covid</w:t>
      </w:r>
      <w:proofErr w:type="spellEnd"/>
      <w:r w:rsidR="002A198C">
        <w:rPr>
          <w:rFonts w:asciiTheme="majorBidi" w:hAnsiTheme="majorBidi" w:cstheme="majorBidi"/>
          <w:bCs/>
        </w:rPr>
        <w:t xml:space="preserve"> pathway from vaccination to excess mortality appears at least as large as the </w:t>
      </w:r>
      <w:proofErr w:type="spellStart"/>
      <w:r w:rsidR="002A198C">
        <w:rPr>
          <w:rFonts w:asciiTheme="majorBidi" w:hAnsiTheme="majorBidi" w:cstheme="majorBidi"/>
          <w:bCs/>
        </w:rPr>
        <w:t>Covid</w:t>
      </w:r>
      <w:proofErr w:type="spellEnd"/>
      <w:r w:rsidR="002A198C">
        <w:rPr>
          <w:rFonts w:asciiTheme="majorBidi" w:hAnsiTheme="majorBidi" w:cstheme="majorBidi"/>
          <w:bCs/>
        </w:rPr>
        <w:t xml:space="preserve"> pathway, and is the larger of the two pathways if lagged effects are captured. In results broken down by age, the effects are not apparent for the youngest age group who, until recently, were not exposed to Covid-19 vaccination.</w:t>
      </w:r>
    </w:p>
    <w:p w:rsidR="00E67C79" w:rsidRPr="009C0F5A" w:rsidRDefault="00E67C79" w:rsidP="00B668C8">
      <w:pPr>
        <w:spacing w:after="0" w:line="360" w:lineRule="auto"/>
        <w:jc w:val="both"/>
        <w:rPr>
          <w:rFonts w:eastAsia="Times New Roman"/>
          <w:lang w:val="en-US"/>
        </w:rPr>
      </w:pPr>
    </w:p>
    <w:p w:rsidR="00E67C79" w:rsidRDefault="00E67C79" w:rsidP="00E67C79">
      <w:pPr>
        <w:tabs>
          <w:tab w:val="left" w:pos="426"/>
        </w:tabs>
        <w:spacing w:line="300" w:lineRule="auto"/>
      </w:pPr>
    </w:p>
    <w:p w:rsidR="00FE5311" w:rsidRDefault="00FE5311" w:rsidP="00E67C79">
      <w:pPr>
        <w:tabs>
          <w:tab w:val="left" w:pos="426"/>
        </w:tabs>
        <w:spacing w:line="300" w:lineRule="auto"/>
      </w:pPr>
    </w:p>
    <w:p w:rsidR="00E67C79" w:rsidRPr="00CC12E6" w:rsidRDefault="00E67C79" w:rsidP="00E67C79">
      <w:pPr>
        <w:spacing w:after="0" w:line="300" w:lineRule="auto"/>
        <w:jc w:val="center"/>
        <w:rPr>
          <w:rFonts w:eastAsia="Times New Roman"/>
          <w:b/>
          <w:lang w:val="en-US"/>
        </w:rPr>
      </w:pPr>
      <w:r w:rsidRPr="00CC12E6">
        <w:rPr>
          <w:rFonts w:eastAsia="Times New Roman"/>
          <w:b/>
          <w:lang w:val="en-US"/>
        </w:rPr>
        <w:t>Keywords</w:t>
      </w:r>
    </w:p>
    <w:p w:rsidR="00E67C79" w:rsidRDefault="009C0F5A" w:rsidP="00B668C8">
      <w:pPr>
        <w:spacing w:after="0" w:line="360" w:lineRule="auto"/>
        <w:jc w:val="center"/>
        <w:rPr>
          <w:rFonts w:eastAsia="Times New Roman"/>
          <w:bCs/>
          <w:lang w:val="en-US"/>
        </w:rPr>
      </w:pPr>
      <w:r>
        <w:rPr>
          <w:rFonts w:eastAsia="Batang"/>
          <w:lang w:val="en-US" w:eastAsia="ko-KR"/>
        </w:rPr>
        <w:t>Covid-19</w:t>
      </w:r>
    </w:p>
    <w:p w:rsidR="00E67C79" w:rsidRDefault="00704E84" w:rsidP="00B668C8">
      <w:pPr>
        <w:spacing w:after="0" w:line="360" w:lineRule="auto"/>
        <w:jc w:val="center"/>
        <w:rPr>
          <w:rFonts w:eastAsia="Times New Roman"/>
          <w:bCs/>
          <w:lang w:val="en-US"/>
        </w:rPr>
      </w:pPr>
      <w:r>
        <w:rPr>
          <w:rFonts w:eastAsia="Times New Roman"/>
          <w:bCs/>
          <w:lang w:val="en-US"/>
        </w:rPr>
        <w:t>Excess mortality</w:t>
      </w:r>
    </w:p>
    <w:p w:rsidR="009C0F5A" w:rsidRDefault="009C0F5A" w:rsidP="009C0F5A">
      <w:pPr>
        <w:spacing w:after="0" w:line="360" w:lineRule="auto"/>
        <w:jc w:val="center"/>
        <w:rPr>
          <w:rFonts w:eastAsia="Times New Roman"/>
          <w:bCs/>
          <w:lang w:val="en-US"/>
        </w:rPr>
      </w:pPr>
      <w:r>
        <w:rPr>
          <w:rFonts w:eastAsia="Times New Roman"/>
          <w:bCs/>
          <w:lang w:val="en-US"/>
        </w:rPr>
        <w:t>Vaccination</w:t>
      </w:r>
    </w:p>
    <w:p w:rsidR="00E67C79" w:rsidRPr="00CC12E6" w:rsidRDefault="00E67C79" w:rsidP="00B668C8">
      <w:pPr>
        <w:spacing w:after="0" w:line="360" w:lineRule="auto"/>
        <w:jc w:val="center"/>
        <w:rPr>
          <w:rFonts w:eastAsia="Times New Roman"/>
          <w:bCs/>
          <w:lang w:val="en-US"/>
        </w:rPr>
      </w:pPr>
    </w:p>
    <w:p w:rsidR="00E67C79" w:rsidRPr="00CC12E6" w:rsidRDefault="00E67C79" w:rsidP="00E67C79">
      <w:pPr>
        <w:spacing w:after="0" w:line="300" w:lineRule="auto"/>
        <w:jc w:val="center"/>
        <w:rPr>
          <w:rFonts w:eastAsia="Times New Roman"/>
          <w:b/>
          <w:lang w:val="en-US"/>
        </w:rPr>
      </w:pPr>
      <w:r w:rsidRPr="00CC12E6">
        <w:rPr>
          <w:rFonts w:eastAsia="Times New Roman"/>
          <w:b/>
          <w:lang w:val="en-US"/>
        </w:rPr>
        <w:t>JEL Classification</w:t>
      </w:r>
    </w:p>
    <w:p w:rsidR="005D3F48" w:rsidRDefault="009C0F5A" w:rsidP="00AE73E2">
      <w:pPr>
        <w:spacing w:after="0" w:line="300" w:lineRule="auto"/>
        <w:jc w:val="center"/>
        <w:rPr>
          <w:rFonts w:eastAsia="Batang"/>
          <w:lang w:val="en-US" w:eastAsia="ko-KR"/>
        </w:rPr>
      </w:pPr>
      <w:r>
        <w:rPr>
          <w:rFonts w:eastAsia="Batang"/>
          <w:lang w:val="en-US" w:eastAsia="ko-KR"/>
        </w:rPr>
        <w:t>I18</w:t>
      </w:r>
    </w:p>
    <w:p w:rsidR="00E67C79" w:rsidRPr="00E67C79" w:rsidRDefault="002A198C" w:rsidP="00AE73E2">
      <w:pPr>
        <w:spacing w:after="0" w:line="300" w:lineRule="auto"/>
        <w:jc w:val="center"/>
        <w:rPr>
          <w:rFonts w:eastAsia="Times New Roman"/>
          <w:bCs/>
        </w:rPr>
      </w:pPr>
      <w:r>
        <w:rPr>
          <w:rFonts w:eastAsia="Batang"/>
          <w:lang w:val="en-US" w:eastAsia="ko-KR"/>
        </w:rPr>
        <w:t>J11</w:t>
      </w:r>
    </w:p>
    <w:p w:rsidR="00E67C79" w:rsidRPr="00E67C79" w:rsidRDefault="00E67C79" w:rsidP="00E67C79">
      <w:pPr>
        <w:spacing w:after="0" w:line="300" w:lineRule="auto"/>
        <w:rPr>
          <w:rFonts w:eastAsia="Times New Roman"/>
          <w:bCs/>
        </w:rPr>
      </w:pPr>
    </w:p>
    <w:p w:rsidR="00E67C79" w:rsidRDefault="00E67C79" w:rsidP="00E67C79">
      <w:pPr>
        <w:spacing w:after="0" w:line="300" w:lineRule="auto"/>
        <w:rPr>
          <w:rFonts w:eastAsia="Times New Roman"/>
          <w:bCs/>
        </w:rPr>
      </w:pPr>
    </w:p>
    <w:p w:rsidR="00B668C8" w:rsidRDefault="00B668C8" w:rsidP="00E67C79">
      <w:pPr>
        <w:spacing w:after="0" w:line="300" w:lineRule="auto"/>
        <w:rPr>
          <w:rFonts w:eastAsia="Times New Roman"/>
          <w:bCs/>
        </w:rPr>
      </w:pPr>
    </w:p>
    <w:p w:rsidR="00B668C8" w:rsidRDefault="00B668C8" w:rsidP="00E67C79">
      <w:pPr>
        <w:spacing w:after="0" w:line="300" w:lineRule="auto"/>
        <w:rPr>
          <w:rFonts w:eastAsia="Times New Roman"/>
          <w:bCs/>
        </w:rPr>
      </w:pPr>
    </w:p>
    <w:p w:rsidR="00B668C8" w:rsidRPr="00E67C79" w:rsidRDefault="00B668C8" w:rsidP="00E67C79">
      <w:pPr>
        <w:spacing w:after="0" w:line="300" w:lineRule="auto"/>
        <w:rPr>
          <w:rFonts w:eastAsia="Times New Roman"/>
          <w:bCs/>
        </w:rPr>
      </w:pPr>
    </w:p>
    <w:p w:rsidR="00E67C79" w:rsidRPr="005B6573" w:rsidRDefault="00E67C79" w:rsidP="00E67C79">
      <w:pPr>
        <w:spacing w:after="0" w:line="300" w:lineRule="auto"/>
        <w:jc w:val="center"/>
        <w:rPr>
          <w:rFonts w:eastAsia="Times New Roman"/>
          <w:b/>
        </w:rPr>
      </w:pPr>
      <w:r w:rsidRPr="005B6573">
        <w:rPr>
          <w:rFonts w:eastAsia="Times New Roman"/>
          <w:b/>
        </w:rPr>
        <w:t>Acknowledgements</w:t>
      </w:r>
    </w:p>
    <w:p w:rsidR="00E67C79" w:rsidRPr="005D3F48" w:rsidRDefault="009C0F5A" w:rsidP="00704E84">
      <w:pPr>
        <w:tabs>
          <w:tab w:val="left" w:pos="426"/>
        </w:tabs>
        <w:spacing w:line="300" w:lineRule="auto"/>
        <w:jc w:val="both"/>
        <w:rPr>
          <w:bCs/>
        </w:rPr>
      </w:pPr>
      <w:r>
        <w:t xml:space="preserve">I am grateful to </w:t>
      </w:r>
      <w:r w:rsidR="00704E84">
        <w:t xml:space="preserve">Simon </w:t>
      </w:r>
      <w:proofErr w:type="spellStart"/>
      <w:r w:rsidR="00704E84">
        <w:t>Thornley</w:t>
      </w:r>
      <w:proofErr w:type="spellEnd"/>
      <w:r w:rsidR="00704E84">
        <w:t xml:space="preserve"> </w:t>
      </w:r>
      <w:r>
        <w:t xml:space="preserve">for </w:t>
      </w:r>
      <w:r w:rsidR="00704E84">
        <w:t>helpful discussions.</w:t>
      </w:r>
      <w:r>
        <w:t xml:space="preserve"> </w:t>
      </w:r>
    </w:p>
    <w:p w:rsidR="005D3F48" w:rsidRDefault="005D3F48">
      <w:pPr>
        <w:rPr>
          <w:rFonts w:cs="Arial"/>
          <w:b/>
          <w:bCs/>
          <w:sz w:val="28"/>
          <w:szCs w:val="28"/>
        </w:rPr>
      </w:pPr>
      <w:r>
        <w:rPr>
          <w:rFonts w:cs="Arial"/>
          <w:b/>
          <w:bCs/>
          <w:sz w:val="28"/>
          <w:szCs w:val="28"/>
        </w:rPr>
        <w:br w:type="page"/>
      </w:r>
    </w:p>
    <w:p w:rsidR="002C5B8B" w:rsidRPr="008A622D" w:rsidRDefault="004327EE" w:rsidP="00675115">
      <w:pPr>
        <w:spacing w:after="0" w:line="360" w:lineRule="auto"/>
        <w:rPr>
          <w:rFonts w:asciiTheme="majorBidi" w:hAnsiTheme="majorBidi" w:cstheme="majorBidi"/>
          <w:bCs/>
          <w:lang w:val="en-AU"/>
        </w:rPr>
      </w:pPr>
      <w:r w:rsidRPr="008A622D">
        <w:rPr>
          <w:rFonts w:asciiTheme="majorBidi" w:hAnsiTheme="majorBidi" w:cstheme="majorBidi"/>
          <w:b/>
          <w:bCs/>
        </w:rPr>
        <w:lastRenderedPageBreak/>
        <w:t>I.</w:t>
      </w:r>
      <w:r w:rsidRPr="008A622D">
        <w:rPr>
          <w:rFonts w:asciiTheme="majorBidi" w:hAnsiTheme="majorBidi" w:cstheme="majorBidi"/>
          <w:b/>
          <w:bCs/>
        </w:rPr>
        <w:tab/>
        <w:t>Introduction</w:t>
      </w:r>
      <w:r w:rsidRPr="008A622D">
        <w:rPr>
          <w:rFonts w:asciiTheme="majorBidi" w:hAnsiTheme="majorBidi" w:cstheme="majorBidi"/>
          <w:bCs/>
          <w:lang w:val="en-AU"/>
        </w:rPr>
        <w:t xml:space="preserve"> </w:t>
      </w:r>
    </w:p>
    <w:p w:rsidR="00FB7C1F" w:rsidRDefault="009C0F5A" w:rsidP="00FB7C1F">
      <w:pPr>
        <w:widowControl w:val="0"/>
        <w:spacing w:after="120" w:line="288" w:lineRule="auto"/>
        <w:ind w:firstLine="720"/>
        <w:jc w:val="both"/>
        <w:rPr>
          <w:rFonts w:asciiTheme="majorBidi" w:hAnsiTheme="majorBidi" w:cstheme="majorBidi"/>
          <w:bCs/>
          <w:lang w:val="en-US"/>
        </w:rPr>
      </w:pPr>
      <w:r>
        <w:rPr>
          <w:rFonts w:asciiTheme="majorBidi" w:hAnsiTheme="majorBidi" w:cstheme="majorBidi"/>
          <w:bCs/>
          <w:lang w:val="en-AU"/>
        </w:rPr>
        <w:t>T</w:t>
      </w:r>
      <w:r w:rsidRPr="009C0F5A">
        <w:rPr>
          <w:rFonts w:asciiTheme="majorBidi" w:hAnsiTheme="majorBidi" w:cstheme="majorBidi"/>
          <w:bCs/>
          <w:lang w:val="en-US"/>
        </w:rPr>
        <w:t xml:space="preserve">he </w:t>
      </w:r>
      <w:r w:rsidR="00FB7C1F">
        <w:rPr>
          <w:rFonts w:asciiTheme="majorBidi" w:hAnsiTheme="majorBidi" w:cstheme="majorBidi"/>
          <w:bCs/>
          <w:lang w:val="en-US"/>
        </w:rPr>
        <w:t xml:space="preserve">rollout of Covid-19 vaccinations is unprecedented in </w:t>
      </w:r>
      <w:r w:rsidRPr="009C0F5A">
        <w:rPr>
          <w:rFonts w:asciiTheme="majorBidi" w:hAnsiTheme="majorBidi" w:cstheme="majorBidi"/>
          <w:bCs/>
          <w:lang w:val="en-US"/>
        </w:rPr>
        <w:t>pace and scope</w:t>
      </w:r>
      <w:r w:rsidR="00FB7C1F">
        <w:rPr>
          <w:rFonts w:asciiTheme="majorBidi" w:hAnsiTheme="majorBidi" w:cstheme="majorBidi"/>
          <w:bCs/>
          <w:lang w:val="en-US"/>
        </w:rPr>
        <w:t>. In less than 12 months, over one-half of the world’s population has had at least one dose</w:t>
      </w:r>
      <w:r w:rsidRPr="009C0F5A">
        <w:rPr>
          <w:rFonts w:asciiTheme="majorBidi" w:hAnsiTheme="majorBidi" w:cstheme="majorBidi"/>
          <w:bCs/>
          <w:lang w:val="en-US"/>
        </w:rPr>
        <w:t xml:space="preserve"> of </w:t>
      </w:r>
      <w:r w:rsidR="00FB7C1F">
        <w:rPr>
          <w:rFonts w:asciiTheme="majorBidi" w:hAnsiTheme="majorBidi" w:cstheme="majorBidi"/>
          <w:bCs/>
          <w:lang w:val="en-US"/>
        </w:rPr>
        <w:t>a Covid-19 vaccine, with over seven billion doses administered to date. During October 2021, there were about 25 million new doses per day, with booster shots accounting for an average of 1.5 million of these daily doses.</w:t>
      </w:r>
      <w:r w:rsidR="00CF7C79">
        <w:rPr>
          <w:rStyle w:val="FootnoteReference"/>
          <w:rFonts w:asciiTheme="majorBidi" w:hAnsiTheme="majorBidi" w:cstheme="majorBidi"/>
          <w:bCs/>
          <w:lang w:val="en-US"/>
        </w:rPr>
        <w:footnoteReference w:id="1"/>
      </w:r>
      <w:r w:rsidR="00FB7C1F">
        <w:rPr>
          <w:rFonts w:asciiTheme="majorBidi" w:hAnsiTheme="majorBidi" w:cstheme="majorBidi"/>
          <w:bCs/>
          <w:lang w:val="en-US"/>
        </w:rPr>
        <w:t xml:space="preserve"> </w:t>
      </w:r>
    </w:p>
    <w:p w:rsidR="0037463D" w:rsidRDefault="00FB7C1F" w:rsidP="00417310">
      <w:pPr>
        <w:widowControl w:val="0"/>
        <w:spacing w:after="120" w:line="288" w:lineRule="auto"/>
        <w:ind w:firstLine="720"/>
        <w:jc w:val="both"/>
        <w:rPr>
          <w:rFonts w:asciiTheme="majorBidi" w:hAnsiTheme="majorBidi" w:cstheme="majorBidi"/>
          <w:bCs/>
          <w:iCs/>
        </w:rPr>
      </w:pPr>
      <w:r>
        <w:rPr>
          <w:rFonts w:asciiTheme="majorBidi" w:hAnsiTheme="majorBidi" w:cstheme="majorBidi"/>
          <w:bCs/>
          <w:lang w:val="en-US"/>
        </w:rPr>
        <w:t xml:space="preserve">With such a speedy and far-reaching mass vaccination effort, one would expect to see some aggregate impacts. Yet the data do not seem to show this; in October 2021, daily </w:t>
      </w:r>
      <w:proofErr w:type="spellStart"/>
      <w:r>
        <w:rPr>
          <w:rFonts w:asciiTheme="majorBidi" w:hAnsiTheme="majorBidi" w:cstheme="majorBidi"/>
          <w:bCs/>
          <w:lang w:val="en-US"/>
        </w:rPr>
        <w:t>Covid</w:t>
      </w:r>
      <w:proofErr w:type="spellEnd"/>
      <w:r>
        <w:rPr>
          <w:rFonts w:asciiTheme="majorBidi" w:hAnsiTheme="majorBidi" w:cstheme="majorBidi"/>
          <w:bCs/>
          <w:lang w:val="en-US"/>
        </w:rPr>
        <w:t xml:space="preserve"> deaths, worldwide, averaged just over 7000, which is 18 percent higher than they had been in October 2020 before vaccines were in use. Likewise, new cases of Covid-19, worldwide, are seven percent higher than they were 12 months earlier</w:t>
      </w:r>
      <w:r w:rsidR="006A1AC9">
        <w:rPr>
          <w:rFonts w:asciiTheme="majorBidi" w:hAnsiTheme="majorBidi" w:cstheme="majorBidi"/>
          <w:bCs/>
          <w:lang w:val="en-US"/>
        </w:rPr>
        <w:t xml:space="preserve"> (even more so for September)</w:t>
      </w:r>
      <w:r>
        <w:rPr>
          <w:rFonts w:asciiTheme="majorBidi" w:hAnsiTheme="majorBidi" w:cstheme="majorBidi"/>
          <w:bCs/>
          <w:lang w:val="en-US"/>
        </w:rPr>
        <w:t>.</w:t>
      </w:r>
      <w:r w:rsidR="0037463D">
        <w:rPr>
          <w:rFonts w:asciiTheme="majorBidi" w:hAnsiTheme="majorBidi" w:cstheme="majorBidi"/>
          <w:bCs/>
          <w:lang w:val="en-US"/>
        </w:rPr>
        <w:t xml:space="preserve"> </w:t>
      </w:r>
      <w:r w:rsidR="00CF7C79">
        <w:rPr>
          <w:rFonts w:asciiTheme="majorBidi" w:hAnsiTheme="majorBidi" w:cstheme="majorBidi"/>
          <w:bCs/>
          <w:lang w:val="en-US"/>
        </w:rPr>
        <w:t>S</w:t>
      </w:r>
      <w:r w:rsidR="0037463D">
        <w:rPr>
          <w:rFonts w:asciiTheme="majorBidi" w:hAnsiTheme="majorBidi" w:cstheme="majorBidi"/>
          <w:bCs/>
          <w:lang w:val="en-US"/>
        </w:rPr>
        <w:t xml:space="preserve">tudies are </w:t>
      </w:r>
      <w:r w:rsidR="00A422CC">
        <w:rPr>
          <w:rFonts w:asciiTheme="majorBidi" w:hAnsiTheme="majorBidi" w:cstheme="majorBidi"/>
          <w:bCs/>
          <w:lang w:val="en-US"/>
        </w:rPr>
        <w:t xml:space="preserve">beginning </w:t>
      </w:r>
      <w:r w:rsidR="006A1AC9">
        <w:rPr>
          <w:rFonts w:asciiTheme="majorBidi" w:hAnsiTheme="majorBidi" w:cstheme="majorBidi"/>
          <w:bCs/>
          <w:lang w:val="en-US"/>
        </w:rPr>
        <w:t xml:space="preserve">to </w:t>
      </w:r>
      <w:r w:rsidR="00A422CC">
        <w:rPr>
          <w:rFonts w:asciiTheme="majorBidi" w:hAnsiTheme="majorBidi" w:cstheme="majorBidi"/>
          <w:bCs/>
          <w:lang w:val="en-US"/>
        </w:rPr>
        <w:t>note that</w:t>
      </w:r>
      <w:r w:rsidR="0037463D">
        <w:rPr>
          <w:rFonts w:asciiTheme="majorBidi" w:hAnsiTheme="majorBidi" w:cstheme="majorBidi"/>
          <w:bCs/>
          <w:lang w:val="en-US"/>
        </w:rPr>
        <w:t xml:space="preserve"> aggregate data do not show positive impacts of the mass vaccination effort. For example, </w:t>
      </w:r>
      <w:r w:rsidR="0037463D">
        <w:rPr>
          <w:rFonts w:asciiTheme="majorBidi" w:hAnsiTheme="majorBidi" w:cstheme="majorBidi"/>
          <w:bCs/>
          <w:iCs/>
        </w:rPr>
        <w:t xml:space="preserve">Subramanian &amp; </w:t>
      </w:r>
      <w:r w:rsidR="0037463D" w:rsidRPr="00A77DD6">
        <w:rPr>
          <w:rFonts w:asciiTheme="majorBidi" w:hAnsiTheme="majorBidi" w:cstheme="majorBidi"/>
          <w:bCs/>
          <w:iCs/>
        </w:rPr>
        <w:t>Kumar</w:t>
      </w:r>
      <w:r w:rsidR="0037463D">
        <w:rPr>
          <w:rFonts w:asciiTheme="majorBidi" w:hAnsiTheme="majorBidi" w:cstheme="majorBidi"/>
          <w:bCs/>
          <w:iCs/>
        </w:rPr>
        <w:t xml:space="preserve"> (2021) find higher vaccination rates (as of early September, 2021) </w:t>
      </w:r>
      <w:r w:rsidR="00DF13B6">
        <w:rPr>
          <w:rFonts w:asciiTheme="majorBidi" w:hAnsiTheme="majorBidi" w:cstheme="majorBidi"/>
          <w:bCs/>
          <w:iCs/>
        </w:rPr>
        <w:t xml:space="preserve">are </w:t>
      </w:r>
      <w:r w:rsidR="0037463D">
        <w:rPr>
          <w:rFonts w:asciiTheme="majorBidi" w:hAnsiTheme="majorBidi" w:cstheme="majorBidi"/>
          <w:bCs/>
          <w:iCs/>
        </w:rPr>
        <w:t xml:space="preserve">not </w:t>
      </w:r>
      <w:r w:rsidR="00DF13B6">
        <w:rPr>
          <w:rFonts w:asciiTheme="majorBidi" w:hAnsiTheme="majorBidi" w:cstheme="majorBidi"/>
          <w:bCs/>
          <w:iCs/>
        </w:rPr>
        <w:t xml:space="preserve">associated with </w:t>
      </w:r>
      <w:r w:rsidR="0037463D">
        <w:rPr>
          <w:rFonts w:asciiTheme="majorBidi" w:hAnsiTheme="majorBidi" w:cstheme="majorBidi"/>
          <w:bCs/>
          <w:iCs/>
        </w:rPr>
        <w:t xml:space="preserve">lower rates of new Covid-19 cases in a cross-section of 68 countries. A panel study of 32 OECD countries compares </w:t>
      </w:r>
      <w:r w:rsidR="00A422CC">
        <w:rPr>
          <w:rFonts w:asciiTheme="majorBidi" w:hAnsiTheme="majorBidi" w:cstheme="majorBidi"/>
          <w:bCs/>
          <w:iCs/>
        </w:rPr>
        <w:t>changes from 2020 to 2021</w:t>
      </w:r>
      <w:r w:rsidR="00DF13B6">
        <w:rPr>
          <w:rFonts w:asciiTheme="majorBidi" w:hAnsiTheme="majorBidi" w:cstheme="majorBidi"/>
          <w:bCs/>
          <w:iCs/>
        </w:rPr>
        <w:t>,</w:t>
      </w:r>
      <w:r w:rsidR="00A422CC">
        <w:rPr>
          <w:rFonts w:asciiTheme="majorBidi" w:hAnsiTheme="majorBidi" w:cstheme="majorBidi"/>
          <w:bCs/>
          <w:iCs/>
        </w:rPr>
        <w:t xml:space="preserve"> </w:t>
      </w:r>
      <w:r w:rsidR="00AA4890">
        <w:rPr>
          <w:rFonts w:asciiTheme="majorBidi" w:hAnsiTheme="majorBidi" w:cstheme="majorBidi"/>
          <w:bCs/>
          <w:iCs/>
        </w:rPr>
        <w:t>for each month</w:t>
      </w:r>
      <w:r w:rsidR="0037463D">
        <w:rPr>
          <w:rFonts w:asciiTheme="majorBidi" w:hAnsiTheme="majorBidi" w:cstheme="majorBidi"/>
          <w:bCs/>
          <w:iCs/>
        </w:rPr>
        <w:t xml:space="preserve"> </w:t>
      </w:r>
      <w:r w:rsidR="00E20051">
        <w:rPr>
          <w:rFonts w:asciiTheme="majorBidi" w:hAnsiTheme="majorBidi" w:cstheme="majorBidi"/>
          <w:bCs/>
          <w:iCs/>
        </w:rPr>
        <w:t xml:space="preserve">through </w:t>
      </w:r>
      <w:r w:rsidR="00417310">
        <w:rPr>
          <w:rFonts w:asciiTheme="majorBidi" w:hAnsiTheme="majorBidi" w:cstheme="majorBidi"/>
          <w:bCs/>
          <w:iCs/>
        </w:rPr>
        <w:t xml:space="preserve">to </w:t>
      </w:r>
      <w:r w:rsidR="00A422CC">
        <w:rPr>
          <w:rFonts w:asciiTheme="majorBidi" w:hAnsiTheme="majorBidi" w:cstheme="majorBidi"/>
          <w:bCs/>
          <w:iCs/>
        </w:rPr>
        <w:t>September 2021</w:t>
      </w:r>
      <w:r w:rsidR="00DF13B6">
        <w:rPr>
          <w:rFonts w:asciiTheme="majorBidi" w:hAnsiTheme="majorBidi" w:cstheme="majorBidi"/>
          <w:bCs/>
          <w:iCs/>
        </w:rPr>
        <w:t>,</w:t>
      </w:r>
      <w:r w:rsidR="00A422CC">
        <w:rPr>
          <w:rFonts w:asciiTheme="majorBidi" w:hAnsiTheme="majorBidi" w:cstheme="majorBidi"/>
          <w:bCs/>
          <w:iCs/>
        </w:rPr>
        <w:t xml:space="preserve"> </w:t>
      </w:r>
      <w:r w:rsidR="00857727">
        <w:rPr>
          <w:rFonts w:asciiTheme="majorBidi" w:hAnsiTheme="majorBidi" w:cstheme="majorBidi"/>
          <w:bCs/>
          <w:iCs/>
        </w:rPr>
        <w:t xml:space="preserve">and </w:t>
      </w:r>
      <w:r w:rsidR="0037463D">
        <w:rPr>
          <w:rFonts w:asciiTheme="majorBidi" w:hAnsiTheme="majorBidi" w:cstheme="majorBidi"/>
          <w:bCs/>
          <w:iCs/>
        </w:rPr>
        <w:t xml:space="preserve">finds </w:t>
      </w:r>
      <w:r w:rsidR="00857727">
        <w:rPr>
          <w:rFonts w:asciiTheme="majorBidi" w:hAnsiTheme="majorBidi" w:cstheme="majorBidi"/>
          <w:bCs/>
          <w:iCs/>
        </w:rPr>
        <w:t xml:space="preserve">that vaccine rollout is unrelated to changes in </w:t>
      </w:r>
      <w:r w:rsidR="0037463D">
        <w:rPr>
          <w:rFonts w:asciiTheme="majorBidi" w:hAnsiTheme="majorBidi" w:cstheme="majorBidi"/>
          <w:bCs/>
          <w:iCs/>
        </w:rPr>
        <w:t>Covid-19 cases</w:t>
      </w:r>
      <w:r w:rsidR="00857727">
        <w:rPr>
          <w:rFonts w:asciiTheme="majorBidi" w:hAnsiTheme="majorBidi" w:cstheme="majorBidi"/>
          <w:bCs/>
          <w:iCs/>
        </w:rPr>
        <w:t>,</w:t>
      </w:r>
      <w:r w:rsidR="0037463D">
        <w:rPr>
          <w:rFonts w:asciiTheme="majorBidi" w:hAnsiTheme="majorBidi" w:cstheme="majorBidi"/>
          <w:bCs/>
          <w:iCs/>
        </w:rPr>
        <w:t xml:space="preserve"> </w:t>
      </w:r>
      <w:r w:rsidR="00857727">
        <w:rPr>
          <w:rFonts w:asciiTheme="majorBidi" w:hAnsiTheme="majorBidi" w:cstheme="majorBidi"/>
          <w:bCs/>
          <w:iCs/>
        </w:rPr>
        <w:t xml:space="preserve">in </w:t>
      </w:r>
      <w:r w:rsidR="0037463D">
        <w:rPr>
          <w:rFonts w:asciiTheme="majorBidi" w:hAnsiTheme="majorBidi" w:cstheme="majorBidi"/>
          <w:bCs/>
          <w:iCs/>
        </w:rPr>
        <w:t xml:space="preserve">Covid-19 deaths </w:t>
      </w:r>
      <w:r w:rsidR="00857727">
        <w:rPr>
          <w:rFonts w:asciiTheme="majorBidi" w:hAnsiTheme="majorBidi" w:cstheme="majorBidi"/>
          <w:bCs/>
          <w:iCs/>
        </w:rPr>
        <w:t>or in all-cause mortality (Gibson, 2021).</w:t>
      </w:r>
    </w:p>
    <w:p w:rsidR="009E7EA0" w:rsidRDefault="00EA5FA3" w:rsidP="00417310">
      <w:pPr>
        <w:widowControl w:val="0"/>
        <w:spacing w:after="120" w:line="288" w:lineRule="auto"/>
        <w:ind w:firstLine="720"/>
        <w:jc w:val="both"/>
        <w:rPr>
          <w:rFonts w:asciiTheme="majorBidi" w:hAnsiTheme="majorBidi" w:cstheme="majorBidi"/>
          <w:bCs/>
        </w:rPr>
      </w:pPr>
      <w:r>
        <w:rPr>
          <w:rFonts w:asciiTheme="majorBidi" w:hAnsiTheme="majorBidi" w:cstheme="majorBidi"/>
          <w:bCs/>
          <w:lang w:val="en-US"/>
        </w:rPr>
        <w:t>T</w:t>
      </w:r>
      <w:r w:rsidR="00CF7C79">
        <w:rPr>
          <w:rFonts w:asciiTheme="majorBidi" w:hAnsiTheme="majorBidi" w:cstheme="majorBidi"/>
          <w:bCs/>
          <w:lang w:val="en-US"/>
        </w:rPr>
        <w:t>he resu</w:t>
      </w:r>
      <w:r>
        <w:rPr>
          <w:rFonts w:asciiTheme="majorBidi" w:hAnsiTheme="majorBidi" w:cstheme="majorBidi"/>
          <w:bCs/>
          <w:lang w:val="en-US"/>
        </w:rPr>
        <w:t xml:space="preserve">lt for all-cause mortality </w:t>
      </w:r>
      <w:r w:rsidR="00CF7C79">
        <w:rPr>
          <w:rFonts w:asciiTheme="majorBidi" w:hAnsiTheme="majorBidi" w:cstheme="majorBidi"/>
          <w:bCs/>
          <w:lang w:val="en-US"/>
        </w:rPr>
        <w:t>is of particular interest, and is the f</w:t>
      </w:r>
      <w:r w:rsidR="006A1AC9">
        <w:rPr>
          <w:rFonts w:asciiTheme="majorBidi" w:hAnsiTheme="majorBidi" w:cstheme="majorBidi"/>
          <w:bCs/>
          <w:lang w:val="en-US"/>
        </w:rPr>
        <w:t xml:space="preserve">ocus of the current study. Whether a death is </w:t>
      </w:r>
      <w:r w:rsidR="00CF7C79" w:rsidRPr="00CF7C79">
        <w:rPr>
          <w:rFonts w:asciiTheme="majorBidi" w:hAnsiTheme="majorBidi" w:cstheme="majorBidi"/>
          <w:bCs/>
          <w:i/>
          <w:iCs/>
          <w:lang w:val="en-US"/>
        </w:rPr>
        <w:t>with</w:t>
      </w:r>
      <w:r w:rsidR="00CF7C79">
        <w:rPr>
          <w:rFonts w:asciiTheme="majorBidi" w:hAnsiTheme="majorBidi" w:cstheme="majorBidi"/>
          <w:bCs/>
          <w:lang w:val="en-US"/>
        </w:rPr>
        <w:t xml:space="preserve"> </w:t>
      </w:r>
      <w:proofErr w:type="spellStart"/>
      <w:r w:rsidR="00CF7C79">
        <w:rPr>
          <w:rFonts w:asciiTheme="majorBidi" w:hAnsiTheme="majorBidi" w:cstheme="majorBidi"/>
          <w:bCs/>
          <w:lang w:val="en-US"/>
        </w:rPr>
        <w:t>Covid</w:t>
      </w:r>
      <w:proofErr w:type="spellEnd"/>
      <w:r w:rsidR="006A1AC9">
        <w:rPr>
          <w:rFonts w:asciiTheme="majorBidi" w:hAnsiTheme="majorBidi" w:cstheme="majorBidi"/>
          <w:bCs/>
          <w:lang w:val="en-US"/>
        </w:rPr>
        <w:t xml:space="preserve"> or </w:t>
      </w:r>
      <w:r w:rsidR="006A1AC9" w:rsidRPr="006A1AC9">
        <w:rPr>
          <w:rFonts w:asciiTheme="majorBidi" w:hAnsiTheme="majorBidi" w:cstheme="majorBidi"/>
          <w:bCs/>
          <w:i/>
          <w:iCs/>
          <w:lang w:val="en-US"/>
        </w:rPr>
        <w:t>by</w:t>
      </w:r>
      <w:r w:rsidR="006A1AC9">
        <w:rPr>
          <w:rFonts w:asciiTheme="majorBidi" w:hAnsiTheme="majorBidi" w:cstheme="majorBidi"/>
          <w:bCs/>
          <w:lang w:val="en-US"/>
        </w:rPr>
        <w:t xml:space="preserve"> </w:t>
      </w:r>
      <w:proofErr w:type="spellStart"/>
      <w:r w:rsidR="006A1AC9">
        <w:rPr>
          <w:rFonts w:asciiTheme="majorBidi" w:hAnsiTheme="majorBidi" w:cstheme="majorBidi"/>
          <w:bCs/>
          <w:lang w:val="en-US"/>
        </w:rPr>
        <w:t>Covid</w:t>
      </w:r>
      <w:proofErr w:type="spellEnd"/>
      <w:r w:rsidR="006A1AC9">
        <w:rPr>
          <w:rFonts w:asciiTheme="majorBidi" w:hAnsiTheme="majorBidi" w:cstheme="majorBidi"/>
          <w:bCs/>
          <w:lang w:val="en-US"/>
        </w:rPr>
        <w:t xml:space="preserve"> is debatable but</w:t>
      </w:r>
      <w:r w:rsidR="00CF7C79">
        <w:rPr>
          <w:rFonts w:asciiTheme="majorBidi" w:hAnsiTheme="majorBidi" w:cstheme="majorBidi"/>
          <w:bCs/>
          <w:lang w:val="en-US"/>
        </w:rPr>
        <w:t xml:space="preserve"> </w:t>
      </w:r>
      <w:r w:rsidR="006A1AC9">
        <w:rPr>
          <w:rFonts w:asciiTheme="majorBidi" w:hAnsiTheme="majorBidi" w:cstheme="majorBidi"/>
          <w:bCs/>
          <w:lang w:val="en-US"/>
        </w:rPr>
        <w:t xml:space="preserve">for </w:t>
      </w:r>
      <w:r w:rsidR="00CF7C79">
        <w:rPr>
          <w:rFonts w:asciiTheme="majorBidi" w:hAnsiTheme="majorBidi" w:cstheme="majorBidi"/>
          <w:bCs/>
          <w:lang w:val="en-US"/>
        </w:rPr>
        <w:t xml:space="preserve">all-cause mortality </w:t>
      </w:r>
      <w:r w:rsidR="00417310">
        <w:rPr>
          <w:rFonts w:asciiTheme="majorBidi" w:hAnsiTheme="majorBidi" w:cstheme="majorBidi"/>
          <w:bCs/>
          <w:lang w:val="en-US"/>
        </w:rPr>
        <w:t>one</w:t>
      </w:r>
      <w:r w:rsidR="006A1AC9">
        <w:rPr>
          <w:rFonts w:asciiTheme="majorBidi" w:hAnsiTheme="majorBidi" w:cstheme="majorBidi"/>
          <w:bCs/>
          <w:lang w:val="en-US"/>
        </w:rPr>
        <w:t xml:space="preserve"> </w:t>
      </w:r>
      <w:r w:rsidR="00CF7C79">
        <w:rPr>
          <w:rFonts w:asciiTheme="majorBidi" w:hAnsiTheme="majorBidi" w:cstheme="majorBidi"/>
          <w:bCs/>
          <w:lang w:val="en-US"/>
        </w:rPr>
        <w:t>is</w:t>
      </w:r>
      <w:r w:rsidR="006A1AC9">
        <w:rPr>
          <w:rFonts w:asciiTheme="majorBidi" w:hAnsiTheme="majorBidi" w:cstheme="majorBidi"/>
          <w:bCs/>
          <w:lang w:val="en-US"/>
        </w:rPr>
        <w:t xml:space="preserve"> clear</w:t>
      </w:r>
      <w:r w:rsidR="00417310">
        <w:rPr>
          <w:rFonts w:asciiTheme="majorBidi" w:hAnsiTheme="majorBidi" w:cstheme="majorBidi"/>
          <w:bCs/>
          <w:lang w:val="en-US"/>
        </w:rPr>
        <w:t>ly</w:t>
      </w:r>
      <w:r>
        <w:rPr>
          <w:rFonts w:asciiTheme="majorBidi" w:hAnsiTheme="majorBidi" w:cstheme="majorBidi"/>
          <w:bCs/>
          <w:lang w:val="en-US"/>
        </w:rPr>
        <w:t xml:space="preserve"> </w:t>
      </w:r>
      <w:r w:rsidR="00CF7C79">
        <w:rPr>
          <w:rFonts w:asciiTheme="majorBidi" w:hAnsiTheme="majorBidi" w:cstheme="majorBidi"/>
          <w:bCs/>
          <w:lang w:val="en-US"/>
        </w:rPr>
        <w:t xml:space="preserve">either dead or not. </w:t>
      </w:r>
      <w:r w:rsidR="006A1AC9">
        <w:rPr>
          <w:rFonts w:asciiTheme="majorBidi" w:hAnsiTheme="majorBidi" w:cstheme="majorBidi"/>
          <w:bCs/>
          <w:lang w:val="en-US"/>
        </w:rPr>
        <w:t xml:space="preserve">However, </w:t>
      </w:r>
      <w:r w:rsidR="00417310">
        <w:rPr>
          <w:rFonts w:asciiTheme="majorBidi" w:hAnsiTheme="majorBidi" w:cstheme="majorBidi"/>
          <w:bCs/>
          <w:lang w:val="en-US"/>
        </w:rPr>
        <w:t xml:space="preserve">few countries have timely and reliable data </w:t>
      </w:r>
      <w:r w:rsidR="006A1AC9">
        <w:rPr>
          <w:rFonts w:asciiTheme="majorBidi" w:hAnsiTheme="majorBidi" w:cstheme="majorBidi"/>
          <w:bCs/>
          <w:lang w:val="en-US"/>
        </w:rPr>
        <w:t>for</w:t>
      </w:r>
      <w:r w:rsidR="00CF7C79">
        <w:rPr>
          <w:rFonts w:asciiTheme="majorBidi" w:hAnsiTheme="majorBidi" w:cstheme="majorBidi"/>
          <w:bCs/>
          <w:lang w:val="en-US"/>
        </w:rPr>
        <w:t xml:space="preserve"> </w:t>
      </w:r>
      <w:r w:rsidR="00DF13B6">
        <w:rPr>
          <w:rFonts w:asciiTheme="majorBidi" w:hAnsiTheme="majorBidi" w:cstheme="majorBidi"/>
          <w:bCs/>
          <w:lang w:val="en-US"/>
        </w:rPr>
        <w:t>relat</w:t>
      </w:r>
      <w:r w:rsidR="006A1AC9">
        <w:rPr>
          <w:rFonts w:asciiTheme="majorBidi" w:hAnsiTheme="majorBidi" w:cstheme="majorBidi"/>
          <w:bCs/>
          <w:lang w:val="en-US"/>
        </w:rPr>
        <w:t>ing</w:t>
      </w:r>
      <w:r w:rsidR="00CF7C79">
        <w:rPr>
          <w:rFonts w:asciiTheme="majorBidi" w:hAnsiTheme="majorBidi" w:cstheme="majorBidi"/>
          <w:bCs/>
          <w:lang w:val="en-US"/>
        </w:rPr>
        <w:t xml:space="preserve"> contemporaneous phenomena </w:t>
      </w:r>
      <w:r w:rsidR="00DF13B6">
        <w:rPr>
          <w:rFonts w:asciiTheme="majorBidi" w:hAnsiTheme="majorBidi" w:cstheme="majorBidi"/>
          <w:bCs/>
          <w:lang w:val="en-US"/>
        </w:rPr>
        <w:t>to all</w:t>
      </w:r>
      <w:r w:rsidR="00DF13B6">
        <w:rPr>
          <w:rFonts w:asciiTheme="majorBidi" w:hAnsiTheme="majorBidi" w:cstheme="majorBidi"/>
          <w:bCs/>
          <w:lang w:val="en-US"/>
        </w:rPr>
        <w:noBreakHyphen/>
      </w:r>
      <w:r w:rsidR="00CF7C79">
        <w:rPr>
          <w:rFonts w:asciiTheme="majorBidi" w:hAnsiTheme="majorBidi" w:cstheme="majorBidi"/>
          <w:bCs/>
          <w:lang w:val="en-US"/>
        </w:rPr>
        <w:t xml:space="preserve">cause mortality. </w:t>
      </w:r>
      <w:r w:rsidR="006A1AC9">
        <w:rPr>
          <w:rFonts w:asciiTheme="majorBidi" w:hAnsiTheme="majorBidi" w:cstheme="majorBidi"/>
          <w:bCs/>
          <w:lang w:val="en-US"/>
        </w:rPr>
        <w:t xml:space="preserve">In this study, I relate weekly estimates of (all-cause) </w:t>
      </w:r>
      <w:r w:rsidR="00A422CC">
        <w:rPr>
          <w:rFonts w:asciiTheme="majorBidi" w:hAnsiTheme="majorBidi" w:cstheme="majorBidi"/>
          <w:bCs/>
          <w:lang w:val="en-US"/>
        </w:rPr>
        <w:t xml:space="preserve">excess </w:t>
      </w:r>
      <w:r w:rsidR="006A1AC9">
        <w:rPr>
          <w:rFonts w:asciiTheme="majorBidi" w:hAnsiTheme="majorBidi" w:cstheme="majorBidi"/>
          <w:bCs/>
          <w:lang w:val="en-US"/>
        </w:rPr>
        <w:t xml:space="preserve">mortality to the incidence of Covid-19 vaccinations, for the 32 countries that are in </w:t>
      </w:r>
      <w:r w:rsidR="009E7EA0">
        <w:rPr>
          <w:rFonts w:asciiTheme="majorBidi" w:hAnsiTheme="majorBidi" w:cstheme="majorBidi"/>
          <w:bCs/>
        </w:rPr>
        <w:t xml:space="preserve">the OECD and also </w:t>
      </w:r>
      <w:r w:rsidR="006A1AC9">
        <w:rPr>
          <w:rFonts w:asciiTheme="majorBidi" w:hAnsiTheme="majorBidi" w:cstheme="majorBidi"/>
          <w:bCs/>
        </w:rPr>
        <w:t xml:space="preserve">in </w:t>
      </w:r>
      <w:r w:rsidR="00CB1EC4" w:rsidRPr="00CB1EC4">
        <w:rPr>
          <w:rFonts w:asciiTheme="majorBidi" w:hAnsiTheme="majorBidi" w:cstheme="majorBidi"/>
          <w:bCs/>
        </w:rPr>
        <w:t xml:space="preserve">the Short-term Mortality Fluctuations (STMF) database of </w:t>
      </w:r>
      <w:proofErr w:type="spellStart"/>
      <w:r w:rsidR="00CB1EC4" w:rsidRPr="00CB1EC4">
        <w:rPr>
          <w:rFonts w:asciiTheme="majorBidi" w:hAnsiTheme="majorBidi" w:cstheme="majorBidi"/>
          <w:bCs/>
        </w:rPr>
        <w:t>Németh</w:t>
      </w:r>
      <w:proofErr w:type="spellEnd"/>
      <w:r w:rsidR="00CB1EC4" w:rsidRPr="00CB1EC4">
        <w:rPr>
          <w:rFonts w:asciiTheme="majorBidi" w:hAnsiTheme="majorBidi" w:cstheme="majorBidi"/>
          <w:bCs/>
        </w:rPr>
        <w:t xml:space="preserve"> et al (2021). These </w:t>
      </w:r>
      <w:r w:rsidR="009E7EA0">
        <w:rPr>
          <w:rFonts w:asciiTheme="majorBidi" w:hAnsiTheme="majorBidi" w:cstheme="majorBidi"/>
          <w:bCs/>
        </w:rPr>
        <w:t xml:space="preserve">developed </w:t>
      </w:r>
      <w:r w:rsidR="00CB1EC4" w:rsidRPr="00CB1EC4">
        <w:rPr>
          <w:rFonts w:asciiTheme="majorBidi" w:hAnsiTheme="majorBidi" w:cstheme="majorBidi"/>
          <w:bCs/>
        </w:rPr>
        <w:t xml:space="preserve">countries have high Covid-19 vaccination rates and </w:t>
      </w:r>
      <w:r w:rsidR="009E7EA0">
        <w:rPr>
          <w:rFonts w:asciiTheme="majorBidi" w:hAnsiTheme="majorBidi" w:cstheme="majorBidi"/>
          <w:bCs/>
        </w:rPr>
        <w:t xml:space="preserve">reliable vital statistics systems providing </w:t>
      </w:r>
      <w:r w:rsidR="00CB1EC4" w:rsidRPr="00CB1EC4">
        <w:rPr>
          <w:rFonts w:asciiTheme="majorBidi" w:hAnsiTheme="majorBidi" w:cstheme="majorBidi"/>
          <w:bCs/>
        </w:rPr>
        <w:t>timely data</w:t>
      </w:r>
      <w:r w:rsidR="009E7EA0">
        <w:rPr>
          <w:rFonts w:asciiTheme="majorBidi" w:hAnsiTheme="majorBidi" w:cstheme="majorBidi"/>
          <w:bCs/>
        </w:rPr>
        <w:t xml:space="preserve"> on deaths</w:t>
      </w:r>
      <w:r w:rsidR="00CB1EC4" w:rsidRPr="00CB1EC4">
        <w:rPr>
          <w:rFonts w:asciiTheme="majorBidi" w:hAnsiTheme="majorBidi" w:cstheme="majorBidi"/>
          <w:bCs/>
        </w:rPr>
        <w:t>.</w:t>
      </w:r>
      <w:r w:rsidR="009E7EA0">
        <w:rPr>
          <w:rFonts w:asciiTheme="majorBidi" w:hAnsiTheme="majorBidi" w:cstheme="majorBidi"/>
          <w:bCs/>
        </w:rPr>
        <w:t xml:space="preserve"> T</w:t>
      </w:r>
      <w:r w:rsidR="00A422CC">
        <w:rPr>
          <w:rFonts w:asciiTheme="majorBidi" w:hAnsiTheme="majorBidi" w:cstheme="majorBidi"/>
          <w:bCs/>
        </w:rPr>
        <w:t>he</w:t>
      </w:r>
      <w:r w:rsidR="00E20051">
        <w:rPr>
          <w:rFonts w:asciiTheme="majorBidi" w:hAnsiTheme="majorBidi" w:cstheme="majorBidi"/>
          <w:bCs/>
        </w:rPr>
        <w:t xml:space="preserve"> panel</w:t>
      </w:r>
      <w:r w:rsidR="00A422CC">
        <w:rPr>
          <w:rFonts w:asciiTheme="majorBidi" w:hAnsiTheme="majorBidi" w:cstheme="majorBidi"/>
          <w:bCs/>
        </w:rPr>
        <w:t xml:space="preserve"> analysis</w:t>
      </w:r>
      <w:r w:rsidR="009E7EA0">
        <w:rPr>
          <w:rFonts w:asciiTheme="majorBidi" w:hAnsiTheme="majorBidi" w:cstheme="majorBidi"/>
          <w:bCs/>
        </w:rPr>
        <w:t xml:space="preserve"> </w:t>
      </w:r>
      <w:r w:rsidR="00E20051">
        <w:rPr>
          <w:rFonts w:asciiTheme="majorBidi" w:hAnsiTheme="majorBidi" w:cstheme="majorBidi"/>
          <w:bCs/>
        </w:rPr>
        <w:t xml:space="preserve">uses weekly data </w:t>
      </w:r>
      <w:r>
        <w:rPr>
          <w:rFonts w:asciiTheme="majorBidi" w:hAnsiTheme="majorBidi" w:cstheme="majorBidi"/>
          <w:bCs/>
        </w:rPr>
        <w:t xml:space="preserve">for </w:t>
      </w:r>
      <w:r w:rsidR="009E7EA0">
        <w:rPr>
          <w:rFonts w:asciiTheme="majorBidi" w:hAnsiTheme="majorBidi" w:cstheme="majorBidi"/>
          <w:bCs/>
        </w:rPr>
        <w:t>2021 through to week 39 (early October).</w:t>
      </w:r>
    </w:p>
    <w:p w:rsidR="00A422CC" w:rsidRDefault="00CB1EC4" w:rsidP="00F5700D">
      <w:pPr>
        <w:widowControl w:val="0"/>
        <w:spacing w:after="120" w:line="288" w:lineRule="auto"/>
        <w:ind w:firstLine="720"/>
        <w:jc w:val="both"/>
        <w:rPr>
          <w:rFonts w:asciiTheme="majorBidi" w:hAnsiTheme="majorBidi" w:cstheme="majorBidi"/>
          <w:bCs/>
        </w:rPr>
      </w:pPr>
      <w:r w:rsidRPr="00CB1EC4">
        <w:rPr>
          <w:rFonts w:asciiTheme="majorBidi" w:hAnsiTheme="majorBidi" w:cstheme="majorBidi"/>
          <w:bCs/>
        </w:rPr>
        <w:t xml:space="preserve"> </w:t>
      </w:r>
      <w:r w:rsidR="00A422CC">
        <w:rPr>
          <w:rFonts w:asciiTheme="majorBidi" w:hAnsiTheme="majorBidi" w:cstheme="majorBidi"/>
          <w:bCs/>
        </w:rPr>
        <w:t>The correlation between excess mortality and vaccination incidence is decomposed into two pathway</w:t>
      </w:r>
      <w:r w:rsidR="00F23142">
        <w:rPr>
          <w:rFonts w:asciiTheme="majorBidi" w:hAnsiTheme="majorBidi" w:cstheme="majorBidi"/>
          <w:bCs/>
        </w:rPr>
        <w:t>s: one going from vaccination via</w:t>
      </w:r>
      <w:r w:rsidR="00A422CC">
        <w:rPr>
          <w:rFonts w:asciiTheme="majorBidi" w:hAnsiTheme="majorBidi" w:cstheme="majorBidi"/>
          <w:bCs/>
        </w:rPr>
        <w:t xml:space="preserve"> </w:t>
      </w:r>
      <w:proofErr w:type="spellStart"/>
      <w:r w:rsidR="00A422CC">
        <w:rPr>
          <w:rFonts w:asciiTheme="majorBidi" w:hAnsiTheme="majorBidi" w:cstheme="majorBidi"/>
          <w:bCs/>
        </w:rPr>
        <w:t>Covid</w:t>
      </w:r>
      <w:proofErr w:type="spellEnd"/>
      <w:r w:rsidR="00A422CC">
        <w:rPr>
          <w:rFonts w:asciiTheme="majorBidi" w:hAnsiTheme="majorBidi" w:cstheme="majorBidi"/>
          <w:bCs/>
        </w:rPr>
        <w:t>-attributed deaths to excess mortality and a non-</w:t>
      </w:r>
      <w:proofErr w:type="spellStart"/>
      <w:r w:rsidR="00A422CC">
        <w:rPr>
          <w:rFonts w:asciiTheme="majorBidi" w:hAnsiTheme="majorBidi" w:cstheme="majorBidi"/>
          <w:bCs/>
        </w:rPr>
        <w:t>Covid</w:t>
      </w:r>
      <w:proofErr w:type="spellEnd"/>
      <w:r w:rsidR="00A422CC">
        <w:rPr>
          <w:rFonts w:asciiTheme="majorBidi" w:hAnsiTheme="majorBidi" w:cstheme="majorBidi"/>
          <w:bCs/>
        </w:rPr>
        <w:t xml:space="preserve"> pathway that</w:t>
      </w:r>
      <w:r w:rsidR="004826B4">
        <w:rPr>
          <w:rFonts w:asciiTheme="majorBidi" w:hAnsiTheme="majorBidi" w:cstheme="majorBidi"/>
          <w:bCs/>
        </w:rPr>
        <w:t xml:space="preserve"> goes directly from vaccination to excess mortality, with </w:t>
      </w:r>
      <w:proofErr w:type="spellStart"/>
      <w:r w:rsidR="00A422CC">
        <w:rPr>
          <w:rFonts w:asciiTheme="majorBidi" w:hAnsiTheme="majorBidi" w:cstheme="majorBidi"/>
          <w:bCs/>
        </w:rPr>
        <w:t>Covid</w:t>
      </w:r>
      <w:proofErr w:type="spellEnd"/>
      <w:r w:rsidR="00A422CC">
        <w:rPr>
          <w:rFonts w:asciiTheme="majorBidi" w:hAnsiTheme="majorBidi" w:cstheme="majorBidi"/>
          <w:bCs/>
        </w:rPr>
        <w:t xml:space="preserve"> deaths </w:t>
      </w:r>
      <w:r w:rsidR="004826B4">
        <w:rPr>
          <w:rFonts w:asciiTheme="majorBidi" w:hAnsiTheme="majorBidi" w:cstheme="majorBidi"/>
          <w:bCs/>
        </w:rPr>
        <w:t xml:space="preserve">held </w:t>
      </w:r>
      <w:r w:rsidR="00A422CC">
        <w:rPr>
          <w:rFonts w:asciiTheme="majorBidi" w:hAnsiTheme="majorBidi" w:cstheme="majorBidi"/>
          <w:bCs/>
        </w:rPr>
        <w:t>constant. This non-</w:t>
      </w:r>
      <w:proofErr w:type="spellStart"/>
      <w:r w:rsidR="00A422CC">
        <w:rPr>
          <w:rFonts w:asciiTheme="majorBidi" w:hAnsiTheme="majorBidi" w:cstheme="majorBidi"/>
          <w:bCs/>
        </w:rPr>
        <w:t>Covid</w:t>
      </w:r>
      <w:proofErr w:type="spellEnd"/>
      <w:r w:rsidR="00A422CC">
        <w:rPr>
          <w:rFonts w:asciiTheme="majorBidi" w:hAnsiTheme="majorBidi" w:cstheme="majorBidi"/>
          <w:bCs/>
        </w:rPr>
        <w:t xml:space="preserve"> pathway may include deaths from vaccine adverse events but also other deaths that exceed what would be expected for the particular week of the year in the particular country. To ensure robustness, two data sources on excess mortality—each using slightly differ</w:t>
      </w:r>
      <w:r w:rsidR="004826B4">
        <w:rPr>
          <w:rFonts w:asciiTheme="majorBidi" w:hAnsiTheme="majorBidi" w:cstheme="majorBidi"/>
          <w:bCs/>
        </w:rPr>
        <w:t>ent calculations—are used.</w:t>
      </w:r>
      <w:r w:rsidR="00A422CC">
        <w:rPr>
          <w:rFonts w:asciiTheme="majorBidi" w:hAnsiTheme="majorBidi" w:cstheme="majorBidi"/>
          <w:bCs/>
        </w:rPr>
        <w:t xml:space="preserve"> The non-</w:t>
      </w:r>
      <w:proofErr w:type="spellStart"/>
      <w:r w:rsidR="00A422CC">
        <w:rPr>
          <w:rFonts w:asciiTheme="majorBidi" w:hAnsiTheme="majorBidi" w:cstheme="majorBidi"/>
          <w:bCs/>
        </w:rPr>
        <w:t>Covid</w:t>
      </w:r>
      <w:proofErr w:type="spellEnd"/>
      <w:r w:rsidR="00A422CC">
        <w:rPr>
          <w:rFonts w:asciiTheme="majorBidi" w:hAnsiTheme="majorBidi" w:cstheme="majorBidi"/>
          <w:bCs/>
        </w:rPr>
        <w:t xml:space="preserve"> pathway from vaccination to excess mortality appears to be at least as large as the </w:t>
      </w:r>
      <w:proofErr w:type="spellStart"/>
      <w:r w:rsidR="00A422CC">
        <w:rPr>
          <w:rFonts w:asciiTheme="majorBidi" w:hAnsiTheme="majorBidi" w:cstheme="majorBidi"/>
          <w:bCs/>
        </w:rPr>
        <w:t>Covid</w:t>
      </w:r>
      <w:proofErr w:type="spellEnd"/>
      <w:r w:rsidR="00A422CC">
        <w:rPr>
          <w:rFonts w:asciiTheme="majorBidi" w:hAnsiTheme="majorBidi" w:cstheme="majorBidi"/>
          <w:bCs/>
        </w:rPr>
        <w:t xml:space="preserve"> pathway, and is </w:t>
      </w:r>
      <w:r w:rsidR="009320DC">
        <w:rPr>
          <w:rFonts w:asciiTheme="majorBidi" w:hAnsiTheme="majorBidi" w:cstheme="majorBidi"/>
          <w:bCs/>
        </w:rPr>
        <w:t xml:space="preserve">the </w:t>
      </w:r>
      <w:r w:rsidR="00A422CC">
        <w:rPr>
          <w:rFonts w:asciiTheme="majorBidi" w:hAnsiTheme="majorBidi" w:cstheme="majorBidi"/>
          <w:bCs/>
        </w:rPr>
        <w:t xml:space="preserve">larger </w:t>
      </w:r>
      <w:r w:rsidR="009320DC">
        <w:rPr>
          <w:rFonts w:asciiTheme="majorBidi" w:hAnsiTheme="majorBidi" w:cstheme="majorBidi"/>
          <w:bCs/>
        </w:rPr>
        <w:t xml:space="preserve">of the two pathways </w:t>
      </w:r>
      <w:r w:rsidR="00A422CC">
        <w:rPr>
          <w:rFonts w:asciiTheme="majorBidi" w:hAnsiTheme="majorBidi" w:cstheme="majorBidi"/>
          <w:bCs/>
        </w:rPr>
        <w:t>i</w:t>
      </w:r>
      <w:r w:rsidR="004826B4">
        <w:rPr>
          <w:rFonts w:asciiTheme="majorBidi" w:hAnsiTheme="majorBidi" w:cstheme="majorBidi"/>
          <w:bCs/>
        </w:rPr>
        <w:t>f lagged effects are</w:t>
      </w:r>
      <w:r w:rsidR="009320DC">
        <w:rPr>
          <w:rFonts w:asciiTheme="majorBidi" w:hAnsiTheme="majorBidi" w:cstheme="majorBidi"/>
          <w:bCs/>
        </w:rPr>
        <w:t xml:space="preserve"> captured</w:t>
      </w:r>
      <w:r w:rsidR="004826B4">
        <w:rPr>
          <w:rFonts w:asciiTheme="majorBidi" w:hAnsiTheme="majorBidi" w:cstheme="majorBidi"/>
          <w:bCs/>
        </w:rPr>
        <w:t>. In results broken down by age, the</w:t>
      </w:r>
      <w:r w:rsidR="00A422CC">
        <w:rPr>
          <w:rFonts w:asciiTheme="majorBidi" w:hAnsiTheme="majorBidi" w:cstheme="majorBidi"/>
          <w:bCs/>
        </w:rPr>
        <w:t xml:space="preserve"> effects are not apparent for the youngest age group who, until recently, were not subject to </w:t>
      </w:r>
      <w:proofErr w:type="spellStart"/>
      <w:r w:rsidR="00A422CC">
        <w:rPr>
          <w:rFonts w:asciiTheme="majorBidi" w:hAnsiTheme="majorBidi" w:cstheme="majorBidi"/>
          <w:bCs/>
        </w:rPr>
        <w:t>Covid</w:t>
      </w:r>
      <w:proofErr w:type="spellEnd"/>
      <w:r w:rsidR="00A422CC">
        <w:rPr>
          <w:rFonts w:asciiTheme="majorBidi" w:hAnsiTheme="majorBidi" w:cstheme="majorBidi"/>
          <w:bCs/>
        </w:rPr>
        <w:t xml:space="preserve"> vaccination.</w:t>
      </w:r>
    </w:p>
    <w:p w:rsidR="00DF13B6" w:rsidRDefault="00DF13B6" w:rsidP="002F1ADD">
      <w:pPr>
        <w:widowControl w:val="0"/>
        <w:spacing w:after="120" w:line="288" w:lineRule="auto"/>
        <w:ind w:firstLine="720"/>
        <w:jc w:val="both"/>
        <w:rPr>
          <w:rFonts w:asciiTheme="majorBidi" w:hAnsiTheme="majorBidi" w:cstheme="majorBidi"/>
          <w:bCs/>
        </w:rPr>
      </w:pPr>
      <w:r>
        <w:rPr>
          <w:rFonts w:asciiTheme="majorBidi" w:hAnsiTheme="majorBidi" w:cstheme="majorBidi"/>
          <w:bCs/>
        </w:rPr>
        <w:t>If mass vaccination reduces Covid-19 deaths but</w:t>
      </w:r>
      <w:r w:rsidR="00E20051">
        <w:rPr>
          <w:rFonts w:asciiTheme="majorBidi" w:hAnsiTheme="majorBidi" w:cstheme="majorBidi"/>
          <w:bCs/>
        </w:rPr>
        <w:t xml:space="preserve"> increases other deaths, leaving excess mortality </w:t>
      </w:r>
      <w:r>
        <w:rPr>
          <w:rFonts w:asciiTheme="majorBidi" w:hAnsiTheme="majorBidi" w:cstheme="majorBidi"/>
          <w:bCs/>
        </w:rPr>
        <w:t xml:space="preserve">largely unchanged, the rationale for vaccine mandates is undermined and instead it </w:t>
      </w:r>
      <w:r>
        <w:rPr>
          <w:rFonts w:asciiTheme="majorBidi" w:hAnsiTheme="majorBidi" w:cstheme="majorBidi"/>
          <w:bCs/>
        </w:rPr>
        <w:lastRenderedPageBreak/>
        <w:t xml:space="preserve">suggests </w:t>
      </w:r>
      <w:r w:rsidR="00C12D08">
        <w:rPr>
          <w:rFonts w:asciiTheme="majorBidi" w:hAnsiTheme="majorBidi" w:cstheme="majorBidi"/>
          <w:bCs/>
        </w:rPr>
        <w:t xml:space="preserve">just </w:t>
      </w:r>
      <w:r>
        <w:rPr>
          <w:rFonts w:asciiTheme="majorBidi" w:hAnsiTheme="majorBidi" w:cstheme="majorBidi"/>
          <w:bCs/>
        </w:rPr>
        <w:t>targeting groups</w:t>
      </w:r>
      <w:r w:rsidR="00C12D08">
        <w:rPr>
          <w:rFonts w:asciiTheme="majorBidi" w:hAnsiTheme="majorBidi" w:cstheme="majorBidi"/>
          <w:bCs/>
        </w:rPr>
        <w:t>, like the elderly,</w:t>
      </w:r>
      <w:r>
        <w:rPr>
          <w:rFonts w:asciiTheme="majorBidi" w:hAnsiTheme="majorBidi" w:cstheme="majorBidi"/>
          <w:bCs/>
        </w:rPr>
        <w:t xml:space="preserve"> for whom </w:t>
      </w:r>
      <w:r w:rsidR="00C12D08">
        <w:rPr>
          <w:rFonts w:asciiTheme="majorBidi" w:hAnsiTheme="majorBidi" w:cstheme="majorBidi"/>
          <w:bCs/>
        </w:rPr>
        <w:t>vaccination gives highest net benefit</w:t>
      </w:r>
      <w:r>
        <w:rPr>
          <w:rFonts w:asciiTheme="majorBidi" w:hAnsiTheme="majorBidi" w:cstheme="majorBidi"/>
          <w:bCs/>
        </w:rPr>
        <w:t>.</w:t>
      </w:r>
      <w:r w:rsidR="00C12D08">
        <w:rPr>
          <w:rStyle w:val="FootnoteReference"/>
          <w:rFonts w:asciiTheme="majorBidi" w:hAnsiTheme="majorBidi" w:cstheme="majorBidi"/>
          <w:bCs/>
        </w:rPr>
        <w:footnoteReference w:id="2"/>
      </w:r>
      <w:r w:rsidR="00E20051">
        <w:rPr>
          <w:rFonts w:asciiTheme="majorBidi" w:hAnsiTheme="majorBidi" w:cstheme="majorBidi"/>
          <w:bCs/>
        </w:rPr>
        <w:t xml:space="preserve"> </w:t>
      </w:r>
      <w:r w:rsidR="00C12D08">
        <w:rPr>
          <w:rFonts w:asciiTheme="majorBidi" w:hAnsiTheme="majorBidi" w:cstheme="majorBidi"/>
          <w:bCs/>
        </w:rPr>
        <w:t xml:space="preserve">The </w:t>
      </w:r>
      <w:r w:rsidR="00E20051">
        <w:rPr>
          <w:rFonts w:asciiTheme="majorBidi" w:hAnsiTheme="majorBidi" w:cstheme="majorBidi"/>
          <w:bCs/>
        </w:rPr>
        <w:t>rapidly waning protection against infection provided by these vaccines also undermines the case for vaccine mandates.</w:t>
      </w:r>
      <w:r w:rsidR="00A33791">
        <w:rPr>
          <w:rStyle w:val="FootnoteReference"/>
          <w:rFonts w:asciiTheme="majorBidi" w:hAnsiTheme="majorBidi" w:cstheme="majorBidi"/>
          <w:bCs/>
        </w:rPr>
        <w:footnoteReference w:id="3"/>
      </w:r>
      <w:r w:rsidR="00417310">
        <w:rPr>
          <w:rFonts w:asciiTheme="majorBidi" w:hAnsiTheme="majorBidi" w:cstheme="majorBidi"/>
          <w:bCs/>
        </w:rPr>
        <w:t xml:space="preserve"> Ironically, mass vaccination, even if bad health policy, aids my research design by making it more plausible that correlations between vaccination incidence and excess mortality reveal effects of vaccination. If vaccines had been targeted to the elderly and other </w:t>
      </w:r>
      <w:proofErr w:type="spellStart"/>
      <w:r w:rsidR="00417310">
        <w:rPr>
          <w:rFonts w:asciiTheme="majorBidi" w:hAnsiTheme="majorBidi" w:cstheme="majorBidi"/>
          <w:bCs/>
        </w:rPr>
        <w:t>Covid</w:t>
      </w:r>
      <w:proofErr w:type="spellEnd"/>
      <w:r w:rsidR="00417310">
        <w:rPr>
          <w:rFonts w:asciiTheme="majorBidi" w:hAnsiTheme="majorBidi" w:cstheme="majorBidi"/>
          <w:bCs/>
        </w:rPr>
        <w:t>-vulnerable groups, correlations between vaccination and death might just be confounding effects of omitted factors, such as</w:t>
      </w:r>
      <w:r w:rsidR="002F1ADD">
        <w:rPr>
          <w:rFonts w:asciiTheme="majorBidi" w:hAnsiTheme="majorBidi" w:cstheme="majorBidi"/>
          <w:bCs/>
        </w:rPr>
        <w:t xml:space="preserve"> </w:t>
      </w:r>
      <w:proofErr w:type="spellStart"/>
      <w:r w:rsidR="002F1ADD">
        <w:rPr>
          <w:rFonts w:asciiTheme="majorBidi" w:hAnsiTheme="majorBidi" w:cstheme="majorBidi"/>
          <w:bCs/>
        </w:rPr>
        <w:t>fraility</w:t>
      </w:r>
      <w:proofErr w:type="spellEnd"/>
      <w:r w:rsidR="00417310">
        <w:rPr>
          <w:rFonts w:asciiTheme="majorBidi" w:hAnsiTheme="majorBidi" w:cstheme="majorBidi"/>
          <w:bCs/>
        </w:rPr>
        <w:t xml:space="preserve">. Instead, vaccinating people who don’t need it—coercively through mandates in some cases—mitigates bias from </w:t>
      </w:r>
      <w:r w:rsidR="007B645D">
        <w:rPr>
          <w:rFonts w:asciiTheme="majorBidi" w:hAnsiTheme="majorBidi" w:cstheme="majorBidi"/>
          <w:bCs/>
        </w:rPr>
        <w:t xml:space="preserve">any </w:t>
      </w:r>
      <w:r w:rsidR="00417310">
        <w:rPr>
          <w:rFonts w:asciiTheme="majorBidi" w:hAnsiTheme="majorBidi" w:cstheme="majorBidi"/>
          <w:bCs/>
        </w:rPr>
        <w:t xml:space="preserve">selection effects </w:t>
      </w:r>
      <w:r w:rsidR="00F23142">
        <w:rPr>
          <w:rFonts w:asciiTheme="majorBidi" w:hAnsiTheme="majorBidi" w:cstheme="majorBidi"/>
          <w:bCs/>
        </w:rPr>
        <w:t xml:space="preserve">that may </w:t>
      </w:r>
      <w:r w:rsidR="00350351">
        <w:rPr>
          <w:rFonts w:asciiTheme="majorBidi" w:hAnsiTheme="majorBidi" w:cstheme="majorBidi"/>
          <w:bCs/>
        </w:rPr>
        <w:t xml:space="preserve">make their way into </w:t>
      </w:r>
      <w:r w:rsidR="00417310">
        <w:rPr>
          <w:rFonts w:asciiTheme="majorBidi" w:hAnsiTheme="majorBidi" w:cstheme="majorBidi"/>
          <w:bCs/>
        </w:rPr>
        <w:t xml:space="preserve">the aggregate country-by-week data. </w:t>
      </w:r>
    </w:p>
    <w:p w:rsidR="00613AE0" w:rsidRDefault="00F23142" w:rsidP="00F4706D">
      <w:pPr>
        <w:widowControl w:val="0"/>
        <w:spacing w:after="120" w:line="288" w:lineRule="auto"/>
        <w:ind w:firstLine="720"/>
        <w:jc w:val="both"/>
        <w:rPr>
          <w:rFonts w:asciiTheme="majorBidi" w:hAnsiTheme="majorBidi" w:cstheme="majorBidi"/>
          <w:bCs/>
        </w:rPr>
      </w:pPr>
      <w:r>
        <w:rPr>
          <w:rFonts w:asciiTheme="majorBidi" w:hAnsiTheme="majorBidi" w:cstheme="majorBidi"/>
          <w:bCs/>
        </w:rPr>
        <w:t>The findings reported here may be confronting to some readers, as widespread public relations campaigns mounted by pharmaceutical companies and governments, and sometimes co-opting seemingly independent commentators such as academics, have hammered home the message “Covid-19 vaccines save lives”.</w:t>
      </w:r>
      <w:r w:rsidR="003D01ED">
        <w:rPr>
          <w:rStyle w:val="FootnoteReference"/>
          <w:rFonts w:asciiTheme="majorBidi" w:hAnsiTheme="majorBidi" w:cstheme="majorBidi"/>
          <w:bCs/>
        </w:rPr>
        <w:footnoteReference w:id="4"/>
      </w:r>
      <w:r>
        <w:rPr>
          <w:rFonts w:asciiTheme="majorBidi" w:hAnsiTheme="majorBidi" w:cstheme="majorBidi"/>
          <w:bCs/>
        </w:rPr>
        <w:t xml:space="preserve"> Yet </w:t>
      </w:r>
      <w:r w:rsidR="00D72A1E">
        <w:rPr>
          <w:rFonts w:asciiTheme="majorBidi" w:hAnsiTheme="majorBidi" w:cstheme="majorBidi"/>
          <w:bCs/>
        </w:rPr>
        <w:t xml:space="preserve">in </w:t>
      </w:r>
      <w:r>
        <w:rPr>
          <w:rFonts w:asciiTheme="majorBidi" w:hAnsiTheme="majorBidi" w:cstheme="majorBidi"/>
          <w:bCs/>
        </w:rPr>
        <w:t xml:space="preserve">the pivotal Pfizer trial, </w:t>
      </w:r>
      <w:r w:rsidR="00AA4890">
        <w:rPr>
          <w:rFonts w:asciiTheme="majorBidi" w:hAnsiTheme="majorBidi" w:cstheme="majorBidi"/>
          <w:bCs/>
        </w:rPr>
        <w:t xml:space="preserve">7% </w:t>
      </w:r>
      <w:r>
        <w:rPr>
          <w:rFonts w:asciiTheme="majorBidi" w:hAnsiTheme="majorBidi" w:cstheme="majorBidi"/>
          <w:bCs/>
        </w:rPr>
        <w:t xml:space="preserve">more people died </w:t>
      </w:r>
      <w:r w:rsidR="00AA4890">
        <w:rPr>
          <w:rFonts w:asciiTheme="majorBidi" w:hAnsiTheme="majorBidi" w:cstheme="majorBidi"/>
          <w:bCs/>
        </w:rPr>
        <w:t xml:space="preserve">(from all causes) </w:t>
      </w:r>
      <w:r>
        <w:rPr>
          <w:rFonts w:asciiTheme="majorBidi" w:hAnsiTheme="majorBidi" w:cstheme="majorBidi"/>
          <w:bCs/>
        </w:rPr>
        <w:t xml:space="preserve">in the vaccinated group than </w:t>
      </w:r>
      <w:r w:rsidR="002F1ADD">
        <w:rPr>
          <w:rFonts w:asciiTheme="majorBidi" w:hAnsiTheme="majorBidi" w:cstheme="majorBidi"/>
          <w:bCs/>
        </w:rPr>
        <w:t xml:space="preserve">in </w:t>
      </w:r>
      <w:r>
        <w:rPr>
          <w:rFonts w:asciiTheme="majorBidi" w:hAnsiTheme="majorBidi" w:cstheme="majorBidi"/>
          <w:bCs/>
        </w:rPr>
        <w:t>the control group at the six month mark</w:t>
      </w:r>
      <w:r w:rsidR="00C9670F">
        <w:rPr>
          <w:rFonts w:asciiTheme="majorBidi" w:hAnsiTheme="majorBidi" w:cstheme="majorBidi"/>
          <w:bCs/>
        </w:rPr>
        <w:t>,</w:t>
      </w:r>
      <w:r>
        <w:rPr>
          <w:rFonts w:asciiTheme="majorBidi" w:hAnsiTheme="majorBidi" w:cstheme="majorBidi"/>
          <w:bCs/>
        </w:rPr>
        <w:t xml:space="preserve"> </w:t>
      </w:r>
      <w:r w:rsidR="00C9670F">
        <w:rPr>
          <w:rFonts w:asciiTheme="majorBidi" w:hAnsiTheme="majorBidi" w:cstheme="majorBidi"/>
          <w:bCs/>
        </w:rPr>
        <w:t>after which</w:t>
      </w:r>
      <w:r>
        <w:rPr>
          <w:rFonts w:asciiTheme="majorBidi" w:hAnsiTheme="majorBidi" w:cstheme="majorBidi"/>
          <w:bCs/>
        </w:rPr>
        <w:t xml:space="preserve"> the trial was unblinded</w:t>
      </w:r>
      <w:r w:rsidR="00AA4890">
        <w:rPr>
          <w:rFonts w:asciiTheme="majorBidi" w:hAnsiTheme="majorBidi" w:cstheme="majorBidi"/>
          <w:bCs/>
        </w:rPr>
        <w:t xml:space="preserve"> (</w:t>
      </w:r>
      <w:proofErr w:type="spellStart"/>
      <w:r w:rsidR="00AA4890">
        <w:rPr>
          <w:rFonts w:asciiTheme="majorBidi" w:hAnsiTheme="majorBidi" w:cstheme="majorBidi"/>
          <w:bCs/>
        </w:rPr>
        <w:t>Doshi</w:t>
      </w:r>
      <w:proofErr w:type="spellEnd"/>
      <w:r w:rsidR="00AA4890">
        <w:rPr>
          <w:rFonts w:asciiTheme="majorBidi" w:hAnsiTheme="majorBidi" w:cstheme="majorBidi"/>
          <w:bCs/>
        </w:rPr>
        <w:t>, 2021)</w:t>
      </w:r>
      <w:r>
        <w:rPr>
          <w:rFonts w:asciiTheme="majorBidi" w:hAnsiTheme="majorBidi" w:cstheme="majorBidi"/>
          <w:bCs/>
        </w:rPr>
        <w:t>.</w:t>
      </w:r>
      <w:r w:rsidR="00AA4890">
        <w:rPr>
          <w:rStyle w:val="FootnoteReference"/>
          <w:rFonts w:asciiTheme="majorBidi" w:hAnsiTheme="majorBidi" w:cstheme="majorBidi"/>
          <w:bCs/>
        </w:rPr>
        <w:footnoteReference w:id="5"/>
      </w:r>
      <w:r>
        <w:rPr>
          <w:rFonts w:asciiTheme="majorBidi" w:hAnsiTheme="majorBidi" w:cstheme="majorBidi"/>
          <w:bCs/>
        </w:rPr>
        <w:t xml:space="preserve"> The</w:t>
      </w:r>
      <w:r w:rsidR="00D72A1E">
        <w:rPr>
          <w:rFonts w:asciiTheme="majorBidi" w:hAnsiTheme="majorBidi" w:cstheme="majorBidi"/>
          <w:bCs/>
        </w:rPr>
        <w:t xml:space="preserve"> results here</w:t>
      </w:r>
      <w:r w:rsidR="00C9670F">
        <w:rPr>
          <w:rFonts w:asciiTheme="majorBidi" w:hAnsiTheme="majorBidi" w:cstheme="majorBidi"/>
          <w:bCs/>
        </w:rPr>
        <w:t xml:space="preserve"> also</w:t>
      </w:r>
      <w:r>
        <w:rPr>
          <w:rFonts w:asciiTheme="majorBidi" w:hAnsiTheme="majorBidi" w:cstheme="majorBidi"/>
          <w:bCs/>
        </w:rPr>
        <w:t xml:space="preserve"> </w:t>
      </w:r>
      <w:r w:rsidR="00D72A1E">
        <w:rPr>
          <w:rFonts w:asciiTheme="majorBidi" w:hAnsiTheme="majorBidi" w:cstheme="majorBidi"/>
          <w:bCs/>
        </w:rPr>
        <w:t xml:space="preserve">are </w:t>
      </w:r>
      <w:r w:rsidR="00C9670F">
        <w:rPr>
          <w:rFonts w:asciiTheme="majorBidi" w:hAnsiTheme="majorBidi" w:cstheme="majorBidi"/>
          <w:bCs/>
        </w:rPr>
        <w:t>c</w:t>
      </w:r>
      <w:r>
        <w:rPr>
          <w:rFonts w:asciiTheme="majorBidi" w:hAnsiTheme="majorBidi" w:cstheme="majorBidi"/>
          <w:bCs/>
        </w:rPr>
        <w:t xml:space="preserve">onsistent with </w:t>
      </w:r>
      <w:r w:rsidR="00D72A1E">
        <w:rPr>
          <w:rFonts w:asciiTheme="majorBidi" w:hAnsiTheme="majorBidi" w:cstheme="majorBidi"/>
          <w:bCs/>
        </w:rPr>
        <w:t>adverse event analyses</w:t>
      </w:r>
      <w:r w:rsidR="00496BBE">
        <w:rPr>
          <w:rFonts w:asciiTheme="majorBidi" w:hAnsiTheme="majorBidi" w:cstheme="majorBidi"/>
          <w:bCs/>
        </w:rPr>
        <w:t>, such as</w:t>
      </w:r>
      <w:r>
        <w:rPr>
          <w:rFonts w:asciiTheme="majorBidi" w:hAnsiTheme="majorBidi" w:cstheme="majorBidi"/>
          <w:bCs/>
        </w:rPr>
        <w:t xml:space="preserve"> </w:t>
      </w:r>
      <w:proofErr w:type="spellStart"/>
      <w:r w:rsidR="004A6BC6">
        <w:rPr>
          <w:rFonts w:asciiTheme="majorBidi" w:hAnsiTheme="majorBidi" w:cstheme="majorBidi"/>
          <w:bCs/>
        </w:rPr>
        <w:t>Walach</w:t>
      </w:r>
      <w:proofErr w:type="spellEnd"/>
      <w:r w:rsidR="004A6BC6">
        <w:rPr>
          <w:rFonts w:asciiTheme="majorBidi" w:hAnsiTheme="majorBidi" w:cstheme="majorBidi"/>
          <w:bCs/>
        </w:rPr>
        <w:t xml:space="preserve"> et al (2021) who</w:t>
      </w:r>
      <w:r w:rsidR="00D72A1E">
        <w:rPr>
          <w:rFonts w:asciiTheme="majorBidi" w:hAnsiTheme="majorBidi" w:cstheme="majorBidi"/>
          <w:bCs/>
        </w:rPr>
        <w:t xml:space="preserve"> compare</w:t>
      </w:r>
      <w:r w:rsidR="009A5F5F">
        <w:rPr>
          <w:rFonts w:asciiTheme="majorBidi" w:hAnsiTheme="majorBidi" w:cstheme="majorBidi"/>
          <w:bCs/>
        </w:rPr>
        <w:t xml:space="preserve"> the number-needed-to-vaccinate to prevent </w:t>
      </w:r>
      <w:r w:rsidR="00D72A1E">
        <w:rPr>
          <w:rFonts w:asciiTheme="majorBidi" w:hAnsiTheme="majorBidi" w:cstheme="majorBidi"/>
          <w:bCs/>
        </w:rPr>
        <w:t>a</w:t>
      </w:r>
      <w:r w:rsidR="009A5F5F">
        <w:rPr>
          <w:rFonts w:asciiTheme="majorBidi" w:hAnsiTheme="majorBidi" w:cstheme="majorBidi"/>
          <w:bCs/>
        </w:rPr>
        <w:t xml:space="preserve"> death </w:t>
      </w:r>
      <w:r w:rsidR="00032EF6">
        <w:rPr>
          <w:rFonts w:asciiTheme="majorBidi" w:hAnsiTheme="majorBidi" w:cstheme="majorBidi"/>
          <w:bCs/>
        </w:rPr>
        <w:t>in</w:t>
      </w:r>
      <w:r w:rsidR="009A5F5F">
        <w:rPr>
          <w:rFonts w:asciiTheme="majorBidi" w:hAnsiTheme="majorBidi" w:cstheme="majorBidi"/>
          <w:bCs/>
        </w:rPr>
        <w:t xml:space="preserve"> an Israeli field study (16,000) with the four fatalities per 100,000 Covid-19 vaccinations recorded in the Dutch side-effects register (lareb.nl)</w:t>
      </w:r>
      <w:r w:rsidR="00032EF6">
        <w:rPr>
          <w:rFonts w:asciiTheme="majorBidi" w:hAnsiTheme="majorBidi" w:cstheme="majorBidi"/>
          <w:bCs/>
        </w:rPr>
        <w:t xml:space="preserve"> and find that for every </w:t>
      </w:r>
      <w:r w:rsidR="00D72A1E">
        <w:rPr>
          <w:rFonts w:asciiTheme="majorBidi" w:hAnsiTheme="majorBidi" w:cstheme="majorBidi"/>
          <w:bCs/>
        </w:rPr>
        <w:t xml:space="preserve">three deaths prevented by Covid-19 vaccination two </w:t>
      </w:r>
      <w:r w:rsidR="00032EF6">
        <w:rPr>
          <w:rFonts w:asciiTheme="majorBidi" w:hAnsiTheme="majorBidi" w:cstheme="majorBidi"/>
          <w:bCs/>
        </w:rPr>
        <w:t>a</w:t>
      </w:r>
      <w:r w:rsidR="00D72A1E">
        <w:rPr>
          <w:rFonts w:asciiTheme="majorBidi" w:hAnsiTheme="majorBidi" w:cstheme="majorBidi"/>
          <w:bCs/>
        </w:rPr>
        <w:t xml:space="preserve">re incurred through side-effects. </w:t>
      </w:r>
      <w:r w:rsidR="00613AE0">
        <w:rPr>
          <w:rFonts w:asciiTheme="majorBidi" w:hAnsiTheme="majorBidi" w:cstheme="majorBidi"/>
          <w:bCs/>
        </w:rPr>
        <w:t>S</w:t>
      </w:r>
      <w:r w:rsidR="00032EF6">
        <w:rPr>
          <w:rFonts w:asciiTheme="majorBidi" w:hAnsiTheme="majorBidi" w:cstheme="majorBidi"/>
          <w:bCs/>
        </w:rPr>
        <w:t>uch s</w:t>
      </w:r>
      <w:r w:rsidR="00613AE0">
        <w:rPr>
          <w:rFonts w:asciiTheme="majorBidi" w:hAnsiTheme="majorBidi" w:cstheme="majorBidi"/>
          <w:bCs/>
        </w:rPr>
        <w:t xml:space="preserve">tudies relying on post-market safety surveillance systems </w:t>
      </w:r>
      <w:r w:rsidR="002F1ADD">
        <w:rPr>
          <w:rFonts w:asciiTheme="majorBidi" w:hAnsiTheme="majorBidi" w:cstheme="majorBidi"/>
          <w:bCs/>
        </w:rPr>
        <w:t>are controversial</w:t>
      </w:r>
      <w:r w:rsidR="00613AE0">
        <w:rPr>
          <w:rFonts w:asciiTheme="majorBidi" w:hAnsiTheme="majorBidi" w:cstheme="majorBidi"/>
          <w:bCs/>
        </w:rPr>
        <w:t xml:space="preserve">, partly due to claims of </w:t>
      </w:r>
      <w:r w:rsidR="002F1ADD">
        <w:rPr>
          <w:rFonts w:asciiTheme="majorBidi" w:hAnsiTheme="majorBidi" w:cstheme="majorBidi"/>
          <w:bCs/>
        </w:rPr>
        <w:t xml:space="preserve">lay people </w:t>
      </w:r>
      <w:r w:rsidR="00032EF6">
        <w:rPr>
          <w:rFonts w:asciiTheme="majorBidi" w:hAnsiTheme="majorBidi" w:cstheme="majorBidi"/>
          <w:bCs/>
        </w:rPr>
        <w:t xml:space="preserve">reporting </w:t>
      </w:r>
      <w:r w:rsidR="00613AE0">
        <w:rPr>
          <w:rFonts w:asciiTheme="majorBidi" w:hAnsiTheme="majorBidi" w:cstheme="majorBidi"/>
          <w:bCs/>
        </w:rPr>
        <w:t xml:space="preserve">(yet the McLachlan et al (2021) </w:t>
      </w:r>
      <w:r w:rsidR="002F1ADD">
        <w:rPr>
          <w:rFonts w:asciiTheme="majorBidi" w:hAnsiTheme="majorBidi" w:cstheme="majorBidi"/>
          <w:bCs/>
        </w:rPr>
        <w:t xml:space="preserve">audit </w:t>
      </w:r>
      <w:r w:rsidR="00613AE0">
        <w:rPr>
          <w:rFonts w:asciiTheme="majorBidi" w:hAnsiTheme="majorBidi" w:cstheme="majorBidi"/>
          <w:bCs/>
        </w:rPr>
        <w:t>shows health professionals</w:t>
      </w:r>
      <w:r w:rsidR="002F1ADD">
        <w:rPr>
          <w:rFonts w:asciiTheme="majorBidi" w:hAnsiTheme="majorBidi" w:cstheme="majorBidi"/>
          <w:bCs/>
        </w:rPr>
        <w:t xml:space="preserve"> make most reports</w:t>
      </w:r>
      <w:r w:rsidR="00613AE0">
        <w:rPr>
          <w:rFonts w:asciiTheme="majorBidi" w:hAnsiTheme="majorBidi" w:cstheme="majorBidi"/>
          <w:bCs/>
        </w:rPr>
        <w:t xml:space="preserve">) and also because of </w:t>
      </w:r>
      <w:r w:rsidR="00032EF6">
        <w:rPr>
          <w:rFonts w:asciiTheme="majorBidi" w:hAnsiTheme="majorBidi" w:cstheme="majorBidi"/>
          <w:bCs/>
        </w:rPr>
        <w:t xml:space="preserve">debates about </w:t>
      </w:r>
      <w:r w:rsidR="00613AE0">
        <w:rPr>
          <w:rFonts w:asciiTheme="majorBidi" w:hAnsiTheme="majorBidi" w:cstheme="majorBidi"/>
          <w:bCs/>
        </w:rPr>
        <w:t>inferring causality.</w:t>
      </w:r>
      <w:r w:rsidR="00032EF6">
        <w:rPr>
          <w:rStyle w:val="FootnoteReference"/>
          <w:rFonts w:asciiTheme="majorBidi" w:hAnsiTheme="majorBidi" w:cstheme="majorBidi"/>
          <w:bCs/>
        </w:rPr>
        <w:footnoteReference w:id="6"/>
      </w:r>
      <w:r w:rsidR="00032EF6">
        <w:rPr>
          <w:rFonts w:asciiTheme="majorBidi" w:hAnsiTheme="majorBidi" w:cstheme="majorBidi"/>
          <w:bCs/>
        </w:rPr>
        <w:t xml:space="preserve"> Th</w:t>
      </w:r>
      <w:r w:rsidR="002F1ADD">
        <w:rPr>
          <w:rFonts w:asciiTheme="majorBidi" w:hAnsiTheme="majorBidi" w:cstheme="majorBidi"/>
          <w:bCs/>
        </w:rPr>
        <w:t>e fact th</w:t>
      </w:r>
      <w:r w:rsidR="00032EF6">
        <w:rPr>
          <w:rFonts w:asciiTheme="majorBidi" w:hAnsiTheme="majorBidi" w:cstheme="majorBidi"/>
          <w:bCs/>
        </w:rPr>
        <w:t>at completely different data and methods used here give similar results, albeit w</w:t>
      </w:r>
      <w:r w:rsidR="00D705C1">
        <w:rPr>
          <w:rFonts w:asciiTheme="majorBidi" w:hAnsiTheme="majorBidi" w:cstheme="majorBidi"/>
          <w:bCs/>
        </w:rPr>
        <w:t>ithout the granularity of seeing</w:t>
      </w:r>
      <w:r w:rsidR="00032EF6">
        <w:rPr>
          <w:rFonts w:asciiTheme="majorBidi" w:hAnsiTheme="majorBidi" w:cstheme="majorBidi"/>
          <w:bCs/>
        </w:rPr>
        <w:t xml:space="preserve"> </w:t>
      </w:r>
      <w:r w:rsidR="00D705C1">
        <w:rPr>
          <w:rFonts w:asciiTheme="majorBidi" w:hAnsiTheme="majorBidi" w:cstheme="majorBidi"/>
          <w:bCs/>
        </w:rPr>
        <w:t xml:space="preserve">which </w:t>
      </w:r>
      <w:r w:rsidR="00032EF6">
        <w:rPr>
          <w:rFonts w:asciiTheme="majorBidi" w:hAnsiTheme="majorBidi" w:cstheme="majorBidi"/>
          <w:bCs/>
        </w:rPr>
        <w:t xml:space="preserve">particular adverse effects </w:t>
      </w:r>
      <w:r w:rsidR="00F4706D">
        <w:rPr>
          <w:rFonts w:asciiTheme="majorBidi" w:hAnsiTheme="majorBidi" w:cstheme="majorBidi"/>
          <w:bCs/>
        </w:rPr>
        <w:t xml:space="preserve">contribute </w:t>
      </w:r>
      <w:r w:rsidR="00032EF6">
        <w:rPr>
          <w:rFonts w:asciiTheme="majorBidi" w:hAnsiTheme="majorBidi" w:cstheme="majorBidi"/>
          <w:bCs/>
        </w:rPr>
        <w:t xml:space="preserve">most </w:t>
      </w:r>
      <w:r w:rsidR="002F1ADD">
        <w:rPr>
          <w:rFonts w:asciiTheme="majorBidi" w:hAnsiTheme="majorBidi" w:cstheme="majorBidi"/>
          <w:bCs/>
        </w:rPr>
        <w:t xml:space="preserve">to </w:t>
      </w:r>
      <w:r w:rsidR="00032EF6">
        <w:rPr>
          <w:rFonts w:asciiTheme="majorBidi" w:hAnsiTheme="majorBidi" w:cstheme="majorBidi"/>
          <w:bCs/>
        </w:rPr>
        <w:t xml:space="preserve">excess mortality, is notable. </w:t>
      </w:r>
    </w:p>
    <w:p w:rsidR="00FB473E" w:rsidRPr="008A622D" w:rsidRDefault="00FB473E" w:rsidP="00FB473E">
      <w:pPr>
        <w:spacing w:after="0" w:line="360" w:lineRule="auto"/>
        <w:rPr>
          <w:rFonts w:asciiTheme="majorBidi" w:hAnsiTheme="majorBidi" w:cstheme="majorBidi"/>
          <w:bCs/>
          <w:lang w:val="en-AU"/>
        </w:rPr>
      </w:pPr>
      <w:r>
        <w:rPr>
          <w:rFonts w:asciiTheme="majorBidi" w:hAnsiTheme="majorBidi" w:cstheme="majorBidi"/>
          <w:b/>
          <w:bCs/>
        </w:rPr>
        <w:lastRenderedPageBreak/>
        <w:t>II.</w:t>
      </w:r>
      <w:r>
        <w:rPr>
          <w:rFonts w:asciiTheme="majorBidi" w:hAnsiTheme="majorBidi" w:cstheme="majorBidi"/>
          <w:b/>
          <w:bCs/>
        </w:rPr>
        <w:tab/>
        <w:t xml:space="preserve">Data and Methods </w:t>
      </w:r>
    </w:p>
    <w:p w:rsidR="00DA3A31" w:rsidRDefault="00FB473E" w:rsidP="009320DC">
      <w:pPr>
        <w:widowControl w:val="0"/>
        <w:spacing w:after="120" w:line="288" w:lineRule="auto"/>
        <w:ind w:firstLine="720"/>
        <w:jc w:val="both"/>
        <w:rPr>
          <w:rFonts w:asciiTheme="majorBidi" w:hAnsiTheme="majorBidi" w:cstheme="majorBidi"/>
          <w:color w:val="000000" w:themeColor="text1"/>
          <w:shd w:val="clear" w:color="auto" w:fill="FFFFFF"/>
        </w:rPr>
      </w:pPr>
      <w:r>
        <w:rPr>
          <w:rFonts w:asciiTheme="majorBidi" w:hAnsiTheme="majorBidi" w:cstheme="majorBidi"/>
          <w:bCs/>
        </w:rPr>
        <w:t xml:space="preserve">Data on the incidence of Covid-19 vaccination (new doses per million population) and </w:t>
      </w:r>
      <w:r w:rsidR="009320DC">
        <w:rPr>
          <w:rFonts w:asciiTheme="majorBidi" w:hAnsiTheme="majorBidi" w:cstheme="majorBidi"/>
          <w:bCs/>
        </w:rPr>
        <w:t xml:space="preserve">new </w:t>
      </w:r>
      <w:r>
        <w:rPr>
          <w:rFonts w:asciiTheme="majorBidi" w:hAnsiTheme="majorBidi" w:cstheme="majorBidi"/>
          <w:bCs/>
        </w:rPr>
        <w:t>Covid-19 death</w:t>
      </w:r>
      <w:r w:rsidR="009320DC">
        <w:rPr>
          <w:rFonts w:asciiTheme="majorBidi" w:hAnsiTheme="majorBidi" w:cstheme="majorBidi"/>
          <w:bCs/>
        </w:rPr>
        <w:t>s</w:t>
      </w:r>
      <w:r>
        <w:rPr>
          <w:rFonts w:asciiTheme="majorBidi" w:hAnsiTheme="majorBidi" w:cstheme="majorBidi"/>
          <w:bCs/>
        </w:rPr>
        <w:t xml:space="preserve"> </w:t>
      </w:r>
      <w:r>
        <w:rPr>
          <w:rFonts w:asciiTheme="majorBidi" w:hAnsiTheme="majorBidi" w:cstheme="majorBidi"/>
          <w:color w:val="000000" w:themeColor="text1"/>
        </w:rPr>
        <w:t>are from</w:t>
      </w:r>
      <w:r>
        <w:rPr>
          <w:rFonts w:asciiTheme="majorBidi" w:hAnsiTheme="majorBidi" w:cstheme="majorBidi"/>
          <w:color w:val="000000" w:themeColor="text1"/>
          <w:shd w:val="clear" w:color="auto" w:fill="FFFFFF"/>
        </w:rPr>
        <w:t xml:space="preserve"> the </w:t>
      </w:r>
      <w:r w:rsidRPr="00534A61">
        <w:rPr>
          <w:rFonts w:asciiTheme="majorBidi" w:hAnsiTheme="majorBidi" w:cstheme="majorBidi"/>
          <w:i/>
          <w:iCs/>
          <w:color w:val="000000" w:themeColor="text1"/>
        </w:rPr>
        <w:t>Our World in Data</w:t>
      </w:r>
      <w:r w:rsidRPr="00534A61">
        <w:rPr>
          <w:rFonts w:asciiTheme="majorBidi" w:hAnsiTheme="majorBidi" w:cstheme="majorBidi"/>
          <w:color w:val="000000" w:themeColor="text1"/>
        </w:rPr>
        <w:t xml:space="preserve"> </w:t>
      </w:r>
      <w:r>
        <w:rPr>
          <w:rFonts w:asciiTheme="majorBidi" w:hAnsiTheme="majorBidi" w:cstheme="majorBidi"/>
          <w:color w:val="000000" w:themeColor="text1"/>
        </w:rPr>
        <w:t>(OWID) database (</w:t>
      </w:r>
      <w:r w:rsidRPr="001E268D">
        <w:rPr>
          <w:rFonts w:asciiTheme="majorBidi" w:hAnsiTheme="majorBidi" w:cstheme="majorBidi"/>
          <w:color w:val="000000" w:themeColor="text1"/>
          <w:shd w:val="clear" w:color="auto" w:fill="FFFFFF"/>
        </w:rPr>
        <w:t>Mathieu</w:t>
      </w:r>
      <w:r>
        <w:rPr>
          <w:rFonts w:asciiTheme="majorBidi" w:hAnsiTheme="majorBidi" w:cstheme="majorBidi"/>
          <w:color w:val="000000" w:themeColor="text1"/>
          <w:shd w:val="clear" w:color="auto" w:fill="FFFFFF"/>
        </w:rPr>
        <w:t xml:space="preserve"> et al, 2021). This updates daily from official government sources in each country. Two excess mortality estimates are used: p-scores from the World Mortality Dataset (WMD) of </w:t>
      </w:r>
      <w:proofErr w:type="spellStart"/>
      <w:r w:rsidR="00DA3A31">
        <w:rPr>
          <w:rFonts w:asciiTheme="majorBidi" w:hAnsiTheme="majorBidi" w:cstheme="majorBidi"/>
          <w:color w:val="222222"/>
          <w:shd w:val="clear" w:color="auto" w:fill="FFFFFF"/>
        </w:rPr>
        <w:t>Karlinsky</w:t>
      </w:r>
      <w:proofErr w:type="spellEnd"/>
      <w:r w:rsidR="00DA3A31">
        <w:rPr>
          <w:rFonts w:asciiTheme="majorBidi" w:hAnsiTheme="majorBidi" w:cstheme="majorBidi"/>
          <w:color w:val="222222"/>
          <w:shd w:val="clear" w:color="auto" w:fill="FFFFFF"/>
        </w:rPr>
        <w:t xml:space="preserve"> &amp; </w:t>
      </w:r>
      <w:proofErr w:type="spellStart"/>
      <w:r w:rsidR="00DA3A31">
        <w:rPr>
          <w:rFonts w:asciiTheme="majorBidi" w:hAnsiTheme="majorBidi" w:cstheme="majorBidi"/>
          <w:color w:val="222222"/>
          <w:shd w:val="clear" w:color="auto" w:fill="FFFFFF"/>
        </w:rPr>
        <w:t>Kobak</w:t>
      </w:r>
      <w:proofErr w:type="spellEnd"/>
      <w:r w:rsidR="00DA3A31">
        <w:rPr>
          <w:rFonts w:asciiTheme="majorBidi" w:hAnsiTheme="majorBidi" w:cstheme="majorBidi"/>
          <w:color w:val="222222"/>
          <w:shd w:val="clear" w:color="auto" w:fill="FFFFFF"/>
        </w:rPr>
        <w:t xml:space="preserve"> (2021) reported in OWID, and p-scores calculated from STMF data on deaths by week. These p-scores are </w:t>
      </w:r>
      <w:r>
        <w:rPr>
          <w:rFonts w:asciiTheme="majorBidi" w:hAnsiTheme="majorBidi" w:cstheme="majorBidi"/>
          <w:color w:val="222222"/>
          <w:shd w:val="clear" w:color="auto" w:fill="FFFFFF"/>
        </w:rPr>
        <w:t xml:space="preserve">the </w:t>
      </w:r>
      <w:r w:rsidRPr="003A5766">
        <w:rPr>
          <w:rFonts w:asciiTheme="majorBidi" w:hAnsiTheme="majorBidi" w:cstheme="majorBidi"/>
        </w:rPr>
        <w:t xml:space="preserve">percentage by which the number of </w:t>
      </w:r>
      <w:r w:rsidR="00DA3A31">
        <w:rPr>
          <w:rFonts w:asciiTheme="majorBidi" w:hAnsiTheme="majorBidi" w:cstheme="majorBidi"/>
        </w:rPr>
        <w:t xml:space="preserve">(all-cause) </w:t>
      </w:r>
      <w:r w:rsidRPr="003A5766">
        <w:rPr>
          <w:rFonts w:asciiTheme="majorBidi" w:hAnsiTheme="majorBidi" w:cstheme="majorBidi"/>
        </w:rPr>
        <w:t>deaths for each country in each week of 2021</w:t>
      </w:r>
      <w:r>
        <w:rPr>
          <w:rFonts w:asciiTheme="majorBidi" w:hAnsiTheme="majorBidi" w:cstheme="majorBidi"/>
        </w:rPr>
        <w:t xml:space="preserve"> differs</w:t>
      </w:r>
      <w:r w:rsidRPr="003A5766">
        <w:rPr>
          <w:rFonts w:asciiTheme="majorBidi" w:hAnsiTheme="majorBidi" w:cstheme="majorBidi"/>
        </w:rPr>
        <w:t xml:space="preserve"> from the </w:t>
      </w:r>
      <w:r w:rsidR="00DA3A31">
        <w:rPr>
          <w:rFonts w:asciiTheme="majorBidi" w:hAnsiTheme="majorBidi" w:cstheme="majorBidi"/>
        </w:rPr>
        <w:t>expected number</w:t>
      </w:r>
      <w:r>
        <w:rPr>
          <w:rFonts w:asciiTheme="majorBidi" w:hAnsiTheme="majorBidi" w:cstheme="majorBidi"/>
        </w:rPr>
        <w:t xml:space="preserve"> (based on </w:t>
      </w:r>
      <w:r w:rsidRPr="003A5766">
        <w:rPr>
          <w:rFonts w:asciiTheme="majorBidi" w:hAnsiTheme="majorBidi" w:cstheme="majorBidi"/>
        </w:rPr>
        <w:t xml:space="preserve">2015-19 </w:t>
      </w:r>
      <w:r>
        <w:rPr>
          <w:rFonts w:asciiTheme="majorBidi" w:hAnsiTheme="majorBidi" w:cstheme="majorBidi"/>
        </w:rPr>
        <w:t xml:space="preserve">data) </w:t>
      </w:r>
      <w:r w:rsidRPr="003A5766">
        <w:rPr>
          <w:rFonts w:asciiTheme="majorBidi" w:hAnsiTheme="majorBidi" w:cstheme="majorBidi"/>
        </w:rPr>
        <w:t>for that week within that country.</w:t>
      </w:r>
      <w:r w:rsidR="00DA3A31">
        <w:rPr>
          <w:rFonts w:asciiTheme="majorBidi" w:hAnsiTheme="majorBidi" w:cstheme="majorBidi"/>
        </w:rPr>
        <w:t xml:space="preserve"> The expected number of deaths per week used by WMD (and reported in OWID) is based on a regression, while mean deaths per country-week for 2015-19 was used previously.</w:t>
      </w:r>
      <w:r w:rsidR="00DA3A31">
        <w:rPr>
          <w:rFonts w:asciiTheme="majorBidi" w:hAnsiTheme="majorBidi" w:cstheme="majorBidi"/>
          <w:color w:val="000000" w:themeColor="text1"/>
          <w:shd w:val="clear" w:color="auto" w:fill="FFFFFF"/>
        </w:rPr>
        <w:t xml:space="preserve"> The STMF data provide weekly counts of deaths by age group (WMD data combine all ages) so the p-score was calculated using 2015-19 weekly means by country (how WMD previously calculated it). The correlation between the p-scores from the two sources is 0.97.</w:t>
      </w:r>
    </w:p>
    <w:p w:rsidR="00763FFC" w:rsidRPr="00A57F9D" w:rsidRDefault="00763FFC" w:rsidP="009320DC">
      <w:pPr>
        <w:widowControl w:val="0"/>
        <w:spacing w:after="0" w:line="288" w:lineRule="auto"/>
        <w:ind w:firstLine="720"/>
        <w:jc w:val="both"/>
        <w:rPr>
          <w:rFonts w:asciiTheme="majorBidi" w:hAnsiTheme="majorBidi" w:cstheme="majorBidi"/>
        </w:rPr>
      </w:pPr>
      <w:r>
        <w:rPr>
          <w:rFonts w:asciiTheme="majorBidi" w:hAnsiTheme="majorBidi" w:cstheme="majorBidi"/>
        </w:rPr>
        <w:t xml:space="preserve">Let </w:t>
      </w:r>
      <w:proofErr w:type="spellStart"/>
      <w:r w:rsidRPr="00A57F9D">
        <w:rPr>
          <w:rFonts w:asciiTheme="majorBidi" w:hAnsiTheme="majorBidi" w:cstheme="majorBidi"/>
          <w:i/>
          <w:iCs/>
        </w:rPr>
        <w:t>M</w:t>
      </w:r>
      <w:r w:rsidRPr="00A57F9D">
        <w:rPr>
          <w:rFonts w:asciiTheme="majorBidi" w:hAnsiTheme="majorBidi" w:cstheme="majorBidi"/>
          <w:i/>
          <w:iCs/>
          <w:vertAlign w:val="subscript"/>
        </w:rPr>
        <w:t>it</w:t>
      </w:r>
      <w:proofErr w:type="spellEnd"/>
      <w:r>
        <w:rPr>
          <w:rFonts w:asciiTheme="majorBidi" w:hAnsiTheme="majorBidi" w:cstheme="majorBidi"/>
        </w:rPr>
        <w:t xml:space="preserve"> denote </w:t>
      </w:r>
      <w:r w:rsidRPr="00A57F9D">
        <w:rPr>
          <w:rFonts w:asciiTheme="majorBidi" w:hAnsiTheme="majorBidi" w:cstheme="majorBidi"/>
        </w:rPr>
        <w:t xml:space="preserve">excess mortality in country </w:t>
      </w:r>
      <w:proofErr w:type="spellStart"/>
      <w:r w:rsidRPr="00A57F9D">
        <w:rPr>
          <w:rFonts w:asciiTheme="majorBidi" w:hAnsiTheme="majorBidi" w:cstheme="majorBidi"/>
          <w:i/>
          <w:iCs/>
        </w:rPr>
        <w:t>i</w:t>
      </w:r>
      <w:proofErr w:type="spellEnd"/>
      <w:r>
        <w:rPr>
          <w:rFonts w:asciiTheme="majorBidi" w:hAnsiTheme="majorBidi" w:cstheme="majorBidi"/>
        </w:rPr>
        <w:t xml:space="preserve"> in week</w:t>
      </w:r>
      <w:r w:rsidRPr="00A57F9D">
        <w:rPr>
          <w:rFonts w:asciiTheme="majorBidi" w:hAnsiTheme="majorBidi" w:cstheme="majorBidi"/>
        </w:rPr>
        <w:t xml:space="preserve"> </w:t>
      </w:r>
      <w:r w:rsidRPr="00A57F9D">
        <w:rPr>
          <w:rFonts w:asciiTheme="majorBidi" w:hAnsiTheme="majorBidi" w:cstheme="majorBidi"/>
          <w:i/>
          <w:iCs/>
        </w:rPr>
        <w:t>t</w:t>
      </w:r>
      <w:r w:rsidRPr="00A57F9D">
        <w:rPr>
          <w:rFonts w:asciiTheme="majorBidi" w:hAnsiTheme="majorBidi" w:cstheme="majorBidi"/>
        </w:rPr>
        <w:t xml:space="preserve">, </w:t>
      </w:r>
      <w:proofErr w:type="spellStart"/>
      <w:r w:rsidRPr="00A57F9D">
        <w:rPr>
          <w:rFonts w:asciiTheme="majorBidi" w:hAnsiTheme="majorBidi" w:cstheme="majorBidi"/>
          <w:i/>
          <w:iCs/>
        </w:rPr>
        <w:t>V</w:t>
      </w:r>
      <w:r w:rsidRPr="00A57F9D">
        <w:rPr>
          <w:rFonts w:asciiTheme="majorBidi" w:hAnsiTheme="majorBidi" w:cstheme="majorBidi"/>
          <w:i/>
          <w:iCs/>
          <w:vertAlign w:val="subscript"/>
        </w:rPr>
        <w:t>it</w:t>
      </w:r>
      <w:proofErr w:type="spellEnd"/>
      <w:r>
        <w:rPr>
          <w:rFonts w:asciiTheme="majorBidi" w:hAnsiTheme="majorBidi" w:cstheme="majorBidi"/>
        </w:rPr>
        <w:t xml:space="preserve"> </w:t>
      </w:r>
      <w:r w:rsidRPr="00A57F9D">
        <w:rPr>
          <w:rFonts w:asciiTheme="majorBidi" w:hAnsiTheme="majorBidi" w:cstheme="majorBidi"/>
        </w:rPr>
        <w:t xml:space="preserve">the incidence of Covid-19 vaccination and </w:t>
      </w:r>
      <w:proofErr w:type="spellStart"/>
      <w:r w:rsidRPr="00A57F9D">
        <w:rPr>
          <w:rFonts w:asciiTheme="majorBidi" w:hAnsiTheme="majorBidi" w:cstheme="majorBidi"/>
          <w:i/>
          <w:iCs/>
        </w:rPr>
        <w:t>C</w:t>
      </w:r>
      <w:r w:rsidRPr="00A57F9D">
        <w:rPr>
          <w:rFonts w:asciiTheme="majorBidi" w:hAnsiTheme="majorBidi" w:cstheme="majorBidi"/>
          <w:i/>
          <w:iCs/>
          <w:vertAlign w:val="subscript"/>
        </w:rPr>
        <w:t>it</w:t>
      </w:r>
      <w:proofErr w:type="spellEnd"/>
      <w:r>
        <w:rPr>
          <w:rFonts w:asciiTheme="majorBidi" w:hAnsiTheme="majorBidi" w:cstheme="majorBidi"/>
        </w:rPr>
        <w:t xml:space="preserve"> </w:t>
      </w:r>
      <w:r w:rsidR="00F5700D">
        <w:rPr>
          <w:rFonts w:asciiTheme="majorBidi" w:hAnsiTheme="majorBidi" w:cstheme="majorBidi"/>
        </w:rPr>
        <w:t>new</w:t>
      </w:r>
      <w:r w:rsidRPr="00A57F9D">
        <w:rPr>
          <w:rFonts w:asciiTheme="majorBidi" w:hAnsiTheme="majorBidi" w:cstheme="majorBidi"/>
        </w:rPr>
        <w:t xml:space="preserve"> death</w:t>
      </w:r>
      <w:r w:rsidR="009320DC">
        <w:rPr>
          <w:rFonts w:asciiTheme="majorBidi" w:hAnsiTheme="majorBidi" w:cstheme="majorBidi"/>
        </w:rPr>
        <w:t>s</w:t>
      </w:r>
      <w:r w:rsidRPr="00A57F9D">
        <w:rPr>
          <w:rFonts w:asciiTheme="majorBidi" w:hAnsiTheme="majorBidi" w:cstheme="majorBidi"/>
        </w:rPr>
        <w:t xml:space="preserve"> from Covid-19</w:t>
      </w:r>
      <w:r w:rsidR="009320DC">
        <w:rPr>
          <w:rFonts w:asciiTheme="majorBidi" w:hAnsiTheme="majorBidi" w:cstheme="majorBidi"/>
        </w:rPr>
        <w:t xml:space="preserve"> (</w:t>
      </w:r>
      <w:proofErr w:type="spellStart"/>
      <w:r w:rsidR="009320DC" w:rsidRPr="00A57F9D">
        <w:rPr>
          <w:rFonts w:asciiTheme="majorBidi" w:hAnsiTheme="majorBidi" w:cstheme="majorBidi"/>
          <w:i/>
          <w:iCs/>
        </w:rPr>
        <w:t>V</w:t>
      </w:r>
      <w:r w:rsidR="009320DC" w:rsidRPr="00A57F9D">
        <w:rPr>
          <w:rFonts w:asciiTheme="majorBidi" w:hAnsiTheme="majorBidi" w:cstheme="majorBidi"/>
          <w:i/>
          <w:iCs/>
          <w:vertAlign w:val="subscript"/>
        </w:rPr>
        <w:t>it</w:t>
      </w:r>
      <w:proofErr w:type="spellEnd"/>
      <w:r w:rsidR="009320DC">
        <w:rPr>
          <w:rFonts w:asciiTheme="majorBidi" w:hAnsiTheme="majorBidi" w:cstheme="majorBidi"/>
        </w:rPr>
        <w:t xml:space="preserve"> and </w:t>
      </w:r>
      <w:proofErr w:type="spellStart"/>
      <w:r w:rsidR="009320DC" w:rsidRPr="00A57F9D">
        <w:rPr>
          <w:rFonts w:asciiTheme="majorBidi" w:hAnsiTheme="majorBidi" w:cstheme="majorBidi"/>
          <w:i/>
          <w:iCs/>
        </w:rPr>
        <w:t>C</w:t>
      </w:r>
      <w:r w:rsidR="009320DC" w:rsidRPr="00A57F9D">
        <w:rPr>
          <w:rFonts w:asciiTheme="majorBidi" w:hAnsiTheme="majorBidi" w:cstheme="majorBidi"/>
          <w:i/>
          <w:iCs/>
          <w:vertAlign w:val="subscript"/>
        </w:rPr>
        <w:t>it</w:t>
      </w:r>
      <w:proofErr w:type="spellEnd"/>
      <w:r w:rsidRPr="00A57F9D">
        <w:rPr>
          <w:rFonts w:asciiTheme="majorBidi" w:hAnsiTheme="majorBidi" w:cstheme="majorBidi"/>
        </w:rPr>
        <w:t xml:space="preserve"> </w:t>
      </w:r>
      <w:r w:rsidR="009320DC">
        <w:rPr>
          <w:rFonts w:asciiTheme="majorBidi" w:hAnsiTheme="majorBidi" w:cstheme="majorBidi"/>
        </w:rPr>
        <w:t xml:space="preserve">are per million population). </w:t>
      </w:r>
      <w:r w:rsidRPr="00A57F9D">
        <w:rPr>
          <w:rFonts w:asciiTheme="majorBidi" w:hAnsiTheme="majorBidi" w:cstheme="majorBidi"/>
        </w:rPr>
        <w:t>The</w:t>
      </w:r>
      <w:r>
        <w:rPr>
          <w:rFonts w:asciiTheme="majorBidi" w:hAnsiTheme="majorBidi" w:cstheme="majorBidi"/>
        </w:rPr>
        <w:t xml:space="preserve"> </w:t>
      </w:r>
      <w:r w:rsidRPr="00A57F9D">
        <w:rPr>
          <w:rFonts w:asciiTheme="majorBidi" w:hAnsiTheme="majorBidi" w:cstheme="majorBidi"/>
        </w:rPr>
        <w:t>‘</w:t>
      </w:r>
      <w:proofErr w:type="spellStart"/>
      <w:r w:rsidRPr="00A57F9D">
        <w:rPr>
          <w:rFonts w:asciiTheme="majorBidi" w:hAnsiTheme="majorBidi" w:cstheme="majorBidi"/>
        </w:rPr>
        <w:t>Covid</w:t>
      </w:r>
      <w:proofErr w:type="spellEnd"/>
      <w:r w:rsidRPr="00A57F9D">
        <w:rPr>
          <w:rFonts w:asciiTheme="majorBidi" w:hAnsiTheme="majorBidi" w:cstheme="majorBidi"/>
        </w:rPr>
        <w:t xml:space="preserve"> pathway’</w:t>
      </w:r>
      <w:r>
        <w:rPr>
          <w:rFonts w:asciiTheme="majorBidi" w:hAnsiTheme="majorBidi" w:cstheme="majorBidi"/>
        </w:rPr>
        <w:t xml:space="preserve"> by which vaccination </w:t>
      </w:r>
      <w:r w:rsidRPr="00A57F9D">
        <w:rPr>
          <w:rFonts w:asciiTheme="majorBidi" w:hAnsiTheme="majorBidi" w:cstheme="majorBidi"/>
        </w:rPr>
        <w:t>affect</w:t>
      </w:r>
      <w:r>
        <w:rPr>
          <w:rFonts w:asciiTheme="majorBidi" w:hAnsiTheme="majorBidi" w:cstheme="majorBidi"/>
        </w:rPr>
        <w:t>s</w:t>
      </w:r>
      <w:r w:rsidRPr="00A57F9D">
        <w:rPr>
          <w:rFonts w:asciiTheme="majorBidi" w:hAnsiTheme="majorBidi" w:cstheme="majorBidi"/>
        </w:rPr>
        <w:t xml:space="preserve"> excess mortality</w:t>
      </w:r>
      <w:r>
        <w:rPr>
          <w:rFonts w:asciiTheme="majorBidi" w:hAnsiTheme="majorBidi" w:cstheme="majorBidi"/>
        </w:rPr>
        <w:t xml:space="preserve"> is </w:t>
      </w:r>
      <w:proofErr w:type="spellStart"/>
      <w:r w:rsidRPr="00A57F9D">
        <w:rPr>
          <w:rFonts w:asciiTheme="majorBidi" w:hAnsiTheme="majorBidi" w:cstheme="majorBidi"/>
          <w:i/>
          <w:iCs/>
        </w:rPr>
        <w:t>V</w:t>
      </w:r>
      <w:r w:rsidRPr="00A57F9D">
        <w:rPr>
          <w:rFonts w:asciiTheme="majorBidi" w:hAnsiTheme="majorBidi" w:cstheme="majorBidi"/>
          <w:i/>
          <w:iCs/>
          <w:vertAlign w:val="subscript"/>
        </w:rPr>
        <w:t>it</w:t>
      </w:r>
      <w:proofErr w:type="spellEnd"/>
      <w:r w:rsidRPr="00A57F9D">
        <w:rPr>
          <w:rFonts w:asciiTheme="majorBidi" w:hAnsiTheme="majorBidi" w:cstheme="majorBidi"/>
        </w:rPr>
        <w:t xml:space="preserve"> </w:t>
      </w:r>
      <w:r w:rsidRPr="00A57F9D">
        <w:rPr>
          <w:rFonts w:asciiTheme="majorBidi" w:hAnsiTheme="majorBidi" w:cstheme="majorBidi"/>
        </w:rPr>
        <w:sym w:font="Wingdings" w:char="F0E0"/>
      </w:r>
      <w:r w:rsidRPr="00A57F9D">
        <w:rPr>
          <w:rFonts w:asciiTheme="majorBidi" w:hAnsiTheme="majorBidi" w:cstheme="majorBidi"/>
        </w:rPr>
        <w:t xml:space="preserve"> </w:t>
      </w:r>
      <w:proofErr w:type="spellStart"/>
      <w:r w:rsidRPr="00A57F9D">
        <w:rPr>
          <w:rFonts w:asciiTheme="majorBidi" w:hAnsiTheme="majorBidi" w:cstheme="majorBidi"/>
          <w:i/>
          <w:iCs/>
        </w:rPr>
        <w:t>C</w:t>
      </w:r>
      <w:r w:rsidRPr="00A57F9D">
        <w:rPr>
          <w:rFonts w:asciiTheme="majorBidi" w:hAnsiTheme="majorBidi" w:cstheme="majorBidi"/>
          <w:i/>
          <w:iCs/>
          <w:vertAlign w:val="subscript"/>
        </w:rPr>
        <w:t>it</w:t>
      </w:r>
      <w:proofErr w:type="spellEnd"/>
      <w:r w:rsidRPr="00A57F9D">
        <w:rPr>
          <w:rFonts w:asciiTheme="majorBidi" w:hAnsiTheme="majorBidi" w:cstheme="majorBidi"/>
        </w:rPr>
        <w:t xml:space="preserve"> </w:t>
      </w:r>
      <w:r w:rsidRPr="00A57F9D">
        <w:rPr>
          <w:rFonts w:asciiTheme="majorBidi" w:hAnsiTheme="majorBidi" w:cstheme="majorBidi"/>
        </w:rPr>
        <w:sym w:font="Wingdings" w:char="F0E0"/>
      </w:r>
      <w:r w:rsidRPr="00A57F9D">
        <w:rPr>
          <w:rFonts w:asciiTheme="majorBidi" w:hAnsiTheme="majorBidi" w:cstheme="majorBidi"/>
        </w:rPr>
        <w:t xml:space="preserve"> </w:t>
      </w:r>
      <w:proofErr w:type="spellStart"/>
      <w:r w:rsidRPr="00A57F9D">
        <w:rPr>
          <w:rFonts w:asciiTheme="majorBidi" w:hAnsiTheme="majorBidi" w:cstheme="majorBidi"/>
          <w:i/>
          <w:iCs/>
        </w:rPr>
        <w:t>M</w:t>
      </w:r>
      <w:r w:rsidRPr="00A57F9D">
        <w:rPr>
          <w:rFonts w:asciiTheme="majorBidi" w:hAnsiTheme="majorBidi" w:cstheme="majorBidi"/>
          <w:i/>
          <w:iCs/>
          <w:vertAlign w:val="subscript"/>
        </w:rPr>
        <w:t>it</w:t>
      </w:r>
      <w:proofErr w:type="spellEnd"/>
      <w:r w:rsidRPr="00A57F9D">
        <w:rPr>
          <w:rFonts w:asciiTheme="majorBidi" w:hAnsiTheme="majorBidi" w:cstheme="majorBidi"/>
        </w:rPr>
        <w:t>. The second</w:t>
      </w:r>
      <w:r>
        <w:rPr>
          <w:rFonts w:asciiTheme="majorBidi" w:hAnsiTheme="majorBidi" w:cstheme="majorBidi"/>
        </w:rPr>
        <w:t>, direct,</w:t>
      </w:r>
      <w:r w:rsidRPr="00A57F9D">
        <w:rPr>
          <w:rFonts w:asciiTheme="majorBidi" w:hAnsiTheme="majorBidi" w:cstheme="majorBidi"/>
        </w:rPr>
        <w:t xml:space="preserve"> pathway is </w:t>
      </w:r>
      <w:proofErr w:type="spellStart"/>
      <w:r w:rsidRPr="00A57F9D">
        <w:rPr>
          <w:rFonts w:asciiTheme="majorBidi" w:hAnsiTheme="majorBidi" w:cstheme="majorBidi"/>
          <w:i/>
          <w:iCs/>
        </w:rPr>
        <w:t>V</w:t>
      </w:r>
      <w:r w:rsidRPr="00A57F9D">
        <w:rPr>
          <w:rFonts w:asciiTheme="majorBidi" w:hAnsiTheme="majorBidi" w:cstheme="majorBidi"/>
          <w:i/>
          <w:iCs/>
          <w:vertAlign w:val="subscript"/>
        </w:rPr>
        <w:t>it</w:t>
      </w:r>
      <w:proofErr w:type="spellEnd"/>
      <w:r w:rsidRPr="00A57F9D">
        <w:rPr>
          <w:rFonts w:asciiTheme="majorBidi" w:hAnsiTheme="majorBidi" w:cstheme="majorBidi"/>
        </w:rPr>
        <w:t xml:space="preserve"> </w:t>
      </w:r>
      <w:r w:rsidRPr="00A57F9D">
        <w:rPr>
          <w:rFonts w:asciiTheme="majorBidi" w:hAnsiTheme="majorBidi" w:cstheme="majorBidi"/>
        </w:rPr>
        <w:sym w:font="Wingdings" w:char="F0E0"/>
      </w:r>
      <w:r w:rsidRPr="00A57F9D">
        <w:rPr>
          <w:rFonts w:asciiTheme="majorBidi" w:hAnsiTheme="majorBidi" w:cstheme="majorBidi"/>
        </w:rPr>
        <w:t xml:space="preserve"> </w:t>
      </w:r>
      <w:proofErr w:type="spellStart"/>
      <w:r w:rsidRPr="00A57F9D">
        <w:rPr>
          <w:rFonts w:asciiTheme="majorBidi" w:hAnsiTheme="majorBidi" w:cstheme="majorBidi"/>
          <w:i/>
          <w:iCs/>
        </w:rPr>
        <w:t>M</w:t>
      </w:r>
      <w:r w:rsidRPr="00A57F9D">
        <w:rPr>
          <w:rFonts w:asciiTheme="majorBidi" w:hAnsiTheme="majorBidi" w:cstheme="majorBidi"/>
          <w:i/>
          <w:iCs/>
          <w:vertAlign w:val="subscript"/>
        </w:rPr>
        <w:t>it</w:t>
      </w:r>
      <w:proofErr w:type="spellEnd"/>
      <w:r w:rsidRPr="00A57F9D">
        <w:rPr>
          <w:rFonts w:asciiTheme="majorBidi" w:hAnsiTheme="majorBidi" w:cstheme="majorBidi"/>
        </w:rPr>
        <w:t xml:space="preserve"> </w:t>
      </w:r>
      <w:r>
        <w:rPr>
          <w:rFonts w:asciiTheme="majorBidi" w:hAnsiTheme="majorBidi" w:cstheme="majorBidi"/>
        </w:rPr>
        <w:t xml:space="preserve">holding </w:t>
      </w:r>
      <w:proofErr w:type="spellStart"/>
      <w:r w:rsidRPr="00A57F9D">
        <w:rPr>
          <w:rFonts w:asciiTheme="majorBidi" w:hAnsiTheme="majorBidi" w:cstheme="majorBidi"/>
          <w:i/>
          <w:iCs/>
        </w:rPr>
        <w:t>C</w:t>
      </w:r>
      <w:r w:rsidRPr="00A57F9D">
        <w:rPr>
          <w:rFonts w:asciiTheme="majorBidi" w:hAnsiTheme="majorBidi" w:cstheme="majorBidi"/>
          <w:i/>
          <w:iCs/>
          <w:vertAlign w:val="subscript"/>
        </w:rPr>
        <w:t>it</w:t>
      </w:r>
      <w:proofErr w:type="spellEnd"/>
      <w:r>
        <w:rPr>
          <w:rFonts w:asciiTheme="majorBidi" w:hAnsiTheme="majorBidi" w:cstheme="majorBidi"/>
        </w:rPr>
        <w:t xml:space="preserve"> constant</w:t>
      </w:r>
      <w:r w:rsidRPr="00A57F9D">
        <w:rPr>
          <w:rFonts w:asciiTheme="majorBidi" w:hAnsiTheme="majorBidi" w:cstheme="majorBidi"/>
        </w:rPr>
        <w:t xml:space="preserve">. </w:t>
      </w:r>
      <w:r>
        <w:rPr>
          <w:rFonts w:asciiTheme="majorBidi" w:hAnsiTheme="majorBidi" w:cstheme="majorBidi"/>
        </w:rPr>
        <w:t>Deaths from s</w:t>
      </w:r>
      <w:r w:rsidRPr="00A57F9D">
        <w:rPr>
          <w:rFonts w:asciiTheme="majorBidi" w:hAnsiTheme="majorBidi" w:cstheme="majorBidi"/>
        </w:rPr>
        <w:t>ide effects</w:t>
      </w:r>
      <w:r>
        <w:rPr>
          <w:rFonts w:asciiTheme="majorBidi" w:hAnsiTheme="majorBidi" w:cstheme="majorBidi"/>
        </w:rPr>
        <w:t>,</w:t>
      </w:r>
      <w:r w:rsidRPr="00A57F9D">
        <w:rPr>
          <w:rFonts w:asciiTheme="majorBidi" w:hAnsiTheme="majorBidi" w:cstheme="majorBidi"/>
        </w:rPr>
        <w:t xml:space="preserve"> such as </w:t>
      </w:r>
      <w:r>
        <w:rPr>
          <w:rFonts w:asciiTheme="majorBidi" w:hAnsiTheme="majorBidi" w:cstheme="majorBidi"/>
        </w:rPr>
        <w:t>myocarditis,</w:t>
      </w:r>
      <w:r w:rsidRPr="00A57F9D">
        <w:rPr>
          <w:rFonts w:asciiTheme="majorBidi" w:hAnsiTheme="majorBidi" w:cstheme="majorBidi"/>
        </w:rPr>
        <w:t xml:space="preserve"> </w:t>
      </w:r>
      <w:r w:rsidR="009320DC">
        <w:rPr>
          <w:rFonts w:asciiTheme="majorBidi" w:hAnsiTheme="majorBidi" w:cstheme="majorBidi"/>
        </w:rPr>
        <w:t xml:space="preserve">will </w:t>
      </w:r>
      <w:r w:rsidRPr="00A57F9D">
        <w:rPr>
          <w:rFonts w:asciiTheme="majorBidi" w:hAnsiTheme="majorBidi" w:cstheme="majorBidi"/>
        </w:rPr>
        <w:t xml:space="preserve">contribute to this </w:t>
      </w:r>
      <w:r>
        <w:rPr>
          <w:rFonts w:asciiTheme="majorBidi" w:hAnsiTheme="majorBidi" w:cstheme="majorBidi"/>
        </w:rPr>
        <w:t xml:space="preserve">direct </w:t>
      </w:r>
      <w:r w:rsidRPr="00A57F9D">
        <w:rPr>
          <w:rFonts w:asciiTheme="majorBidi" w:hAnsiTheme="majorBidi" w:cstheme="majorBidi"/>
        </w:rPr>
        <w:t>pathway as does</w:t>
      </w:r>
      <w:r w:rsidR="002D73F5">
        <w:rPr>
          <w:rFonts w:asciiTheme="majorBidi" w:hAnsiTheme="majorBidi" w:cstheme="majorBidi"/>
        </w:rPr>
        <w:t xml:space="preserve"> any</w:t>
      </w:r>
      <w:r w:rsidRPr="00A57F9D">
        <w:rPr>
          <w:rFonts w:asciiTheme="majorBidi" w:hAnsiTheme="majorBidi" w:cstheme="majorBidi"/>
        </w:rPr>
        <w:t xml:space="preserve"> diversion of health system resources into a vaccination drive if that </w:t>
      </w:r>
      <w:r w:rsidR="002D73F5">
        <w:rPr>
          <w:rFonts w:asciiTheme="majorBidi" w:hAnsiTheme="majorBidi" w:cstheme="majorBidi"/>
        </w:rPr>
        <w:t xml:space="preserve">diversion </w:t>
      </w:r>
      <w:r w:rsidRPr="00A57F9D">
        <w:rPr>
          <w:rFonts w:asciiTheme="majorBidi" w:hAnsiTheme="majorBidi" w:cstheme="majorBidi"/>
        </w:rPr>
        <w:t xml:space="preserve">reduces care available for other conditions and leads to deaths. </w:t>
      </w:r>
      <w:r>
        <w:rPr>
          <w:rFonts w:asciiTheme="majorBidi" w:hAnsiTheme="majorBidi" w:cstheme="majorBidi"/>
        </w:rPr>
        <w:t>The correlation between</w:t>
      </w:r>
      <w:r w:rsidRPr="00A57F9D">
        <w:rPr>
          <w:rFonts w:asciiTheme="majorBidi" w:hAnsiTheme="majorBidi" w:cstheme="majorBidi"/>
        </w:rPr>
        <w:t xml:space="preserve"> </w:t>
      </w:r>
      <w:proofErr w:type="spellStart"/>
      <w:r w:rsidRPr="00A57F9D">
        <w:rPr>
          <w:rFonts w:asciiTheme="majorBidi" w:hAnsiTheme="majorBidi" w:cstheme="majorBidi"/>
          <w:i/>
          <w:iCs/>
        </w:rPr>
        <w:t>V</w:t>
      </w:r>
      <w:r w:rsidRPr="00A57F9D">
        <w:rPr>
          <w:rFonts w:asciiTheme="majorBidi" w:hAnsiTheme="majorBidi" w:cstheme="majorBidi"/>
          <w:i/>
          <w:iCs/>
          <w:vertAlign w:val="subscript"/>
        </w:rPr>
        <w:t>it</w:t>
      </w:r>
      <w:proofErr w:type="spellEnd"/>
      <w:r>
        <w:rPr>
          <w:rFonts w:asciiTheme="majorBidi" w:hAnsiTheme="majorBidi" w:cstheme="majorBidi"/>
        </w:rPr>
        <w:t xml:space="preserve"> and</w:t>
      </w:r>
      <w:r w:rsidRPr="00A57F9D">
        <w:rPr>
          <w:rFonts w:asciiTheme="majorBidi" w:hAnsiTheme="majorBidi" w:cstheme="majorBidi"/>
        </w:rPr>
        <w:t xml:space="preserve"> </w:t>
      </w:r>
      <w:proofErr w:type="spellStart"/>
      <w:r w:rsidRPr="00A57F9D">
        <w:rPr>
          <w:rFonts w:asciiTheme="majorBidi" w:hAnsiTheme="majorBidi" w:cstheme="majorBidi"/>
          <w:i/>
          <w:iCs/>
        </w:rPr>
        <w:t>M</w:t>
      </w:r>
      <w:r w:rsidRPr="00A57F9D">
        <w:rPr>
          <w:rFonts w:asciiTheme="majorBidi" w:hAnsiTheme="majorBidi" w:cstheme="majorBidi"/>
          <w:i/>
          <w:iCs/>
          <w:vertAlign w:val="subscript"/>
        </w:rPr>
        <w:t>it</w:t>
      </w:r>
      <w:proofErr w:type="spellEnd"/>
      <w:r w:rsidRPr="00A57F9D">
        <w:rPr>
          <w:rFonts w:asciiTheme="majorBidi" w:hAnsiTheme="majorBidi" w:cstheme="majorBidi"/>
        </w:rPr>
        <w:t xml:space="preserve"> </w:t>
      </w:r>
      <w:r>
        <w:rPr>
          <w:rFonts w:asciiTheme="majorBidi" w:hAnsiTheme="majorBidi" w:cstheme="majorBidi"/>
        </w:rPr>
        <w:t>can be decomposed into the</w:t>
      </w:r>
      <w:r w:rsidRPr="00A57F9D">
        <w:rPr>
          <w:rFonts w:asciiTheme="majorBidi" w:hAnsiTheme="majorBidi" w:cstheme="majorBidi"/>
        </w:rPr>
        <w:t xml:space="preserve"> two pathways using </w:t>
      </w:r>
      <w:r>
        <w:rPr>
          <w:rFonts w:asciiTheme="majorBidi" w:hAnsiTheme="majorBidi" w:cstheme="majorBidi"/>
        </w:rPr>
        <w:t xml:space="preserve">a </w:t>
      </w:r>
      <w:r w:rsidRPr="00A57F9D">
        <w:rPr>
          <w:rFonts w:asciiTheme="majorBidi" w:hAnsiTheme="majorBidi" w:cstheme="majorBidi"/>
        </w:rPr>
        <w:t>normalized regression coefficient</w:t>
      </w:r>
      <w:r>
        <w:rPr>
          <w:rFonts w:asciiTheme="majorBidi" w:hAnsiTheme="majorBidi" w:cstheme="majorBidi"/>
        </w:rPr>
        <w:t xml:space="preserve">; </w:t>
      </w:r>
      <w:r w:rsidRPr="00A57F9D">
        <w:rPr>
          <w:rFonts w:asciiTheme="majorBidi" w:hAnsiTheme="majorBidi" w:cstheme="majorBidi"/>
        </w:rPr>
        <w:t>the change in the dependent variable, in standard deviation units, associated with a one standard deviation change in the independent variable (Blalock, 1964). Using lower case to denote standardized variables, the regression equation is:</w:t>
      </w:r>
    </w:p>
    <w:p w:rsidR="00763FFC" w:rsidRPr="00A57F9D" w:rsidRDefault="0063343F" w:rsidP="00763FFC">
      <w:pPr>
        <w:widowControl w:val="0"/>
        <w:spacing w:after="120" w:line="288" w:lineRule="auto"/>
        <w:jc w:val="right"/>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mv</m:t>
            </m:r>
          </m:sub>
        </m:sSub>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mc</m:t>
            </m:r>
          </m:sub>
        </m:sSub>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it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it</m:t>
            </m:r>
          </m:sub>
        </m:sSub>
      </m:oMath>
      <w:r w:rsidR="00763FFC">
        <w:rPr>
          <w:rFonts w:asciiTheme="majorBidi" w:hAnsiTheme="majorBidi" w:cstheme="majorBidi"/>
        </w:rPr>
        <w:tab/>
      </w:r>
      <w:r w:rsidR="00763FFC">
        <w:rPr>
          <w:rFonts w:asciiTheme="majorBidi" w:hAnsiTheme="majorBidi" w:cstheme="majorBidi"/>
        </w:rPr>
        <w:tab/>
      </w:r>
      <w:r w:rsidR="00763FFC">
        <w:rPr>
          <w:rFonts w:asciiTheme="majorBidi" w:hAnsiTheme="majorBidi" w:cstheme="majorBidi"/>
        </w:rPr>
        <w:tab/>
      </w:r>
      <w:r w:rsidR="00763FFC">
        <w:rPr>
          <w:rFonts w:asciiTheme="majorBidi" w:hAnsiTheme="majorBidi" w:cstheme="majorBidi"/>
        </w:rPr>
        <w:tab/>
      </w:r>
      <w:r w:rsidR="00763FFC">
        <w:rPr>
          <w:rFonts w:asciiTheme="majorBidi" w:hAnsiTheme="majorBidi" w:cstheme="majorBidi"/>
        </w:rPr>
        <w:tab/>
        <w:t>(1)</w:t>
      </w:r>
    </w:p>
    <w:p w:rsidR="00763FFC" w:rsidRPr="00763FFC" w:rsidRDefault="00763FFC" w:rsidP="00763FFC">
      <w:pPr>
        <w:widowControl w:val="0"/>
        <w:spacing w:after="120" w:line="288" w:lineRule="auto"/>
        <w:jc w:val="both"/>
        <w:rPr>
          <w:rFonts w:asciiTheme="majorBidi" w:hAnsiTheme="majorBidi" w:cstheme="majorBidi"/>
          <w:color w:val="222222"/>
          <w:shd w:val="clear" w:color="auto" w:fill="FFFFFF"/>
        </w:rPr>
      </w:pPr>
      <w:r>
        <w:rPr>
          <w:rFonts w:asciiTheme="majorBidi" w:hAnsiTheme="majorBidi" w:cstheme="majorBidi"/>
        </w:rPr>
        <w:t xml:space="preserve">where </w:t>
      </w:r>
      <w:proofErr w:type="spellStart"/>
      <w:r w:rsidRPr="00906404">
        <w:rPr>
          <w:rFonts w:asciiTheme="majorBidi" w:hAnsiTheme="majorBidi" w:cstheme="majorBidi"/>
          <w:i/>
          <w:iCs/>
        </w:rPr>
        <w:t>ε</w:t>
      </w:r>
      <w:r w:rsidRPr="00906404">
        <w:rPr>
          <w:rFonts w:asciiTheme="majorBidi" w:hAnsiTheme="majorBidi" w:cstheme="majorBidi"/>
          <w:i/>
          <w:iCs/>
          <w:vertAlign w:val="subscript"/>
        </w:rPr>
        <w:t>it</w:t>
      </w:r>
      <w:proofErr w:type="spellEnd"/>
      <w:r>
        <w:rPr>
          <w:rFonts w:asciiTheme="majorBidi" w:hAnsiTheme="majorBidi" w:cstheme="majorBidi"/>
        </w:rPr>
        <w:t xml:space="preserve"> is the regression disturbance. The ‘</w:t>
      </w:r>
      <w:proofErr w:type="spellStart"/>
      <w:r>
        <w:rPr>
          <w:rFonts w:asciiTheme="majorBidi" w:hAnsiTheme="majorBidi" w:cstheme="majorBidi"/>
        </w:rPr>
        <w:t>Covid</w:t>
      </w:r>
      <w:proofErr w:type="spellEnd"/>
      <w:r>
        <w:rPr>
          <w:rFonts w:asciiTheme="majorBidi" w:hAnsiTheme="majorBidi" w:cstheme="majorBidi"/>
        </w:rPr>
        <w:t xml:space="preserve"> pathway’ linking </w:t>
      </w:r>
      <w:proofErr w:type="spellStart"/>
      <w:r w:rsidRPr="00A57F9D">
        <w:rPr>
          <w:rFonts w:asciiTheme="majorBidi" w:hAnsiTheme="majorBidi" w:cstheme="majorBidi"/>
          <w:i/>
          <w:iCs/>
        </w:rPr>
        <w:t>V</w:t>
      </w:r>
      <w:r w:rsidRPr="00A57F9D">
        <w:rPr>
          <w:rFonts w:asciiTheme="majorBidi" w:hAnsiTheme="majorBidi" w:cstheme="majorBidi"/>
          <w:i/>
          <w:iCs/>
          <w:vertAlign w:val="subscript"/>
        </w:rPr>
        <w:t>it</w:t>
      </w:r>
      <w:proofErr w:type="spellEnd"/>
      <w:r w:rsidRPr="00A57F9D">
        <w:rPr>
          <w:rFonts w:asciiTheme="majorBidi" w:hAnsiTheme="majorBidi" w:cstheme="majorBidi"/>
        </w:rPr>
        <w:t xml:space="preserve"> to </w:t>
      </w:r>
      <w:proofErr w:type="spellStart"/>
      <w:r w:rsidRPr="00A57F9D">
        <w:rPr>
          <w:rFonts w:asciiTheme="majorBidi" w:hAnsiTheme="majorBidi" w:cstheme="majorBidi"/>
          <w:i/>
          <w:iCs/>
        </w:rPr>
        <w:t>M</w:t>
      </w:r>
      <w:r w:rsidRPr="00A57F9D">
        <w:rPr>
          <w:rFonts w:asciiTheme="majorBidi" w:hAnsiTheme="majorBidi" w:cstheme="majorBidi"/>
          <w:i/>
          <w:iCs/>
          <w:vertAlign w:val="subscript"/>
        </w:rPr>
        <w:t>it</w:t>
      </w:r>
      <w:proofErr w:type="spellEnd"/>
      <w:r>
        <w:rPr>
          <w:rFonts w:asciiTheme="majorBidi" w:hAnsiTheme="majorBidi" w:cstheme="majorBidi"/>
        </w:rPr>
        <w:t xml:space="preserve"> is given by </w:t>
      </w:r>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vc</m:t>
            </m:r>
          </m:sub>
        </m:sSub>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mc</m:t>
            </m:r>
          </m:sub>
        </m:sSub>
      </m:oMath>
      <w:r>
        <w:rPr>
          <w:rFonts w:asciiTheme="majorBidi" w:hAnsiTheme="majorBidi" w:cstheme="majorBidi"/>
        </w:rPr>
        <w:t xml:space="preserve"> where </w:t>
      </w:r>
      <w:proofErr w:type="spellStart"/>
      <w:r>
        <w:rPr>
          <w:rFonts w:asciiTheme="majorBidi" w:hAnsiTheme="majorBidi" w:cstheme="majorBidi"/>
          <w:i/>
          <w:iCs/>
        </w:rPr>
        <w:t>r</w:t>
      </w:r>
      <w:r w:rsidRPr="00D41FA4">
        <w:rPr>
          <w:rFonts w:asciiTheme="majorBidi" w:hAnsiTheme="majorBidi" w:cstheme="majorBidi"/>
          <w:i/>
          <w:iCs/>
          <w:vertAlign w:val="subscript"/>
        </w:rPr>
        <w:t>vc</w:t>
      </w:r>
      <w:proofErr w:type="spellEnd"/>
      <w:r>
        <w:rPr>
          <w:rFonts w:asciiTheme="majorBidi" w:hAnsiTheme="majorBidi" w:cstheme="majorBidi"/>
        </w:rPr>
        <w:t xml:space="preserve"> is the Pearson correlation between </w:t>
      </w:r>
      <w:proofErr w:type="spellStart"/>
      <w:r w:rsidRPr="00A57F9D">
        <w:rPr>
          <w:rFonts w:asciiTheme="majorBidi" w:hAnsiTheme="majorBidi" w:cstheme="majorBidi"/>
          <w:i/>
          <w:iCs/>
        </w:rPr>
        <w:t>V</w:t>
      </w:r>
      <w:r w:rsidRPr="00A57F9D">
        <w:rPr>
          <w:rFonts w:asciiTheme="majorBidi" w:hAnsiTheme="majorBidi" w:cstheme="majorBidi"/>
          <w:i/>
          <w:iCs/>
          <w:vertAlign w:val="subscript"/>
        </w:rPr>
        <w:t>it</w:t>
      </w:r>
      <w:proofErr w:type="spellEnd"/>
      <w:r>
        <w:rPr>
          <w:rFonts w:asciiTheme="majorBidi" w:hAnsiTheme="majorBidi" w:cstheme="majorBidi"/>
        </w:rPr>
        <w:t xml:space="preserve"> and</w:t>
      </w:r>
      <w:r w:rsidRPr="00A57F9D">
        <w:rPr>
          <w:rFonts w:asciiTheme="majorBidi" w:hAnsiTheme="majorBidi" w:cstheme="majorBidi"/>
        </w:rPr>
        <w:t xml:space="preserve"> </w:t>
      </w:r>
      <w:r>
        <w:rPr>
          <w:rFonts w:asciiTheme="majorBidi" w:hAnsiTheme="majorBidi" w:cstheme="majorBidi"/>
          <w:i/>
          <w:iCs/>
        </w:rPr>
        <w:t>C</w:t>
      </w:r>
      <w:r w:rsidRPr="00A57F9D">
        <w:rPr>
          <w:rFonts w:asciiTheme="majorBidi" w:hAnsiTheme="majorBidi" w:cstheme="majorBidi"/>
          <w:i/>
          <w:iCs/>
          <w:vertAlign w:val="subscript"/>
        </w:rPr>
        <w:t>it</w:t>
      </w:r>
      <w:r>
        <w:rPr>
          <w:rFonts w:asciiTheme="majorBidi" w:hAnsiTheme="majorBidi" w:cstheme="majorBidi"/>
        </w:rPr>
        <w:t xml:space="preserve">. The other pathway is shown directly by the regression coefficient </w:t>
      </w:r>
      <m:oMath>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mv</m:t>
            </m:r>
          </m:sub>
        </m:sSub>
        <m:r>
          <w:rPr>
            <w:rFonts w:ascii="Cambria Math" w:hAnsi="Cambria Math" w:cstheme="majorBidi"/>
          </w:rPr>
          <m:t>.</m:t>
        </m:r>
      </m:oMath>
      <w:r>
        <w:rPr>
          <w:rFonts w:asciiTheme="majorBidi" w:hAnsiTheme="majorBidi" w:cstheme="majorBidi"/>
        </w:rPr>
        <w:t xml:space="preserve"> </w:t>
      </w:r>
      <w:r w:rsidRPr="00763FFC">
        <w:rPr>
          <w:rFonts w:asciiTheme="majorBidi" w:hAnsiTheme="majorBidi" w:cstheme="majorBidi"/>
          <w:color w:val="222222"/>
          <w:shd w:val="clear" w:color="auto" w:fill="FFFFFF"/>
        </w:rPr>
        <w:t xml:space="preserve">If the regression coefficients are unbiased the decomposition is valid whatever the relationships among the variables (Bowles &amp; </w:t>
      </w:r>
      <w:proofErr w:type="spellStart"/>
      <w:r w:rsidRPr="00763FFC">
        <w:rPr>
          <w:rFonts w:asciiTheme="majorBidi" w:hAnsiTheme="majorBidi" w:cstheme="majorBidi"/>
          <w:color w:val="222222"/>
          <w:shd w:val="clear" w:color="auto" w:fill="FFFFFF"/>
        </w:rPr>
        <w:t>Gintis</w:t>
      </w:r>
      <w:proofErr w:type="spellEnd"/>
      <w:r w:rsidRPr="00763FFC">
        <w:rPr>
          <w:rFonts w:asciiTheme="majorBidi" w:hAnsiTheme="majorBidi" w:cstheme="majorBidi"/>
          <w:color w:val="222222"/>
          <w:shd w:val="clear" w:color="auto" w:fill="FFFFFF"/>
        </w:rPr>
        <w:t>, 2002).</w:t>
      </w:r>
    </w:p>
    <w:p w:rsidR="006A1AC9" w:rsidRDefault="002D73F5" w:rsidP="00F4706D">
      <w:pPr>
        <w:widowControl w:val="0"/>
        <w:spacing w:after="120" w:line="288" w:lineRule="auto"/>
        <w:ind w:firstLine="720"/>
        <w:jc w:val="both"/>
        <w:rPr>
          <w:rFonts w:asciiTheme="majorBidi" w:hAnsiTheme="majorBidi" w:cstheme="majorBidi"/>
        </w:rPr>
      </w:pPr>
      <w:r>
        <w:rPr>
          <w:rFonts w:asciiTheme="majorBidi" w:hAnsiTheme="majorBidi" w:cstheme="majorBidi"/>
        </w:rPr>
        <w:t xml:space="preserve">The regression in equation (1) deals with several issues that affect interpretation of data on deaths following vaccination. A typical response to analyses based on the Vaccine Adverse Event Reporting System (VAERS) and similar databases such as </w:t>
      </w:r>
      <w:proofErr w:type="spellStart"/>
      <w:r w:rsidRPr="00056071">
        <w:rPr>
          <w:rFonts w:asciiTheme="majorBidi" w:hAnsiTheme="majorBidi" w:cstheme="majorBidi"/>
        </w:rPr>
        <w:t>EudraVigilance</w:t>
      </w:r>
      <w:proofErr w:type="spellEnd"/>
      <w:r>
        <w:rPr>
          <w:rFonts w:asciiTheme="majorBidi" w:hAnsiTheme="majorBidi" w:cstheme="majorBidi"/>
        </w:rPr>
        <w:t xml:space="preserve"> is to mention the </w:t>
      </w:r>
      <w:r w:rsidRPr="008805E0">
        <w:rPr>
          <w:rFonts w:asciiTheme="majorBidi" w:hAnsiTheme="majorBidi" w:cstheme="majorBidi"/>
          <w:i/>
          <w:iCs/>
          <w:color w:val="202124"/>
          <w:shd w:val="clear" w:color="auto" w:fill="FFFFFF"/>
        </w:rPr>
        <w:t>post hoc ergo propter hoc</w:t>
      </w:r>
      <w:r>
        <w:rPr>
          <w:rFonts w:asciiTheme="majorBidi" w:hAnsiTheme="majorBidi" w:cstheme="majorBidi"/>
          <w:color w:val="202124"/>
          <w:shd w:val="clear" w:color="auto" w:fill="FFFFFF"/>
        </w:rPr>
        <w:t xml:space="preserve"> </w:t>
      </w:r>
      <w:r w:rsidRPr="003A5766">
        <w:rPr>
          <w:rFonts w:asciiTheme="majorBidi" w:hAnsiTheme="majorBidi" w:cstheme="majorBidi"/>
        </w:rPr>
        <w:t>fallacy: an event (vaccination) may precede another</w:t>
      </w:r>
      <w:r w:rsidR="002F1ADD">
        <w:rPr>
          <w:rFonts w:asciiTheme="majorBidi" w:hAnsiTheme="majorBidi" w:cstheme="majorBidi"/>
        </w:rPr>
        <w:t xml:space="preserve"> event (death) without being the</w:t>
      </w:r>
      <w:r w:rsidRPr="003A5766">
        <w:rPr>
          <w:rFonts w:asciiTheme="majorBidi" w:hAnsiTheme="majorBidi" w:cstheme="majorBidi"/>
        </w:rPr>
        <w:t xml:space="preserve"> cause. Defenders of </w:t>
      </w:r>
      <w:r w:rsidR="002F1ADD">
        <w:rPr>
          <w:rFonts w:asciiTheme="majorBidi" w:hAnsiTheme="majorBidi" w:cstheme="majorBidi"/>
        </w:rPr>
        <w:t xml:space="preserve">Covid-19 </w:t>
      </w:r>
      <w:r w:rsidRPr="003A5766">
        <w:rPr>
          <w:rFonts w:asciiTheme="majorBidi" w:hAnsiTheme="majorBidi" w:cstheme="majorBidi"/>
        </w:rPr>
        <w:t xml:space="preserve">vaccine safety </w:t>
      </w:r>
      <w:r>
        <w:rPr>
          <w:rFonts w:asciiTheme="majorBidi" w:hAnsiTheme="majorBidi" w:cstheme="majorBidi"/>
        </w:rPr>
        <w:t xml:space="preserve">may </w:t>
      </w:r>
      <w:r w:rsidR="002F1ADD">
        <w:rPr>
          <w:rFonts w:asciiTheme="majorBidi" w:hAnsiTheme="majorBidi" w:cstheme="majorBidi"/>
        </w:rPr>
        <w:t xml:space="preserve">thus </w:t>
      </w:r>
      <w:r>
        <w:rPr>
          <w:rFonts w:asciiTheme="majorBidi" w:hAnsiTheme="majorBidi" w:cstheme="majorBidi"/>
        </w:rPr>
        <w:t>note</w:t>
      </w:r>
      <w:r w:rsidRPr="003A5766">
        <w:rPr>
          <w:rFonts w:asciiTheme="majorBidi" w:hAnsiTheme="majorBidi" w:cstheme="majorBidi"/>
        </w:rPr>
        <w:t xml:space="preserve"> that some deaths following vaccination should be expected as people are always dying.</w:t>
      </w:r>
      <w:r w:rsidR="002F1ADD">
        <w:rPr>
          <w:rFonts w:asciiTheme="majorBidi" w:hAnsiTheme="majorBidi" w:cstheme="majorBidi"/>
        </w:rPr>
        <w:t xml:space="preserve"> Yet </w:t>
      </w:r>
      <w:r w:rsidRPr="003A5766">
        <w:rPr>
          <w:rFonts w:asciiTheme="majorBidi" w:hAnsiTheme="majorBidi" w:cstheme="majorBidi"/>
        </w:rPr>
        <w:t xml:space="preserve">expected deaths are already accounted for </w:t>
      </w:r>
      <w:r>
        <w:rPr>
          <w:rFonts w:asciiTheme="majorBidi" w:hAnsiTheme="majorBidi" w:cstheme="majorBidi"/>
        </w:rPr>
        <w:t>in the</w:t>
      </w:r>
      <w:r w:rsidRPr="003A5766">
        <w:rPr>
          <w:rFonts w:asciiTheme="majorBidi" w:hAnsiTheme="majorBidi" w:cstheme="majorBidi"/>
        </w:rPr>
        <w:t xml:space="preserve"> excess mortality measure</w:t>
      </w:r>
      <w:r>
        <w:rPr>
          <w:rFonts w:asciiTheme="majorBidi" w:hAnsiTheme="majorBidi" w:cstheme="majorBidi"/>
        </w:rPr>
        <w:t>.</w:t>
      </w:r>
      <w:r>
        <w:rPr>
          <w:rFonts w:asciiTheme="majorBidi" w:hAnsiTheme="majorBidi" w:cstheme="majorBidi"/>
          <w:color w:val="202124"/>
          <w:shd w:val="clear" w:color="auto" w:fill="FFFFFF"/>
        </w:rPr>
        <w:t xml:space="preserve"> Equation (1) also shows why a simple regression of excess mortality on vaccination incidence may be uninformative—there will be </w:t>
      </w:r>
      <w:r w:rsidR="002F1ADD">
        <w:rPr>
          <w:rFonts w:asciiTheme="majorBidi" w:hAnsiTheme="majorBidi" w:cstheme="majorBidi"/>
          <w:color w:val="202124"/>
          <w:shd w:val="clear" w:color="auto" w:fill="FFFFFF"/>
        </w:rPr>
        <w:t xml:space="preserve">omitted variable </w:t>
      </w:r>
      <w:r>
        <w:rPr>
          <w:rFonts w:asciiTheme="majorBidi" w:hAnsiTheme="majorBidi" w:cstheme="majorBidi"/>
          <w:color w:val="202124"/>
          <w:shd w:val="clear" w:color="auto" w:fill="FFFFFF"/>
        </w:rPr>
        <w:t xml:space="preserve">bias. The correlation between </w:t>
      </w:r>
      <w:proofErr w:type="spellStart"/>
      <w:r>
        <w:rPr>
          <w:rFonts w:asciiTheme="majorBidi" w:hAnsiTheme="majorBidi" w:cstheme="majorBidi"/>
          <w:i/>
          <w:iCs/>
        </w:rPr>
        <w:t>v</w:t>
      </w:r>
      <w:r w:rsidRPr="00A57F9D">
        <w:rPr>
          <w:rFonts w:asciiTheme="majorBidi" w:hAnsiTheme="majorBidi" w:cstheme="majorBidi"/>
          <w:i/>
          <w:iCs/>
          <w:vertAlign w:val="subscript"/>
        </w:rPr>
        <w:t>it</w:t>
      </w:r>
      <w:proofErr w:type="spellEnd"/>
      <w:r>
        <w:rPr>
          <w:rFonts w:asciiTheme="majorBidi" w:hAnsiTheme="majorBidi" w:cstheme="majorBidi"/>
        </w:rPr>
        <w:t xml:space="preserve"> and</w:t>
      </w:r>
      <w:r w:rsidRPr="00A57F9D">
        <w:rPr>
          <w:rFonts w:asciiTheme="majorBidi" w:hAnsiTheme="majorBidi" w:cstheme="majorBidi"/>
        </w:rPr>
        <w:t xml:space="preserve"> </w:t>
      </w:r>
      <w:proofErr w:type="spellStart"/>
      <w:r>
        <w:rPr>
          <w:rFonts w:asciiTheme="majorBidi" w:hAnsiTheme="majorBidi" w:cstheme="majorBidi"/>
          <w:i/>
          <w:iCs/>
        </w:rPr>
        <w:t>c</w:t>
      </w:r>
      <w:r w:rsidRPr="00A57F9D">
        <w:rPr>
          <w:rFonts w:asciiTheme="majorBidi" w:hAnsiTheme="majorBidi" w:cstheme="majorBidi"/>
          <w:i/>
          <w:iCs/>
          <w:vertAlign w:val="subscript"/>
        </w:rPr>
        <w:t>it</w:t>
      </w:r>
      <w:proofErr w:type="spellEnd"/>
      <w:r>
        <w:rPr>
          <w:rFonts w:asciiTheme="majorBidi" w:hAnsiTheme="majorBidi" w:cstheme="majorBidi"/>
        </w:rPr>
        <w:t xml:space="preserve"> </w:t>
      </w:r>
      <w:r w:rsidR="00916314">
        <w:rPr>
          <w:rFonts w:asciiTheme="majorBidi" w:hAnsiTheme="majorBidi" w:cstheme="majorBidi"/>
        </w:rPr>
        <w:t>is negative (specifically, -0.2</w:t>
      </w:r>
      <w:r w:rsidR="00F4706D">
        <w:rPr>
          <w:rFonts w:asciiTheme="majorBidi" w:hAnsiTheme="majorBidi" w:cstheme="majorBidi"/>
        </w:rPr>
        <w:t>1</w:t>
      </w:r>
      <w:r>
        <w:rPr>
          <w:rFonts w:asciiTheme="majorBidi" w:hAnsiTheme="majorBidi" w:cstheme="majorBidi"/>
        </w:rPr>
        <w:t xml:space="preserve">) while </w:t>
      </w:r>
      <m:oMath>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mc</m:t>
            </m:r>
          </m:sub>
        </m:sSub>
      </m:oMath>
      <w:r>
        <w:rPr>
          <w:rFonts w:asciiTheme="majorBidi" w:hAnsiTheme="majorBidi" w:cstheme="majorBidi"/>
        </w:rPr>
        <w:t xml:space="preserve"> is positive because Covid-19 deaths contribute to excess mortality, so omitting </w:t>
      </w:r>
      <m:oMath>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it</m:t>
            </m:r>
          </m:sub>
        </m:sSub>
      </m:oMath>
      <w:r>
        <w:rPr>
          <w:rFonts w:asciiTheme="majorBidi" w:hAnsiTheme="majorBidi" w:cstheme="majorBidi"/>
        </w:rPr>
        <w:t xml:space="preserve"> from the regression will bias the least-squares estimate of </w:t>
      </w:r>
      <m:oMath>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mv</m:t>
            </m:r>
          </m:sub>
        </m:sSub>
      </m:oMath>
      <w:r>
        <w:rPr>
          <w:rFonts w:asciiTheme="majorBidi" w:hAnsiTheme="majorBidi" w:cstheme="majorBidi"/>
        </w:rPr>
        <w:t xml:space="preserve"> downwards.</w:t>
      </w:r>
    </w:p>
    <w:p w:rsidR="00EC5239" w:rsidRDefault="002F1ADD" w:rsidP="009320DC">
      <w:pPr>
        <w:widowControl w:val="0"/>
        <w:spacing w:after="120" w:line="288" w:lineRule="auto"/>
        <w:ind w:firstLine="720"/>
        <w:jc w:val="both"/>
        <w:rPr>
          <w:rFonts w:asciiTheme="majorBidi" w:hAnsiTheme="majorBidi" w:cstheme="majorBidi"/>
        </w:rPr>
      </w:pPr>
      <w:r>
        <w:rPr>
          <w:rFonts w:asciiTheme="majorBidi" w:hAnsiTheme="majorBidi" w:cstheme="majorBidi"/>
        </w:rPr>
        <w:t xml:space="preserve">Two other features of equation (1) are notable. First, effects </w:t>
      </w:r>
      <w:r w:rsidR="007220C1">
        <w:rPr>
          <w:rFonts w:asciiTheme="majorBidi" w:hAnsiTheme="majorBidi" w:cstheme="majorBidi"/>
        </w:rPr>
        <w:t xml:space="preserve">are not required to </w:t>
      </w:r>
      <w:r>
        <w:rPr>
          <w:rFonts w:asciiTheme="majorBidi" w:hAnsiTheme="majorBidi" w:cstheme="majorBidi"/>
        </w:rPr>
        <w:t xml:space="preserve">unfold </w:t>
      </w:r>
      <w:r>
        <w:rPr>
          <w:rFonts w:asciiTheme="majorBidi" w:hAnsiTheme="majorBidi" w:cstheme="majorBidi"/>
        </w:rPr>
        <w:lastRenderedPageBreak/>
        <w:t xml:space="preserve">within a week; </w:t>
      </w:r>
      <w:proofErr w:type="spellStart"/>
      <w:r>
        <w:rPr>
          <w:rFonts w:asciiTheme="majorBidi" w:hAnsiTheme="majorBidi" w:cstheme="majorBidi"/>
          <w:i/>
          <w:iCs/>
        </w:rPr>
        <w:t>c</w:t>
      </w:r>
      <w:r w:rsidRPr="00A57F9D">
        <w:rPr>
          <w:rFonts w:asciiTheme="majorBidi" w:hAnsiTheme="majorBidi" w:cstheme="majorBidi"/>
          <w:i/>
          <w:iCs/>
          <w:vertAlign w:val="subscript"/>
        </w:rPr>
        <w:t>it</w:t>
      </w:r>
      <w:proofErr w:type="spellEnd"/>
      <w:r>
        <w:rPr>
          <w:rFonts w:asciiTheme="majorBidi" w:hAnsiTheme="majorBidi" w:cstheme="majorBidi"/>
        </w:rPr>
        <w:t xml:space="preserve"> </w:t>
      </w:r>
      <w:r w:rsidR="007220C1">
        <w:rPr>
          <w:rFonts w:asciiTheme="majorBidi" w:hAnsiTheme="majorBidi" w:cstheme="majorBidi"/>
        </w:rPr>
        <w:t xml:space="preserve">also </w:t>
      </w:r>
      <w:r>
        <w:rPr>
          <w:rFonts w:asciiTheme="majorBidi" w:hAnsiTheme="majorBidi" w:cstheme="majorBidi"/>
        </w:rPr>
        <w:t>reflects accumulated effect</w:t>
      </w:r>
      <w:r w:rsidR="007220C1">
        <w:rPr>
          <w:rFonts w:asciiTheme="majorBidi" w:hAnsiTheme="majorBidi" w:cstheme="majorBidi"/>
        </w:rPr>
        <w:t>s</w:t>
      </w:r>
      <w:r>
        <w:rPr>
          <w:rFonts w:asciiTheme="majorBidi" w:hAnsiTheme="majorBidi" w:cstheme="majorBidi"/>
        </w:rPr>
        <w:t xml:space="preserve"> of</w:t>
      </w:r>
      <w:r w:rsidR="007220C1">
        <w:rPr>
          <w:rFonts w:asciiTheme="majorBidi" w:hAnsiTheme="majorBidi" w:cstheme="majorBidi"/>
        </w:rPr>
        <w:t xml:space="preserve"> earlier</w:t>
      </w:r>
      <w:r>
        <w:rPr>
          <w:rFonts w:asciiTheme="majorBidi" w:hAnsiTheme="majorBidi" w:cstheme="majorBidi"/>
        </w:rPr>
        <w:t xml:space="preserve"> vaccinations. </w:t>
      </w:r>
      <w:r w:rsidR="007220C1">
        <w:rPr>
          <w:rFonts w:asciiTheme="majorBidi" w:hAnsiTheme="majorBidi" w:cstheme="majorBidi"/>
        </w:rPr>
        <w:t>A common timing criteria used in the pandemic was to classify any death within 28 days of a positive PCR test as a Covid-19 death. When lags are introduced below, that same timing is adhered to here, by estimating combined effect</w:t>
      </w:r>
      <w:r w:rsidR="009320DC">
        <w:rPr>
          <w:rFonts w:asciiTheme="majorBidi" w:hAnsiTheme="majorBidi" w:cstheme="majorBidi"/>
        </w:rPr>
        <w:t>s</w:t>
      </w:r>
      <w:r w:rsidR="007220C1">
        <w:rPr>
          <w:rFonts w:asciiTheme="majorBidi" w:hAnsiTheme="majorBidi" w:cstheme="majorBidi"/>
        </w:rPr>
        <w:t xml:space="preserve"> of the current week and prior three weeks. Second, the measure of </w:t>
      </w:r>
      <w:proofErr w:type="spellStart"/>
      <w:r w:rsidR="007220C1">
        <w:rPr>
          <w:rFonts w:asciiTheme="majorBidi" w:hAnsiTheme="majorBidi" w:cstheme="majorBidi"/>
          <w:i/>
          <w:iCs/>
        </w:rPr>
        <w:t>v</w:t>
      </w:r>
      <w:r w:rsidR="007220C1" w:rsidRPr="00A57F9D">
        <w:rPr>
          <w:rFonts w:asciiTheme="majorBidi" w:hAnsiTheme="majorBidi" w:cstheme="majorBidi"/>
          <w:i/>
          <w:iCs/>
          <w:vertAlign w:val="subscript"/>
        </w:rPr>
        <w:t>it</w:t>
      </w:r>
      <w:proofErr w:type="spellEnd"/>
      <w:r w:rsidR="00F4706D">
        <w:rPr>
          <w:rFonts w:asciiTheme="majorBidi" w:hAnsiTheme="majorBidi" w:cstheme="majorBidi"/>
        </w:rPr>
        <w:t xml:space="preserve"> is a flow rather than a stock;</w:t>
      </w:r>
      <w:r w:rsidR="007220C1">
        <w:rPr>
          <w:rFonts w:asciiTheme="majorBidi" w:hAnsiTheme="majorBidi" w:cstheme="majorBidi"/>
        </w:rPr>
        <w:t xml:space="preserve"> it is the number of </w:t>
      </w:r>
      <w:r w:rsidR="007220C1">
        <w:rPr>
          <w:rFonts w:asciiTheme="majorBidi" w:hAnsiTheme="majorBidi" w:cstheme="majorBidi"/>
          <w:i/>
          <w:iCs/>
        </w:rPr>
        <w:t>new</w:t>
      </w:r>
      <w:r w:rsidR="007220C1">
        <w:rPr>
          <w:rFonts w:asciiTheme="majorBidi" w:hAnsiTheme="majorBidi" w:cstheme="majorBidi"/>
        </w:rPr>
        <w:t xml:space="preserve"> doses per million rather than the stock of all previous doses. The problem for time-series analysis with the accumulated stock measure is non-stationarity: unless another non-stationary time-series is cointegrated </w:t>
      </w:r>
      <w:r w:rsidR="00EC5239">
        <w:rPr>
          <w:rFonts w:asciiTheme="majorBidi" w:hAnsiTheme="majorBidi" w:cstheme="majorBidi"/>
        </w:rPr>
        <w:t>(and p-scores are stationary</w:t>
      </w:r>
      <w:r w:rsidR="009320DC">
        <w:rPr>
          <w:rFonts w:asciiTheme="majorBidi" w:hAnsiTheme="majorBidi" w:cstheme="majorBidi"/>
        </w:rPr>
        <w:t xml:space="preserve"> so are not</w:t>
      </w:r>
      <w:r w:rsidR="00EC5239">
        <w:rPr>
          <w:rFonts w:asciiTheme="majorBidi" w:hAnsiTheme="majorBidi" w:cstheme="majorBidi"/>
        </w:rPr>
        <w:t xml:space="preserve">) one may </w:t>
      </w:r>
      <w:r w:rsidR="009320DC">
        <w:rPr>
          <w:rFonts w:asciiTheme="majorBidi" w:hAnsiTheme="majorBidi" w:cstheme="majorBidi"/>
        </w:rPr>
        <w:t xml:space="preserve">face </w:t>
      </w:r>
      <w:r w:rsidR="00EC5239">
        <w:rPr>
          <w:rFonts w:asciiTheme="majorBidi" w:hAnsiTheme="majorBidi" w:cstheme="majorBidi"/>
        </w:rPr>
        <w:t xml:space="preserve">spurious regression </w:t>
      </w:r>
      <w:r w:rsidR="009320DC">
        <w:rPr>
          <w:rFonts w:asciiTheme="majorBidi" w:hAnsiTheme="majorBidi" w:cstheme="majorBidi"/>
        </w:rPr>
        <w:t>issue</w:t>
      </w:r>
      <w:r w:rsidR="00EC5239">
        <w:rPr>
          <w:rFonts w:asciiTheme="majorBidi" w:hAnsiTheme="majorBidi" w:cstheme="majorBidi"/>
        </w:rPr>
        <w:t xml:space="preserve">s. One modelling approach with non-stationary time-series is to first </w:t>
      </w:r>
      <w:r w:rsidR="00D705C1">
        <w:rPr>
          <w:rFonts w:asciiTheme="majorBidi" w:hAnsiTheme="majorBidi" w:cstheme="majorBidi"/>
        </w:rPr>
        <w:t>difference the data. T</w:t>
      </w:r>
      <w:r w:rsidR="00EC5239">
        <w:rPr>
          <w:rFonts w:asciiTheme="majorBidi" w:hAnsiTheme="majorBidi" w:cstheme="majorBidi"/>
        </w:rPr>
        <w:t xml:space="preserve">he incidence of new doses used here is the first difference of the </w:t>
      </w:r>
      <w:r w:rsidR="00D705C1">
        <w:rPr>
          <w:rFonts w:asciiTheme="majorBidi" w:hAnsiTheme="majorBidi" w:cstheme="majorBidi"/>
        </w:rPr>
        <w:t>any-doses stock</w:t>
      </w:r>
      <w:r w:rsidR="00EC5239">
        <w:rPr>
          <w:rFonts w:asciiTheme="majorBidi" w:hAnsiTheme="majorBidi" w:cstheme="majorBidi"/>
        </w:rPr>
        <w:t>. Also, the approach used here handles booster</w:t>
      </w:r>
      <w:r w:rsidR="00D705C1">
        <w:rPr>
          <w:rFonts w:asciiTheme="majorBidi" w:hAnsiTheme="majorBidi" w:cstheme="majorBidi"/>
        </w:rPr>
        <w:t>s</w:t>
      </w:r>
      <w:r w:rsidR="00EC5239">
        <w:rPr>
          <w:rFonts w:asciiTheme="majorBidi" w:hAnsiTheme="majorBidi" w:cstheme="majorBidi"/>
        </w:rPr>
        <w:t xml:space="preserve">; </w:t>
      </w:r>
      <w:proofErr w:type="spellStart"/>
      <w:r w:rsidR="00EC5239">
        <w:rPr>
          <w:rFonts w:asciiTheme="majorBidi" w:hAnsiTheme="majorBidi" w:cstheme="majorBidi"/>
          <w:i/>
          <w:iCs/>
        </w:rPr>
        <w:t>v</w:t>
      </w:r>
      <w:r w:rsidR="00EC5239" w:rsidRPr="00A57F9D">
        <w:rPr>
          <w:rFonts w:asciiTheme="majorBidi" w:hAnsiTheme="majorBidi" w:cstheme="majorBidi"/>
          <w:i/>
          <w:iCs/>
          <w:vertAlign w:val="subscript"/>
        </w:rPr>
        <w:t>it</w:t>
      </w:r>
      <w:proofErr w:type="spellEnd"/>
      <w:r w:rsidR="00EC5239">
        <w:rPr>
          <w:rFonts w:asciiTheme="majorBidi" w:hAnsiTheme="majorBidi" w:cstheme="majorBidi"/>
        </w:rPr>
        <w:t xml:space="preserve"> is measured the same whether the 1</w:t>
      </w:r>
      <w:r w:rsidR="00EC5239" w:rsidRPr="00EC5239">
        <w:rPr>
          <w:rFonts w:asciiTheme="majorBidi" w:hAnsiTheme="majorBidi" w:cstheme="majorBidi"/>
          <w:vertAlign w:val="superscript"/>
        </w:rPr>
        <w:t>st</w:t>
      </w:r>
      <w:r w:rsidR="00EC5239">
        <w:rPr>
          <w:rFonts w:asciiTheme="majorBidi" w:hAnsiTheme="majorBidi" w:cstheme="majorBidi"/>
        </w:rPr>
        <w:t>, 2</w:t>
      </w:r>
      <w:r w:rsidR="00EC5239" w:rsidRPr="00EC5239">
        <w:rPr>
          <w:rFonts w:asciiTheme="majorBidi" w:hAnsiTheme="majorBidi" w:cstheme="majorBidi"/>
          <w:vertAlign w:val="superscript"/>
        </w:rPr>
        <w:t>nd</w:t>
      </w:r>
      <w:r w:rsidR="00EC5239">
        <w:rPr>
          <w:rFonts w:asciiTheme="majorBidi" w:hAnsiTheme="majorBidi" w:cstheme="majorBidi"/>
        </w:rPr>
        <w:t>, 3</w:t>
      </w:r>
      <w:r w:rsidR="00EC5239" w:rsidRPr="00EC5239">
        <w:rPr>
          <w:rFonts w:asciiTheme="majorBidi" w:hAnsiTheme="majorBidi" w:cstheme="majorBidi"/>
          <w:vertAlign w:val="superscript"/>
        </w:rPr>
        <w:t>rd</w:t>
      </w:r>
      <w:r w:rsidR="00EC5239">
        <w:rPr>
          <w:rFonts w:asciiTheme="majorBidi" w:hAnsiTheme="majorBidi" w:cstheme="majorBidi"/>
        </w:rPr>
        <w:t xml:space="preserve"> or </w:t>
      </w:r>
      <w:r w:rsidR="00EC5239" w:rsidRPr="00EC5239">
        <w:rPr>
          <w:rFonts w:asciiTheme="majorBidi" w:hAnsiTheme="majorBidi" w:cstheme="majorBidi"/>
          <w:i/>
          <w:iCs/>
        </w:rPr>
        <w:t>n</w:t>
      </w:r>
      <w:r w:rsidR="00EC5239" w:rsidRPr="00EC5239">
        <w:rPr>
          <w:rFonts w:asciiTheme="majorBidi" w:hAnsiTheme="majorBidi" w:cstheme="majorBidi"/>
          <w:vertAlign w:val="superscript"/>
        </w:rPr>
        <w:t>th</w:t>
      </w:r>
      <w:r w:rsidR="00EC5239">
        <w:rPr>
          <w:rFonts w:asciiTheme="majorBidi" w:hAnsiTheme="majorBidi" w:cstheme="majorBidi"/>
        </w:rPr>
        <w:t xml:space="preserve"> dose </w:t>
      </w:r>
      <w:r w:rsidR="00D705C1">
        <w:rPr>
          <w:rFonts w:asciiTheme="majorBidi" w:hAnsiTheme="majorBidi" w:cstheme="majorBidi"/>
        </w:rPr>
        <w:t xml:space="preserve">is </w:t>
      </w:r>
      <w:r w:rsidR="00EC5239">
        <w:rPr>
          <w:rFonts w:asciiTheme="majorBidi" w:hAnsiTheme="majorBidi" w:cstheme="majorBidi"/>
        </w:rPr>
        <w:t xml:space="preserve">administered. </w:t>
      </w:r>
      <w:r w:rsidR="00D705C1">
        <w:rPr>
          <w:rFonts w:asciiTheme="majorBidi" w:hAnsiTheme="majorBidi" w:cstheme="majorBidi"/>
        </w:rPr>
        <w:t>In contrast, a</w:t>
      </w:r>
      <w:r w:rsidR="00EC5239">
        <w:rPr>
          <w:rFonts w:asciiTheme="majorBidi" w:hAnsiTheme="majorBidi" w:cstheme="majorBidi"/>
        </w:rPr>
        <w:t>nalyses of vaccination rates</w:t>
      </w:r>
      <w:r w:rsidR="00D705C1">
        <w:rPr>
          <w:rFonts w:asciiTheme="majorBidi" w:hAnsiTheme="majorBidi" w:cstheme="majorBidi"/>
        </w:rPr>
        <w:t xml:space="preserve"> may be affected by </w:t>
      </w:r>
      <w:r w:rsidR="00EC5239">
        <w:rPr>
          <w:rFonts w:asciiTheme="majorBidi" w:hAnsiTheme="majorBidi" w:cstheme="majorBidi"/>
        </w:rPr>
        <w:t xml:space="preserve">changing definitions of what fully-dosed means. </w:t>
      </w:r>
    </w:p>
    <w:p w:rsidR="002C66E0" w:rsidRPr="00F0528B" w:rsidRDefault="002C66E0" w:rsidP="002C66E0">
      <w:pPr>
        <w:widowControl w:val="0"/>
        <w:spacing w:after="0" w:line="360" w:lineRule="auto"/>
        <w:rPr>
          <w:rFonts w:asciiTheme="majorBidi" w:hAnsiTheme="majorBidi" w:cstheme="majorBidi"/>
          <w:b/>
          <w:bCs/>
          <w:color w:val="000000" w:themeColor="text1"/>
          <w:shd w:val="clear" w:color="auto" w:fill="FFFFFF"/>
        </w:rPr>
      </w:pPr>
      <w:r>
        <w:rPr>
          <w:rFonts w:asciiTheme="majorBidi" w:hAnsiTheme="majorBidi" w:cstheme="majorBidi"/>
          <w:b/>
          <w:bCs/>
          <w:color w:val="000000" w:themeColor="text1"/>
          <w:shd w:val="clear" w:color="auto" w:fill="FFFFFF"/>
        </w:rPr>
        <w:t>Results</w:t>
      </w:r>
    </w:p>
    <w:p w:rsidR="00EF6477" w:rsidRDefault="002C66E0" w:rsidP="002748E7">
      <w:pPr>
        <w:widowControl w:val="0"/>
        <w:spacing w:after="120" w:line="288" w:lineRule="auto"/>
        <w:ind w:firstLine="720"/>
        <w:jc w:val="both"/>
        <w:rPr>
          <w:rFonts w:asciiTheme="majorBidi" w:hAnsiTheme="majorBidi" w:cstheme="majorBidi"/>
        </w:rPr>
      </w:pPr>
      <w:r w:rsidRPr="002C66E0">
        <w:rPr>
          <w:rFonts w:asciiTheme="majorBidi" w:hAnsiTheme="majorBidi" w:cstheme="majorBidi"/>
        </w:rPr>
        <w:t>Figure 1 shows the sort of variation the databases reveal</w:t>
      </w:r>
      <w:r w:rsidR="002748E7">
        <w:rPr>
          <w:rFonts w:asciiTheme="majorBidi" w:hAnsiTheme="majorBidi" w:cstheme="majorBidi"/>
        </w:rPr>
        <w:t xml:space="preserve">, using scatter plots of excess </w:t>
      </w:r>
      <w:r w:rsidRPr="002C66E0">
        <w:rPr>
          <w:rFonts w:asciiTheme="majorBidi" w:hAnsiTheme="majorBidi" w:cstheme="majorBidi"/>
        </w:rPr>
        <w:t>mortality (from OWID) and vaccination incidence (both in standard deviation units). Points in the scatter plots are for different weeks of 2021. Panel A shows results for a single country (France is used as the exemplar) and panel B shows averages across all 32 countries by week. Weeks with a higher vaccination incidence have higher excess mortality rates; the correlation coefficie</w:t>
      </w:r>
      <w:r w:rsidR="00916314">
        <w:rPr>
          <w:rFonts w:asciiTheme="majorBidi" w:hAnsiTheme="majorBidi" w:cstheme="majorBidi"/>
        </w:rPr>
        <w:t>nts are 0.54 for France and 0.43</w:t>
      </w:r>
      <w:r w:rsidRPr="002C66E0">
        <w:rPr>
          <w:rFonts w:asciiTheme="majorBidi" w:hAnsiTheme="majorBidi" w:cstheme="majorBidi"/>
        </w:rPr>
        <w:t xml:space="preserve"> for the all-country averages (</w:t>
      </w:r>
      <w:r w:rsidRPr="002C66E0">
        <w:rPr>
          <w:rFonts w:asciiTheme="majorBidi" w:hAnsiTheme="majorBidi" w:cstheme="majorBidi"/>
          <w:i/>
          <w:iCs/>
        </w:rPr>
        <w:t>p</w:t>
      </w:r>
      <w:r w:rsidR="009320DC">
        <w:rPr>
          <w:rFonts w:asciiTheme="majorBidi" w:hAnsiTheme="majorBidi" w:cstheme="majorBidi"/>
        </w:rPr>
        <w:t>&lt;0.</w:t>
      </w:r>
      <w:r w:rsidRPr="002C66E0">
        <w:rPr>
          <w:rFonts w:asciiTheme="majorBidi" w:hAnsiTheme="majorBidi" w:cstheme="majorBidi"/>
        </w:rPr>
        <w:t>0</w:t>
      </w:r>
      <w:r w:rsidR="00916314">
        <w:rPr>
          <w:rFonts w:asciiTheme="majorBidi" w:hAnsiTheme="majorBidi" w:cstheme="majorBidi"/>
        </w:rPr>
        <w:t>0</w:t>
      </w:r>
      <w:r w:rsidRPr="002C66E0">
        <w:rPr>
          <w:rFonts w:asciiTheme="majorBidi" w:hAnsiTheme="majorBidi" w:cstheme="majorBidi"/>
        </w:rPr>
        <w:t>1 in both cases).</w:t>
      </w:r>
    </w:p>
    <w:p w:rsidR="002C66E0" w:rsidRDefault="00326B05" w:rsidP="002C66E0">
      <w:pPr>
        <w:widowControl w:val="0"/>
        <w:spacing w:after="120" w:line="288" w:lineRule="auto"/>
        <w:jc w:val="both"/>
        <w:rPr>
          <w:rFonts w:asciiTheme="majorBidi" w:hAnsiTheme="majorBidi" w:cstheme="majorBidi"/>
        </w:rPr>
      </w:pPr>
      <w:r w:rsidRPr="00326B05">
        <w:rPr>
          <w:rFonts w:asciiTheme="majorBidi" w:hAnsiTheme="majorBidi" w:cstheme="majorBidi"/>
          <w:noProof/>
          <w:lang w:eastAsia="zh-CN"/>
        </w:rPr>
        <w:drawing>
          <wp:inline distT="0" distB="0" distL="0" distR="0">
            <wp:extent cx="5812971" cy="422761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3855" cy="4242804"/>
                    </a:xfrm>
                    <a:prstGeom prst="rect">
                      <a:avLst/>
                    </a:prstGeom>
                    <a:noFill/>
                    <a:ln>
                      <a:noFill/>
                    </a:ln>
                  </pic:spPr>
                </pic:pic>
              </a:graphicData>
            </a:graphic>
          </wp:inline>
        </w:drawing>
      </w:r>
    </w:p>
    <w:p w:rsidR="002C66E0" w:rsidRDefault="002C66E0" w:rsidP="002C66E0">
      <w:pPr>
        <w:widowControl w:val="0"/>
        <w:spacing w:after="120" w:line="288" w:lineRule="auto"/>
        <w:ind w:firstLine="720"/>
        <w:jc w:val="both"/>
        <w:rPr>
          <w:rFonts w:asciiTheme="majorBidi" w:hAnsiTheme="majorBidi" w:cstheme="majorBidi"/>
        </w:rPr>
      </w:pPr>
    </w:p>
    <w:p w:rsidR="00015EC2" w:rsidRDefault="00015EC2" w:rsidP="00015EC2">
      <w:pPr>
        <w:widowControl w:val="0"/>
        <w:spacing w:after="120" w:line="288" w:lineRule="auto"/>
        <w:ind w:firstLine="720"/>
        <w:jc w:val="both"/>
        <w:rPr>
          <w:rFonts w:asciiTheme="majorBidi" w:hAnsiTheme="majorBidi" w:cstheme="majorBidi"/>
          <w:color w:val="202124"/>
          <w:shd w:val="clear" w:color="auto" w:fill="FFFFFF"/>
        </w:rPr>
      </w:pPr>
      <w:r w:rsidRPr="00015EC2">
        <w:rPr>
          <w:rFonts w:asciiTheme="majorBidi" w:hAnsiTheme="majorBidi" w:cstheme="majorBidi"/>
        </w:rPr>
        <w:lastRenderedPageBreak/>
        <w:t>The</w:t>
      </w:r>
      <w:r>
        <w:rPr>
          <w:rFonts w:asciiTheme="majorBidi" w:hAnsiTheme="majorBidi" w:cstheme="majorBidi"/>
          <w:color w:val="202124"/>
          <w:shd w:val="clear" w:color="auto" w:fill="FFFFFF"/>
        </w:rPr>
        <w:t xml:space="preserve"> Figure 1 scatter plots show ‘within’ variation, from differences over time around the mean for a particular country. There is also between-country variation, given the differing experiences of the 32 countries. If country-specific factors are correlated with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it</m:t>
            </m:r>
          </m:sub>
        </m:sSub>
        <m:r>
          <w:rPr>
            <w:rFonts w:ascii="Cambria Math" w:hAnsi="Cambria Math" w:cstheme="majorBidi"/>
          </w:rPr>
          <m:t xml:space="preserve"> </m:t>
        </m:r>
        <m:r>
          <m:rPr>
            <m:sty m:val="p"/>
          </m:rPr>
          <w:rPr>
            <w:rFonts w:ascii="Cambria Math" w:hAnsi="Cambria Math" w:cstheme="majorBidi"/>
          </w:rPr>
          <m:t>and</m:t>
        </m:r>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it</m:t>
            </m:r>
          </m:sub>
        </m:sSub>
        <m:r>
          <w:rPr>
            <w:rFonts w:ascii="Cambria Math" w:hAnsi="Cambria Math" w:cstheme="majorBidi"/>
          </w:rPr>
          <m:t>,</m:t>
        </m:r>
      </m:oMath>
      <w:r>
        <w:rPr>
          <w:rFonts w:asciiTheme="majorBidi" w:hAnsiTheme="majorBidi" w:cstheme="majorBidi"/>
        </w:rPr>
        <w:t xml:space="preserve"> the least squares estimator of </w:t>
      </w:r>
      <m:oMath>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mv</m:t>
            </m:r>
          </m:sub>
        </m:sSub>
      </m:oMath>
      <w:r>
        <w:rPr>
          <w:rFonts w:asciiTheme="majorBidi" w:hAnsiTheme="majorBidi" w:cstheme="majorBidi"/>
        </w:rPr>
        <w:t xml:space="preserve"> will be biased. For example, a country with an aged population likely has a higher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it</m:t>
            </m:r>
          </m:sub>
        </m:sSub>
      </m:oMath>
      <w:r w:rsidRPr="007F2AB5">
        <w:rPr>
          <w:rFonts w:asciiTheme="majorBidi" w:hAnsiTheme="majorBidi" w:cstheme="majorBidi"/>
        </w:rPr>
        <w:t xml:space="preserve"> </w:t>
      </w:r>
      <w:r>
        <w:rPr>
          <w:rFonts w:asciiTheme="majorBidi" w:hAnsiTheme="majorBidi" w:cstheme="majorBidi"/>
        </w:rPr>
        <w:t xml:space="preserve">and potentially higher </w:t>
      </w: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it</m:t>
            </m:r>
          </m:sub>
        </m:sSub>
      </m:oMath>
      <w:r>
        <w:rPr>
          <w:rFonts w:asciiTheme="majorBidi" w:hAnsiTheme="majorBidi" w:cstheme="majorBidi"/>
        </w:rPr>
        <w:t xml:space="preserve"> if they vaccinated faster due to their </w:t>
      </w:r>
      <w:r w:rsidR="009320DC">
        <w:rPr>
          <w:rFonts w:asciiTheme="majorBidi" w:hAnsiTheme="majorBidi" w:cstheme="majorBidi"/>
        </w:rPr>
        <w:t xml:space="preserve">greater </w:t>
      </w:r>
      <w:proofErr w:type="spellStart"/>
      <w:r w:rsidR="00F5700D">
        <w:rPr>
          <w:rFonts w:asciiTheme="majorBidi" w:hAnsiTheme="majorBidi" w:cstheme="majorBidi"/>
        </w:rPr>
        <w:t>Covid</w:t>
      </w:r>
      <w:proofErr w:type="spellEnd"/>
      <w:r w:rsidR="00F5700D">
        <w:rPr>
          <w:rFonts w:asciiTheme="majorBidi" w:hAnsiTheme="majorBidi" w:cstheme="majorBidi"/>
        </w:rPr>
        <w:t xml:space="preserve"> risk for</w:t>
      </w:r>
      <w:r w:rsidR="009320DC">
        <w:rPr>
          <w:rFonts w:asciiTheme="majorBidi" w:hAnsiTheme="majorBidi" w:cstheme="majorBidi"/>
        </w:rPr>
        <w:t xml:space="preserve"> an </w:t>
      </w:r>
      <w:r>
        <w:rPr>
          <w:rFonts w:asciiTheme="majorBidi" w:hAnsiTheme="majorBidi" w:cstheme="majorBidi"/>
        </w:rPr>
        <w:t xml:space="preserve">elderly population. Country-specific intercepts (‘fixed effects’) are included in equation (1) to deal with this omitted variables bias. These fixed effects also deal with factors, such as variation in population growth rates, that could make the expected number of deaths in each week based on 2015-19 data a poor basis for judging a given number of deaths in 2021 as “excess”. The country-specific intercepts soak up these </w:t>
      </w:r>
      <w:r w:rsidR="002748E7">
        <w:rPr>
          <w:rFonts w:asciiTheme="majorBidi" w:hAnsiTheme="majorBidi" w:cstheme="majorBidi"/>
        </w:rPr>
        <w:t xml:space="preserve">various </w:t>
      </w:r>
      <w:r>
        <w:rPr>
          <w:rFonts w:asciiTheme="majorBidi" w:hAnsiTheme="majorBidi" w:cstheme="majorBidi"/>
        </w:rPr>
        <w:t>effects.</w:t>
      </w:r>
    </w:p>
    <w:p w:rsidR="002C66E0" w:rsidRPr="002C66E0" w:rsidRDefault="00015EC2" w:rsidP="00015EC2">
      <w:pPr>
        <w:widowControl w:val="0"/>
        <w:spacing w:after="120" w:line="288" w:lineRule="auto"/>
        <w:ind w:firstLine="720"/>
        <w:jc w:val="both"/>
        <w:rPr>
          <w:rFonts w:asciiTheme="majorBidi" w:hAnsiTheme="majorBidi" w:cstheme="majorBidi"/>
        </w:rPr>
      </w:pPr>
      <w:r w:rsidRPr="009320DC">
        <w:rPr>
          <w:rFonts w:asciiTheme="majorBidi" w:hAnsiTheme="majorBidi" w:cstheme="majorBidi"/>
          <w:color w:val="000000" w:themeColor="text1"/>
          <w:shd w:val="clear" w:color="auto" w:fill="FFFFFF"/>
        </w:rPr>
        <w:t xml:space="preserve">Figure 2 shows the two pathways from vaccination to mortality, using OWID p-scores to estimate equation (1) with country fixed effects. A one standard deviation (SD) higher incidence of vaccination is associated with one-seventh (0.14) of a SD higher excess mortality, </w:t>
      </w:r>
      <w:r w:rsidRPr="009320DC">
        <w:rPr>
          <w:rFonts w:asciiTheme="majorBidi" w:hAnsiTheme="majorBidi" w:cstheme="majorBidi"/>
          <w:i/>
          <w:iCs/>
          <w:color w:val="000000" w:themeColor="text1"/>
          <w:shd w:val="clear" w:color="auto" w:fill="FFFFFF"/>
        </w:rPr>
        <w:t>ceteris paribus</w:t>
      </w:r>
      <w:r w:rsidRPr="009320DC">
        <w:rPr>
          <w:rFonts w:asciiTheme="majorBidi" w:hAnsiTheme="majorBidi" w:cstheme="majorBidi"/>
          <w:color w:val="000000" w:themeColor="text1"/>
          <w:shd w:val="clear" w:color="auto" w:fill="FFFFFF"/>
        </w:rPr>
        <w:t xml:space="preserve">. Parameter uncertainty (the standard errors) is estimated with a robust sandwich estimator of the variance clustered at country level. This is because the </w:t>
      </w:r>
      <w:r w:rsidRPr="009320DC">
        <w:rPr>
          <w:rFonts w:asciiTheme="majorBidi" w:hAnsiTheme="majorBidi" w:cstheme="majorBidi"/>
          <w:i/>
          <w:iCs/>
          <w:color w:val="000000" w:themeColor="text1"/>
          <w:shd w:val="clear" w:color="auto" w:fill="FFFFFF"/>
        </w:rPr>
        <w:t>n</w:t>
      </w:r>
      <w:r w:rsidR="00AF1094">
        <w:rPr>
          <w:rFonts w:asciiTheme="majorBidi" w:hAnsiTheme="majorBidi" w:cstheme="majorBidi"/>
          <w:color w:val="000000" w:themeColor="text1"/>
          <w:shd w:val="clear" w:color="auto" w:fill="FFFFFF"/>
        </w:rPr>
        <w:t>=1,116</w:t>
      </w:r>
      <w:r w:rsidRPr="009320DC">
        <w:rPr>
          <w:rFonts w:asciiTheme="majorBidi" w:hAnsiTheme="majorBidi" w:cstheme="majorBidi"/>
          <w:color w:val="000000" w:themeColor="text1"/>
          <w:shd w:val="clear" w:color="auto" w:fill="FFFFFF"/>
        </w:rPr>
        <w:t xml:space="preserve"> data points are from repeatedly observing 32 countries, which is less inf</w:t>
      </w:r>
      <w:r w:rsidR="00AF1094">
        <w:rPr>
          <w:rFonts w:asciiTheme="majorBidi" w:hAnsiTheme="majorBidi" w:cstheme="majorBidi"/>
          <w:color w:val="000000" w:themeColor="text1"/>
          <w:shd w:val="clear" w:color="auto" w:fill="FFFFFF"/>
        </w:rPr>
        <w:t>ormative than 1,116</w:t>
      </w:r>
      <w:r w:rsidRPr="009320DC">
        <w:rPr>
          <w:rFonts w:asciiTheme="majorBidi" w:hAnsiTheme="majorBidi" w:cstheme="majorBidi"/>
          <w:color w:val="000000" w:themeColor="text1"/>
          <w:shd w:val="clear" w:color="auto" w:fill="FFFFFF"/>
        </w:rPr>
        <w:t xml:space="preserve"> independent  observations (although four-fifths of the variation explained by the regression is from within-country variation); the clustered errors allow for any within-country correlations.</w:t>
      </w:r>
      <w:r w:rsidR="00AF1094">
        <w:rPr>
          <w:rStyle w:val="FootnoteReference"/>
          <w:rFonts w:asciiTheme="majorBidi" w:hAnsiTheme="majorBidi" w:cstheme="majorBidi"/>
          <w:color w:val="000000" w:themeColor="text1"/>
          <w:shd w:val="clear" w:color="auto" w:fill="FFFFFF"/>
        </w:rPr>
        <w:footnoteReference w:id="7"/>
      </w:r>
      <w:r w:rsidRPr="009320DC">
        <w:rPr>
          <w:rFonts w:asciiTheme="majorBidi" w:hAnsiTheme="majorBidi" w:cstheme="majorBidi"/>
          <w:color w:val="000000" w:themeColor="text1"/>
          <w:shd w:val="clear" w:color="auto" w:fill="FFFFFF"/>
        </w:rPr>
        <w:t xml:space="preserve"> For example, the standard error for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β</m:t>
            </m:r>
          </m:e>
          <m:sub>
            <m:r>
              <w:rPr>
                <w:rFonts w:ascii="Cambria Math" w:hAnsi="Cambria Math" w:cstheme="majorBidi"/>
                <w:color w:val="000000" w:themeColor="text1"/>
              </w:rPr>
              <m:t>mv</m:t>
            </m:r>
          </m:sub>
        </m:sSub>
      </m:oMath>
      <w:r w:rsidRPr="009320DC">
        <w:rPr>
          <w:rFonts w:asciiTheme="majorBidi" w:hAnsiTheme="majorBidi" w:cstheme="majorBidi"/>
          <w:color w:val="000000" w:themeColor="text1"/>
        </w:rPr>
        <w:t xml:space="preserve"> </w:t>
      </w:r>
      <w:r w:rsidRPr="009320DC">
        <w:rPr>
          <w:rFonts w:asciiTheme="majorBidi" w:hAnsiTheme="majorBidi" w:cstheme="majorBidi"/>
          <w:color w:val="000000" w:themeColor="text1"/>
          <w:shd w:val="clear" w:color="auto" w:fill="FFFFFF"/>
        </w:rPr>
        <w:t xml:space="preserve">is 0.038 (95% CI of </w:t>
      </w:r>
      <w:r w:rsidR="009320DC" w:rsidRPr="009320DC">
        <w:rPr>
          <w:rFonts w:asciiTheme="majorBidi" w:hAnsiTheme="majorBidi" w:cstheme="majorBidi"/>
          <w:color w:val="000000" w:themeColor="text1"/>
          <w:shd w:val="clear" w:color="auto" w:fill="FFFFFF"/>
        </w:rPr>
        <w:t xml:space="preserve">0.06 to 0.22); if a robust but </w:t>
      </w:r>
      <w:r w:rsidRPr="009320DC">
        <w:rPr>
          <w:rFonts w:asciiTheme="majorBidi" w:hAnsiTheme="majorBidi" w:cstheme="majorBidi"/>
          <w:color w:val="000000" w:themeColor="text1"/>
          <w:shd w:val="clear" w:color="auto" w:fill="FFFFFF"/>
        </w:rPr>
        <w:t xml:space="preserve">not clustered variance-covariance estimator is used, the standard error is just 0.020 (95% CI for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β</m:t>
            </m:r>
          </m:e>
          <m:sub>
            <m:r>
              <w:rPr>
                <w:rFonts w:ascii="Cambria Math" w:hAnsi="Cambria Math" w:cstheme="majorBidi"/>
                <w:color w:val="000000" w:themeColor="text1"/>
              </w:rPr>
              <m:t>mv</m:t>
            </m:r>
          </m:sub>
        </m:sSub>
      </m:oMath>
      <w:r w:rsidRPr="009320DC">
        <w:rPr>
          <w:rFonts w:asciiTheme="majorBidi" w:hAnsiTheme="majorBidi" w:cstheme="majorBidi"/>
          <w:color w:val="000000" w:themeColor="text1"/>
        </w:rPr>
        <w:t xml:space="preserve"> </w:t>
      </w:r>
      <w:r w:rsidRPr="009320DC">
        <w:rPr>
          <w:rFonts w:asciiTheme="majorBidi" w:hAnsiTheme="majorBidi" w:cstheme="majorBidi"/>
          <w:color w:val="000000" w:themeColor="text1"/>
          <w:shd w:val="clear" w:color="auto" w:fill="FFFFFF"/>
        </w:rPr>
        <w:t xml:space="preserve">of 0.10 to 0.18). The </w:t>
      </w:r>
      <w:r w:rsidRPr="00061AA4">
        <w:rPr>
          <w:rFonts w:asciiTheme="majorBidi" w:hAnsiTheme="majorBidi" w:cstheme="majorBidi"/>
          <w:color w:val="000000" w:themeColor="text1"/>
          <w:shd w:val="clear" w:color="auto" w:fill="FFFFFF"/>
          <w:vertAlign w:val="superscript"/>
        </w:rPr>
        <w:t>***</w:t>
      </w:r>
      <w:r w:rsidRPr="009320DC">
        <w:rPr>
          <w:rFonts w:asciiTheme="majorBidi" w:hAnsiTheme="majorBidi" w:cstheme="majorBidi"/>
          <w:color w:val="000000" w:themeColor="text1"/>
          <w:shd w:val="clear" w:color="auto" w:fill="FFFFFF"/>
        </w:rPr>
        <w:t xml:space="preserve"> used in the figure denote</w:t>
      </w:r>
      <w:r w:rsidR="00061AA4">
        <w:rPr>
          <w:rFonts w:asciiTheme="majorBidi" w:hAnsiTheme="majorBidi" w:cstheme="majorBidi"/>
          <w:color w:val="000000" w:themeColor="text1"/>
          <w:shd w:val="clear" w:color="auto" w:fill="FFFFFF"/>
        </w:rPr>
        <w:t>s</w:t>
      </w:r>
      <w:r w:rsidRPr="009320DC">
        <w:rPr>
          <w:rFonts w:asciiTheme="majorBidi" w:hAnsiTheme="majorBidi" w:cstheme="majorBidi"/>
          <w:color w:val="000000" w:themeColor="text1"/>
          <w:shd w:val="clear" w:color="auto" w:fill="FFFFFF"/>
        </w:rPr>
        <w:t xml:space="preserve"> statistical significance at the </w:t>
      </w:r>
      <w:r w:rsidRPr="009320DC">
        <w:rPr>
          <w:rFonts w:asciiTheme="majorBidi" w:hAnsiTheme="majorBidi" w:cstheme="majorBidi"/>
          <w:i/>
          <w:iCs/>
          <w:color w:val="000000" w:themeColor="text1"/>
          <w:shd w:val="clear" w:color="auto" w:fill="FFFFFF"/>
        </w:rPr>
        <w:t>p</w:t>
      </w:r>
      <w:r w:rsidRPr="009320DC">
        <w:rPr>
          <w:rFonts w:asciiTheme="majorBidi" w:hAnsiTheme="majorBidi" w:cstheme="majorBidi"/>
          <w:color w:val="000000" w:themeColor="text1"/>
          <w:shd w:val="clear" w:color="auto" w:fill="FFFFFF"/>
        </w:rPr>
        <w:t>&lt;0.01 level.</w:t>
      </w:r>
    </w:p>
    <w:p w:rsidR="00EF6477" w:rsidRDefault="00DD3DDA" w:rsidP="00DD3DDA">
      <w:pPr>
        <w:spacing w:after="0" w:line="480" w:lineRule="auto"/>
        <w:jc w:val="center"/>
        <w:rPr>
          <w:rFonts w:asciiTheme="majorBidi" w:hAnsiTheme="majorBidi" w:cstheme="majorBidi"/>
        </w:rPr>
      </w:pPr>
      <w:r>
        <w:rPr>
          <w:noProof/>
          <w:lang w:eastAsia="zh-CN"/>
        </w:rPr>
        <w:drawing>
          <wp:inline distT="0" distB="0" distL="0" distR="0" wp14:anchorId="67402574" wp14:editId="2111EE4C">
            <wp:extent cx="5731510" cy="14135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413510"/>
                    </a:xfrm>
                    <a:prstGeom prst="rect">
                      <a:avLst/>
                    </a:prstGeom>
                  </pic:spPr>
                </pic:pic>
              </a:graphicData>
            </a:graphic>
          </wp:inline>
        </w:drawing>
      </w:r>
    </w:p>
    <w:p w:rsidR="00015EC2" w:rsidRDefault="00015EC2" w:rsidP="00F4706D">
      <w:pPr>
        <w:widowControl w:val="0"/>
        <w:spacing w:after="120" w:line="288" w:lineRule="auto"/>
        <w:ind w:firstLine="720"/>
        <w:jc w:val="both"/>
        <w:rPr>
          <w:rFonts w:asciiTheme="majorBidi" w:hAnsiTheme="majorBidi" w:cstheme="majorBidi"/>
          <w:color w:val="202124"/>
          <w:shd w:val="clear" w:color="auto" w:fill="FFFFFF"/>
        </w:rPr>
      </w:pPr>
      <w:r>
        <w:rPr>
          <w:rFonts w:asciiTheme="majorBidi" w:hAnsiTheme="majorBidi" w:cstheme="majorBidi"/>
          <w:color w:val="202124"/>
          <w:shd w:val="clear" w:color="auto" w:fill="FFFFFF"/>
        </w:rPr>
        <w:t>The ‘</w:t>
      </w:r>
      <w:proofErr w:type="spellStart"/>
      <w:r>
        <w:rPr>
          <w:rFonts w:asciiTheme="majorBidi" w:hAnsiTheme="majorBidi" w:cstheme="majorBidi"/>
          <w:color w:val="202124"/>
          <w:shd w:val="clear" w:color="auto" w:fill="FFFFFF"/>
        </w:rPr>
        <w:t>Covid</w:t>
      </w:r>
      <w:proofErr w:type="spellEnd"/>
      <w:r>
        <w:rPr>
          <w:rFonts w:asciiTheme="majorBidi" w:hAnsiTheme="majorBidi" w:cstheme="majorBidi"/>
          <w:color w:val="202124"/>
          <w:shd w:val="clear" w:color="auto" w:fill="FFFFFF"/>
        </w:rPr>
        <w:t xml:space="preserve"> pathway’ from vaccination to excess mortality in Figure 2 is given by </w:t>
      </w:r>
      <m:oMath>
        <m:sSub>
          <m:sSubPr>
            <m:ctrlPr>
              <w:rPr>
                <w:rFonts w:ascii="Cambria Math" w:hAnsi="Cambria Math" w:cstheme="majorBidi"/>
                <w:color w:val="202124"/>
                <w:shd w:val="clear" w:color="auto" w:fill="FFFFFF"/>
              </w:rPr>
            </m:ctrlPr>
          </m:sSubPr>
          <m:e>
            <m:r>
              <w:rPr>
                <w:rFonts w:ascii="Cambria Math" w:hAnsi="Cambria Math" w:cstheme="majorBidi"/>
                <w:color w:val="202124"/>
                <w:shd w:val="clear" w:color="auto" w:fill="FFFFFF"/>
              </w:rPr>
              <m:t>β</m:t>
            </m:r>
          </m:e>
          <m:sub>
            <m:r>
              <w:rPr>
                <w:rFonts w:ascii="Cambria Math" w:hAnsi="Cambria Math" w:cstheme="majorBidi"/>
                <w:color w:val="202124"/>
                <w:shd w:val="clear" w:color="auto" w:fill="FFFFFF"/>
              </w:rPr>
              <m:t>mc</m:t>
            </m:r>
          </m:sub>
        </m:sSub>
        <m:r>
          <m:rPr>
            <m:sty m:val="p"/>
          </m:rPr>
          <w:rPr>
            <w:rFonts w:ascii="Cambria Math" w:hAnsi="Cambria Math" w:cstheme="majorBidi"/>
            <w:color w:val="202124"/>
            <w:shd w:val="clear" w:color="auto" w:fill="FFFFFF"/>
          </w:rPr>
          <m:t>=0.70</m:t>
        </m:r>
      </m:oMath>
      <w:r w:rsidRPr="00015EC2">
        <w:rPr>
          <w:rFonts w:asciiTheme="majorBidi" w:hAnsiTheme="majorBidi" w:cstheme="majorBidi"/>
          <w:color w:val="202124"/>
          <w:shd w:val="clear" w:color="auto" w:fill="FFFFFF"/>
        </w:rPr>
        <w:t xml:space="preserve"> (with 95% CI of 0.56 to 0.84) multiplied by </w:t>
      </w:r>
      <m:oMath>
        <m:sSub>
          <m:sSubPr>
            <m:ctrlPr>
              <w:rPr>
                <w:rFonts w:ascii="Cambria Math" w:hAnsi="Cambria Math" w:cstheme="majorBidi"/>
                <w:color w:val="202124"/>
                <w:shd w:val="clear" w:color="auto" w:fill="FFFFFF"/>
              </w:rPr>
            </m:ctrlPr>
          </m:sSubPr>
          <m:e>
            <m:r>
              <w:rPr>
                <w:rFonts w:ascii="Cambria Math" w:hAnsi="Cambria Math" w:cstheme="majorBidi"/>
                <w:color w:val="202124"/>
                <w:shd w:val="clear" w:color="auto" w:fill="FFFFFF"/>
              </w:rPr>
              <m:t>r</m:t>
            </m:r>
          </m:e>
          <m:sub>
            <m:r>
              <w:rPr>
                <w:rFonts w:ascii="Cambria Math" w:hAnsi="Cambria Math" w:cstheme="majorBidi"/>
                <w:color w:val="202124"/>
                <w:shd w:val="clear" w:color="auto" w:fill="FFFFFF"/>
              </w:rPr>
              <m:t>vc</m:t>
            </m:r>
          </m:sub>
        </m:sSub>
        <m:r>
          <m:rPr>
            <m:sty m:val="p"/>
          </m:rPr>
          <w:rPr>
            <w:rFonts w:ascii="Cambria Math" w:hAnsi="Cambria Math" w:cstheme="majorBidi"/>
            <w:color w:val="202124"/>
            <w:shd w:val="clear" w:color="auto" w:fill="FFFFFF"/>
          </w:rPr>
          <m:t>=-0.21.</m:t>
        </m:r>
      </m:oMath>
      <w:r w:rsidRPr="00015EC2">
        <w:rPr>
          <w:rFonts w:asciiTheme="majorBidi" w:hAnsiTheme="majorBidi" w:cstheme="majorBidi"/>
          <w:color w:val="202124"/>
          <w:shd w:val="clear" w:color="auto" w:fill="FFFFFF"/>
        </w:rPr>
        <w:t xml:space="preserve"> Thus, a SD higher vaccination incidence is associated with an excess mortality rate </w:t>
      </w:r>
      <w:r>
        <w:rPr>
          <w:rFonts w:asciiTheme="majorBidi" w:hAnsiTheme="majorBidi" w:cstheme="majorBidi"/>
          <w:color w:val="202124"/>
          <w:shd w:val="clear" w:color="auto" w:fill="FFFFFF"/>
        </w:rPr>
        <w:t xml:space="preserve">that is </w:t>
      </w:r>
      <w:r w:rsidRPr="00015EC2">
        <w:rPr>
          <w:rFonts w:asciiTheme="majorBidi" w:hAnsiTheme="majorBidi" w:cstheme="majorBidi"/>
          <w:color w:val="202124"/>
          <w:shd w:val="clear" w:color="auto" w:fill="FFFFFF"/>
        </w:rPr>
        <w:t>0.15 standard deviations lower (</w:t>
      </w:r>
      <m:oMath>
        <m:r>
          <m:rPr>
            <m:sty m:val="p"/>
          </m:rPr>
          <w:rPr>
            <w:rFonts w:ascii="Cambria Math" w:hAnsi="Cambria Math" w:cstheme="majorBidi"/>
            <w:color w:val="202124"/>
            <w:shd w:val="clear" w:color="auto" w:fill="FFFFFF"/>
          </w:rPr>
          <m:t>-0.21×0.70=-0.15)</m:t>
        </m:r>
      </m:oMath>
      <w:r w:rsidRPr="00015EC2">
        <w:rPr>
          <w:rFonts w:asciiTheme="majorBidi" w:hAnsiTheme="majorBidi" w:cstheme="majorBidi"/>
          <w:color w:val="202124"/>
          <w:shd w:val="clear" w:color="auto" w:fill="FFFFFF"/>
        </w:rPr>
        <w:t xml:space="preserve"> though the Covid pathway but 0.14 standard deviations higher through the </w:t>
      </w:r>
      <w:r>
        <w:rPr>
          <w:rFonts w:asciiTheme="majorBidi" w:hAnsiTheme="majorBidi" w:cstheme="majorBidi"/>
          <w:color w:val="202124"/>
          <w:shd w:val="clear" w:color="auto" w:fill="FFFFFF"/>
        </w:rPr>
        <w:t>direct</w:t>
      </w:r>
      <w:r w:rsidRPr="00015EC2">
        <w:rPr>
          <w:rFonts w:asciiTheme="majorBidi" w:hAnsiTheme="majorBidi" w:cstheme="majorBidi"/>
          <w:color w:val="202124"/>
          <w:shd w:val="clear" w:color="auto" w:fill="FFFFFF"/>
        </w:rPr>
        <w:t xml:space="preserve"> pathway. The net effect of these two pathways is to produce, on balance, essentially no correlation between the incidence of vaccination and excess mortality, even though vaccination</w:t>
      </w:r>
      <w:r w:rsidR="00E77F25">
        <w:rPr>
          <w:rFonts w:asciiTheme="majorBidi" w:hAnsiTheme="majorBidi" w:cstheme="majorBidi"/>
          <w:color w:val="202124"/>
          <w:shd w:val="clear" w:color="auto" w:fill="FFFFFF"/>
        </w:rPr>
        <w:t xml:space="preserve"> incidence</w:t>
      </w:r>
      <w:r w:rsidRPr="00015EC2">
        <w:rPr>
          <w:rFonts w:asciiTheme="majorBidi" w:hAnsiTheme="majorBidi" w:cstheme="majorBidi"/>
          <w:color w:val="202124"/>
          <w:shd w:val="clear" w:color="auto" w:fill="FFFFFF"/>
        </w:rPr>
        <w:t xml:space="preserve"> is </w:t>
      </w:r>
      <w:r w:rsidR="00F4706D">
        <w:rPr>
          <w:rFonts w:asciiTheme="majorBidi" w:hAnsiTheme="majorBidi" w:cstheme="majorBidi"/>
          <w:color w:val="202124"/>
          <w:shd w:val="clear" w:color="auto" w:fill="FFFFFF"/>
        </w:rPr>
        <w:t xml:space="preserve">correlated </w:t>
      </w:r>
      <w:r w:rsidRPr="00015EC2">
        <w:rPr>
          <w:rFonts w:asciiTheme="majorBidi" w:hAnsiTheme="majorBidi" w:cstheme="majorBidi"/>
          <w:color w:val="202124"/>
          <w:shd w:val="clear" w:color="auto" w:fill="FFFFFF"/>
        </w:rPr>
        <w:t>with lower Covid-19 death rates.</w:t>
      </w:r>
    </w:p>
    <w:p w:rsidR="00015EC2" w:rsidRDefault="00866320" w:rsidP="00866320">
      <w:pPr>
        <w:widowControl w:val="0"/>
        <w:spacing w:after="120" w:line="288" w:lineRule="auto"/>
        <w:ind w:firstLine="720"/>
        <w:jc w:val="both"/>
        <w:rPr>
          <w:rFonts w:asciiTheme="majorBidi" w:hAnsiTheme="majorBidi" w:cstheme="majorBidi"/>
        </w:rPr>
      </w:pPr>
      <w:r>
        <w:rPr>
          <w:rFonts w:asciiTheme="majorBidi" w:hAnsiTheme="majorBidi" w:cstheme="majorBidi"/>
          <w:color w:val="202124"/>
          <w:shd w:val="clear" w:color="auto" w:fill="FFFFFF"/>
        </w:rPr>
        <w:t xml:space="preserve">Two extensions to the basic results are reported in Table 1. The total effect of lags of up to 28 days are reported, and the results with STMF p-scores that allow age-disaggregation are shown. Allowing for lags makes the direct pathway larger, a one </w:t>
      </w:r>
      <w:r w:rsidRPr="009320DC">
        <w:rPr>
          <w:rFonts w:asciiTheme="majorBidi" w:hAnsiTheme="majorBidi" w:cstheme="majorBidi"/>
          <w:color w:val="000000" w:themeColor="text1"/>
          <w:shd w:val="clear" w:color="auto" w:fill="FFFFFF"/>
        </w:rPr>
        <w:t xml:space="preserve">(SD) higher incidence of </w:t>
      </w:r>
      <w:r w:rsidRPr="009320DC">
        <w:rPr>
          <w:rFonts w:asciiTheme="majorBidi" w:hAnsiTheme="majorBidi" w:cstheme="majorBidi"/>
          <w:color w:val="000000" w:themeColor="text1"/>
          <w:shd w:val="clear" w:color="auto" w:fill="FFFFFF"/>
        </w:rPr>
        <w:lastRenderedPageBreak/>
        <w:t>vaccinatio</w:t>
      </w:r>
      <w:r>
        <w:rPr>
          <w:rFonts w:asciiTheme="majorBidi" w:hAnsiTheme="majorBidi" w:cstheme="majorBidi"/>
          <w:color w:val="000000" w:themeColor="text1"/>
          <w:shd w:val="clear" w:color="auto" w:fill="FFFFFF"/>
        </w:rPr>
        <w:t>n is associated with one-fifth</w:t>
      </w:r>
      <w:r w:rsidRPr="009320DC">
        <w:rPr>
          <w:rFonts w:asciiTheme="majorBidi" w:hAnsiTheme="majorBidi" w:cstheme="majorBidi"/>
          <w:color w:val="000000" w:themeColor="text1"/>
          <w:shd w:val="clear" w:color="auto" w:fill="FFFFFF"/>
        </w:rPr>
        <w:t xml:space="preserve"> of a SD higher excess mortality</w:t>
      </w:r>
      <w:r>
        <w:rPr>
          <w:rFonts w:asciiTheme="majorBidi" w:hAnsiTheme="majorBidi" w:cstheme="majorBidi"/>
          <w:color w:val="000000" w:themeColor="text1"/>
          <w:shd w:val="clear" w:color="auto" w:fill="FFFFFF"/>
        </w:rPr>
        <w:t xml:space="preserve">, </w:t>
      </w:r>
      <w:r w:rsidRPr="00866320">
        <w:rPr>
          <w:rFonts w:asciiTheme="majorBidi" w:hAnsiTheme="majorBidi" w:cstheme="majorBidi"/>
          <w:i/>
          <w:iCs/>
          <w:color w:val="000000" w:themeColor="text1"/>
          <w:shd w:val="clear" w:color="auto" w:fill="FFFFFF"/>
        </w:rPr>
        <w:t>ceteris paribus</w:t>
      </w:r>
      <w:r>
        <w:rPr>
          <w:rFonts w:asciiTheme="majorBidi" w:hAnsiTheme="majorBidi" w:cstheme="majorBidi"/>
          <w:color w:val="000000" w:themeColor="text1"/>
          <w:shd w:val="clear" w:color="auto" w:fill="FFFFFF"/>
        </w:rPr>
        <w:t xml:space="preserve">, when using WMD p-scores (and an almost identical 0.19 SD effect with the STMF all-ages p-scores). The </w:t>
      </w:r>
      <w:proofErr w:type="spellStart"/>
      <w:r>
        <w:rPr>
          <w:rFonts w:asciiTheme="majorBidi" w:hAnsiTheme="majorBidi" w:cstheme="majorBidi"/>
          <w:color w:val="000000" w:themeColor="text1"/>
          <w:shd w:val="clear" w:color="auto" w:fill="FFFFFF"/>
        </w:rPr>
        <w:t>Covid</w:t>
      </w:r>
      <w:proofErr w:type="spellEnd"/>
      <w:r>
        <w:rPr>
          <w:rFonts w:asciiTheme="majorBidi" w:hAnsiTheme="majorBidi" w:cstheme="majorBidi"/>
          <w:color w:val="000000" w:themeColor="text1"/>
          <w:shd w:val="clear" w:color="auto" w:fill="FFFFFF"/>
        </w:rPr>
        <w:t xml:space="preserve">-pathway is somewhat smaller than in the unlagged results, due to the smaller effect of </w:t>
      </w:r>
      <w:proofErr w:type="spellStart"/>
      <w:r>
        <w:rPr>
          <w:rFonts w:asciiTheme="majorBidi" w:hAnsiTheme="majorBidi" w:cstheme="majorBidi"/>
          <w:i/>
          <w:iCs/>
        </w:rPr>
        <w:t>c</w:t>
      </w:r>
      <w:r w:rsidRPr="00A57F9D">
        <w:rPr>
          <w:rFonts w:asciiTheme="majorBidi" w:hAnsiTheme="majorBidi" w:cstheme="majorBidi"/>
          <w:i/>
          <w:iCs/>
          <w:vertAlign w:val="subscript"/>
        </w:rPr>
        <w:t>it</w:t>
      </w:r>
      <w:proofErr w:type="spellEnd"/>
      <w:r>
        <w:rPr>
          <w:rFonts w:asciiTheme="majorBidi" w:hAnsiTheme="majorBidi" w:cstheme="majorBidi"/>
        </w:rPr>
        <w:t xml:space="preserve"> on </w:t>
      </w:r>
      <w:proofErr w:type="spellStart"/>
      <w:r>
        <w:rPr>
          <w:rFonts w:asciiTheme="majorBidi" w:hAnsiTheme="majorBidi" w:cstheme="majorBidi"/>
          <w:i/>
          <w:iCs/>
        </w:rPr>
        <w:t>m</w:t>
      </w:r>
      <w:r w:rsidRPr="00A57F9D">
        <w:rPr>
          <w:rFonts w:asciiTheme="majorBidi" w:hAnsiTheme="majorBidi" w:cstheme="majorBidi"/>
          <w:i/>
          <w:iCs/>
          <w:vertAlign w:val="subscript"/>
        </w:rPr>
        <w:t>it</w:t>
      </w:r>
      <w:proofErr w:type="spellEnd"/>
      <w:r>
        <w:rPr>
          <w:rFonts w:asciiTheme="majorBidi" w:hAnsiTheme="majorBidi" w:cstheme="majorBidi"/>
        </w:rPr>
        <w:t xml:space="preserve"> (down from 0.70 in the unlagged results to 0.65 with lags, using WMD p-scores). Thus, all</w:t>
      </w:r>
      <w:r w:rsidR="00F4706D">
        <w:rPr>
          <w:rFonts w:asciiTheme="majorBidi" w:hAnsiTheme="majorBidi" w:cstheme="majorBidi"/>
        </w:rPr>
        <w:t xml:space="preserve">owing for lags of up to 28 days, the direct pathway linking vaccination incidence to excess mortality is about one-third larger than the indirect pathway that goes </w:t>
      </w:r>
      <w:proofErr w:type="spellStart"/>
      <w:r w:rsidR="00F4706D" w:rsidRPr="00A57F9D">
        <w:rPr>
          <w:rFonts w:asciiTheme="majorBidi" w:hAnsiTheme="majorBidi" w:cstheme="majorBidi"/>
          <w:i/>
          <w:iCs/>
        </w:rPr>
        <w:t>V</w:t>
      </w:r>
      <w:r w:rsidR="00F4706D" w:rsidRPr="00A57F9D">
        <w:rPr>
          <w:rFonts w:asciiTheme="majorBidi" w:hAnsiTheme="majorBidi" w:cstheme="majorBidi"/>
          <w:i/>
          <w:iCs/>
          <w:vertAlign w:val="subscript"/>
        </w:rPr>
        <w:t>it</w:t>
      </w:r>
      <w:proofErr w:type="spellEnd"/>
      <w:r w:rsidR="00F4706D" w:rsidRPr="00A57F9D">
        <w:rPr>
          <w:rFonts w:asciiTheme="majorBidi" w:hAnsiTheme="majorBidi" w:cstheme="majorBidi"/>
        </w:rPr>
        <w:t xml:space="preserve"> </w:t>
      </w:r>
      <w:r w:rsidR="00F4706D" w:rsidRPr="00A57F9D">
        <w:rPr>
          <w:rFonts w:asciiTheme="majorBidi" w:hAnsiTheme="majorBidi" w:cstheme="majorBidi"/>
        </w:rPr>
        <w:sym w:font="Wingdings" w:char="F0E0"/>
      </w:r>
      <w:r w:rsidR="00F4706D" w:rsidRPr="00A57F9D">
        <w:rPr>
          <w:rFonts w:asciiTheme="majorBidi" w:hAnsiTheme="majorBidi" w:cstheme="majorBidi"/>
        </w:rPr>
        <w:t xml:space="preserve"> </w:t>
      </w:r>
      <w:proofErr w:type="spellStart"/>
      <w:r w:rsidR="00F4706D" w:rsidRPr="00A57F9D">
        <w:rPr>
          <w:rFonts w:asciiTheme="majorBidi" w:hAnsiTheme="majorBidi" w:cstheme="majorBidi"/>
          <w:i/>
          <w:iCs/>
        </w:rPr>
        <w:t>C</w:t>
      </w:r>
      <w:r w:rsidR="00F4706D" w:rsidRPr="00A57F9D">
        <w:rPr>
          <w:rFonts w:asciiTheme="majorBidi" w:hAnsiTheme="majorBidi" w:cstheme="majorBidi"/>
          <w:i/>
          <w:iCs/>
          <w:vertAlign w:val="subscript"/>
        </w:rPr>
        <w:t>it</w:t>
      </w:r>
      <w:proofErr w:type="spellEnd"/>
      <w:r w:rsidR="00F4706D" w:rsidRPr="00A57F9D">
        <w:rPr>
          <w:rFonts w:asciiTheme="majorBidi" w:hAnsiTheme="majorBidi" w:cstheme="majorBidi"/>
        </w:rPr>
        <w:t xml:space="preserve"> </w:t>
      </w:r>
      <w:r w:rsidR="00F4706D" w:rsidRPr="00A57F9D">
        <w:rPr>
          <w:rFonts w:asciiTheme="majorBidi" w:hAnsiTheme="majorBidi" w:cstheme="majorBidi"/>
        </w:rPr>
        <w:sym w:font="Wingdings" w:char="F0E0"/>
      </w:r>
      <w:r w:rsidR="00F4706D" w:rsidRPr="00A57F9D">
        <w:rPr>
          <w:rFonts w:asciiTheme="majorBidi" w:hAnsiTheme="majorBidi" w:cstheme="majorBidi"/>
        </w:rPr>
        <w:t xml:space="preserve"> </w:t>
      </w:r>
      <w:proofErr w:type="spellStart"/>
      <w:r w:rsidR="00F4706D" w:rsidRPr="00A57F9D">
        <w:rPr>
          <w:rFonts w:asciiTheme="majorBidi" w:hAnsiTheme="majorBidi" w:cstheme="majorBidi"/>
          <w:i/>
          <w:iCs/>
        </w:rPr>
        <w:t>M</w:t>
      </w:r>
      <w:r w:rsidR="00F4706D" w:rsidRPr="00A57F9D">
        <w:rPr>
          <w:rFonts w:asciiTheme="majorBidi" w:hAnsiTheme="majorBidi" w:cstheme="majorBidi"/>
          <w:i/>
          <w:iCs/>
          <w:vertAlign w:val="subscript"/>
        </w:rPr>
        <w:t>it</w:t>
      </w:r>
      <w:proofErr w:type="spellEnd"/>
      <w:r w:rsidR="00F4706D" w:rsidRPr="00A57F9D">
        <w:rPr>
          <w:rFonts w:asciiTheme="majorBidi" w:hAnsiTheme="majorBidi" w:cstheme="majorBid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0"/>
        <w:gridCol w:w="1124"/>
        <w:gridCol w:w="1265"/>
        <w:gridCol w:w="1266"/>
        <w:gridCol w:w="1265"/>
        <w:gridCol w:w="1266"/>
      </w:tblGrid>
      <w:tr w:rsidR="00A25286" w:rsidTr="0009194A">
        <w:tc>
          <w:tcPr>
            <w:tcW w:w="9016" w:type="dxa"/>
            <w:gridSpan w:val="6"/>
            <w:tcBorders>
              <w:bottom w:val="single" w:sz="4" w:space="0" w:color="auto"/>
            </w:tcBorders>
          </w:tcPr>
          <w:p w:rsidR="00A25286" w:rsidRPr="00A25286" w:rsidRDefault="00A25286" w:rsidP="00A25286">
            <w:pPr>
              <w:widowControl w:val="0"/>
              <w:spacing w:after="40"/>
              <w:jc w:val="center"/>
              <w:rPr>
                <w:rFonts w:asciiTheme="majorBidi" w:hAnsiTheme="majorBidi" w:cstheme="majorBidi"/>
                <w:sz w:val="22"/>
                <w:szCs w:val="22"/>
              </w:rPr>
            </w:pPr>
            <w:r>
              <w:rPr>
                <w:rFonts w:asciiTheme="majorBidi" w:hAnsiTheme="majorBidi" w:cstheme="majorBidi"/>
                <w:sz w:val="22"/>
                <w:szCs w:val="22"/>
              </w:rPr>
              <w:t>Table 1:</w:t>
            </w:r>
            <w:r w:rsidR="00900D5B">
              <w:rPr>
                <w:rFonts w:asciiTheme="majorBidi" w:hAnsiTheme="majorBidi" w:cstheme="majorBidi"/>
                <w:sz w:val="22"/>
                <w:szCs w:val="22"/>
              </w:rPr>
              <w:t xml:space="preserve"> Direct and Indirect Pathways, Allowing for Lagged Effects</w:t>
            </w:r>
          </w:p>
        </w:tc>
      </w:tr>
      <w:tr w:rsidR="00A25286" w:rsidTr="0009194A">
        <w:tc>
          <w:tcPr>
            <w:tcW w:w="2830" w:type="dxa"/>
            <w:tcBorders>
              <w:top w:val="single" w:sz="4" w:space="0" w:color="auto"/>
            </w:tcBorders>
          </w:tcPr>
          <w:p w:rsidR="00A25286" w:rsidRPr="00A25286" w:rsidRDefault="00A25286" w:rsidP="00A25286">
            <w:pPr>
              <w:widowControl w:val="0"/>
              <w:jc w:val="center"/>
              <w:rPr>
                <w:rFonts w:asciiTheme="majorBidi" w:hAnsiTheme="majorBidi" w:cstheme="majorBidi"/>
                <w:sz w:val="21"/>
                <w:szCs w:val="21"/>
              </w:rPr>
            </w:pPr>
          </w:p>
        </w:tc>
        <w:tc>
          <w:tcPr>
            <w:tcW w:w="1124" w:type="dxa"/>
            <w:tcBorders>
              <w:top w:val="single" w:sz="4" w:space="0" w:color="auto"/>
            </w:tcBorders>
          </w:tcPr>
          <w:p w:rsidR="00A25286" w:rsidRPr="00A25286" w:rsidRDefault="00A25286" w:rsidP="00A25286">
            <w:pPr>
              <w:widowControl w:val="0"/>
              <w:jc w:val="center"/>
              <w:rPr>
                <w:rFonts w:asciiTheme="majorBidi" w:hAnsiTheme="majorBidi" w:cstheme="majorBidi"/>
                <w:sz w:val="21"/>
                <w:szCs w:val="21"/>
              </w:rPr>
            </w:pPr>
            <w:r w:rsidRPr="00A25286">
              <w:rPr>
                <w:rFonts w:asciiTheme="majorBidi" w:hAnsiTheme="majorBidi" w:cstheme="majorBidi"/>
                <w:sz w:val="21"/>
                <w:szCs w:val="21"/>
              </w:rPr>
              <w:t>OWID</w:t>
            </w:r>
          </w:p>
        </w:tc>
        <w:tc>
          <w:tcPr>
            <w:tcW w:w="5062" w:type="dxa"/>
            <w:gridSpan w:val="4"/>
            <w:tcBorders>
              <w:top w:val="single" w:sz="4" w:space="0" w:color="auto"/>
            </w:tcBorders>
          </w:tcPr>
          <w:p w:rsidR="00A25286" w:rsidRPr="00A25286" w:rsidRDefault="0009194A" w:rsidP="00A25286">
            <w:pPr>
              <w:widowControl w:val="0"/>
              <w:jc w:val="center"/>
              <w:rPr>
                <w:rFonts w:asciiTheme="majorBidi" w:hAnsiTheme="majorBidi" w:cstheme="majorBidi"/>
                <w:sz w:val="21"/>
                <w:szCs w:val="21"/>
              </w:rPr>
            </w:pPr>
            <w:r>
              <w:rPr>
                <w:rFonts w:asciiTheme="majorBidi" w:hAnsiTheme="majorBidi" w:cstheme="majorBidi"/>
                <w:sz w:val="21"/>
                <w:szCs w:val="21"/>
              </w:rPr>
              <w:t>-------</w:t>
            </w:r>
            <w:r w:rsidR="00A25286" w:rsidRPr="00A25286">
              <w:rPr>
                <w:rFonts w:asciiTheme="majorBidi" w:hAnsiTheme="majorBidi" w:cstheme="majorBidi"/>
                <w:sz w:val="21"/>
                <w:szCs w:val="21"/>
              </w:rPr>
              <w:t>p-scores from STMF weekly data</w:t>
            </w:r>
            <w:r>
              <w:rPr>
                <w:rFonts w:asciiTheme="majorBidi" w:hAnsiTheme="majorBidi" w:cstheme="majorBidi"/>
                <w:sz w:val="21"/>
                <w:szCs w:val="21"/>
              </w:rPr>
              <w:t>-------</w:t>
            </w:r>
          </w:p>
        </w:tc>
      </w:tr>
      <w:tr w:rsidR="00A25286" w:rsidTr="0009194A">
        <w:tc>
          <w:tcPr>
            <w:tcW w:w="2830" w:type="dxa"/>
            <w:tcBorders>
              <w:bottom w:val="single" w:sz="4" w:space="0" w:color="auto"/>
            </w:tcBorders>
          </w:tcPr>
          <w:p w:rsidR="00A25286" w:rsidRPr="00A25286" w:rsidRDefault="00A25286" w:rsidP="00A25286">
            <w:pPr>
              <w:widowControl w:val="0"/>
              <w:jc w:val="center"/>
              <w:rPr>
                <w:rFonts w:asciiTheme="majorBidi" w:hAnsiTheme="majorBidi" w:cstheme="majorBidi"/>
                <w:sz w:val="21"/>
                <w:szCs w:val="21"/>
              </w:rPr>
            </w:pPr>
          </w:p>
        </w:tc>
        <w:tc>
          <w:tcPr>
            <w:tcW w:w="1124" w:type="dxa"/>
            <w:tcBorders>
              <w:bottom w:val="single" w:sz="4" w:space="0" w:color="auto"/>
            </w:tcBorders>
          </w:tcPr>
          <w:p w:rsidR="00A25286" w:rsidRPr="00A25286" w:rsidRDefault="00A25286" w:rsidP="0009194A">
            <w:pPr>
              <w:widowControl w:val="0"/>
              <w:spacing w:after="40"/>
              <w:jc w:val="center"/>
              <w:rPr>
                <w:rFonts w:asciiTheme="majorBidi" w:hAnsiTheme="majorBidi" w:cstheme="majorBidi"/>
                <w:sz w:val="21"/>
                <w:szCs w:val="21"/>
              </w:rPr>
            </w:pPr>
            <w:r w:rsidRPr="00A25286">
              <w:rPr>
                <w:rFonts w:asciiTheme="majorBidi" w:hAnsiTheme="majorBidi" w:cstheme="majorBidi"/>
                <w:sz w:val="21"/>
                <w:szCs w:val="21"/>
              </w:rPr>
              <w:t>All ages</w:t>
            </w:r>
          </w:p>
        </w:tc>
        <w:tc>
          <w:tcPr>
            <w:tcW w:w="1265" w:type="dxa"/>
            <w:tcBorders>
              <w:bottom w:val="single" w:sz="4" w:space="0" w:color="auto"/>
            </w:tcBorders>
          </w:tcPr>
          <w:p w:rsidR="00A25286" w:rsidRPr="00A25286" w:rsidRDefault="00A25286" w:rsidP="0009194A">
            <w:pPr>
              <w:widowControl w:val="0"/>
              <w:spacing w:after="40"/>
              <w:jc w:val="center"/>
              <w:rPr>
                <w:rFonts w:asciiTheme="majorBidi" w:hAnsiTheme="majorBidi" w:cstheme="majorBidi"/>
                <w:sz w:val="21"/>
                <w:szCs w:val="21"/>
              </w:rPr>
            </w:pPr>
            <w:r w:rsidRPr="00A25286">
              <w:rPr>
                <w:rFonts w:asciiTheme="majorBidi" w:hAnsiTheme="majorBidi" w:cstheme="majorBidi"/>
                <w:sz w:val="21"/>
                <w:szCs w:val="21"/>
              </w:rPr>
              <w:t>All ages</w:t>
            </w:r>
          </w:p>
        </w:tc>
        <w:tc>
          <w:tcPr>
            <w:tcW w:w="1266" w:type="dxa"/>
            <w:tcBorders>
              <w:bottom w:val="single" w:sz="4" w:space="0" w:color="auto"/>
            </w:tcBorders>
          </w:tcPr>
          <w:p w:rsidR="00A25286" w:rsidRPr="00A25286" w:rsidRDefault="00A25286" w:rsidP="0009194A">
            <w:pPr>
              <w:widowControl w:val="0"/>
              <w:spacing w:after="40"/>
              <w:jc w:val="center"/>
              <w:rPr>
                <w:rFonts w:asciiTheme="majorBidi" w:hAnsiTheme="majorBidi" w:cstheme="majorBidi"/>
                <w:sz w:val="21"/>
                <w:szCs w:val="21"/>
              </w:rPr>
            </w:pPr>
            <w:r w:rsidRPr="00A25286">
              <w:rPr>
                <w:rFonts w:asciiTheme="majorBidi" w:hAnsiTheme="majorBidi" w:cstheme="majorBidi"/>
                <w:sz w:val="21"/>
                <w:szCs w:val="21"/>
              </w:rPr>
              <w:t>Ages 65+</w:t>
            </w:r>
          </w:p>
        </w:tc>
        <w:tc>
          <w:tcPr>
            <w:tcW w:w="1265" w:type="dxa"/>
            <w:tcBorders>
              <w:bottom w:val="single" w:sz="4" w:space="0" w:color="auto"/>
            </w:tcBorders>
          </w:tcPr>
          <w:p w:rsidR="00A25286" w:rsidRPr="00A25286" w:rsidRDefault="00A25286" w:rsidP="0009194A">
            <w:pPr>
              <w:widowControl w:val="0"/>
              <w:spacing w:after="40"/>
              <w:jc w:val="center"/>
              <w:rPr>
                <w:rFonts w:asciiTheme="majorBidi" w:hAnsiTheme="majorBidi" w:cstheme="majorBidi"/>
                <w:sz w:val="21"/>
                <w:szCs w:val="21"/>
              </w:rPr>
            </w:pPr>
            <w:r w:rsidRPr="00A25286">
              <w:rPr>
                <w:rFonts w:asciiTheme="majorBidi" w:hAnsiTheme="majorBidi" w:cstheme="majorBidi"/>
                <w:sz w:val="21"/>
                <w:szCs w:val="21"/>
              </w:rPr>
              <w:t>Ages 15-64</w:t>
            </w:r>
          </w:p>
        </w:tc>
        <w:tc>
          <w:tcPr>
            <w:tcW w:w="1266" w:type="dxa"/>
            <w:tcBorders>
              <w:bottom w:val="single" w:sz="4" w:space="0" w:color="auto"/>
            </w:tcBorders>
          </w:tcPr>
          <w:p w:rsidR="00A25286" w:rsidRPr="00A25286" w:rsidRDefault="00A25286" w:rsidP="0009194A">
            <w:pPr>
              <w:widowControl w:val="0"/>
              <w:spacing w:after="40"/>
              <w:jc w:val="center"/>
              <w:rPr>
                <w:rFonts w:asciiTheme="majorBidi" w:hAnsiTheme="majorBidi" w:cstheme="majorBidi"/>
                <w:sz w:val="21"/>
                <w:szCs w:val="21"/>
              </w:rPr>
            </w:pPr>
            <w:r w:rsidRPr="00A25286">
              <w:rPr>
                <w:rFonts w:asciiTheme="majorBidi" w:hAnsiTheme="majorBidi" w:cstheme="majorBidi"/>
                <w:sz w:val="21"/>
                <w:szCs w:val="21"/>
              </w:rPr>
              <w:t>Ages 0-14</w:t>
            </w:r>
          </w:p>
        </w:tc>
      </w:tr>
      <w:tr w:rsidR="00A25286" w:rsidTr="0009194A">
        <w:tc>
          <w:tcPr>
            <w:tcW w:w="2830" w:type="dxa"/>
            <w:tcBorders>
              <w:top w:val="single" w:sz="4" w:space="0" w:color="auto"/>
            </w:tcBorders>
          </w:tcPr>
          <w:p w:rsidR="00A25286" w:rsidRPr="00A25286" w:rsidRDefault="00A25286" w:rsidP="00A25286">
            <w:pPr>
              <w:widowControl w:val="0"/>
              <w:spacing w:before="60"/>
              <w:rPr>
                <w:rFonts w:asciiTheme="majorBidi" w:hAnsiTheme="majorBidi" w:cstheme="majorBidi"/>
                <w:sz w:val="21"/>
                <w:szCs w:val="21"/>
              </w:rPr>
            </w:pPr>
            <w:r w:rsidRPr="00A25286">
              <w:rPr>
                <w:rFonts w:asciiTheme="majorBidi" w:hAnsiTheme="majorBidi" w:cstheme="majorBidi"/>
                <w:sz w:val="21"/>
                <w:szCs w:val="21"/>
              </w:rPr>
              <w:t xml:space="preserve">Vaccination incidence, </w:t>
            </w:r>
            <w:proofErr w:type="spellStart"/>
            <w:r w:rsidRPr="00A25286">
              <w:rPr>
                <w:rFonts w:asciiTheme="majorBidi" w:hAnsiTheme="majorBidi" w:cstheme="majorBidi"/>
                <w:i/>
                <w:iCs/>
                <w:sz w:val="21"/>
                <w:szCs w:val="21"/>
              </w:rPr>
              <w:t>v</w:t>
            </w:r>
            <w:r w:rsidRPr="00A25286">
              <w:rPr>
                <w:rFonts w:asciiTheme="majorBidi" w:hAnsiTheme="majorBidi" w:cstheme="majorBidi"/>
                <w:i/>
                <w:iCs/>
                <w:sz w:val="21"/>
                <w:szCs w:val="21"/>
                <w:vertAlign w:val="subscript"/>
              </w:rPr>
              <w:t>it</w:t>
            </w:r>
            <w:proofErr w:type="spellEnd"/>
          </w:p>
        </w:tc>
        <w:tc>
          <w:tcPr>
            <w:tcW w:w="1124" w:type="dxa"/>
            <w:tcBorders>
              <w:top w:val="single" w:sz="4" w:space="0" w:color="auto"/>
            </w:tcBorders>
          </w:tcPr>
          <w:p w:rsidR="00A25286" w:rsidRPr="00A25286" w:rsidRDefault="00A25286" w:rsidP="00132216">
            <w:pPr>
              <w:widowControl w:val="0"/>
              <w:tabs>
                <w:tab w:val="decimal" w:pos="340"/>
              </w:tabs>
              <w:spacing w:before="60"/>
              <w:rPr>
                <w:rFonts w:asciiTheme="majorBidi" w:hAnsiTheme="majorBidi" w:cstheme="majorBidi"/>
                <w:sz w:val="21"/>
                <w:szCs w:val="21"/>
              </w:rPr>
            </w:pPr>
            <w:r w:rsidRPr="00A25286">
              <w:rPr>
                <w:rFonts w:asciiTheme="majorBidi" w:hAnsiTheme="majorBidi" w:cstheme="majorBidi"/>
                <w:sz w:val="21"/>
                <w:szCs w:val="21"/>
              </w:rPr>
              <w:t>0.196***</w:t>
            </w:r>
          </w:p>
        </w:tc>
        <w:tc>
          <w:tcPr>
            <w:tcW w:w="1265" w:type="dxa"/>
            <w:tcBorders>
              <w:top w:val="single" w:sz="4" w:space="0" w:color="auto"/>
            </w:tcBorders>
          </w:tcPr>
          <w:p w:rsidR="00A25286" w:rsidRPr="00A25286" w:rsidRDefault="00A25286" w:rsidP="00132216">
            <w:pPr>
              <w:widowControl w:val="0"/>
              <w:tabs>
                <w:tab w:val="decimal" w:pos="340"/>
              </w:tabs>
              <w:spacing w:before="60"/>
              <w:rPr>
                <w:rFonts w:asciiTheme="majorBidi" w:hAnsiTheme="majorBidi" w:cstheme="majorBidi"/>
                <w:sz w:val="21"/>
                <w:szCs w:val="21"/>
              </w:rPr>
            </w:pPr>
            <w:r w:rsidRPr="00A25286">
              <w:rPr>
                <w:rFonts w:asciiTheme="majorBidi" w:hAnsiTheme="majorBidi" w:cstheme="majorBidi"/>
                <w:sz w:val="21"/>
                <w:szCs w:val="21"/>
              </w:rPr>
              <w:t>0.186***</w:t>
            </w:r>
          </w:p>
        </w:tc>
        <w:tc>
          <w:tcPr>
            <w:tcW w:w="1266" w:type="dxa"/>
            <w:tcBorders>
              <w:top w:val="single" w:sz="4" w:space="0" w:color="auto"/>
            </w:tcBorders>
          </w:tcPr>
          <w:p w:rsidR="00A25286" w:rsidRPr="00A25286" w:rsidRDefault="00A25286" w:rsidP="00132216">
            <w:pPr>
              <w:widowControl w:val="0"/>
              <w:tabs>
                <w:tab w:val="decimal" w:pos="340"/>
              </w:tabs>
              <w:spacing w:before="60"/>
              <w:rPr>
                <w:rFonts w:asciiTheme="majorBidi" w:hAnsiTheme="majorBidi" w:cstheme="majorBidi"/>
                <w:sz w:val="21"/>
                <w:szCs w:val="21"/>
              </w:rPr>
            </w:pPr>
            <w:r w:rsidRPr="00A25286">
              <w:rPr>
                <w:rFonts w:asciiTheme="majorBidi" w:hAnsiTheme="majorBidi" w:cstheme="majorBidi"/>
                <w:sz w:val="21"/>
                <w:szCs w:val="21"/>
              </w:rPr>
              <w:t>0.175***</w:t>
            </w:r>
          </w:p>
        </w:tc>
        <w:tc>
          <w:tcPr>
            <w:tcW w:w="1265" w:type="dxa"/>
            <w:tcBorders>
              <w:top w:val="single" w:sz="4" w:space="0" w:color="auto"/>
            </w:tcBorders>
          </w:tcPr>
          <w:p w:rsidR="00A25286" w:rsidRPr="00A25286" w:rsidRDefault="00A25286" w:rsidP="00132216">
            <w:pPr>
              <w:widowControl w:val="0"/>
              <w:tabs>
                <w:tab w:val="decimal" w:pos="340"/>
              </w:tabs>
              <w:spacing w:before="60"/>
              <w:rPr>
                <w:rFonts w:asciiTheme="majorBidi" w:hAnsiTheme="majorBidi" w:cstheme="majorBidi"/>
                <w:sz w:val="21"/>
                <w:szCs w:val="21"/>
              </w:rPr>
            </w:pPr>
            <w:r w:rsidRPr="00A25286">
              <w:rPr>
                <w:rFonts w:asciiTheme="majorBidi" w:hAnsiTheme="majorBidi" w:cstheme="majorBidi"/>
                <w:sz w:val="21"/>
                <w:szCs w:val="21"/>
              </w:rPr>
              <w:t>0.147**</w:t>
            </w:r>
          </w:p>
        </w:tc>
        <w:tc>
          <w:tcPr>
            <w:tcW w:w="1266" w:type="dxa"/>
            <w:tcBorders>
              <w:top w:val="single" w:sz="4" w:space="0" w:color="auto"/>
            </w:tcBorders>
          </w:tcPr>
          <w:p w:rsidR="00A25286" w:rsidRPr="00A25286" w:rsidRDefault="00A25286" w:rsidP="00132216">
            <w:pPr>
              <w:widowControl w:val="0"/>
              <w:tabs>
                <w:tab w:val="decimal" w:pos="340"/>
              </w:tabs>
              <w:spacing w:before="60"/>
              <w:rPr>
                <w:rFonts w:asciiTheme="majorBidi" w:hAnsiTheme="majorBidi" w:cstheme="majorBidi"/>
                <w:sz w:val="21"/>
                <w:szCs w:val="21"/>
              </w:rPr>
            </w:pPr>
            <w:r w:rsidRPr="00A25286">
              <w:rPr>
                <w:rFonts w:asciiTheme="majorBidi" w:hAnsiTheme="majorBidi" w:cstheme="majorBidi"/>
                <w:sz w:val="21"/>
                <w:szCs w:val="21"/>
              </w:rPr>
              <w:t>-0.015</w:t>
            </w:r>
          </w:p>
        </w:tc>
      </w:tr>
      <w:tr w:rsidR="00A25286" w:rsidTr="0009194A">
        <w:tc>
          <w:tcPr>
            <w:tcW w:w="2830" w:type="dxa"/>
          </w:tcPr>
          <w:p w:rsidR="00A25286" w:rsidRPr="00A25286" w:rsidRDefault="00A25286" w:rsidP="00A25286">
            <w:pPr>
              <w:widowControl w:val="0"/>
              <w:jc w:val="center"/>
              <w:rPr>
                <w:rFonts w:asciiTheme="majorBidi" w:hAnsiTheme="majorBidi" w:cstheme="majorBidi"/>
                <w:sz w:val="21"/>
                <w:szCs w:val="21"/>
              </w:rPr>
            </w:pPr>
          </w:p>
        </w:tc>
        <w:tc>
          <w:tcPr>
            <w:tcW w:w="1124" w:type="dxa"/>
          </w:tcPr>
          <w:p w:rsidR="00A25286" w:rsidRPr="00A25286" w:rsidRDefault="00A25286" w:rsidP="00132216">
            <w:pPr>
              <w:widowControl w:val="0"/>
              <w:tabs>
                <w:tab w:val="decimal" w:pos="340"/>
              </w:tabs>
              <w:rPr>
                <w:rFonts w:asciiTheme="majorBidi" w:hAnsiTheme="majorBidi" w:cstheme="majorBidi"/>
                <w:sz w:val="21"/>
                <w:szCs w:val="21"/>
              </w:rPr>
            </w:pPr>
            <w:r w:rsidRPr="00A25286">
              <w:rPr>
                <w:rFonts w:asciiTheme="majorBidi" w:hAnsiTheme="majorBidi" w:cstheme="majorBidi"/>
                <w:sz w:val="21"/>
                <w:szCs w:val="21"/>
              </w:rPr>
              <w:t>(0.046)</w:t>
            </w:r>
          </w:p>
        </w:tc>
        <w:tc>
          <w:tcPr>
            <w:tcW w:w="1265" w:type="dxa"/>
          </w:tcPr>
          <w:p w:rsidR="00A25286" w:rsidRPr="00A25286" w:rsidRDefault="00A25286" w:rsidP="00132216">
            <w:pPr>
              <w:widowControl w:val="0"/>
              <w:tabs>
                <w:tab w:val="decimal" w:pos="340"/>
              </w:tabs>
              <w:rPr>
                <w:rFonts w:asciiTheme="majorBidi" w:hAnsiTheme="majorBidi" w:cstheme="majorBidi"/>
                <w:sz w:val="21"/>
                <w:szCs w:val="21"/>
              </w:rPr>
            </w:pPr>
            <w:r w:rsidRPr="00A25286">
              <w:rPr>
                <w:rFonts w:asciiTheme="majorBidi" w:hAnsiTheme="majorBidi" w:cstheme="majorBidi"/>
                <w:sz w:val="21"/>
                <w:szCs w:val="21"/>
              </w:rPr>
              <w:t>(0.060)</w:t>
            </w:r>
          </w:p>
        </w:tc>
        <w:tc>
          <w:tcPr>
            <w:tcW w:w="1266" w:type="dxa"/>
          </w:tcPr>
          <w:p w:rsidR="00A25286" w:rsidRPr="00A25286" w:rsidRDefault="00A25286" w:rsidP="00132216">
            <w:pPr>
              <w:widowControl w:val="0"/>
              <w:tabs>
                <w:tab w:val="decimal" w:pos="340"/>
              </w:tabs>
              <w:rPr>
                <w:rFonts w:asciiTheme="majorBidi" w:hAnsiTheme="majorBidi" w:cstheme="majorBidi"/>
                <w:sz w:val="21"/>
                <w:szCs w:val="21"/>
              </w:rPr>
            </w:pPr>
            <w:r w:rsidRPr="00A25286">
              <w:rPr>
                <w:rFonts w:asciiTheme="majorBidi" w:hAnsiTheme="majorBidi" w:cstheme="majorBidi"/>
                <w:sz w:val="21"/>
                <w:szCs w:val="21"/>
              </w:rPr>
              <w:t>(0.061)</w:t>
            </w:r>
          </w:p>
        </w:tc>
        <w:tc>
          <w:tcPr>
            <w:tcW w:w="1265" w:type="dxa"/>
          </w:tcPr>
          <w:p w:rsidR="00A25286" w:rsidRPr="00A25286" w:rsidRDefault="00A25286" w:rsidP="00132216">
            <w:pPr>
              <w:widowControl w:val="0"/>
              <w:tabs>
                <w:tab w:val="decimal" w:pos="340"/>
              </w:tabs>
              <w:rPr>
                <w:rFonts w:asciiTheme="majorBidi" w:hAnsiTheme="majorBidi" w:cstheme="majorBidi"/>
                <w:sz w:val="21"/>
                <w:szCs w:val="21"/>
              </w:rPr>
            </w:pPr>
            <w:r w:rsidRPr="00A25286">
              <w:rPr>
                <w:rFonts w:asciiTheme="majorBidi" w:hAnsiTheme="majorBidi" w:cstheme="majorBidi"/>
                <w:sz w:val="21"/>
                <w:szCs w:val="21"/>
              </w:rPr>
              <w:t>(0.060)</w:t>
            </w:r>
          </w:p>
        </w:tc>
        <w:tc>
          <w:tcPr>
            <w:tcW w:w="1266" w:type="dxa"/>
          </w:tcPr>
          <w:p w:rsidR="00A25286" w:rsidRPr="00A25286" w:rsidRDefault="00A25286" w:rsidP="00132216">
            <w:pPr>
              <w:widowControl w:val="0"/>
              <w:tabs>
                <w:tab w:val="decimal" w:pos="340"/>
              </w:tabs>
              <w:rPr>
                <w:rFonts w:asciiTheme="majorBidi" w:hAnsiTheme="majorBidi" w:cstheme="majorBidi"/>
                <w:sz w:val="21"/>
                <w:szCs w:val="21"/>
              </w:rPr>
            </w:pPr>
            <w:r w:rsidRPr="00A25286">
              <w:rPr>
                <w:rFonts w:asciiTheme="majorBidi" w:hAnsiTheme="majorBidi" w:cstheme="majorBidi"/>
                <w:sz w:val="21"/>
                <w:szCs w:val="21"/>
              </w:rPr>
              <w:t>(0.025)</w:t>
            </w:r>
          </w:p>
        </w:tc>
      </w:tr>
      <w:tr w:rsidR="00A25286" w:rsidTr="0009194A">
        <w:tc>
          <w:tcPr>
            <w:tcW w:w="2830" w:type="dxa"/>
          </w:tcPr>
          <w:p w:rsidR="00A25286" w:rsidRPr="00A25286" w:rsidRDefault="00A25286" w:rsidP="00A25286">
            <w:pPr>
              <w:widowControl w:val="0"/>
              <w:spacing w:before="60"/>
              <w:rPr>
                <w:rFonts w:asciiTheme="majorBidi" w:hAnsiTheme="majorBidi" w:cstheme="majorBidi"/>
                <w:sz w:val="21"/>
                <w:szCs w:val="21"/>
              </w:rPr>
            </w:pPr>
            <w:r w:rsidRPr="00A25286">
              <w:rPr>
                <w:rFonts w:asciiTheme="majorBidi" w:hAnsiTheme="majorBidi" w:cstheme="majorBidi"/>
                <w:sz w:val="21"/>
                <w:szCs w:val="21"/>
              </w:rPr>
              <w:t xml:space="preserve">New Covid-19 deaths/million, </w:t>
            </w:r>
            <w:proofErr w:type="spellStart"/>
            <w:r>
              <w:rPr>
                <w:rFonts w:asciiTheme="majorBidi" w:hAnsiTheme="majorBidi" w:cstheme="majorBidi"/>
                <w:i/>
                <w:iCs/>
                <w:sz w:val="21"/>
                <w:szCs w:val="21"/>
              </w:rPr>
              <w:t>c</w:t>
            </w:r>
            <w:r w:rsidRPr="00A25286">
              <w:rPr>
                <w:rFonts w:asciiTheme="majorBidi" w:hAnsiTheme="majorBidi" w:cstheme="majorBidi"/>
                <w:i/>
                <w:iCs/>
                <w:sz w:val="21"/>
                <w:szCs w:val="21"/>
                <w:vertAlign w:val="subscript"/>
              </w:rPr>
              <w:t>it</w:t>
            </w:r>
            <w:proofErr w:type="spellEnd"/>
          </w:p>
        </w:tc>
        <w:tc>
          <w:tcPr>
            <w:tcW w:w="1124" w:type="dxa"/>
          </w:tcPr>
          <w:p w:rsidR="00A25286" w:rsidRPr="00A25286" w:rsidRDefault="00A25286" w:rsidP="00132216">
            <w:pPr>
              <w:widowControl w:val="0"/>
              <w:tabs>
                <w:tab w:val="decimal" w:pos="340"/>
              </w:tabs>
              <w:spacing w:before="60"/>
              <w:rPr>
                <w:rFonts w:asciiTheme="majorBidi" w:hAnsiTheme="majorBidi" w:cstheme="majorBidi"/>
                <w:sz w:val="21"/>
                <w:szCs w:val="21"/>
              </w:rPr>
            </w:pPr>
            <w:r>
              <w:rPr>
                <w:rFonts w:asciiTheme="majorBidi" w:hAnsiTheme="majorBidi" w:cstheme="majorBidi"/>
                <w:sz w:val="21"/>
                <w:szCs w:val="21"/>
              </w:rPr>
              <w:t>0.647***</w:t>
            </w:r>
          </w:p>
        </w:tc>
        <w:tc>
          <w:tcPr>
            <w:tcW w:w="1265" w:type="dxa"/>
          </w:tcPr>
          <w:p w:rsidR="00A25286" w:rsidRPr="00A25286" w:rsidRDefault="00A25286" w:rsidP="00132216">
            <w:pPr>
              <w:widowControl w:val="0"/>
              <w:tabs>
                <w:tab w:val="decimal" w:pos="340"/>
              </w:tabs>
              <w:spacing w:before="60"/>
              <w:rPr>
                <w:rFonts w:asciiTheme="majorBidi" w:hAnsiTheme="majorBidi" w:cstheme="majorBidi"/>
                <w:sz w:val="21"/>
                <w:szCs w:val="21"/>
              </w:rPr>
            </w:pPr>
            <w:r>
              <w:rPr>
                <w:rFonts w:asciiTheme="majorBidi" w:hAnsiTheme="majorBidi" w:cstheme="majorBidi"/>
                <w:sz w:val="21"/>
                <w:szCs w:val="21"/>
              </w:rPr>
              <w:t>0.631***</w:t>
            </w:r>
          </w:p>
        </w:tc>
        <w:tc>
          <w:tcPr>
            <w:tcW w:w="1266" w:type="dxa"/>
          </w:tcPr>
          <w:p w:rsidR="00A25286" w:rsidRPr="00A25286" w:rsidRDefault="00A25286" w:rsidP="00132216">
            <w:pPr>
              <w:widowControl w:val="0"/>
              <w:tabs>
                <w:tab w:val="decimal" w:pos="340"/>
              </w:tabs>
              <w:spacing w:before="60"/>
              <w:rPr>
                <w:rFonts w:asciiTheme="majorBidi" w:hAnsiTheme="majorBidi" w:cstheme="majorBidi"/>
                <w:sz w:val="21"/>
                <w:szCs w:val="21"/>
              </w:rPr>
            </w:pPr>
            <w:r>
              <w:rPr>
                <w:rFonts w:asciiTheme="majorBidi" w:hAnsiTheme="majorBidi" w:cstheme="majorBidi"/>
                <w:sz w:val="21"/>
                <w:szCs w:val="21"/>
              </w:rPr>
              <w:t>0.590***</w:t>
            </w:r>
          </w:p>
        </w:tc>
        <w:tc>
          <w:tcPr>
            <w:tcW w:w="1265" w:type="dxa"/>
          </w:tcPr>
          <w:p w:rsidR="00A25286" w:rsidRPr="00A25286" w:rsidRDefault="00A25286" w:rsidP="00132216">
            <w:pPr>
              <w:widowControl w:val="0"/>
              <w:tabs>
                <w:tab w:val="decimal" w:pos="340"/>
              </w:tabs>
              <w:spacing w:before="60"/>
              <w:rPr>
                <w:rFonts w:asciiTheme="majorBidi" w:hAnsiTheme="majorBidi" w:cstheme="majorBidi"/>
                <w:sz w:val="21"/>
                <w:szCs w:val="21"/>
              </w:rPr>
            </w:pPr>
            <w:r>
              <w:rPr>
                <w:rFonts w:asciiTheme="majorBidi" w:hAnsiTheme="majorBidi" w:cstheme="majorBidi"/>
                <w:sz w:val="21"/>
                <w:szCs w:val="21"/>
              </w:rPr>
              <w:t>0.505***</w:t>
            </w:r>
          </w:p>
        </w:tc>
        <w:tc>
          <w:tcPr>
            <w:tcW w:w="1266" w:type="dxa"/>
          </w:tcPr>
          <w:p w:rsidR="00A25286" w:rsidRPr="00A25286" w:rsidRDefault="00A25286" w:rsidP="00132216">
            <w:pPr>
              <w:widowControl w:val="0"/>
              <w:tabs>
                <w:tab w:val="decimal" w:pos="340"/>
              </w:tabs>
              <w:spacing w:before="60"/>
              <w:rPr>
                <w:rFonts w:asciiTheme="majorBidi" w:hAnsiTheme="majorBidi" w:cstheme="majorBidi"/>
                <w:sz w:val="21"/>
                <w:szCs w:val="21"/>
              </w:rPr>
            </w:pPr>
            <w:r>
              <w:rPr>
                <w:rFonts w:asciiTheme="majorBidi" w:hAnsiTheme="majorBidi" w:cstheme="majorBidi"/>
                <w:sz w:val="21"/>
                <w:szCs w:val="21"/>
              </w:rPr>
              <w:t>-0.025</w:t>
            </w:r>
          </w:p>
        </w:tc>
      </w:tr>
      <w:tr w:rsidR="00A25286" w:rsidTr="0009194A">
        <w:tc>
          <w:tcPr>
            <w:tcW w:w="2830" w:type="dxa"/>
          </w:tcPr>
          <w:p w:rsidR="00A25286" w:rsidRPr="00A25286" w:rsidRDefault="00A25286" w:rsidP="00A25286">
            <w:pPr>
              <w:widowControl w:val="0"/>
              <w:jc w:val="center"/>
              <w:rPr>
                <w:rFonts w:asciiTheme="majorBidi" w:hAnsiTheme="majorBidi" w:cstheme="majorBidi"/>
                <w:sz w:val="21"/>
                <w:szCs w:val="21"/>
              </w:rPr>
            </w:pPr>
          </w:p>
        </w:tc>
        <w:tc>
          <w:tcPr>
            <w:tcW w:w="1124" w:type="dxa"/>
          </w:tcPr>
          <w:p w:rsidR="00A25286" w:rsidRPr="00A25286" w:rsidRDefault="00A25286" w:rsidP="00132216">
            <w:pPr>
              <w:widowControl w:val="0"/>
              <w:tabs>
                <w:tab w:val="decimal" w:pos="340"/>
              </w:tabs>
              <w:rPr>
                <w:rFonts w:asciiTheme="majorBidi" w:hAnsiTheme="majorBidi" w:cstheme="majorBidi"/>
                <w:sz w:val="21"/>
                <w:szCs w:val="21"/>
              </w:rPr>
            </w:pPr>
            <w:r>
              <w:rPr>
                <w:rFonts w:asciiTheme="majorBidi" w:hAnsiTheme="majorBidi" w:cstheme="majorBidi"/>
                <w:sz w:val="21"/>
                <w:szCs w:val="21"/>
              </w:rPr>
              <w:t>(0.084)</w:t>
            </w:r>
          </w:p>
        </w:tc>
        <w:tc>
          <w:tcPr>
            <w:tcW w:w="1265" w:type="dxa"/>
          </w:tcPr>
          <w:p w:rsidR="00A25286" w:rsidRPr="00A25286" w:rsidRDefault="00A25286" w:rsidP="00132216">
            <w:pPr>
              <w:widowControl w:val="0"/>
              <w:tabs>
                <w:tab w:val="decimal" w:pos="340"/>
              </w:tabs>
              <w:rPr>
                <w:rFonts w:asciiTheme="majorBidi" w:hAnsiTheme="majorBidi" w:cstheme="majorBidi"/>
                <w:sz w:val="21"/>
                <w:szCs w:val="21"/>
              </w:rPr>
            </w:pPr>
            <w:r>
              <w:rPr>
                <w:rFonts w:asciiTheme="majorBidi" w:hAnsiTheme="majorBidi" w:cstheme="majorBidi"/>
                <w:sz w:val="21"/>
                <w:szCs w:val="21"/>
              </w:rPr>
              <w:t>(0.076)</w:t>
            </w:r>
          </w:p>
        </w:tc>
        <w:tc>
          <w:tcPr>
            <w:tcW w:w="1266" w:type="dxa"/>
          </w:tcPr>
          <w:p w:rsidR="00A25286" w:rsidRPr="00A25286" w:rsidRDefault="00A25286" w:rsidP="00132216">
            <w:pPr>
              <w:widowControl w:val="0"/>
              <w:tabs>
                <w:tab w:val="decimal" w:pos="340"/>
              </w:tabs>
              <w:rPr>
                <w:rFonts w:asciiTheme="majorBidi" w:hAnsiTheme="majorBidi" w:cstheme="majorBidi"/>
                <w:sz w:val="21"/>
                <w:szCs w:val="21"/>
              </w:rPr>
            </w:pPr>
            <w:r>
              <w:rPr>
                <w:rFonts w:asciiTheme="majorBidi" w:hAnsiTheme="majorBidi" w:cstheme="majorBidi"/>
                <w:sz w:val="21"/>
                <w:szCs w:val="21"/>
              </w:rPr>
              <w:t>(0.077)</w:t>
            </w:r>
          </w:p>
        </w:tc>
        <w:tc>
          <w:tcPr>
            <w:tcW w:w="1265" w:type="dxa"/>
          </w:tcPr>
          <w:p w:rsidR="00A25286" w:rsidRPr="00A25286" w:rsidRDefault="00A25286" w:rsidP="00132216">
            <w:pPr>
              <w:widowControl w:val="0"/>
              <w:tabs>
                <w:tab w:val="decimal" w:pos="340"/>
              </w:tabs>
              <w:rPr>
                <w:rFonts w:asciiTheme="majorBidi" w:hAnsiTheme="majorBidi" w:cstheme="majorBidi"/>
                <w:sz w:val="21"/>
                <w:szCs w:val="21"/>
              </w:rPr>
            </w:pPr>
            <w:r>
              <w:rPr>
                <w:rFonts w:asciiTheme="majorBidi" w:hAnsiTheme="majorBidi" w:cstheme="majorBidi"/>
                <w:sz w:val="21"/>
                <w:szCs w:val="21"/>
              </w:rPr>
              <w:t>(0.065)</w:t>
            </w:r>
          </w:p>
        </w:tc>
        <w:tc>
          <w:tcPr>
            <w:tcW w:w="1266" w:type="dxa"/>
          </w:tcPr>
          <w:p w:rsidR="00A25286" w:rsidRPr="00A25286" w:rsidRDefault="00A25286" w:rsidP="00132216">
            <w:pPr>
              <w:widowControl w:val="0"/>
              <w:tabs>
                <w:tab w:val="decimal" w:pos="340"/>
              </w:tabs>
              <w:rPr>
                <w:rFonts w:asciiTheme="majorBidi" w:hAnsiTheme="majorBidi" w:cstheme="majorBidi"/>
                <w:sz w:val="21"/>
                <w:szCs w:val="21"/>
              </w:rPr>
            </w:pPr>
            <w:r>
              <w:rPr>
                <w:rFonts w:asciiTheme="majorBidi" w:hAnsiTheme="majorBidi" w:cstheme="majorBidi"/>
                <w:sz w:val="21"/>
                <w:szCs w:val="21"/>
              </w:rPr>
              <w:t>(0.030)</w:t>
            </w:r>
          </w:p>
        </w:tc>
      </w:tr>
      <w:tr w:rsidR="00900D5B" w:rsidTr="0009194A">
        <w:tc>
          <w:tcPr>
            <w:tcW w:w="2830" w:type="dxa"/>
          </w:tcPr>
          <w:p w:rsidR="00900D5B" w:rsidRPr="00900D5B" w:rsidRDefault="00900D5B" w:rsidP="00D56B28">
            <w:pPr>
              <w:widowControl w:val="0"/>
              <w:spacing w:before="80" w:after="40"/>
              <w:rPr>
                <w:rFonts w:asciiTheme="majorBidi" w:hAnsiTheme="majorBidi" w:cstheme="majorBidi"/>
                <w:sz w:val="21"/>
                <w:szCs w:val="21"/>
              </w:rPr>
            </w:pPr>
            <w:r>
              <w:rPr>
                <w:rFonts w:asciiTheme="majorBidi" w:hAnsiTheme="majorBidi" w:cstheme="majorBidi"/>
                <w:i/>
                <w:iCs/>
                <w:sz w:val="21"/>
                <w:szCs w:val="21"/>
              </w:rPr>
              <w:t>R</w:t>
            </w:r>
            <w:r>
              <w:rPr>
                <w:rFonts w:asciiTheme="majorBidi" w:hAnsiTheme="majorBidi" w:cstheme="majorBidi"/>
                <w:sz w:val="21"/>
                <w:szCs w:val="21"/>
              </w:rPr>
              <w:t>-squared (within variation)</w:t>
            </w:r>
          </w:p>
        </w:tc>
        <w:tc>
          <w:tcPr>
            <w:tcW w:w="1124"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0.500</w:t>
            </w:r>
          </w:p>
        </w:tc>
        <w:tc>
          <w:tcPr>
            <w:tcW w:w="1265"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0.472</w:t>
            </w:r>
          </w:p>
        </w:tc>
        <w:tc>
          <w:tcPr>
            <w:tcW w:w="1266"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0.438</w:t>
            </w:r>
          </w:p>
        </w:tc>
        <w:tc>
          <w:tcPr>
            <w:tcW w:w="1265"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0.264</w:t>
            </w:r>
          </w:p>
        </w:tc>
        <w:tc>
          <w:tcPr>
            <w:tcW w:w="1266"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0.005</w:t>
            </w:r>
          </w:p>
        </w:tc>
      </w:tr>
      <w:tr w:rsidR="00900D5B" w:rsidTr="0009194A">
        <w:tc>
          <w:tcPr>
            <w:tcW w:w="2830" w:type="dxa"/>
          </w:tcPr>
          <w:p w:rsidR="00900D5B" w:rsidRPr="00900D5B" w:rsidRDefault="00900D5B" w:rsidP="00D56B28">
            <w:pPr>
              <w:widowControl w:val="0"/>
              <w:spacing w:before="80" w:after="40"/>
              <w:rPr>
                <w:rFonts w:asciiTheme="majorBidi" w:hAnsiTheme="majorBidi" w:cstheme="majorBidi"/>
                <w:sz w:val="21"/>
                <w:szCs w:val="21"/>
              </w:rPr>
            </w:pPr>
            <w:r>
              <w:rPr>
                <w:rFonts w:asciiTheme="majorBidi" w:hAnsiTheme="majorBidi" w:cstheme="majorBidi"/>
                <w:i/>
                <w:iCs/>
                <w:sz w:val="21"/>
                <w:szCs w:val="21"/>
              </w:rPr>
              <w:t>R</w:t>
            </w:r>
            <w:r>
              <w:rPr>
                <w:rFonts w:asciiTheme="majorBidi" w:hAnsiTheme="majorBidi" w:cstheme="majorBidi"/>
                <w:sz w:val="21"/>
                <w:szCs w:val="21"/>
              </w:rPr>
              <w:t>-squared (overall)</w:t>
            </w:r>
          </w:p>
        </w:tc>
        <w:tc>
          <w:tcPr>
            <w:tcW w:w="1124"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0.654</w:t>
            </w:r>
          </w:p>
        </w:tc>
        <w:tc>
          <w:tcPr>
            <w:tcW w:w="1265"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0.628</w:t>
            </w:r>
          </w:p>
        </w:tc>
        <w:tc>
          <w:tcPr>
            <w:tcW w:w="1266"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0.610</w:t>
            </w:r>
          </w:p>
        </w:tc>
        <w:tc>
          <w:tcPr>
            <w:tcW w:w="1265"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0.485</w:t>
            </w:r>
          </w:p>
        </w:tc>
        <w:tc>
          <w:tcPr>
            <w:tcW w:w="1266" w:type="dxa"/>
          </w:tcPr>
          <w:p w:rsidR="00900D5B" w:rsidRDefault="00900D5B"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0.131</w:t>
            </w:r>
          </w:p>
        </w:tc>
      </w:tr>
      <w:tr w:rsidR="00A25286" w:rsidTr="0009194A">
        <w:tc>
          <w:tcPr>
            <w:tcW w:w="2830" w:type="dxa"/>
          </w:tcPr>
          <w:p w:rsidR="00A25286" w:rsidRPr="00A25286" w:rsidRDefault="00D56B28" w:rsidP="00D56B28">
            <w:pPr>
              <w:widowControl w:val="0"/>
              <w:spacing w:before="80" w:after="40"/>
              <w:rPr>
                <w:rFonts w:asciiTheme="majorBidi" w:hAnsiTheme="majorBidi" w:cstheme="majorBidi"/>
                <w:sz w:val="21"/>
                <w:szCs w:val="21"/>
              </w:rPr>
            </w:pPr>
            <w:r>
              <w:rPr>
                <w:rFonts w:asciiTheme="majorBidi" w:hAnsiTheme="majorBidi" w:cstheme="majorBidi"/>
                <w:sz w:val="21"/>
                <w:szCs w:val="21"/>
              </w:rPr>
              <w:t>Direct non-</w:t>
            </w:r>
            <w:proofErr w:type="spellStart"/>
            <w:r>
              <w:rPr>
                <w:rFonts w:asciiTheme="majorBidi" w:hAnsiTheme="majorBidi" w:cstheme="majorBidi"/>
                <w:sz w:val="21"/>
                <w:szCs w:val="21"/>
              </w:rPr>
              <w:t>Covid</w:t>
            </w:r>
            <w:proofErr w:type="spellEnd"/>
            <w:r>
              <w:rPr>
                <w:rFonts w:asciiTheme="majorBidi" w:hAnsiTheme="majorBidi" w:cstheme="majorBidi"/>
                <w:sz w:val="21"/>
                <w:szCs w:val="21"/>
              </w:rPr>
              <w:t xml:space="preserve"> pathway</w:t>
            </w:r>
          </w:p>
        </w:tc>
        <w:tc>
          <w:tcPr>
            <w:tcW w:w="1124" w:type="dxa"/>
          </w:tcPr>
          <w:p w:rsidR="00A25286" w:rsidRPr="00A25286" w:rsidRDefault="00D56B28"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0.20</w:t>
            </w:r>
          </w:p>
        </w:tc>
        <w:tc>
          <w:tcPr>
            <w:tcW w:w="1265" w:type="dxa"/>
          </w:tcPr>
          <w:p w:rsidR="00A25286" w:rsidRPr="00A25286" w:rsidRDefault="00D56B28"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0.19</w:t>
            </w:r>
          </w:p>
        </w:tc>
        <w:tc>
          <w:tcPr>
            <w:tcW w:w="1266" w:type="dxa"/>
          </w:tcPr>
          <w:p w:rsidR="00A25286" w:rsidRPr="00A25286" w:rsidRDefault="00D56B28"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0.18</w:t>
            </w:r>
          </w:p>
        </w:tc>
        <w:tc>
          <w:tcPr>
            <w:tcW w:w="1265" w:type="dxa"/>
          </w:tcPr>
          <w:p w:rsidR="00A25286" w:rsidRPr="00A25286" w:rsidRDefault="00D56B28" w:rsidP="00D56B28">
            <w:pPr>
              <w:widowControl w:val="0"/>
              <w:tabs>
                <w:tab w:val="decimal" w:pos="340"/>
              </w:tabs>
              <w:spacing w:before="80" w:after="40"/>
              <w:rPr>
                <w:rFonts w:asciiTheme="majorBidi" w:hAnsiTheme="majorBidi" w:cstheme="majorBidi"/>
                <w:sz w:val="21"/>
                <w:szCs w:val="21"/>
              </w:rPr>
            </w:pPr>
            <w:r>
              <w:rPr>
                <w:rFonts w:asciiTheme="majorBidi" w:hAnsiTheme="majorBidi" w:cstheme="majorBidi"/>
                <w:sz w:val="21"/>
                <w:szCs w:val="21"/>
              </w:rPr>
              <w:t>0.15</w:t>
            </w:r>
          </w:p>
        </w:tc>
        <w:tc>
          <w:tcPr>
            <w:tcW w:w="1266" w:type="dxa"/>
          </w:tcPr>
          <w:p w:rsidR="00A25286" w:rsidRPr="00A25286" w:rsidRDefault="00F5700D" w:rsidP="00D56B28">
            <w:pPr>
              <w:widowControl w:val="0"/>
              <w:tabs>
                <w:tab w:val="decimal" w:pos="340"/>
              </w:tabs>
              <w:spacing w:before="80" w:after="40"/>
              <w:rPr>
                <w:rFonts w:asciiTheme="majorBidi" w:hAnsiTheme="majorBidi" w:cstheme="majorBidi"/>
                <w:sz w:val="21"/>
                <w:szCs w:val="21"/>
              </w:rPr>
            </w:pPr>
            <w:proofErr w:type="spellStart"/>
            <w:r>
              <w:rPr>
                <w:rFonts w:asciiTheme="majorBidi" w:hAnsiTheme="majorBidi" w:cstheme="majorBidi"/>
                <w:sz w:val="21"/>
                <w:szCs w:val="21"/>
              </w:rPr>
              <w:t>n.s</w:t>
            </w:r>
            <w:proofErr w:type="spellEnd"/>
            <w:r w:rsidR="00D56B28">
              <w:rPr>
                <w:rFonts w:asciiTheme="majorBidi" w:hAnsiTheme="majorBidi" w:cstheme="majorBidi"/>
                <w:sz w:val="21"/>
                <w:szCs w:val="21"/>
              </w:rPr>
              <w:t>.</w:t>
            </w:r>
          </w:p>
        </w:tc>
      </w:tr>
      <w:tr w:rsidR="00A25286" w:rsidTr="0009194A">
        <w:tc>
          <w:tcPr>
            <w:tcW w:w="2830" w:type="dxa"/>
            <w:tcBorders>
              <w:bottom w:val="single" w:sz="4" w:space="0" w:color="auto"/>
            </w:tcBorders>
          </w:tcPr>
          <w:p w:rsidR="00A25286" w:rsidRPr="00D56B28" w:rsidRDefault="00D56B28" w:rsidP="00D56B28">
            <w:pPr>
              <w:widowControl w:val="0"/>
              <w:spacing w:before="40" w:after="40"/>
              <w:rPr>
                <w:rFonts w:asciiTheme="majorBidi" w:hAnsiTheme="majorBidi" w:cstheme="majorBidi"/>
                <w:sz w:val="21"/>
                <w:szCs w:val="21"/>
              </w:rPr>
            </w:pPr>
            <w:r>
              <w:rPr>
                <w:rFonts w:asciiTheme="majorBidi" w:hAnsiTheme="majorBidi" w:cstheme="majorBidi"/>
                <w:sz w:val="21"/>
                <w:szCs w:val="21"/>
              </w:rPr>
              <w:t xml:space="preserve">Indirect </w:t>
            </w:r>
            <w:proofErr w:type="spellStart"/>
            <w:r w:rsidRPr="00D56B28">
              <w:rPr>
                <w:rFonts w:asciiTheme="majorBidi" w:hAnsiTheme="majorBidi" w:cstheme="majorBidi"/>
                <w:i/>
                <w:iCs/>
                <w:sz w:val="21"/>
                <w:szCs w:val="21"/>
              </w:rPr>
              <w:t>V</w:t>
            </w:r>
            <w:r w:rsidRPr="00D56B28">
              <w:rPr>
                <w:rFonts w:asciiTheme="majorBidi" w:hAnsiTheme="majorBidi" w:cstheme="majorBidi"/>
                <w:i/>
                <w:iCs/>
                <w:sz w:val="21"/>
                <w:szCs w:val="21"/>
                <w:vertAlign w:val="subscript"/>
              </w:rPr>
              <w:t>it</w:t>
            </w:r>
            <w:proofErr w:type="spellEnd"/>
            <w:r w:rsidRPr="00D56B28">
              <w:rPr>
                <w:rFonts w:asciiTheme="majorBidi" w:hAnsiTheme="majorBidi" w:cstheme="majorBidi"/>
                <w:sz w:val="21"/>
                <w:szCs w:val="21"/>
              </w:rPr>
              <w:t xml:space="preserve"> </w:t>
            </w:r>
            <w:r w:rsidRPr="00D56B28">
              <w:rPr>
                <w:rFonts w:asciiTheme="majorBidi" w:hAnsiTheme="majorBidi" w:cstheme="majorBidi"/>
                <w:sz w:val="20"/>
                <w:szCs w:val="20"/>
              </w:rPr>
              <w:sym w:font="Wingdings" w:char="F0E0"/>
            </w:r>
            <w:r w:rsidRPr="00D56B28">
              <w:rPr>
                <w:rFonts w:asciiTheme="majorBidi" w:hAnsiTheme="majorBidi" w:cstheme="majorBidi"/>
                <w:sz w:val="21"/>
                <w:szCs w:val="21"/>
              </w:rPr>
              <w:t xml:space="preserve"> </w:t>
            </w:r>
            <w:proofErr w:type="spellStart"/>
            <w:r w:rsidRPr="00D56B28">
              <w:rPr>
                <w:rFonts w:asciiTheme="majorBidi" w:hAnsiTheme="majorBidi" w:cstheme="majorBidi"/>
                <w:i/>
                <w:iCs/>
                <w:sz w:val="21"/>
                <w:szCs w:val="21"/>
              </w:rPr>
              <w:t>C</w:t>
            </w:r>
            <w:r w:rsidRPr="00D56B28">
              <w:rPr>
                <w:rFonts w:asciiTheme="majorBidi" w:hAnsiTheme="majorBidi" w:cstheme="majorBidi"/>
                <w:i/>
                <w:iCs/>
                <w:sz w:val="21"/>
                <w:szCs w:val="21"/>
                <w:vertAlign w:val="subscript"/>
              </w:rPr>
              <w:t>it</w:t>
            </w:r>
            <w:proofErr w:type="spellEnd"/>
            <w:r w:rsidRPr="00D56B28">
              <w:rPr>
                <w:rFonts w:asciiTheme="majorBidi" w:hAnsiTheme="majorBidi" w:cstheme="majorBidi"/>
                <w:sz w:val="21"/>
                <w:szCs w:val="21"/>
              </w:rPr>
              <w:t xml:space="preserve"> </w:t>
            </w:r>
            <w:r w:rsidRPr="00D56B28">
              <w:rPr>
                <w:rFonts w:asciiTheme="majorBidi" w:hAnsiTheme="majorBidi" w:cstheme="majorBidi"/>
                <w:sz w:val="20"/>
                <w:szCs w:val="20"/>
              </w:rPr>
              <w:sym w:font="Wingdings" w:char="F0E0"/>
            </w:r>
            <w:r w:rsidRPr="00D56B28">
              <w:rPr>
                <w:rFonts w:asciiTheme="majorBidi" w:hAnsiTheme="majorBidi" w:cstheme="majorBidi"/>
                <w:sz w:val="21"/>
                <w:szCs w:val="21"/>
              </w:rPr>
              <w:t xml:space="preserve"> </w:t>
            </w:r>
            <w:proofErr w:type="spellStart"/>
            <w:r w:rsidRPr="00D56B28">
              <w:rPr>
                <w:rFonts w:asciiTheme="majorBidi" w:hAnsiTheme="majorBidi" w:cstheme="majorBidi"/>
                <w:i/>
                <w:iCs/>
                <w:sz w:val="21"/>
                <w:szCs w:val="21"/>
              </w:rPr>
              <w:t>M</w:t>
            </w:r>
            <w:r w:rsidRPr="00D56B28">
              <w:rPr>
                <w:rFonts w:asciiTheme="majorBidi" w:hAnsiTheme="majorBidi" w:cstheme="majorBidi"/>
                <w:i/>
                <w:iCs/>
                <w:sz w:val="21"/>
                <w:szCs w:val="21"/>
                <w:vertAlign w:val="subscript"/>
              </w:rPr>
              <w:t>it</w:t>
            </w:r>
            <w:proofErr w:type="spellEnd"/>
            <w:r>
              <w:rPr>
                <w:rFonts w:asciiTheme="majorBidi" w:hAnsiTheme="majorBidi" w:cstheme="majorBidi"/>
                <w:sz w:val="21"/>
                <w:szCs w:val="21"/>
              </w:rPr>
              <w:t xml:space="preserve"> pathway</w:t>
            </w:r>
          </w:p>
        </w:tc>
        <w:tc>
          <w:tcPr>
            <w:tcW w:w="1124" w:type="dxa"/>
            <w:tcBorders>
              <w:bottom w:val="single" w:sz="4" w:space="0" w:color="auto"/>
            </w:tcBorders>
          </w:tcPr>
          <w:p w:rsidR="00A25286" w:rsidRPr="00A25286" w:rsidRDefault="00D56B28" w:rsidP="00D56B28">
            <w:pPr>
              <w:widowControl w:val="0"/>
              <w:tabs>
                <w:tab w:val="decimal" w:pos="340"/>
              </w:tabs>
              <w:spacing w:before="40" w:after="40"/>
              <w:rPr>
                <w:rFonts w:asciiTheme="majorBidi" w:hAnsiTheme="majorBidi" w:cstheme="majorBidi"/>
                <w:sz w:val="21"/>
                <w:szCs w:val="21"/>
              </w:rPr>
            </w:pPr>
            <w:r>
              <w:rPr>
                <w:rFonts w:asciiTheme="majorBidi" w:hAnsiTheme="majorBidi" w:cstheme="majorBidi"/>
                <w:sz w:val="21"/>
                <w:szCs w:val="21"/>
              </w:rPr>
              <w:t>-0.14</w:t>
            </w:r>
          </w:p>
        </w:tc>
        <w:tc>
          <w:tcPr>
            <w:tcW w:w="1265" w:type="dxa"/>
            <w:tcBorders>
              <w:bottom w:val="single" w:sz="4" w:space="0" w:color="auto"/>
            </w:tcBorders>
          </w:tcPr>
          <w:p w:rsidR="00A25286" w:rsidRPr="00A25286" w:rsidRDefault="00D56B28" w:rsidP="00D56B28">
            <w:pPr>
              <w:widowControl w:val="0"/>
              <w:tabs>
                <w:tab w:val="decimal" w:pos="340"/>
              </w:tabs>
              <w:spacing w:before="40" w:after="40"/>
              <w:rPr>
                <w:rFonts w:asciiTheme="majorBidi" w:hAnsiTheme="majorBidi" w:cstheme="majorBidi"/>
                <w:sz w:val="21"/>
                <w:szCs w:val="21"/>
              </w:rPr>
            </w:pPr>
            <w:r>
              <w:rPr>
                <w:rFonts w:asciiTheme="majorBidi" w:hAnsiTheme="majorBidi" w:cstheme="majorBidi"/>
                <w:sz w:val="21"/>
                <w:szCs w:val="21"/>
              </w:rPr>
              <w:t>-0.13</w:t>
            </w:r>
          </w:p>
        </w:tc>
        <w:tc>
          <w:tcPr>
            <w:tcW w:w="1266" w:type="dxa"/>
            <w:tcBorders>
              <w:bottom w:val="single" w:sz="4" w:space="0" w:color="auto"/>
            </w:tcBorders>
          </w:tcPr>
          <w:p w:rsidR="00A25286" w:rsidRPr="00A25286" w:rsidRDefault="00F5700D" w:rsidP="00D56B28">
            <w:pPr>
              <w:widowControl w:val="0"/>
              <w:tabs>
                <w:tab w:val="decimal" w:pos="340"/>
              </w:tabs>
              <w:spacing w:before="40" w:after="40"/>
              <w:rPr>
                <w:rFonts w:asciiTheme="majorBidi" w:hAnsiTheme="majorBidi" w:cstheme="majorBidi"/>
                <w:sz w:val="21"/>
                <w:szCs w:val="21"/>
              </w:rPr>
            </w:pPr>
            <w:r>
              <w:rPr>
                <w:rFonts w:asciiTheme="majorBidi" w:hAnsiTheme="majorBidi" w:cstheme="majorBidi"/>
                <w:sz w:val="21"/>
                <w:szCs w:val="21"/>
              </w:rPr>
              <w:t>-</w:t>
            </w:r>
            <w:r w:rsidR="00D56B28">
              <w:rPr>
                <w:rFonts w:asciiTheme="majorBidi" w:hAnsiTheme="majorBidi" w:cstheme="majorBidi"/>
                <w:sz w:val="21"/>
                <w:szCs w:val="21"/>
              </w:rPr>
              <w:t>0.12</w:t>
            </w:r>
          </w:p>
        </w:tc>
        <w:tc>
          <w:tcPr>
            <w:tcW w:w="1265" w:type="dxa"/>
            <w:tcBorders>
              <w:bottom w:val="single" w:sz="4" w:space="0" w:color="auto"/>
            </w:tcBorders>
          </w:tcPr>
          <w:p w:rsidR="00A25286" w:rsidRPr="00A25286" w:rsidRDefault="00D56B28" w:rsidP="00D56B28">
            <w:pPr>
              <w:widowControl w:val="0"/>
              <w:tabs>
                <w:tab w:val="decimal" w:pos="340"/>
              </w:tabs>
              <w:spacing w:before="40" w:after="40"/>
              <w:rPr>
                <w:rFonts w:asciiTheme="majorBidi" w:hAnsiTheme="majorBidi" w:cstheme="majorBidi"/>
                <w:sz w:val="21"/>
                <w:szCs w:val="21"/>
              </w:rPr>
            </w:pPr>
            <w:r>
              <w:rPr>
                <w:rFonts w:asciiTheme="majorBidi" w:hAnsiTheme="majorBidi" w:cstheme="majorBidi"/>
                <w:sz w:val="21"/>
                <w:szCs w:val="21"/>
              </w:rPr>
              <w:t>-0.11</w:t>
            </w:r>
          </w:p>
        </w:tc>
        <w:tc>
          <w:tcPr>
            <w:tcW w:w="1266" w:type="dxa"/>
            <w:tcBorders>
              <w:bottom w:val="single" w:sz="4" w:space="0" w:color="auto"/>
            </w:tcBorders>
          </w:tcPr>
          <w:p w:rsidR="00A25286" w:rsidRPr="00A25286" w:rsidRDefault="00F5700D" w:rsidP="00D56B28">
            <w:pPr>
              <w:widowControl w:val="0"/>
              <w:tabs>
                <w:tab w:val="decimal" w:pos="340"/>
              </w:tabs>
              <w:spacing w:before="40" w:after="40"/>
              <w:rPr>
                <w:rFonts w:asciiTheme="majorBidi" w:hAnsiTheme="majorBidi" w:cstheme="majorBidi"/>
                <w:sz w:val="21"/>
                <w:szCs w:val="21"/>
              </w:rPr>
            </w:pPr>
            <w:proofErr w:type="spellStart"/>
            <w:r>
              <w:rPr>
                <w:rFonts w:asciiTheme="majorBidi" w:hAnsiTheme="majorBidi" w:cstheme="majorBidi"/>
                <w:sz w:val="21"/>
                <w:szCs w:val="21"/>
              </w:rPr>
              <w:t>n.s</w:t>
            </w:r>
            <w:proofErr w:type="spellEnd"/>
            <w:r w:rsidR="00D56B28">
              <w:rPr>
                <w:rFonts w:asciiTheme="majorBidi" w:hAnsiTheme="majorBidi" w:cstheme="majorBidi"/>
                <w:sz w:val="21"/>
                <w:szCs w:val="21"/>
              </w:rPr>
              <w:t>.</w:t>
            </w:r>
          </w:p>
        </w:tc>
      </w:tr>
      <w:tr w:rsidR="0009194A" w:rsidTr="0031485F">
        <w:tc>
          <w:tcPr>
            <w:tcW w:w="9016" w:type="dxa"/>
            <w:gridSpan w:val="6"/>
            <w:tcBorders>
              <w:top w:val="single" w:sz="4" w:space="0" w:color="auto"/>
            </w:tcBorders>
          </w:tcPr>
          <w:p w:rsidR="0009194A" w:rsidRPr="0009194A" w:rsidRDefault="0009194A" w:rsidP="00F5700D">
            <w:pPr>
              <w:widowControl w:val="0"/>
              <w:rPr>
                <w:rFonts w:asciiTheme="majorBidi" w:hAnsiTheme="majorBidi" w:cstheme="majorBidi"/>
                <w:sz w:val="21"/>
                <w:szCs w:val="21"/>
              </w:rPr>
            </w:pPr>
            <w:r>
              <w:rPr>
                <w:rFonts w:asciiTheme="majorBidi" w:hAnsiTheme="majorBidi" w:cstheme="majorBidi"/>
                <w:i/>
                <w:iCs/>
                <w:sz w:val="18"/>
                <w:szCs w:val="18"/>
              </w:rPr>
              <w:t xml:space="preserve">Note: </w:t>
            </w:r>
            <w:r w:rsidRPr="0009194A">
              <w:rPr>
                <w:rFonts w:asciiTheme="majorBidi" w:hAnsiTheme="majorBidi" w:cstheme="majorBidi"/>
                <w:sz w:val="18"/>
                <w:szCs w:val="18"/>
              </w:rPr>
              <w:t xml:space="preserve">Coefficients are the sum of </w:t>
            </w:r>
            <w:r>
              <w:rPr>
                <w:rFonts w:asciiTheme="majorBidi" w:hAnsiTheme="majorBidi" w:cstheme="majorBidi"/>
                <w:sz w:val="18"/>
                <w:szCs w:val="18"/>
              </w:rPr>
              <w:t>current term</w:t>
            </w:r>
            <w:r w:rsidRPr="0009194A">
              <w:rPr>
                <w:rFonts w:asciiTheme="majorBidi" w:hAnsiTheme="majorBidi" w:cstheme="majorBidi"/>
                <w:sz w:val="18"/>
                <w:szCs w:val="18"/>
              </w:rPr>
              <w:t xml:space="preserve"> and three lags (</w:t>
            </w:r>
            <w:r>
              <w:rPr>
                <w:rFonts w:asciiTheme="majorBidi" w:hAnsiTheme="majorBidi" w:cstheme="majorBidi"/>
                <w:sz w:val="18"/>
                <w:szCs w:val="18"/>
              </w:rPr>
              <w:t>covering 28 days). Regression m</w:t>
            </w:r>
            <w:r w:rsidRPr="0009194A">
              <w:rPr>
                <w:rFonts w:asciiTheme="majorBidi" w:hAnsiTheme="majorBidi" w:cstheme="majorBidi"/>
                <w:sz w:val="18"/>
                <w:szCs w:val="18"/>
              </w:rPr>
              <w:t>odels include fixed eff</w:t>
            </w:r>
            <w:r w:rsidR="00132216">
              <w:rPr>
                <w:rFonts w:asciiTheme="majorBidi" w:hAnsiTheme="majorBidi" w:cstheme="majorBidi"/>
                <w:sz w:val="18"/>
                <w:szCs w:val="18"/>
              </w:rPr>
              <w:t xml:space="preserve">ects for each country. Standard errors from </w:t>
            </w:r>
            <w:r w:rsidRPr="0009194A">
              <w:rPr>
                <w:rFonts w:asciiTheme="majorBidi" w:hAnsiTheme="majorBidi" w:cstheme="majorBidi"/>
                <w:sz w:val="18"/>
                <w:szCs w:val="18"/>
              </w:rPr>
              <w:t>robust variance-covariance matrix clustered at country level</w:t>
            </w:r>
            <w:r w:rsidR="00132216">
              <w:rPr>
                <w:rFonts w:asciiTheme="majorBidi" w:hAnsiTheme="majorBidi" w:cstheme="majorBidi"/>
                <w:sz w:val="18"/>
                <w:szCs w:val="18"/>
              </w:rPr>
              <w:t xml:space="preserve"> in ( )</w:t>
            </w:r>
            <w:r w:rsidRPr="0009194A">
              <w:rPr>
                <w:rFonts w:asciiTheme="majorBidi" w:hAnsiTheme="majorBidi" w:cstheme="majorBidi"/>
                <w:sz w:val="18"/>
                <w:szCs w:val="18"/>
              </w:rPr>
              <w:t>, ***, **, * denote statistical significance at 1%, 5%, 10% level</w:t>
            </w:r>
            <w:r w:rsidR="00F5700D">
              <w:rPr>
                <w:rFonts w:asciiTheme="majorBidi" w:hAnsiTheme="majorBidi" w:cstheme="majorBidi"/>
                <w:sz w:val="18"/>
                <w:szCs w:val="18"/>
              </w:rPr>
              <w:t xml:space="preserve"> (</w:t>
            </w:r>
            <w:proofErr w:type="spellStart"/>
            <w:r w:rsidR="00F5700D">
              <w:rPr>
                <w:rFonts w:asciiTheme="majorBidi" w:hAnsiTheme="majorBidi" w:cstheme="majorBidi"/>
                <w:sz w:val="18"/>
                <w:szCs w:val="18"/>
              </w:rPr>
              <w:t>n.s</w:t>
            </w:r>
            <w:proofErr w:type="spellEnd"/>
            <w:r w:rsidR="00F5700D">
              <w:rPr>
                <w:rFonts w:asciiTheme="majorBidi" w:hAnsiTheme="majorBidi" w:cstheme="majorBidi"/>
                <w:sz w:val="18"/>
                <w:szCs w:val="18"/>
              </w:rPr>
              <w:t>.=not significant). O</w:t>
            </w:r>
            <w:r w:rsidRPr="0009194A">
              <w:rPr>
                <w:rFonts w:asciiTheme="majorBidi" w:hAnsiTheme="majorBidi" w:cstheme="majorBidi"/>
                <w:sz w:val="18"/>
                <w:szCs w:val="18"/>
              </w:rPr>
              <w:t xml:space="preserve">utcome variables and </w:t>
            </w:r>
            <w:r>
              <w:rPr>
                <w:rFonts w:asciiTheme="majorBidi" w:hAnsiTheme="majorBidi" w:cstheme="majorBidi"/>
                <w:sz w:val="18"/>
                <w:szCs w:val="18"/>
              </w:rPr>
              <w:t xml:space="preserve">covariates </w:t>
            </w:r>
            <w:r w:rsidRPr="0009194A">
              <w:rPr>
                <w:rFonts w:asciiTheme="majorBidi" w:hAnsiTheme="majorBidi" w:cstheme="majorBidi"/>
                <w:sz w:val="18"/>
                <w:szCs w:val="18"/>
              </w:rPr>
              <w:t>are standardized.</w:t>
            </w:r>
            <w:r w:rsidR="00900D5B">
              <w:rPr>
                <w:rFonts w:asciiTheme="majorBidi" w:hAnsiTheme="majorBidi" w:cstheme="majorBidi"/>
                <w:sz w:val="18"/>
                <w:szCs w:val="18"/>
              </w:rPr>
              <w:t xml:space="preserve"> The indirect pathway is based on a correlation between vaccination incidence and new Covid-19 deaths per million of -0.21.</w:t>
            </w:r>
          </w:p>
        </w:tc>
      </w:tr>
    </w:tbl>
    <w:p w:rsidR="00A25286" w:rsidRDefault="00A25286" w:rsidP="00A25286">
      <w:pPr>
        <w:widowControl w:val="0"/>
        <w:spacing w:after="0" w:line="240" w:lineRule="auto"/>
        <w:jc w:val="center"/>
        <w:rPr>
          <w:rFonts w:asciiTheme="majorBidi" w:hAnsiTheme="majorBidi" w:cstheme="majorBidi"/>
        </w:rPr>
      </w:pPr>
    </w:p>
    <w:p w:rsidR="00F4706D" w:rsidRPr="00866320" w:rsidRDefault="00F4706D" w:rsidP="00C467AD">
      <w:pPr>
        <w:widowControl w:val="0"/>
        <w:spacing w:after="120" w:line="288" w:lineRule="auto"/>
        <w:ind w:firstLine="720"/>
        <w:jc w:val="both"/>
        <w:rPr>
          <w:rFonts w:asciiTheme="majorBidi" w:hAnsiTheme="majorBidi" w:cstheme="majorBidi"/>
          <w:color w:val="202124"/>
          <w:shd w:val="clear" w:color="auto" w:fill="FFFFFF"/>
        </w:rPr>
      </w:pPr>
      <w:r>
        <w:rPr>
          <w:rFonts w:asciiTheme="majorBidi" w:hAnsiTheme="majorBidi" w:cstheme="majorBidi"/>
        </w:rPr>
        <w:t xml:space="preserve">In </w:t>
      </w:r>
      <w:r w:rsidR="00900D5B">
        <w:rPr>
          <w:rFonts w:asciiTheme="majorBidi" w:hAnsiTheme="majorBidi" w:cstheme="majorBidi"/>
        </w:rPr>
        <w:t xml:space="preserve">the </w:t>
      </w:r>
      <w:r>
        <w:rPr>
          <w:rFonts w:asciiTheme="majorBidi" w:hAnsiTheme="majorBidi" w:cstheme="majorBidi"/>
        </w:rPr>
        <w:t>age-disaggregated results the direct relationship between vaccination and excess mortality is almost as large</w:t>
      </w:r>
      <w:r w:rsidR="00F5700D">
        <w:rPr>
          <w:rFonts w:asciiTheme="majorBidi" w:hAnsiTheme="majorBidi" w:cstheme="majorBidi"/>
        </w:rPr>
        <w:t>, at 0.15,</w:t>
      </w:r>
      <w:r>
        <w:rPr>
          <w:rFonts w:asciiTheme="majorBidi" w:hAnsiTheme="majorBidi" w:cstheme="majorBidi"/>
        </w:rPr>
        <w:t xml:space="preserve"> for prime-age people (ages 15-64) as </w:t>
      </w:r>
      <w:r w:rsidR="00F5700D">
        <w:rPr>
          <w:rFonts w:asciiTheme="majorBidi" w:hAnsiTheme="majorBidi" w:cstheme="majorBidi"/>
        </w:rPr>
        <w:t xml:space="preserve">the 0.18 SD effect </w:t>
      </w:r>
      <w:r>
        <w:rPr>
          <w:rFonts w:asciiTheme="majorBidi" w:hAnsiTheme="majorBidi" w:cstheme="majorBidi"/>
        </w:rPr>
        <w:t>for the elderly (age 65+). The effect of Covid-19 deaths on excess mortality is smaller for the prime-age group than for the elderly</w:t>
      </w:r>
      <w:r w:rsidR="00F5700D">
        <w:rPr>
          <w:rFonts w:asciiTheme="majorBidi" w:hAnsiTheme="majorBidi" w:cstheme="majorBidi"/>
        </w:rPr>
        <w:t xml:space="preserve"> (</w:t>
      </w:r>
      <w:r w:rsidR="00C467AD">
        <w:rPr>
          <w:rFonts w:asciiTheme="majorBidi" w:hAnsiTheme="majorBidi" w:cstheme="majorBidi"/>
        </w:rPr>
        <w:t xml:space="preserve">at </w:t>
      </w:r>
      <w:r w:rsidR="00F5700D">
        <w:rPr>
          <w:rFonts w:asciiTheme="majorBidi" w:hAnsiTheme="majorBidi" w:cstheme="majorBidi"/>
        </w:rPr>
        <w:t>0.51 versus 0.59)</w:t>
      </w:r>
      <w:r w:rsidR="00C467AD">
        <w:rPr>
          <w:rFonts w:asciiTheme="majorBidi" w:hAnsiTheme="majorBidi" w:cstheme="majorBidi"/>
        </w:rPr>
        <w:t xml:space="preserve"> </w:t>
      </w:r>
      <w:r w:rsidR="00C467AD">
        <w:rPr>
          <w:rFonts w:asciiTheme="majorBidi" w:hAnsiTheme="majorBidi" w:cstheme="majorBidi"/>
        </w:rPr>
        <w:t xml:space="preserve">and </w:t>
      </w:r>
      <w:r w:rsidR="00C467AD">
        <w:rPr>
          <w:rFonts w:asciiTheme="majorBidi" w:hAnsiTheme="majorBidi" w:cstheme="majorBidi"/>
        </w:rPr>
        <w:t xml:space="preserve">there are no </w:t>
      </w:r>
      <w:r w:rsidR="00C467AD">
        <w:rPr>
          <w:rFonts w:asciiTheme="majorBidi" w:hAnsiTheme="majorBidi" w:cstheme="majorBidi"/>
        </w:rPr>
        <w:t xml:space="preserve">apparent </w:t>
      </w:r>
      <w:r w:rsidR="00C467AD">
        <w:rPr>
          <w:rFonts w:asciiTheme="majorBidi" w:hAnsiTheme="majorBidi" w:cstheme="majorBidi"/>
        </w:rPr>
        <w:t xml:space="preserve">effects </w:t>
      </w:r>
      <w:r w:rsidR="00C467AD">
        <w:rPr>
          <w:rFonts w:asciiTheme="majorBidi" w:hAnsiTheme="majorBidi" w:cstheme="majorBidi"/>
        </w:rPr>
        <w:t xml:space="preserve">for </w:t>
      </w:r>
      <w:r w:rsidR="00C467AD">
        <w:rPr>
          <w:rFonts w:asciiTheme="majorBidi" w:hAnsiTheme="majorBidi" w:cstheme="majorBidi"/>
        </w:rPr>
        <w:t>excess mortality of the young, reflecting the very skewed age-risk profile of Covid-19</w:t>
      </w:r>
      <w:r w:rsidR="00040382">
        <w:rPr>
          <w:rFonts w:asciiTheme="majorBidi" w:hAnsiTheme="majorBidi" w:cstheme="majorBidi"/>
        </w:rPr>
        <w:t>.</w:t>
      </w:r>
      <w:r w:rsidR="00DD3DDA">
        <w:rPr>
          <w:rStyle w:val="FootnoteReference"/>
          <w:rFonts w:asciiTheme="majorBidi" w:hAnsiTheme="majorBidi" w:cstheme="majorBidi"/>
        </w:rPr>
        <w:footnoteReference w:id="8"/>
      </w:r>
      <w:r w:rsidR="001D46AC">
        <w:rPr>
          <w:rFonts w:asciiTheme="majorBidi" w:hAnsiTheme="majorBidi" w:cstheme="majorBidi"/>
        </w:rPr>
        <w:t xml:space="preserve"> The absence of effect</w:t>
      </w:r>
      <w:r w:rsidR="00900D5B">
        <w:rPr>
          <w:rFonts w:asciiTheme="majorBidi" w:hAnsiTheme="majorBidi" w:cstheme="majorBidi"/>
        </w:rPr>
        <w:t>s</w:t>
      </w:r>
      <w:r w:rsidR="001D46AC">
        <w:rPr>
          <w:rFonts w:asciiTheme="majorBidi" w:hAnsiTheme="majorBidi" w:cstheme="majorBidi"/>
        </w:rPr>
        <w:t xml:space="preserve"> on the youngest age group </w:t>
      </w:r>
      <w:r w:rsidR="00C467AD">
        <w:rPr>
          <w:rFonts w:asciiTheme="majorBidi" w:hAnsiTheme="majorBidi" w:cstheme="majorBidi"/>
        </w:rPr>
        <w:t xml:space="preserve">also </w:t>
      </w:r>
      <w:r w:rsidR="001D46AC">
        <w:rPr>
          <w:rFonts w:asciiTheme="majorBidi" w:hAnsiTheme="majorBidi" w:cstheme="majorBidi"/>
        </w:rPr>
        <w:t>reflects the fact that during the period studied (up to early October), there was no widespread rollout of Covid-19 vaccination for young people, although that situation is currently changing.</w:t>
      </w:r>
      <w:r w:rsidR="00C467AD">
        <w:rPr>
          <w:rFonts w:asciiTheme="majorBidi" w:hAnsiTheme="majorBidi" w:cstheme="majorBidi"/>
        </w:rPr>
        <w:t xml:space="preserve"> The importance of the direct, non-</w:t>
      </w:r>
      <w:proofErr w:type="spellStart"/>
      <w:r w:rsidR="00C467AD">
        <w:rPr>
          <w:rFonts w:asciiTheme="majorBidi" w:hAnsiTheme="majorBidi" w:cstheme="majorBidi"/>
        </w:rPr>
        <w:t>Covid</w:t>
      </w:r>
      <w:proofErr w:type="spellEnd"/>
      <w:r w:rsidR="00C467AD">
        <w:rPr>
          <w:rFonts w:asciiTheme="majorBidi" w:hAnsiTheme="majorBidi" w:cstheme="majorBidi"/>
        </w:rPr>
        <w:t xml:space="preserve">, pathway for prime-age people also counts against the idea that the correlations may just be due to vaccination of </w:t>
      </w:r>
      <w:bookmarkStart w:id="0" w:name="_GoBack"/>
      <w:bookmarkEnd w:id="0"/>
      <w:r w:rsidR="00C467AD">
        <w:rPr>
          <w:rFonts w:asciiTheme="majorBidi" w:hAnsiTheme="majorBidi" w:cstheme="majorBidi"/>
        </w:rPr>
        <w:t>people who already had low life expectancy.</w:t>
      </w:r>
    </w:p>
    <w:p w:rsidR="000679C1" w:rsidRPr="008A622D" w:rsidRDefault="002A6915" w:rsidP="00BF1356">
      <w:pPr>
        <w:keepNext/>
        <w:spacing w:before="120" w:after="0" w:line="360" w:lineRule="auto"/>
        <w:jc w:val="both"/>
        <w:rPr>
          <w:rFonts w:asciiTheme="majorBidi" w:hAnsiTheme="majorBidi" w:cstheme="majorBidi"/>
          <w:b/>
          <w:lang w:val="en-US"/>
        </w:rPr>
      </w:pPr>
      <w:r w:rsidRPr="008A622D">
        <w:rPr>
          <w:rFonts w:asciiTheme="majorBidi" w:hAnsiTheme="majorBidi" w:cstheme="majorBidi"/>
          <w:b/>
          <w:lang w:val="en-US"/>
        </w:rPr>
        <w:t>IV.</w:t>
      </w:r>
      <w:r w:rsidRPr="008A622D">
        <w:rPr>
          <w:rFonts w:asciiTheme="majorBidi" w:hAnsiTheme="majorBidi" w:cstheme="majorBidi"/>
          <w:b/>
          <w:lang w:val="en-US"/>
        </w:rPr>
        <w:tab/>
      </w:r>
      <w:r w:rsidR="00BF1356">
        <w:rPr>
          <w:rFonts w:asciiTheme="majorBidi" w:hAnsiTheme="majorBidi" w:cstheme="majorBidi"/>
          <w:b/>
          <w:lang w:val="en-US"/>
        </w:rPr>
        <w:t>Conclusions</w:t>
      </w:r>
    </w:p>
    <w:p w:rsidR="002748E7" w:rsidRPr="00866320" w:rsidRDefault="002748E7" w:rsidP="00F441B6">
      <w:pPr>
        <w:widowControl w:val="0"/>
        <w:spacing w:after="120" w:line="288" w:lineRule="auto"/>
        <w:ind w:firstLine="720"/>
        <w:jc w:val="both"/>
        <w:rPr>
          <w:rFonts w:asciiTheme="majorBidi" w:hAnsiTheme="majorBidi" w:cstheme="majorBidi"/>
          <w:color w:val="202124"/>
          <w:shd w:val="clear" w:color="auto" w:fill="FFFFFF"/>
        </w:rPr>
      </w:pPr>
      <w:r>
        <w:rPr>
          <w:rFonts w:asciiTheme="majorBidi" w:hAnsiTheme="majorBidi" w:cstheme="majorBidi"/>
          <w:lang w:val="en-US"/>
        </w:rPr>
        <w:t>The worldwide mass Covid-19 vaccination campaign</w:t>
      </w:r>
      <w:r w:rsidR="00F5700D">
        <w:rPr>
          <w:rFonts w:asciiTheme="majorBidi" w:hAnsiTheme="majorBidi" w:cstheme="majorBidi"/>
          <w:lang w:val="en-US"/>
        </w:rPr>
        <w:t xml:space="preserve"> –</w:t>
      </w:r>
      <w:r>
        <w:rPr>
          <w:rFonts w:asciiTheme="majorBidi" w:hAnsiTheme="majorBidi" w:cstheme="majorBidi"/>
          <w:lang w:val="en-US"/>
        </w:rPr>
        <w:t xml:space="preserve"> ‘a jab in every arm’ </w:t>
      </w:r>
      <w:r w:rsidR="00F5700D">
        <w:rPr>
          <w:rFonts w:asciiTheme="majorBidi" w:hAnsiTheme="majorBidi" w:cstheme="majorBidi"/>
          <w:lang w:val="en-US"/>
        </w:rPr>
        <w:t xml:space="preserve">– </w:t>
      </w:r>
      <w:r w:rsidR="00F441B6">
        <w:rPr>
          <w:rFonts w:asciiTheme="majorBidi" w:hAnsiTheme="majorBidi" w:cstheme="majorBidi"/>
          <w:lang w:val="en-US"/>
        </w:rPr>
        <w:t>has</w:t>
      </w:r>
      <w:r>
        <w:rPr>
          <w:rFonts w:asciiTheme="majorBidi" w:hAnsiTheme="majorBidi" w:cstheme="majorBidi"/>
          <w:lang w:val="en-US"/>
        </w:rPr>
        <w:t xml:space="preserve"> not </w:t>
      </w:r>
      <w:r w:rsidR="00F441B6">
        <w:rPr>
          <w:rFonts w:asciiTheme="majorBidi" w:hAnsiTheme="majorBidi" w:cstheme="majorBidi"/>
          <w:lang w:val="en-US"/>
        </w:rPr>
        <w:t xml:space="preserve">provided the </w:t>
      </w:r>
      <w:r w:rsidR="00F5700D">
        <w:rPr>
          <w:rFonts w:asciiTheme="majorBidi" w:hAnsiTheme="majorBidi" w:cstheme="majorBidi"/>
          <w:lang w:val="en-US"/>
        </w:rPr>
        <w:t xml:space="preserve">aggregate </w:t>
      </w:r>
      <w:r>
        <w:rPr>
          <w:rFonts w:asciiTheme="majorBidi" w:hAnsiTheme="majorBidi" w:cstheme="majorBidi"/>
          <w:lang w:val="en-US"/>
        </w:rPr>
        <w:t xml:space="preserve">health benefits that might have been expected. </w:t>
      </w:r>
      <w:r w:rsidR="00F441B6">
        <w:rPr>
          <w:rFonts w:asciiTheme="majorBidi" w:hAnsiTheme="majorBidi" w:cstheme="majorBidi"/>
          <w:lang w:val="en-US"/>
        </w:rPr>
        <w:t>H</w:t>
      </w:r>
      <w:r w:rsidR="00F5700D">
        <w:rPr>
          <w:rFonts w:asciiTheme="majorBidi" w:hAnsiTheme="majorBidi" w:cstheme="majorBidi"/>
          <w:lang w:val="en-US"/>
        </w:rPr>
        <w:t xml:space="preserve">igh frequency and timely excess mortality estimates are </w:t>
      </w:r>
      <w:r w:rsidR="00F441B6">
        <w:rPr>
          <w:rFonts w:asciiTheme="majorBidi" w:hAnsiTheme="majorBidi" w:cstheme="majorBidi"/>
          <w:lang w:val="en-US"/>
        </w:rPr>
        <w:t>un</w:t>
      </w:r>
      <w:r w:rsidR="00F5700D">
        <w:rPr>
          <w:rFonts w:asciiTheme="majorBidi" w:hAnsiTheme="majorBidi" w:cstheme="majorBidi"/>
          <w:lang w:val="en-US"/>
        </w:rPr>
        <w:t>available</w:t>
      </w:r>
      <w:r w:rsidR="00F441B6">
        <w:rPr>
          <w:rFonts w:asciiTheme="majorBidi" w:hAnsiTheme="majorBidi" w:cstheme="majorBidi"/>
          <w:lang w:val="en-US"/>
        </w:rPr>
        <w:t xml:space="preserve"> globally but</w:t>
      </w:r>
      <w:r w:rsidR="00F5700D">
        <w:rPr>
          <w:rFonts w:asciiTheme="majorBidi" w:hAnsiTheme="majorBidi" w:cstheme="majorBidi"/>
          <w:lang w:val="en-US"/>
        </w:rPr>
        <w:t xml:space="preserve"> are available for 32 developed (and highly vaccinated) OECD countries studied here.</w:t>
      </w:r>
      <w:r w:rsidR="00F441B6">
        <w:rPr>
          <w:rFonts w:asciiTheme="majorBidi" w:hAnsiTheme="majorBidi" w:cstheme="majorBidi"/>
          <w:lang w:val="en-US"/>
        </w:rPr>
        <w:t xml:space="preserve"> For t</w:t>
      </w:r>
      <w:r w:rsidR="00F5700D">
        <w:rPr>
          <w:rFonts w:asciiTheme="majorBidi" w:hAnsiTheme="majorBidi" w:cstheme="majorBidi"/>
          <w:lang w:val="en-US"/>
        </w:rPr>
        <w:t xml:space="preserve">hese countries </w:t>
      </w:r>
      <w:r w:rsidR="00F441B6">
        <w:rPr>
          <w:rFonts w:asciiTheme="majorBidi" w:hAnsiTheme="majorBidi" w:cstheme="majorBidi"/>
          <w:lang w:val="en-US"/>
        </w:rPr>
        <w:t xml:space="preserve">there is </w:t>
      </w:r>
      <w:r w:rsidR="00F5700D">
        <w:rPr>
          <w:rFonts w:asciiTheme="majorBidi" w:hAnsiTheme="majorBidi" w:cstheme="majorBidi"/>
          <w:lang w:val="en-US"/>
        </w:rPr>
        <w:t>no overall correlation between the incidence of Covid-19 vaccination and excess mortality, repeating a non-effect found when studying changes from 2020 to 2021 for the same month of the year (Gibson, 2021). I</w:t>
      </w:r>
      <w:r w:rsidR="00F441B6">
        <w:rPr>
          <w:rFonts w:asciiTheme="majorBidi" w:hAnsiTheme="majorBidi" w:cstheme="majorBidi"/>
          <w:lang w:val="en-US"/>
        </w:rPr>
        <w:t>f mass vaccination truly is cutting the Covid-19 death toll, as is frequently claimed, it presumably is increasing deaths elsewhere to yield this aggregate non-effect.</w:t>
      </w:r>
      <w:r w:rsidR="00F5700D">
        <w:rPr>
          <w:rFonts w:asciiTheme="majorBidi" w:hAnsiTheme="majorBidi" w:cstheme="majorBidi"/>
          <w:lang w:val="en-US"/>
        </w:rPr>
        <w:t xml:space="preserve"> </w:t>
      </w:r>
      <w:r>
        <w:rPr>
          <w:rFonts w:asciiTheme="majorBidi" w:hAnsiTheme="majorBidi" w:cstheme="majorBidi"/>
        </w:rPr>
        <w:t xml:space="preserve"> </w:t>
      </w:r>
    </w:p>
    <w:p w:rsidR="006D28EA" w:rsidRPr="00603315" w:rsidRDefault="0079669C" w:rsidP="00F441B6">
      <w:pPr>
        <w:rPr>
          <w:rFonts w:asciiTheme="majorBidi" w:hAnsiTheme="majorBidi" w:cstheme="majorBidi"/>
          <w:b/>
          <w:sz w:val="22"/>
          <w:szCs w:val="22"/>
        </w:rPr>
      </w:pPr>
      <w:r>
        <w:rPr>
          <w:rFonts w:asciiTheme="majorBidi" w:hAnsiTheme="majorBidi" w:cstheme="majorBidi"/>
          <w:b/>
          <w:sz w:val="22"/>
          <w:szCs w:val="22"/>
        </w:rPr>
        <w:br w:type="page"/>
      </w:r>
      <w:r w:rsidR="006D28EA" w:rsidRPr="00603315">
        <w:rPr>
          <w:rFonts w:asciiTheme="majorBidi" w:hAnsiTheme="majorBidi" w:cstheme="majorBidi"/>
          <w:b/>
          <w:sz w:val="22"/>
          <w:szCs w:val="22"/>
        </w:rPr>
        <w:lastRenderedPageBreak/>
        <w:t>References</w:t>
      </w:r>
    </w:p>
    <w:p w:rsidR="00603315" w:rsidRDefault="00603315" w:rsidP="00603315">
      <w:pPr>
        <w:spacing w:after="20"/>
        <w:ind w:left="720" w:hanging="720"/>
        <w:rPr>
          <w:rFonts w:asciiTheme="majorBidi" w:hAnsiTheme="majorBidi" w:cstheme="majorBidi"/>
          <w:sz w:val="22"/>
          <w:szCs w:val="22"/>
        </w:rPr>
      </w:pPr>
      <w:r w:rsidRPr="00603315">
        <w:rPr>
          <w:rFonts w:asciiTheme="majorBidi" w:hAnsiTheme="majorBidi" w:cstheme="majorBidi"/>
          <w:sz w:val="22"/>
          <w:szCs w:val="22"/>
        </w:rPr>
        <w:t xml:space="preserve">Blalock, H. M. (1964). </w:t>
      </w:r>
      <w:r w:rsidRPr="00603315">
        <w:rPr>
          <w:rFonts w:asciiTheme="majorBidi" w:hAnsiTheme="majorBidi" w:cstheme="majorBidi"/>
          <w:i/>
          <w:iCs/>
          <w:sz w:val="22"/>
          <w:szCs w:val="22"/>
        </w:rPr>
        <w:t xml:space="preserve">Causal Inferences in </w:t>
      </w:r>
      <w:proofErr w:type="spellStart"/>
      <w:r w:rsidRPr="00603315">
        <w:rPr>
          <w:rFonts w:asciiTheme="majorBidi" w:hAnsiTheme="majorBidi" w:cstheme="majorBidi"/>
          <w:i/>
          <w:iCs/>
          <w:sz w:val="22"/>
          <w:szCs w:val="22"/>
        </w:rPr>
        <w:t>Nonexperimental</w:t>
      </w:r>
      <w:proofErr w:type="spellEnd"/>
      <w:r w:rsidRPr="00603315">
        <w:rPr>
          <w:rFonts w:asciiTheme="majorBidi" w:hAnsiTheme="majorBidi" w:cstheme="majorBidi"/>
          <w:i/>
          <w:iCs/>
          <w:sz w:val="22"/>
          <w:szCs w:val="22"/>
        </w:rPr>
        <w:t xml:space="preserve"> Research</w:t>
      </w:r>
      <w:r w:rsidRPr="00603315">
        <w:rPr>
          <w:rFonts w:asciiTheme="majorBidi" w:hAnsiTheme="majorBidi" w:cstheme="majorBidi"/>
          <w:sz w:val="22"/>
          <w:szCs w:val="22"/>
        </w:rPr>
        <w:t>. Chapel Hill, N.C.: University of North Carolina Press.</w:t>
      </w:r>
    </w:p>
    <w:p w:rsidR="00854C7A" w:rsidRPr="00603315" w:rsidRDefault="00854C7A" w:rsidP="00854C7A">
      <w:pPr>
        <w:spacing w:after="20"/>
        <w:ind w:left="720" w:hanging="720"/>
        <w:rPr>
          <w:rFonts w:asciiTheme="majorBidi" w:hAnsiTheme="majorBidi" w:cstheme="majorBidi"/>
          <w:sz w:val="22"/>
          <w:szCs w:val="22"/>
        </w:rPr>
      </w:pPr>
      <w:r w:rsidRPr="00854C7A">
        <w:rPr>
          <w:rFonts w:asciiTheme="majorBidi" w:hAnsiTheme="majorBidi" w:cstheme="majorBidi"/>
          <w:sz w:val="22"/>
          <w:szCs w:val="22"/>
        </w:rPr>
        <w:t xml:space="preserve">Bowles, S., &amp; </w:t>
      </w:r>
      <w:proofErr w:type="spellStart"/>
      <w:r w:rsidRPr="00854C7A">
        <w:rPr>
          <w:rFonts w:asciiTheme="majorBidi" w:hAnsiTheme="majorBidi" w:cstheme="majorBidi"/>
          <w:sz w:val="22"/>
          <w:szCs w:val="22"/>
        </w:rPr>
        <w:t>Gintis</w:t>
      </w:r>
      <w:proofErr w:type="spellEnd"/>
      <w:r w:rsidRPr="00854C7A">
        <w:rPr>
          <w:rFonts w:asciiTheme="majorBidi" w:hAnsiTheme="majorBidi" w:cstheme="majorBidi"/>
          <w:sz w:val="22"/>
          <w:szCs w:val="22"/>
        </w:rPr>
        <w:t>, H. (2002). The inheritance of inequality. </w:t>
      </w:r>
      <w:r w:rsidRPr="00854C7A">
        <w:rPr>
          <w:rFonts w:asciiTheme="majorBidi" w:hAnsiTheme="majorBidi" w:cstheme="majorBidi"/>
          <w:i/>
          <w:iCs/>
          <w:sz w:val="22"/>
          <w:szCs w:val="22"/>
        </w:rPr>
        <w:t>Journal of Economic</w:t>
      </w:r>
      <w:r w:rsidR="006725B7">
        <w:rPr>
          <w:rFonts w:asciiTheme="majorBidi" w:hAnsiTheme="majorBidi" w:cstheme="majorBidi"/>
          <w:i/>
          <w:iCs/>
          <w:sz w:val="22"/>
          <w:szCs w:val="22"/>
        </w:rPr>
        <w:t xml:space="preserve"> Perspectives</w:t>
      </w:r>
      <w:r w:rsidR="006725B7">
        <w:rPr>
          <w:rFonts w:asciiTheme="majorBidi" w:hAnsiTheme="majorBidi" w:cstheme="majorBidi"/>
          <w:sz w:val="22"/>
          <w:szCs w:val="22"/>
        </w:rPr>
        <w:t>,</w:t>
      </w:r>
      <w:r w:rsidR="006725B7">
        <w:rPr>
          <w:rFonts w:asciiTheme="majorBidi" w:hAnsiTheme="majorBidi" w:cstheme="majorBidi"/>
          <w:i/>
          <w:iCs/>
          <w:sz w:val="22"/>
          <w:szCs w:val="22"/>
        </w:rPr>
        <w:t xml:space="preserve"> </w:t>
      </w:r>
      <w:r w:rsidRPr="00854C7A">
        <w:rPr>
          <w:rFonts w:asciiTheme="majorBidi" w:hAnsiTheme="majorBidi" w:cstheme="majorBidi"/>
          <w:i/>
          <w:iCs/>
          <w:sz w:val="22"/>
          <w:szCs w:val="22"/>
        </w:rPr>
        <w:t>16</w:t>
      </w:r>
      <w:r w:rsidRPr="00854C7A">
        <w:rPr>
          <w:rFonts w:asciiTheme="majorBidi" w:hAnsiTheme="majorBidi" w:cstheme="majorBidi"/>
          <w:sz w:val="22"/>
          <w:szCs w:val="22"/>
        </w:rPr>
        <w:t>(3), 3-30.</w:t>
      </w:r>
    </w:p>
    <w:p w:rsidR="009A2E26" w:rsidRPr="00927E24" w:rsidRDefault="009A2E26" w:rsidP="009E688A">
      <w:pPr>
        <w:spacing w:after="20"/>
        <w:ind w:left="720" w:hanging="720"/>
        <w:rPr>
          <w:rFonts w:asciiTheme="majorBidi" w:hAnsiTheme="majorBidi" w:cstheme="majorBidi"/>
          <w:sz w:val="22"/>
          <w:szCs w:val="22"/>
        </w:rPr>
      </w:pPr>
      <w:proofErr w:type="spellStart"/>
      <w:r w:rsidRPr="00927E24">
        <w:rPr>
          <w:rFonts w:asciiTheme="majorBidi" w:hAnsiTheme="majorBidi" w:cstheme="majorBidi"/>
          <w:sz w:val="22"/>
          <w:szCs w:val="22"/>
        </w:rPr>
        <w:t>Chemait</w:t>
      </w:r>
      <w:r w:rsidR="009E688A" w:rsidRPr="00927E24">
        <w:rPr>
          <w:rFonts w:asciiTheme="majorBidi" w:hAnsiTheme="majorBidi" w:cstheme="majorBidi"/>
          <w:sz w:val="22"/>
          <w:szCs w:val="22"/>
        </w:rPr>
        <w:t>elly</w:t>
      </w:r>
      <w:proofErr w:type="spellEnd"/>
      <w:r w:rsidR="009E688A" w:rsidRPr="00927E24">
        <w:rPr>
          <w:rFonts w:asciiTheme="majorBidi" w:hAnsiTheme="majorBidi" w:cstheme="majorBidi"/>
          <w:sz w:val="22"/>
          <w:szCs w:val="22"/>
        </w:rPr>
        <w:t>, H., Tang, P., Hasan, M.</w:t>
      </w:r>
      <w:r w:rsidRPr="00927E24">
        <w:rPr>
          <w:rFonts w:asciiTheme="majorBidi" w:hAnsiTheme="majorBidi" w:cstheme="majorBidi"/>
          <w:sz w:val="22"/>
          <w:szCs w:val="22"/>
        </w:rPr>
        <w:t xml:space="preserve">, &amp; </w:t>
      </w:r>
      <w:r w:rsidR="009E688A" w:rsidRPr="00927E24">
        <w:rPr>
          <w:rFonts w:asciiTheme="majorBidi" w:hAnsiTheme="majorBidi" w:cstheme="majorBidi"/>
          <w:sz w:val="22"/>
          <w:szCs w:val="22"/>
        </w:rPr>
        <w:t>21 others</w:t>
      </w:r>
      <w:r w:rsidRPr="00927E24">
        <w:rPr>
          <w:rFonts w:asciiTheme="majorBidi" w:hAnsiTheme="majorBidi" w:cstheme="majorBidi"/>
          <w:sz w:val="22"/>
          <w:szCs w:val="22"/>
        </w:rPr>
        <w:t>. (2021). Waning of BNT162b2 vaccine protection against SARS-CoV-2 infection in Qatar. </w:t>
      </w:r>
      <w:r w:rsidRPr="00927E24">
        <w:rPr>
          <w:rFonts w:asciiTheme="majorBidi" w:hAnsiTheme="majorBidi" w:cstheme="majorBidi"/>
          <w:i/>
          <w:iCs/>
          <w:sz w:val="22"/>
          <w:szCs w:val="22"/>
        </w:rPr>
        <w:t>New England Journal of Medicine</w:t>
      </w:r>
      <w:r w:rsidR="009E688A" w:rsidRPr="00927E24">
        <w:rPr>
          <w:rFonts w:asciiTheme="majorBidi" w:hAnsiTheme="majorBidi" w:cstheme="majorBidi"/>
          <w:sz w:val="22"/>
          <w:szCs w:val="22"/>
        </w:rPr>
        <w:t xml:space="preserve"> (early view) DOI: 10.1056/NEJMoa2114114 </w:t>
      </w:r>
    </w:p>
    <w:p w:rsidR="00603315" w:rsidRPr="00927E24" w:rsidRDefault="00603315" w:rsidP="00603315">
      <w:pPr>
        <w:spacing w:after="20"/>
        <w:ind w:left="720" w:hanging="720"/>
        <w:rPr>
          <w:rFonts w:asciiTheme="majorBidi" w:hAnsiTheme="majorBidi" w:cstheme="majorBidi"/>
          <w:sz w:val="22"/>
          <w:szCs w:val="22"/>
        </w:rPr>
      </w:pPr>
      <w:r w:rsidRPr="00927E24">
        <w:rPr>
          <w:rFonts w:asciiTheme="majorBidi" w:hAnsiTheme="majorBidi" w:cstheme="majorBidi"/>
          <w:sz w:val="22"/>
          <w:szCs w:val="22"/>
        </w:rPr>
        <w:t xml:space="preserve">Cohn, B., </w:t>
      </w:r>
      <w:proofErr w:type="spellStart"/>
      <w:r w:rsidRPr="00927E24">
        <w:rPr>
          <w:rFonts w:asciiTheme="majorBidi" w:hAnsiTheme="majorBidi" w:cstheme="majorBidi"/>
          <w:sz w:val="22"/>
          <w:szCs w:val="22"/>
        </w:rPr>
        <w:t>Cirillo</w:t>
      </w:r>
      <w:proofErr w:type="spellEnd"/>
      <w:r w:rsidRPr="00927E24">
        <w:rPr>
          <w:rFonts w:asciiTheme="majorBidi" w:hAnsiTheme="majorBidi" w:cstheme="majorBidi"/>
          <w:sz w:val="22"/>
          <w:szCs w:val="22"/>
        </w:rPr>
        <w:t xml:space="preserve">, P., Murphy, C., </w:t>
      </w:r>
      <w:proofErr w:type="spellStart"/>
      <w:r w:rsidRPr="00927E24">
        <w:rPr>
          <w:rFonts w:asciiTheme="majorBidi" w:hAnsiTheme="majorBidi" w:cstheme="majorBidi"/>
          <w:sz w:val="22"/>
          <w:szCs w:val="22"/>
        </w:rPr>
        <w:t>Krigbaum</w:t>
      </w:r>
      <w:proofErr w:type="spellEnd"/>
      <w:r w:rsidRPr="00927E24">
        <w:rPr>
          <w:rFonts w:asciiTheme="majorBidi" w:hAnsiTheme="majorBidi" w:cstheme="majorBidi"/>
          <w:sz w:val="22"/>
          <w:szCs w:val="22"/>
        </w:rPr>
        <w:t xml:space="preserve">, N., &amp; Wallace, A. (2021). Breakthrough SARS-CoV-2 infections in 620,000 US veterans, February 1, 2021 to August 13, 2021. </w:t>
      </w:r>
      <w:proofErr w:type="spellStart"/>
      <w:r w:rsidRPr="00927E24">
        <w:rPr>
          <w:rFonts w:asciiTheme="majorBidi" w:hAnsiTheme="majorBidi" w:cstheme="majorBidi"/>
          <w:i/>
          <w:iCs/>
          <w:sz w:val="22"/>
          <w:szCs w:val="22"/>
        </w:rPr>
        <w:t>medRxiv</w:t>
      </w:r>
      <w:proofErr w:type="spellEnd"/>
      <w:r w:rsidRPr="00927E24">
        <w:rPr>
          <w:rFonts w:asciiTheme="majorBidi" w:hAnsiTheme="majorBidi" w:cstheme="majorBidi"/>
          <w:sz w:val="22"/>
          <w:szCs w:val="22"/>
        </w:rPr>
        <w:t xml:space="preserve">. </w:t>
      </w:r>
      <w:hyperlink r:id="rId10" w:history="1">
        <w:r w:rsidRPr="00927E24">
          <w:rPr>
            <w:rStyle w:val="Hyperlink"/>
            <w:rFonts w:asciiTheme="majorBidi" w:hAnsiTheme="majorBidi" w:cstheme="majorBidi"/>
            <w:sz w:val="22"/>
            <w:szCs w:val="22"/>
            <w:shd w:val="clear" w:color="auto" w:fill="FFFFFF"/>
          </w:rPr>
          <w:t>https://doi.org/10.1101/2021.10.13.21264966</w:t>
        </w:r>
      </w:hyperlink>
      <w:r w:rsidRPr="00927E24">
        <w:rPr>
          <w:rFonts w:asciiTheme="majorBidi" w:hAnsiTheme="majorBidi" w:cstheme="majorBidi"/>
          <w:color w:val="333333"/>
          <w:sz w:val="22"/>
          <w:szCs w:val="22"/>
          <w:shd w:val="clear" w:color="auto" w:fill="FFFFFF"/>
        </w:rPr>
        <w:t xml:space="preserve"> </w:t>
      </w:r>
    </w:p>
    <w:p w:rsidR="00AA4890" w:rsidRPr="00927E24" w:rsidRDefault="00AA4890" w:rsidP="00AA4890">
      <w:pPr>
        <w:spacing w:after="20"/>
        <w:ind w:left="720" w:hanging="720"/>
        <w:rPr>
          <w:rFonts w:asciiTheme="majorBidi" w:hAnsiTheme="majorBidi" w:cstheme="majorBidi"/>
          <w:color w:val="222222"/>
          <w:sz w:val="22"/>
          <w:szCs w:val="22"/>
          <w:shd w:val="clear" w:color="auto" w:fill="FFFFFF"/>
        </w:rPr>
      </w:pPr>
      <w:proofErr w:type="spellStart"/>
      <w:r w:rsidRPr="00927E24">
        <w:rPr>
          <w:rFonts w:asciiTheme="majorBidi" w:hAnsiTheme="majorBidi" w:cstheme="majorBidi"/>
          <w:color w:val="222222"/>
          <w:sz w:val="22"/>
          <w:szCs w:val="22"/>
          <w:shd w:val="clear" w:color="auto" w:fill="FFFFFF"/>
        </w:rPr>
        <w:t>Doshi</w:t>
      </w:r>
      <w:proofErr w:type="spellEnd"/>
      <w:r w:rsidRPr="00927E24">
        <w:rPr>
          <w:rFonts w:asciiTheme="majorBidi" w:hAnsiTheme="majorBidi" w:cstheme="majorBidi"/>
          <w:color w:val="222222"/>
          <w:sz w:val="22"/>
          <w:szCs w:val="22"/>
          <w:shd w:val="clear" w:color="auto" w:fill="FFFFFF"/>
        </w:rPr>
        <w:t xml:space="preserve">, P. (2020). Will covid-19 vaccines save lives? Current trials aren’t designed to tell us. </w:t>
      </w:r>
      <w:r w:rsidRPr="00927E24">
        <w:rPr>
          <w:rFonts w:asciiTheme="majorBidi" w:hAnsiTheme="majorBidi" w:cstheme="majorBidi"/>
          <w:i/>
          <w:iCs/>
          <w:color w:val="222222"/>
          <w:sz w:val="22"/>
          <w:szCs w:val="22"/>
          <w:shd w:val="clear" w:color="auto" w:fill="FFFFFF"/>
        </w:rPr>
        <w:t>BMJ</w:t>
      </w:r>
      <w:r w:rsidRPr="00927E24">
        <w:rPr>
          <w:rFonts w:asciiTheme="majorBidi" w:hAnsiTheme="majorBidi" w:cstheme="majorBidi"/>
          <w:color w:val="222222"/>
          <w:sz w:val="22"/>
          <w:szCs w:val="22"/>
          <w:shd w:val="clear" w:color="auto" w:fill="FFFFFF"/>
        </w:rPr>
        <w:t xml:space="preserve">, </w:t>
      </w:r>
      <w:r w:rsidRPr="00927E24">
        <w:rPr>
          <w:rFonts w:asciiTheme="majorBidi" w:hAnsiTheme="majorBidi" w:cstheme="majorBidi"/>
          <w:i/>
          <w:iCs/>
          <w:color w:val="222222"/>
          <w:sz w:val="22"/>
          <w:szCs w:val="22"/>
          <w:shd w:val="clear" w:color="auto" w:fill="FFFFFF"/>
        </w:rPr>
        <w:t>371</w:t>
      </w:r>
      <w:r w:rsidRPr="00927E24">
        <w:rPr>
          <w:rFonts w:asciiTheme="majorBidi" w:hAnsiTheme="majorBidi" w:cstheme="majorBidi"/>
          <w:color w:val="222222"/>
          <w:sz w:val="22"/>
          <w:szCs w:val="22"/>
          <w:shd w:val="clear" w:color="auto" w:fill="FFFFFF"/>
        </w:rPr>
        <w:t>, m4037.</w:t>
      </w:r>
    </w:p>
    <w:p w:rsidR="00603315" w:rsidRPr="00927E24" w:rsidRDefault="00AA4890" w:rsidP="00927E24">
      <w:pPr>
        <w:spacing w:after="20"/>
        <w:ind w:left="720" w:hanging="720"/>
        <w:rPr>
          <w:rFonts w:asciiTheme="majorBidi" w:hAnsiTheme="majorBidi" w:cstheme="majorBidi"/>
          <w:color w:val="222222"/>
          <w:sz w:val="22"/>
          <w:szCs w:val="22"/>
          <w:shd w:val="clear" w:color="auto" w:fill="FFFFFF"/>
        </w:rPr>
      </w:pPr>
      <w:proofErr w:type="spellStart"/>
      <w:r w:rsidRPr="00927E24">
        <w:rPr>
          <w:rFonts w:asciiTheme="majorBidi" w:hAnsiTheme="majorBidi" w:cstheme="majorBidi"/>
          <w:color w:val="222222"/>
          <w:sz w:val="22"/>
          <w:szCs w:val="22"/>
          <w:shd w:val="clear" w:color="auto" w:fill="FFFFFF"/>
        </w:rPr>
        <w:t>Doshi</w:t>
      </w:r>
      <w:proofErr w:type="spellEnd"/>
      <w:r w:rsidRPr="00927E24">
        <w:rPr>
          <w:rFonts w:asciiTheme="majorBidi" w:hAnsiTheme="majorBidi" w:cstheme="majorBidi"/>
          <w:color w:val="222222"/>
          <w:sz w:val="22"/>
          <w:szCs w:val="22"/>
          <w:shd w:val="clear" w:color="auto" w:fill="FFFFFF"/>
        </w:rPr>
        <w:t xml:space="preserve"> P. (2021). Does the FDA think these data justify the first full approval of a covid-19 vaccine? </w:t>
      </w:r>
      <w:r w:rsidR="00927E24" w:rsidRPr="00927E24">
        <w:rPr>
          <w:rStyle w:val="Hyperlink"/>
          <w:sz w:val="22"/>
          <w:szCs w:val="22"/>
        </w:rPr>
        <w:t>https://blogs.bmj.com/bmj/2021/08/23/does-the-fda-think-these-data-justify-the-first-full-approval-of-a-covid-19-vaccine/</w:t>
      </w:r>
      <w:r w:rsidR="00927E24" w:rsidRPr="00927E24">
        <w:rPr>
          <w:rFonts w:asciiTheme="majorBidi" w:hAnsiTheme="majorBidi" w:cstheme="majorBidi"/>
          <w:color w:val="222222"/>
          <w:sz w:val="22"/>
          <w:szCs w:val="22"/>
          <w:shd w:val="clear" w:color="auto" w:fill="FFFFFF"/>
        </w:rPr>
        <w:t xml:space="preserve">  </w:t>
      </w:r>
    </w:p>
    <w:p w:rsidR="00D64269" w:rsidRPr="00927E24" w:rsidRDefault="001A2933" w:rsidP="00D64269">
      <w:pPr>
        <w:spacing w:after="20"/>
        <w:ind w:left="720" w:hanging="720"/>
        <w:rPr>
          <w:rFonts w:asciiTheme="majorBidi" w:hAnsiTheme="majorBidi" w:cstheme="majorBidi"/>
          <w:color w:val="222222"/>
          <w:sz w:val="22"/>
          <w:szCs w:val="22"/>
          <w:shd w:val="clear" w:color="auto" w:fill="FFFFFF"/>
        </w:rPr>
      </w:pPr>
      <w:r w:rsidRPr="00927E24">
        <w:rPr>
          <w:rFonts w:asciiTheme="majorBidi" w:hAnsiTheme="majorBidi" w:cstheme="majorBidi"/>
          <w:color w:val="222222"/>
          <w:sz w:val="22"/>
          <w:szCs w:val="22"/>
          <w:shd w:val="clear" w:color="auto" w:fill="FFFFFF"/>
        </w:rPr>
        <w:t>Gibson, J. (2021). Jabbing the economy back to life?</w:t>
      </w:r>
      <w:r w:rsidR="00603315" w:rsidRPr="00927E24">
        <w:rPr>
          <w:rFonts w:asciiTheme="majorBidi" w:hAnsiTheme="majorBidi" w:cstheme="majorBidi"/>
          <w:color w:val="222222"/>
          <w:sz w:val="22"/>
          <w:szCs w:val="22"/>
          <w:shd w:val="clear" w:color="auto" w:fill="FFFFFF"/>
        </w:rPr>
        <w:t xml:space="preserve"> </w:t>
      </w:r>
      <w:r w:rsidR="00603315" w:rsidRPr="00927E24">
        <w:rPr>
          <w:rFonts w:asciiTheme="majorBidi" w:hAnsiTheme="majorBidi" w:cstheme="majorBidi"/>
          <w:i/>
          <w:iCs/>
          <w:color w:val="222222"/>
          <w:sz w:val="22"/>
          <w:szCs w:val="22"/>
          <w:shd w:val="clear" w:color="auto" w:fill="FFFFFF"/>
        </w:rPr>
        <w:t xml:space="preserve">Working Papers in Economics </w:t>
      </w:r>
      <w:r w:rsidR="00603315" w:rsidRPr="00927E24">
        <w:rPr>
          <w:rFonts w:asciiTheme="majorBidi" w:hAnsiTheme="majorBidi" w:cstheme="majorBidi"/>
          <w:color w:val="222222"/>
          <w:sz w:val="22"/>
          <w:szCs w:val="22"/>
          <w:shd w:val="clear" w:color="auto" w:fill="FFFFFF"/>
        </w:rPr>
        <w:t>No. </w:t>
      </w:r>
      <w:r w:rsidRPr="00927E24">
        <w:rPr>
          <w:rFonts w:asciiTheme="majorBidi" w:hAnsiTheme="majorBidi" w:cstheme="majorBidi"/>
          <w:color w:val="222222"/>
          <w:sz w:val="22"/>
          <w:szCs w:val="22"/>
          <w:shd w:val="clear" w:color="auto" w:fill="FFFFFF"/>
        </w:rPr>
        <w:t>21/11</w:t>
      </w:r>
      <w:r w:rsidR="00603315" w:rsidRPr="00927E24">
        <w:rPr>
          <w:rFonts w:asciiTheme="majorBidi" w:hAnsiTheme="majorBidi" w:cstheme="majorBidi"/>
          <w:color w:val="222222"/>
          <w:sz w:val="22"/>
          <w:szCs w:val="22"/>
          <w:shd w:val="clear" w:color="auto" w:fill="FFFFFF"/>
        </w:rPr>
        <w:t>, Waikato Management School, University of Waikato.</w:t>
      </w:r>
    </w:p>
    <w:p w:rsidR="00854C7A" w:rsidRPr="00854C7A" w:rsidRDefault="00854C7A" w:rsidP="00854C7A">
      <w:pPr>
        <w:spacing w:after="20"/>
        <w:ind w:left="720" w:hanging="720"/>
        <w:rPr>
          <w:rFonts w:asciiTheme="majorBidi" w:hAnsiTheme="majorBidi" w:cstheme="majorBidi"/>
          <w:sz w:val="22"/>
          <w:szCs w:val="22"/>
        </w:rPr>
      </w:pPr>
      <w:proofErr w:type="spellStart"/>
      <w:r w:rsidRPr="00927E24">
        <w:rPr>
          <w:rFonts w:asciiTheme="majorBidi" w:hAnsiTheme="majorBidi" w:cstheme="majorBidi"/>
          <w:sz w:val="22"/>
          <w:szCs w:val="22"/>
        </w:rPr>
        <w:t>Karlinsky</w:t>
      </w:r>
      <w:proofErr w:type="spellEnd"/>
      <w:r w:rsidRPr="00927E24">
        <w:rPr>
          <w:rFonts w:asciiTheme="majorBidi" w:hAnsiTheme="majorBidi" w:cstheme="majorBidi"/>
          <w:sz w:val="22"/>
          <w:szCs w:val="22"/>
        </w:rPr>
        <w:t xml:space="preserve">, A., &amp; </w:t>
      </w:r>
      <w:proofErr w:type="spellStart"/>
      <w:r w:rsidRPr="00927E24">
        <w:rPr>
          <w:rFonts w:asciiTheme="majorBidi" w:hAnsiTheme="majorBidi" w:cstheme="majorBidi"/>
          <w:sz w:val="22"/>
          <w:szCs w:val="22"/>
        </w:rPr>
        <w:t>Kobak</w:t>
      </w:r>
      <w:proofErr w:type="spellEnd"/>
      <w:r w:rsidRPr="00927E24">
        <w:rPr>
          <w:rFonts w:asciiTheme="majorBidi" w:hAnsiTheme="majorBidi" w:cstheme="majorBidi"/>
          <w:sz w:val="22"/>
          <w:szCs w:val="22"/>
        </w:rPr>
        <w:t>, D. (2021). Tracking</w:t>
      </w:r>
      <w:r w:rsidRPr="00854C7A">
        <w:rPr>
          <w:rFonts w:asciiTheme="majorBidi" w:hAnsiTheme="majorBidi" w:cstheme="majorBidi"/>
          <w:sz w:val="22"/>
          <w:szCs w:val="22"/>
        </w:rPr>
        <w:t xml:space="preserve"> excess mortality across countries during the COVID-19 pandemic with the World Mortality Dataset. </w:t>
      </w:r>
      <w:proofErr w:type="spellStart"/>
      <w:r w:rsidRPr="00854C7A">
        <w:rPr>
          <w:rFonts w:asciiTheme="majorBidi" w:hAnsiTheme="majorBidi" w:cstheme="majorBidi"/>
          <w:i/>
          <w:iCs/>
          <w:sz w:val="22"/>
          <w:szCs w:val="22"/>
        </w:rPr>
        <w:t>ELife</w:t>
      </w:r>
      <w:proofErr w:type="spellEnd"/>
      <w:r w:rsidRPr="00854C7A">
        <w:rPr>
          <w:rFonts w:asciiTheme="majorBidi" w:hAnsiTheme="majorBidi" w:cstheme="majorBidi"/>
          <w:sz w:val="22"/>
          <w:szCs w:val="22"/>
        </w:rPr>
        <w:t>, </w:t>
      </w:r>
      <w:r w:rsidRPr="00854C7A">
        <w:rPr>
          <w:rFonts w:asciiTheme="majorBidi" w:hAnsiTheme="majorBidi" w:cstheme="majorBidi"/>
          <w:i/>
          <w:iCs/>
          <w:sz w:val="22"/>
          <w:szCs w:val="22"/>
        </w:rPr>
        <w:t>10</w:t>
      </w:r>
      <w:r w:rsidRPr="00854C7A">
        <w:rPr>
          <w:rFonts w:asciiTheme="majorBidi" w:hAnsiTheme="majorBidi" w:cstheme="majorBidi"/>
          <w:sz w:val="22"/>
          <w:szCs w:val="22"/>
        </w:rPr>
        <w:t>, e69336.</w:t>
      </w:r>
    </w:p>
    <w:p w:rsidR="00C12D08" w:rsidRPr="0079669C" w:rsidRDefault="00C12D08" w:rsidP="00C12D08">
      <w:pPr>
        <w:spacing w:after="20"/>
        <w:ind w:left="720" w:hanging="720"/>
        <w:rPr>
          <w:rFonts w:asciiTheme="majorBidi" w:hAnsiTheme="majorBidi" w:cstheme="majorBidi"/>
          <w:color w:val="000000" w:themeColor="text1"/>
          <w:sz w:val="22"/>
          <w:szCs w:val="22"/>
          <w:shd w:val="clear" w:color="auto" w:fill="FFFFFF"/>
        </w:rPr>
      </w:pPr>
      <w:r w:rsidRPr="0079669C">
        <w:rPr>
          <w:rFonts w:asciiTheme="majorBidi" w:hAnsiTheme="majorBidi" w:cstheme="majorBidi"/>
          <w:color w:val="000000" w:themeColor="text1"/>
          <w:sz w:val="22"/>
          <w:szCs w:val="22"/>
          <w:shd w:val="clear" w:color="auto" w:fill="FFFFFF"/>
        </w:rPr>
        <w:t xml:space="preserve">Levin, A., </w:t>
      </w:r>
      <w:proofErr w:type="spellStart"/>
      <w:r w:rsidRPr="0079669C">
        <w:rPr>
          <w:rFonts w:asciiTheme="majorBidi" w:hAnsiTheme="majorBidi" w:cstheme="majorBidi"/>
          <w:color w:val="000000" w:themeColor="text1"/>
          <w:sz w:val="22"/>
          <w:szCs w:val="22"/>
          <w:shd w:val="clear" w:color="auto" w:fill="FFFFFF"/>
        </w:rPr>
        <w:t>Hanage</w:t>
      </w:r>
      <w:proofErr w:type="spellEnd"/>
      <w:r w:rsidRPr="0079669C">
        <w:rPr>
          <w:rFonts w:asciiTheme="majorBidi" w:hAnsiTheme="majorBidi" w:cstheme="majorBidi"/>
          <w:color w:val="000000" w:themeColor="text1"/>
          <w:sz w:val="22"/>
          <w:szCs w:val="22"/>
          <w:shd w:val="clear" w:color="auto" w:fill="FFFFFF"/>
        </w:rPr>
        <w:t xml:space="preserve">, W., </w:t>
      </w:r>
      <w:proofErr w:type="spellStart"/>
      <w:r w:rsidRPr="0079669C">
        <w:rPr>
          <w:rFonts w:asciiTheme="majorBidi" w:hAnsiTheme="majorBidi" w:cstheme="majorBidi"/>
          <w:color w:val="000000" w:themeColor="text1"/>
          <w:sz w:val="22"/>
          <w:szCs w:val="22"/>
          <w:shd w:val="clear" w:color="auto" w:fill="FFFFFF"/>
        </w:rPr>
        <w:t>Owusu-Boaitey</w:t>
      </w:r>
      <w:proofErr w:type="spellEnd"/>
      <w:r w:rsidRPr="0079669C">
        <w:rPr>
          <w:rFonts w:asciiTheme="majorBidi" w:hAnsiTheme="majorBidi" w:cstheme="majorBidi"/>
          <w:color w:val="000000" w:themeColor="text1"/>
          <w:sz w:val="22"/>
          <w:szCs w:val="22"/>
          <w:shd w:val="clear" w:color="auto" w:fill="FFFFFF"/>
        </w:rPr>
        <w:t xml:space="preserve">, N., Cochran, K., Walsh, S., &amp; </w:t>
      </w:r>
      <w:proofErr w:type="spellStart"/>
      <w:r w:rsidRPr="0079669C">
        <w:rPr>
          <w:rFonts w:asciiTheme="majorBidi" w:hAnsiTheme="majorBidi" w:cstheme="majorBidi"/>
          <w:color w:val="000000" w:themeColor="text1"/>
          <w:sz w:val="22"/>
          <w:szCs w:val="22"/>
          <w:shd w:val="clear" w:color="auto" w:fill="FFFFFF"/>
        </w:rPr>
        <w:t>Meyerowitz</w:t>
      </w:r>
      <w:proofErr w:type="spellEnd"/>
      <w:r w:rsidRPr="0079669C">
        <w:rPr>
          <w:rFonts w:asciiTheme="majorBidi" w:hAnsiTheme="majorBidi" w:cstheme="majorBidi"/>
          <w:color w:val="000000" w:themeColor="text1"/>
          <w:sz w:val="22"/>
          <w:szCs w:val="22"/>
          <w:shd w:val="clear" w:color="auto" w:fill="FFFFFF"/>
        </w:rPr>
        <w:t>-Katz, G. (2020). Assessing the age specificity of infection fatality rates for COVID-19: systematic review, meta-analysis, and public policy implications. </w:t>
      </w:r>
      <w:r w:rsidR="00950485" w:rsidRPr="0079669C">
        <w:rPr>
          <w:rFonts w:asciiTheme="majorBidi" w:hAnsiTheme="majorBidi" w:cstheme="majorBidi"/>
          <w:i/>
          <w:iCs/>
          <w:color w:val="000000" w:themeColor="text1"/>
          <w:sz w:val="22"/>
          <w:szCs w:val="22"/>
          <w:shd w:val="clear" w:color="auto" w:fill="FFFFFF"/>
        </w:rPr>
        <w:t>European Journal of E</w:t>
      </w:r>
      <w:r w:rsidRPr="0079669C">
        <w:rPr>
          <w:rFonts w:asciiTheme="majorBidi" w:hAnsiTheme="majorBidi" w:cstheme="majorBidi"/>
          <w:i/>
          <w:iCs/>
          <w:color w:val="000000" w:themeColor="text1"/>
          <w:sz w:val="22"/>
          <w:szCs w:val="22"/>
          <w:shd w:val="clear" w:color="auto" w:fill="FFFFFF"/>
        </w:rPr>
        <w:t>pidemiology</w:t>
      </w:r>
      <w:r w:rsidR="00950485" w:rsidRPr="0079669C">
        <w:rPr>
          <w:rFonts w:asciiTheme="majorBidi" w:hAnsiTheme="majorBidi" w:cstheme="majorBidi"/>
          <w:color w:val="000000" w:themeColor="text1"/>
          <w:sz w:val="22"/>
          <w:szCs w:val="22"/>
          <w:shd w:val="clear" w:color="auto" w:fill="FFFFFF"/>
        </w:rPr>
        <w:t xml:space="preserve">, </w:t>
      </w:r>
      <w:r w:rsidR="00950485" w:rsidRPr="0079669C">
        <w:rPr>
          <w:rFonts w:asciiTheme="majorBidi" w:hAnsiTheme="majorBidi" w:cstheme="majorBidi"/>
          <w:i/>
          <w:iCs/>
          <w:color w:val="000000" w:themeColor="text1"/>
          <w:sz w:val="22"/>
          <w:szCs w:val="22"/>
          <w:shd w:val="clear" w:color="auto" w:fill="FFFFFF"/>
        </w:rPr>
        <w:t>35</w:t>
      </w:r>
      <w:r w:rsidR="00950485" w:rsidRPr="0079669C">
        <w:rPr>
          <w:rFonts w:asciiTheme="majorBidi" w:hAnsiTheme="majorBidi" w:cstheme="majorBidi"/>
          <w:color w:val="000000" w:themeColor="text1"/>
          <w:sz w:val="22"/>
          <w:szCs w:val="22"/>
          <w:shd w:val="clear" w:color="auto" w:fill="FFFFFF"/>
        </w:rPr>
        <w:t>, 1123</w:t>
      </w:r>
      <w:r w:rsidRPr="0079669C">
        <w:rPr>
          <w:rFonts w:asciiTheme="majorBidi" w:hAnsiTheme="majorBidi" w:cstheme="majorBidi"/>
          <w:color w:val="000000" w:themeColor="text1"/>
          <w:sz w:val="22"/>
          <w:szCs w:val="22"/>
          <w:shd w:val="clear" w:color="auto" w:fill="FFFFFF"/>
        </w:rPr>
        <w:t>.</w:t>
      </w:r>
    </w:p>
    <w:p w:rsidR="00D64269" w:rsidRPr="0079669C" w:rsidRDefault="00D64269" w:rsidP="00D64269">
      <w:pPr>
        <w:spacing w:after="20"/>
        <w:ind w:left="720" w:hanging="720"/>
        <w:rPr>
          <w:rFonts w:asciiTheme="majorBidi" w:hAnsiTheme="majorBidi" w:cstheme="majorBidi"/>
          <w:color w:val="000000" w:themeColor="text1"/>
          <w:sz w:val="22"/>
          <w:szCs w:val="22"/>
          <w:shd w:val="clear" w:color="auto" w:fill="FFFFFF"/>
        </w:rPr>
      </w:pPr>
      <w:r w:rsidRPr="0079669C">
        <w:rPr>
          <w:rFonts w:asciiTheme="majorBidi" w:hAnsiTheme="majorBidi" w:cstheme="majorBidi"/>
          <w:color w:val="000000" w:themeColor="text1"/>
          <w:sz w:val="22"/>
          <w:szCs w:val="22"/>
          <w:shd w:val="clear" w:color="auto" w:fill="FFFFFF"/>
        </w:rPr>
        <w:t>Lyons-</w:t>
      </w:r>
      <w:proofErr w:type="spellStart"/>
      <w:r w:rsidRPr="0079669C">
        <w:rPr>
          <w:rFonts w:asciiTheme="majorBidi" w:hAnsiTheme="majorBidi" w:cstheme="majorBidi"/>
          <w:color w:val="000000" w:themeColor="text1"/>
          <w:sz w:val="22"/>
          <w:szCs w:val="22"/>
          <w:shd w:val="clear" w:color="auto" w:fill="FFFFFF"/>
        </w:rPr>
        <w:t>Weiler</w:t>
      </w:r>
      <w:proofErr w:type="spellEnd"/>
      <w:r w:rsidRPr="0079669C">
        <w:rPr>
          <w:rFonts w:asciiTheme="majorBidi" w:hAnsiTheme="majorBidi" w:cstheme="majorBidi"/>
          <w:color w:val="000000" w:themeColor="text1"/>
          <w:sz w:val="22"/>
          <w:szCs w:val="22"/>
          <w:shd w:val="clear" w:color="auto" w:fill="FFFFFF"/>
        </w:rPr>
        <w:t xml:space="preserve"> J. (2021). If vaccine adverse events tracking systems do not support causal inference, then “Pharmacovigilance” does not exist. </w:t>
      </w:r>
      <w:r w:rsidRPr="0079669C">
        <w:rPr>
          <w:rFonts w:asciiTheme="majorBidi" w:hAnsiTheme="majorBidi" w:cstheme="majorBidi"/>
          <w:i/>
          <w:iCs/>
          <w:color w:val="000000" w:themeColor="text1"/>
          <w:sz w:val="22"/>
          <w:szCs w:val="22"/>
          <w:shd w:val="clear" w:color="auto" w:fill="FFFFFF"/>
        </w:rPr>
        <w:t>Science, Public Health Policy, &amp; the Law</w:t>
      </w:r>
      <w:r w:rsidRPr="0079669C">
        <w:rPr>
          <w:rFonts w:asciiTheme="majorBidi" w:hAnsiTheme="majorBidi" w:cstheme="majorBidi"/>
          <w:color w:val="000000" w:themeColor="text1"/>
          <w:sz w:val="22"/>
          <w:szCs w:val="22"/>
          <w:shd w:val="clear" w:color="auto" w:fill="FFFFFF"/>
        </w:rPr>
        <w:t xml:space="preserve">,  </w:t>
      </w:r>
      <w:r w:rsidRPr="0079669C">
        <w:rPr>
          <w:rFonts w:asciiTheme="majorBidi" w:hAnsiTheme="majorBidi" w:cstheme="majorBidi"/>
          <w:i/>
          <w:iCs/>
          <w:color w:val="000000" w:themeColor="text1"/>
          <w:sz w:val="22"/>
          <w:szCs w:val="22"/>
          <w:shd w:val="clear" w:color="auto" w:fill="FFFFFF"/>
        </w:rPr>
        <w:t>3</w:t>
      </w:r>
      <w:r w:rsidRPr="0079669C">
        <w:rPr>
          <w:rFonts w:asciiTheme="majorBidi" w:hAnsiTheme="majorBidi" w:cstheme="majorBidi"/>
          <w:color w:val="000000" w:themeColor="text1"/>
          <w:sz w:val="22"/>
          <w:szCs w:val="22"/>
          <w:shd w:val="clear" w:color="auto" w:fill="FFFFFF"/>
        </w:rPr>
        <w:t>, 81-6.</w:t>
      </w:r>
    </w:p>
    <w:p w:rsidR="00603315" w:rsidRPr="0079669C" w:rsidRDefault="00603315" w:rsidP="00603315">
      <w:pPr>
        <w:spacing w:after="20"/>
        <w:ind w:left="720" w:hanging="720"/>
        <w:rPr>
          <w:rFonts w:asciiTheme="majorBidi" w:hAnsiTheme="majorBidi" w:cstheme="majorBidi"/>
          <w:color w:val="000000" w:themeColor="text1"/>
          <w:sz w:val="22"/>
          <w:szCs w:val="22"/>
          <w:shd w:val="clear" w:color="auto" w:fill="FFFFFF"/>
        </w:rPr>
      </w:pPr>
      <w:r w:rsidRPr="0079669C">
        <w:rPr>
          <w:rFonts w:asciiTheme="majorBidi" w:hAnsiTheme="majorBidi" w:cstheme="majorBidi"/>
          <w:color w:val="000000" w:themeColor="text1"/>
          <w:sz w:val="22"/>
          <w:szCs w:val="22"/>
          <w:shd w:val="clear" w:color="auto" w:fill="FFFFFF"/>
        </w:rPr>
        <w:t>Mathieu, E., Ritchie, H., Ortiz-</w:t>
      </w:r>
      <w:proofErr w:type="spellStart"/>
      <w:r w:rsidRPr="0079669C">
        <w:rPr>
          <w:rFonts w:asciiTheme="majorBidi" w:hAnsiTheme="majorBidi" w:cstheme="majorBidi"/>
          <w:color w:val="000000" w:themeColor="text1"/>
          <w:sz w:val="22"/>
          <w:szCs w:val="22"/>
          <w:shd w:val="clear" w:color="auto" w:fill="FFFFFF"/>
        </w:rPr>
        <w:t>Ospina</w:t>
      </w:r>
      <w:proofErr w:type="spellEnd"/>
      <w:r w:rsidRPr="0079669C">
        <w:rPr>
          <w:rFonts w:asciiTheme="majorBidi" w:hAnsiTheme="majorBidi" w:cstheme="majorBidi"/>
          <w:color w:val="000000" w:themeColor="text1"/>
          <w:sz w:val="22"/>
          <w:szCs w:val="22"/>
          <w:shd w:val="clear" w:color="auto" w:fill="FFFFFF"/>
        </w:rPr>
        <w:t xml:space="preserve">, E., </w:t>
      </w:r>
      <w:proofErr w:type="spellStart"/>
      <w:r w:rsidRPr="0079669C">
        <w:rPr>
          <w:rFonts w:asciiTheme="majorBidi" w:hAnsiTheme="majorBidi" w:cstheme="majorBidi"/>
          <w:color w:val="000000" w:themeColor="text1"/>
          <w:sz w:val="22"/>
          <w:szCs w:val="22"/>
          <w:shd w:val="clear" w:color="auto" w:fill="FFFFFF"/>
        </w:rPr>
        <w:t>Roser</w:t>
      </w:r>
      <w:proofErr w:type="spellEnd"/>
      <w:r w:rsidRPr="0079669C">
        <w:rPr>
          <w:rFonts w:asciiTheme="majorBidi" w:hAnsiTheme="majorBidi" w:cstheme="majorBidi"/>
          <w:color w:val="000000" w:themeColor="text1"/>
          <w:sz w:val="22"/>
          <w:szCs w:val="22"/>
          <w:shd w:val="clear" w:color="auto" w:fill="FFFFFF"/>
        </w:rPr>
        <w:t xml:space="preserve">, M., </w:t>
      </w:r>
      <w:proofErr w:type="spellStart"/>
      <w:r w:rsidRPr="0079669C">
        <w:rPr>
          <w:rFonts w:asciiTheme="majorBidi" w:hAnsiTheme="majorBidi" w:cstheme="majorBidi"/>
          <w:color w:val="000000" w:themeColor="text1"/>
          <w:sz w:val="22"/>
          <w:szCs w:val="22"/>
          <w:shd w:val="clear" w:color="auto" w:fill="FFFFFF"/>
        </w:rPr>
        <w:t>Hasell</w:t>
      </w:r>
      <w:proofErr w:type="spellEnd"/>
      <w:r w:rsidRPr="0079669C">
        <w:rPr>
          <w:rFonts w:asciiTheme="majorBidi" w:hAnsiTheme="majorBidi" w:cstheme="majorBidi"/>
          <w:color w:val="000000" w:themeColor="text1"/>
          <w:sz w:val="22"/>
          <w:szCs w:val="22"/>
          <w:shd w:val="clear" w:color="auto" w:fill="FFFFFF"/>
        </w:rPr>
        <w:t xml:space="preserve">, J., Appel, C., </w:t>
      </w:r>
      <w:proofErr w:type="spellStart"/>
      <w:r w:rsidRPr="0079669C">
        <w:rPr>
          <w:rFonts w:asciiTheme="majorBidi" w:hAnsiTheme="majorBidi" w:cstheme="majorBidi"/>
          <w:color w:val="000000" w:themeColor="text1"/>
          <w:sz w:val="22"/>
          <w:szCs w:val="22"/>
          <w:shd w:val="clear" w:color="auto" w:fill="FFFFFF"/>
        </w:rPr>
        <w:t>Giattino</w:t>
      </w:r>
      <w:proofErr w:type="spellEnd"/>
      <w:r w:rsidRPr="0079669C">
        <w:rPr>
          <w:rFonts w:asciiTheme="majorBidi" w:hAnsiTheme="majorBidi" w:cstheme="majorBidi"/>
          <w:color w:val="000000" w:themeColor="text1"/>
          <w:sz w:val="22"/>
          <w:szCs w:val="22"/>
          <w:shd w:val="clear" w:color="auto" w:fill="FFFFFF"/>
        </w:rPr>
        <w:t xml:space="preserve">, C. &amp; </w:t>
      </w:r>
      <w:proofErr w:type="spellStart"/>
      <w:r w:rsidRPr="0079669C">
        <w:rPr>
          <w:rFonts w:asciiTheme="majorBidi" w:hAnsiTheme="majorBidi" w:cstheme="majorBidi"/>
          <w:color w:val="000000" w:themeColor="text1"/>
          <w:sz w:val="22"/>
          <w:szCs w:val="22"/>
          <w:shd w:val="clear" w:color="auto" w:fill="FFFFFF"/>
        </w:rPr>
        <w:t>Rodés-Guirao</w:t>
      </w:r>
      <w:proofErr w:type="spellEnd"/>
      <w:r w:rsidRPr="0079669C">
        <w:rPr>
          <w:rFonts w:asciiTheme="majorBidi" w:hAnsiTheme="majorBidi" w:cstheme="majorBidi"/>
          <w:color w:val="000000" w:themeColor="text1"/>
          <w:sz w:val="22"/>
          <w:szCs w:val="22"/>
          <w:shd w:val="clear" w:color="auto" w:fill="FFFFFF"/>
        </w:rPr>
        <w:t>, L. (2021). A global database of COVID-19 vaccinations. </w:t>
      </w:r>
      <w:r w:rsidRPr="0079669C">
        <w:rPr>
          <w:rFonts w:asciiTheme="majorBidi" w:hAnsiTheme="majorBidi" w:cstheme="majorBidi"/>
          <w:i/>
          <w:iCs/>
          <w:color w:val="000000" w:themeColor="text1"/>
          <w:sz w:val="22"/>
          <w:szCs w:val="22"/>
          <w:shd w:val="clear" w:color="auto" w:fill="FFFFFF"/>
        </w:rPr>
        <w:t>Nature Human Behaviour</w:t>
      </w:r>
      <w:r w:rsidRPr="0079669C">
        <w:rPr>
          <w:rFonts w:asciiTheme="majorBidi" w:hAnsiTheme="majorBidi" w:cstheme="majorBidi"/>
          <w:color w:val="000000" w:themeColor="text1"/>
          <w:sz w:val="22"/>
          <w:szCs w:val="22"/>
          <w:shd w:val="clear" w:color="auto" w:fill="FFFFFF"/>
        </w:rPr>
        <w:t xml:space="preserve">, </w:t>
      </w:r>
      <w:r w:rsidRPr="0079669C">
        <w:rPr>
          <w:rFonts w:asciiTheme="majorBidi" w:hAnsiTheme="majorBidi" w:cstheme="majorBidi"/>
          <w:i/>
          <w:iCs/>
          <w:color w:val="000000" w:themeColor="text1"/>
          <w:sz w:val="22"/>
          <w:szCs w:val="22"/>
          <w:shd w:val="clear" w:color="auto" w:fill="FFFFFF"/>
        </w:rPr>
        <w:t>5</w:t>
      </w:r>
      <w:r w:rsidRPr="0079669C">
        <w:rPr>
          <w:rFonts w:asciiTheme="majorBidi" w:hAnsiTheme="majorBidi" w:cstheme="majorBidi"/>
          <w:color w:val="000000" w:themeColor="text1"/>
          <w:sz w:val="22"/>
          <w:szCs w:val="22"/>
          <w:shd w:val="clear" w:color="auto" w:fill="FFFFFF"/>
        </w:rPr>
        <w:t>, 947–953.</w:t>
      </w:r>
    </w:p>
    <w:p w:rsidR="00613AE0" w:rsidRPr="00603315" w:rsidRDefault="00613AE0" w:rsidP="0079669C">
      <w:pPr>
        <w:spacing w:after="20"/>
        <w:ind w:left="720" w:hanging="720"/>
        <w:rPr>
          <w:rFonts w:asciiTheme="majorBidi" w:hAnsiTheme="majorBidi" w:cstheme="majorBidi"/>
          <w:color w:val="222222"/>
          <w:sz w:val="22"/>
          <w:szCs w:val="22"/>
          <w:shd w:val="clear" w:color="auto" w:fill="FFFFFF"/>
        </w:rPr>
      </w:pPr>
      <w:r w:rsidRPr="00FB473E">
        <w:rPr>
          <w:rFonts w:asciiTheme="majorBidi" w:hAnsiTheme="majorBidi" w:cstheme="majorBidi"/>
          <w:color w:val="000000" w:themeColor="text1"/>
          <w:sz w:val="22"/>
          <w:szCs w:val="22"/>
          <w:shd w:val="clear" w:color="auto" w:fill="FFFFFF"/>
        </w:rPr>
        <w:t xml:space="preserve">McLachlan, S., Osman, M., </w:t>
      </w:r>
      <w:proofErr w:type="spellStart"/>
      <w:r w:rsidRPr="00FB473E">
        <w:rPr>
          <w:rFonts w:asciiTheme="majorBidi" w:hAnsiTheme="majorBidi" w:cstheme="majorBidi"/>
          <w:color w:val="000000" w:themeColor="text1"/>
          <w:sz w:val="22"/>
          <w:szCs w:val="22"/>
          <w:shd w:val="clear" w:color="auto" w:fill="FFFFFF"/>
        </w:rPr>
        <w:t>Dube</w:t>
      </w:r>
      <w:proofErr w:type="spellEnd"/>
      <w:r w:rsidRPr="00FB473E">
        <w:rPr>
          <w:rFonts w:asciiTheme="majorBidi" w:hAnsiTheme="majorBidi" w:cstheme="majorBidi"/>
          <w:color w:val="000000" w:themeColor="text1"/>
          <w:sz w:val="22"/>
          <w:szCs w:val="22"/>
          <w:shd w:val="clear" w:color="auto" w:fill="FFFFFF"/>
        </w:rPr>
        <w:t xml:space="preserve">, K., </w:t>
      </w:r>
      <w:proofErr w:type="spellStart"/>
      <w:r w:rsidRPr="00FB473E">
        <w:rPr>
          <w:rFonts w:asciiTheme="majorBidi" w:hAnsiTheme="majorBidi" w:cstheme="majorBidi"/>
          <w:color w:val="000000" w:themeColor="text1"/>
          <w:sz w:val="22"/>
          <w:szCs w:val="22"/>
          <w:shd w:val="clear" w:color="auto" w:fill="FFFFFF"/>
        </w:rPr>
        <w:t>Chiketero</w:t>
      </w:r>
      <w:proofErr w:type="spellEnd"/>
      <w:r w:rsidRPr="00FB473E">
        <w:rPr>
          <w:rFonts w:asciiTheme="majorBidi" w:hAnsiTheme="majorBidi" w:cstheme="majorBidi"/>
          <w:color w:val="000000" w:themeColor="text1"/>
          <w:sz w:val="22"/>
          <w:szCs w:val="22"/>
          <w:shd w:val="clear" w:color="auto" w:fill="FFFFFF"/>
        </w:rPr>
        <w:t xml:space="preserve">, P., Choi, Y., &amp; Fenton, N. </w:t>
      </w:r>
      <w:r w:rsidR="0079669C" w:rsidRPr="00FB473E">
        <w:rPr>
          <w:rFonts w:asciiTheme="majorBidi" w:hAnsiTheme="majorBidi" w:cstheme="majorBidi"/>
          <w:color w:val="000000" w:themeColor="text1"/>
          <w:sz w:val="22"/>
          <w:szCs w:val="22"/>
          <w:shd w:val="clear" w:color="auto" w:fill="FFFFFF"/>
        </w:rPr>
        <w:t xml:space="preserve">(2021). </w:t>
      </w:r>
      <w:r w:rsidRPr="0079669C">
        <w:rPr>
          <w:rFonts w:asciiTheme="majorBidi" w:hAnsiTheme="majorBidi" w:cstheme="majorBidi"/>
          <w:color w:val="000000" w:themeColor="text1"/>
          <w:sz w:val="22"/>
          <w:szCs w:val="22"/>
          <w:shd w:val="clear" w:color="auto" w:fill="FFFFFF"/>
        </w:rPr>
        <w:t>Analysis of COVID-19 vaccine death reports from the Vaccine Adverse E</w:t>
      </w:r>
      <w:r w:rsidR="0079669C" w:rsidRPr="0079669C">
        <w:rPr>
          <w:rFonts w:asciiTheme="majorBidi" w:hAnsiTheme="majorBidi" w:cstheme="majorBidi"/>
          <w:color w:val="000000" w:themeColor="text1"/>
          <w:sz w:val="22"/>
          <w:szCs w:val="22"/>
          <w:shd w:val="clear" w:color="auto" w:fill="FFFFFF"/>
        </w:rPr>
        <w:t>vents Reporting System (VAERS) d</w:t>
      </w:r>
      <w:r w:rsidRPr="0079669C">
        <w:rPr>
          <w:rFonts w:asciiTheme="majorBidi" w:hAnsiTheme="majorBidi" w:cstheme="majorBidi"/>
          <w:color w:val="000000" w:themeColor="text1"/>
          <w:sz w:val="22"/>
          <w:szCs w:val="22"/>
          <w:shd w:val="clear" w:color="auto" w:fill="FFFFFF"/>
        </w:rPr>
        <w:t>atabase.</w:t>
      </w:r>
      <w:r w:rsidR="0079669C" w:rsidRPr="0079669C">
        <w:rPr>
          <w:rFonts w:asciiTheme="majorBidi" w:hAnsiTheme="majorBidi" w:cstheme="majorBidi"/>
          <w:color w:val="000000" w:themeColor="text1"/>
          <w:sz w:val="22"/>
          <w:szCs w:val="22"/>
          <w:shd w:val="clear" w:color="auto" w:fill="FFFFFF"/>
        </w:rPr>
        <w:t xml:space="preserve"> </w:t>
      </w:r>
      <w:r w:rsidR="0079669C" w:rsidRPr="0079669C">
        <w:rPr>
          <w:rFonts w:asciiTheme="majorBidi" w:hAnsiTheme="majorBidi" w:cstheme="majorBidi"/>
          <w:i/>
          <w:iCs/>
          <w:color w:val="000000" w:themeColor="text1"/>
          <w:sz w:val="22"/>
          <w:szCs w:val="22"/>
          <w:shd w:val="clear" w:color="auto" w:fill="FFFFFF"/>
        </w:rPr>
        <w:t>Mimeo.</w:t>
      </w:r>
      <w:r w:rsidR="0079669C">
        <w:rPr>
          <w:rFonts w:asciiTheme="majorBidi" w:hAnsiTheme="majorBidi" w:cstheme="majorBidi"/>
          <w:i/>
          <w:iCs/>
          <w:color w:val="222222"/>
          <w:sz w:val="22"/>
          <w:szCs w:val="22"/>
          <w:shd w:val="clear" w:color="auto" w:fill="FFFFFF"/>
        </w:rPr>
        <w:t xml:space="preserve"> </w:t>
      </w:r>
      <w:hyperlink r:id="rId11" w:tgtFrame="_blank" w:history="1">
        <w:r w:rsidR="0079669C" w:rsidRPr="0079669C">
          <w:rPr>
            <w:rStyle w:val="Hyperlink"/>
            <w:rFonts w:asciiTheme="majorBidi" w:hAnsiTheme="majorBidi" w:cstheme="majorBidi"/>
            <w:sz w:val="22"/>
            <w:szCs w:val="22"/>
            <w:shd w:val="clear" w:color="auto" w:fill="FFFFFF"/>
          </w:rPr>
          <w:t> http://dx.doi.org/10.13140/RG.2.2.26987.26402 </w:t>
        </w:r>
      </w:hyperlink>
    </w:p>
    <w:p w:rsidR="00603315" w:rsidRDefault="00603315" w:rsidP="00603315">
      <w:pPr>
        <w:spacing w:after="20"/>
        <w:ind w:left="720" w:hanging="720"/>
        <w:rPr>
          <w:rFonts w:asciiTheme="majorBidi" w:hAnsiTheme="majorBidi" w:cstheme="majorBidi"/>
          <w:color w:val="222222"/>
          <w:sz w:val="22"/>
          <w:szCs w:val="22"/>
          <w:shd w:val="clear" w:color="auto" w:fill="FFFFFF"/>
        </w:rPr>
      </w:pPr>
      <w:proofErr w:type="spellStart"/>
      <w:r w:rsidRPr="00603315">
        <w:rPr>
          <w:rFonts w:asciiTheme="majorBidi" w:hAnsiTheme="majorBidi" w:cstheme="majorBidi"/>
          <w:color w:val="222222"/>
          <w:sz w:val="22"/>
          <w:szCs w:val="22"/>
          <w:shd w:val="clear" w:color="auto" w:fill="FFFFFF"/>
        </w:rPr>
        <w:t>Németh</w:t>
      </w:r>
      <w:proofErr w:type="spellEnd"/>
      <w:r w:rsidRPr="00603315">
        <w:rPr>
          <w:rFonts w:asciiTheme="majorBidi" w:hAnsiTheme="majorBidi" w:cstheme="majorBidi"/>
          <w:color w:val="222222"/>
          <w:sz w:val="22"/>
          <w:szCs w:val="22"/>
          <w:shd w:val="clear" w:color="auto" w:fill="FFFFFF"/>
        </w:rPr>
        <w:t xml:space="preserve">, L., </w:t>
      </w:r>
      <w:proofErr w:type="spellStart"/>
      <w:r w:rsidRPr="00603315">
        <w:rPr>
          <w:rFonts w:asciiTheme="majorBidi" w:hAnsiTheme="majorBidi" w:cstheme="majorBidi"/>
          <w:color w:val="222222"/>
          <w:sz w:val="22"/>
          <w:szCs w:val="22"/>
          <w:shd w:val="clear" w:color="auto" w:fill="FFFFFF"/>
        </w:rPr>
        <w:t>Jdanov</w:t>
      </w:r>
      <w:proofErr w:type="spellEnd"/>
      <w:r w:rsidRPr="00603315">
        <w:rPr>
          <w:rFonts w:asciiTheme="majorBidi" w:hAnsiTheme="majorBidi" w:cstheme="majorBidi"/>
          <w:color w:val="222222"/>
          <w:sz w:val="22"/>
          <w:szCs w:val="22"/>
          <w:shd w:val="clear" w:color="auto" w:fill="FFFFFF"/>
        </w:rPr>
        <w:t xml:space="preserve">, D., &amp; </w:t>
      </w:r>
      <w:proofErr w:type="spellStart"/>
      <w:r w:rsidRPr="00603315">
        <w:rPr>
          <w:rFonts w:asciiTheme="majorBidi" w:hAnsiTheme="majorBidi" w:cstheme="majorBidi"/>
          <w:color w:val="222222"/>
          <w:sz w:val="22"/>
          <w:szCs w:val="22"/>
          <w:shd w:val="clear" w:color="auto" w:fill="FFFFFF"/>
        </w:rPr>
        <w:t>Shkolnikov</w:t>
      </w:r>
      <w:proofErr w:type="spellEnd"/>
      <w:r w:rsidRPr="00603315">
        <w:rPr>
          <w:rFonts w:asciiTheme="majorBidi" w:hAnsiTheme="majorBidi" w:cstheme="majorBidi"/>
          <w:color w:val="222222"/>
          <w:sz w:val="22"/>
          <w:szCs w:val="22"/>
          <w:shd w:val="clear" w:color="auto" w:fill="FFFFFF"/>
        </w:rPr>
        <w:t>, V. (2021). An open-sourced, web-based application to analyse weekly excess mortality based on the Short-term Mortality Fluctuations data series. </w:t>
      </w:r>
      <w:proofErr w:type="spellStart"/>
      <w:r w:rsidRPr="00603315">
        <w:rPr>
          <w:rFonts w:asciiTheme="majorBidi" w:hAnsiTheme="majorBidi" w:cstheme="majorBidi"/>
          <w:i/>
          <w:iCs/>
          <w:color w:val="222222"/>
          <w:sz w:val="22"/>
          <w:szCs w:val="22"/>
          <w:shd w:val="clear" w:color="auto" w:fill="FFFFFF"/>
        </w:rPr>
        <w:t>PloS</w:t>
      </w:r>
      <w:proofErr w:type="spellEnd"/>
      <w:r w:rsidRPr="00603315">
        <w:rPr>
          <w:rFonts w:asciiTheme="majorBidi" w:hAnsiTheme="majorBidi" w:cstheme="majorBidi"/>
          <w:i/>
          <w:iCs/>
          <w:color w:val="222222"/>
          <w:sz w:val="22"/>
          <w:szCs w:val="22"/>
          <w:shd w:val="clear" w:color="auto" w:fill="FFFFFF"/>
        </w:rPr>
        <w:t xml:space="preserve"> One</w:t>
      </w:r>
      <w:r w:rsidRPr="00603315">
        <w:rPr>
          <w:rFonts w:asciiTheme="majorBidi" w:hAnsiTheme="majorBidi" w:cstheme="majorBidi"/>
          <w:color w:val="222222"/>
          <w:sz w:val="22"/>
          <w:szCs w:val="22"/>
          <w:shd w:val="clear" w:color="auto" w:fill="FFFFFF"/>
        </w:rPr>
        <w:t>, </w:t>
      </w:r>
      <w:r w:rsidRPr="00603315">
        <w:rPr>
          <w:rFonts w:asciiTheme="majorBidi" w:hAnsiTheme="majorBidi" w:cstheme="majorBidi"/>
          <w:i/>
          <w:iCs/>
          <w:color w:val="222222"/>
          <w:sz w:val="22"/>
          <w:szCs w:val="22"/>
          <w:shd w:val="clear" w:color="auto" w:fill="FFFFFF"/>
        </w:rPr>
        <w:t>16</w:t>
      </w:r>
      <w:r w:rsidRPr="00603315">
        <w:rPr>
          <w:rFonts w:asciiTheme="majorBidi" w:hAnsiTheme="majorBidi" w:cstheme="majorBidi"/>
          <w:color w:val="222222"/>
          <w:sz w:val="22"/>
          <w:szCs w:val="22"/>
          <w:shd w:val="clear" w:color="auto" w:fill="FFFFFF"/>
        </w:rPr>
        <w:t xml:space="preserve">(2), e0246663. </w:t>
      </w:r>
    </w:p>
    <w:p w:rsidR="000F77EA" w:rsidRPr="000F77EA" w:rsidRDefault="000F77EA" w:rsidP="000F77EA">
      <w:pPr>
        <w:spacing w:after="20"/>
        <w:ind w:left="720" w:hanging="720"/>
        <w:rPr>
          <w:rFonts w:asciiTheme="majorBidi" w:hAnsiTheme="majorBidi" w:cstheme="majorBidi"/>
          <w:color w:val="222222"/>
          <w:sz w:val="22"/>
          <w:szCs w:val="22"/>
          <w:shd w:val="clear" w:color="auto" w:fill="FFFFFF"/>
        </w:rPr>
      </w:pPr>
      <w:proofErr w:type="spellStart"/>
      <w:r w:rsidRPr="00C64B80">
        <w:rPr>
          <w:rFonts w:asciiTheme="majorBidi" w:hAnsiTheme="majorBidi" w:cstheme="majorBidi"/>
          <w:color w:val="222222"/>
          <w:sz w:val="22"/>
          <w:szCs w:val="22"/>
          <w:shd w:val="clear" w:color="auto" w:fill="FFFFFF"/>
        </w:rPr>
        <w:t>Nordström</w:t>
      </w:r>
      <w:proofErr w:type="spellEnd"/>
      <w:r w:rsidRPr="00C64B80">
        <w:rPr>
          <w:rFonts w:asciiTheme="majorBidi" w:hAnsiTheme="majorBidi" w:cstheme="majorBidi"/>
          <w:color w:val="222222"/>
          <w:sz w:val="22"/>
          <w:szCs w:val="22"/>
          <w:shd w:val="clear" w:color="auto" w:fill="FFFFFF"/>
        </w:rPr>
        <w:t xml:space="preserve">, P., </w:t>
      </w:r>
      <w:proofErr w:type="spellStart"/>
      <w:r w:rsidRPr="00C64B80">
        <w:rPr>
          <w:rFonts w:asciiTheme="majorBidi" w:hAnsiTheme="majorBidi" w:cstheme="majorBidi"/>
          <w:color w:val="222222"/>
          <w:sz w:val="22"/>
          <w:szCs w:val="22"/>
          <w:shd w:val="clear" w:color="auto" w:fill="FFFFFF"/>
        </w:rPr>
        <w:t>Ballin</w:t>
      </w:r>
      <w:proofErr w:type="spellEnd"/>
      <w:r w:rsidRPr="00C64B80">
        <w:rPr>
          <w:rFonts w:asciiTheme="majorBidi" w:hAnsiTheme="majorBidi" w:cstheme="majorBidi"/>
          <w:color w:val="222222"/>
          <w:sz w:val="22"/>
          <w:szCs w:val="22"/>
          <w:shd w:val="clear" w:color="auto" w:fill="FFFFFF"/>
        </w:rPr>
        <w:t xml:space="preserve">, M., &amp; </w:t>
      </w:r>
      <w:proofErr w:type="spellStart"/>
      <w:r w:rsidRPr="00C64B80">
        <w:rPr>
          <w:rFonts w:asciiTheme="majorBidi" w:hAnsiTheme="majorBidi" w:cstheme="majorBidi"/>
          <w:color w:val="222222"/>
          <w:sz w:val="22"/>
          <w:szCs w:val="22"/>
          <w:shd w:val="clear" w:color="auto" w:fill="FFFFFF"/>
        </w:rPr>
        <w:t>Nordström</w:t>
      </w:r>
      <w:proofErr w:type="spellEnd"/>
      <w:r w:rsidRPr="00C64B80">
        <w:rPr>
          <w:rFonts w:asciiTheme="majorBidi" w:hAnsiTheme="majorBidi" w:cstheme="majorBidi"/>
          <w:color w:val="222222"/>
          <w:sz w:val="22"/>
          <w:szCs w:val="22"/>
          <w:shd w:val="clear" w:color="auto" w:fill="FFFFFF"/>
        </w:rPr>
        <w:t xml:space="preserve">, A. (2021). </w:t>
      </w:r>
      <w:r w:rsidRPr="000F77EA">
        <w:rPr>
          <w:rFonts w:asciiTheme="majorBidi" w:hAnsiTheme="majorBidi" w:cstheme="majorBidi"/>
          <w:color w:val="222222"/>
          <w:sz w:val="22"/>
          <w:szCs w:val="22"/>
          <w:shd w:val="clear" w:color="auto" w:fill="FFFFFF"/>
        </w:rPr>
        <w:t>Effectiveness of Covid-19 vaccination against risk of symptomatic infection, hospitalization, and death up to 9 months: A Swedish total-population cohort study. </w:t>
      </w:r>
      <w:r w:rsidRPr="000F77EA">
        <w:rPr>
          <w:rFonts w:asciiTheme="majorBidi" w:hAnsiTheme="majorBidi" w:cstheme="majorBidi"/>
          <w:i/>
          <w:iCs/>
          <w:color w:val="222222"/>
          <w:sz w:val="22"/>
          <w:szCs w:val="22"/>
          <w:shd w:val="clear" w:color="auto" w:fill="FFFFFF"/>
        </w:rPr>
        <w:t>Preprints with The Lancet</w:t>
      </w:r>
      <w:r w:rsidRPr="000F77EA">
        <w:rPr>
          <w:rFonts w:asciiTheme="majorBidi" w:hAnsiTheme="majorBidi" w:cstheme="majorBidi"/>
          <w:color w:val="222222"/>
          <w:sz w:val="22"/>
          <w:szCs w:val="22"/>
          <w:shd w:val="clear" w:color="auto" w:fill="FFFFFF"/>
        </w:rPr>
        <w:t xml:space="preserve"> </w:t>
      </w:r>
      <w:hyperlink r:id="rId12" w:tgtFrame="_blank" w:history="1">
        <w:r w:rsidRPr="000F77EA">
          <w:rPr>
            <w:rStyle w:val="Hyperlink"/>
            <w:rFonts w:ascii="NexusSansWebPro" w:hAnsi="NexusSansWebPro"/>
            <w:color w:val="F5662D"/>
            <w:sz w:val="22"/>
            <w:szCs w:val="22"/>
            <w:shd w:val="clear" w:color="auto" w:fill="FFFFFF"/>
          </w:rPr>
          <w:t>http://dx.doi.org/10.2139/ssrn.3949410</w:t>
        </w:r>
      </w:hyperlink>
    </w:p>
    <w:p w:rsidR="00603315" w:rsidRPr="00603315" w:rsidRDefault="00603315" w:rsidP="00603315">
      <w:pPr>
        <w:spacing w:after="20"/>
        <w:ind w:left="720" w:hanging="720"/>
        <w:rPr>
          <w:rFonts w:asciiTheme="majorBidi" w:hAnsiTheme="majorBidi" w:cstheme="majorBidi"/>
          <w:color w:val="222222"/>
          <w:sz w:val="22"/>
          <w:szCs w:val="22"/>
          <w:shd w:val="clear" w:color="auto" w:fill="FFFFFF"/>
        </w:rPr>
      </w:pPr>
      <w:r w:rsidRPr="00603315">
        <w:rPr>
          <w:rFonts w:asciiTheme="majorBidi" w:hAnsiTheme="majorBidi" w:cstheme="majorBidi"/>
          <w:color w:val="222222"/>
          <w:sz w:val="22"/>
          <w:szCs w:val="22"/>
          <w:shd w:val="clear" w:color="auto" w:fill="FFFFFF"/>
        </w:rPr>
        <w:t>Subramanian, S., &amp; Kumar, A. (2021). Increases in COVID-19 are unrelated to levels of vaccination across 68 countries and 2947 counties in the United States. </w:t>
      </w:r>
      <w:r w:rsidRPr="00603315">
        <w:rPr>
          <w:rFonts w:asciiTheme="majorBidi" w:hAnsiTheme="majorBidi" w:cstheme="majorBidi"/>
          <w:i/>
          <w:iCs/>
          <w:color w:val="222222"/>
          <w:sz w:val="22"/>
          <w:szCs w:val="22"/>
          <w:shd w:val="clear" w:color="auto" w:fill="FFFFFF"/>
        </w:rPr>
        <w:t>European Journal of Epidemiology</w:t>
      </w:r>
      <w:r w:rsidRPr="00603315">
        <w:rPr>
          <w:rFonts w:asciiTheme="majorBidi" w:hAnsiTheme="majorBidi" w:cstheme="majorBidi"/>
          <w:color w:val="222222"/>
          <w:sz w:val="22"/>
          <w:szCs w:val="22"/>
          <w:shd w:val="clear" w:color="auto" w:fill="FFFFFF"/>
        </w:rPr>
        <w:t>, 1-4.</w:t>
      </w:r>
    </w:p>
    <w:p w:rsidR="001A2933" w:rsidRDefault="00603315" w:rsidP="001A2933">
      <w:pPr>
        <w:widowControl w:val="0"/>
        <w:spacing w:after="0"/>
        <w:ind w:left="720" w:hanging="720"/>
        <w:rPr>
          <w:rFonts w:asciiTheme="majorBidi" w:hAnsiTheme="majorBidi" w:cstheme="majorBidi"/>
          <w:color w:val="222222"/>
          <w:sz w:val="22"/>
          <w:szCs w:val="22"/>
          <w:shd w:val="clear" w:color="auto" w:fill="FFFFFF"/>
        </w:rPr>
      </w:pPr>
      <w:proofErr w:type="spellStart"/>
      <w:r w:rsidRPr="00603315">
        <w:rPr>
          <w:rFonts w:asciiTheme="majorBidi" w:hAnsiTheme="majorBidi" w:cstheme="majorBidi"/>
          <w:color w:val="222222"/>
          <w:sz w:val="22"/>
          <w:szCs w:val="22"/>
          <w:shd w:val="clear" w:color="auto" w:fill="FFFFFF"/>
        </w:rPr>
        <w:t>Tartof</w:t>
      </w:r>
      <w:proofErr w:type="spellEnd"/>
      <w:r w:rsidRPr="00603315">
        <w:rPr>
          <w:rFonts w:asciiTheme="majorBidi" w:hAnsiTheme="majorBidi" w:cstheme="majorBidi"/>
          <w:color w:val="222222"/>
          <w:sz w:val="22"/>
          <w:szCs w:val="22"/>
          <w:shd w:val="clear" w:color="auto" w:fill="FFFFFF"/>
        </w:rPr>
        <w:t xml:space="preserve">, S., </w:t>
      </w:r>
      <w:proofErr w:type="spellStart"/>
      <w:r w:rsidRPr="00603315">
        <w:rPr>
          <w:rFonts w:asciiTheme="majorBidi" w:hAnsiTheme="majorBidi" w:cstheme="majorBidi"/>
          <w:color w:val="222222"/>
          <w:sz w:val="22"/>
          <w:szCs w:val="22"/>
          <w:shd w:val="clear" w:color="auto" w:fill="FFFFFF"/>
        </w:rPr>
        <w:t>Slezak</w:t>
      </w:r>
      <w:proofErr w:type="spellEnd"/>
      <w:r w:rsidRPr="00603315">
        <w:rPr>
          <w:rFonts w:asciiTheme="majorBidi" w:hAnsiTheme="majorBidi" w:cstheme="majorBidi"/>
          <w:color w:val="222222"/>
          <w:sz w:val="22"/>
          <w:szCs w:val="22"/>
          <w:shd w:val="clear" w:color="auto" w:fill="FFFFFF"/>
        </w:rPr>
        <w:t xml:space="preserve">, J., Fischer, H., Hong, V., Ackerson, B., </w:t>
      </w:r>
      <w:proofErr w:type="spellStart"/>
      <w:r w:rsidRPr="00603315">
        <w:rPr>
          <w:rFonts w:asciiTheme="majorBidi" w:hAnsiTheme="majorBidi" w:cstheme="majorBidi"/>
          <w:color w:val="222222"/>
          <w:sz w:val="22"/>
          <w:szCs w:val="22"/>
          <w:shd w:val="clear" w:color="auto" w:fill="FFFFFF"/>
        </w:rPr>
        <w:t>Ranasinghe</w:t>
      </w:r>
      <w:proofErr w:type="spellEnd"/>
      <w:r w:rsidRPr="00603315">
        <w:rPr>
          <w:rFonts w:asciiTheme="majorBidi" w:hAnsiTheme="majorBidi" w:cstheme="majorBidi"/>
          <w:color w:val="222222"/>
          <w:sz w:val="22"/>
          <w:szCs w:val="22"/>
          <w:shd w:val="clear" w:color="auto" w:fill="FFFFFF"/>
        </w:rPr>
        <w:t xml:space="preserve">, O., </w:t>
      </w:r>
      <w:proofErr w:type="spellStart"/>
      <w:r w:rsidRPr="00603315">
        <w:rPr>
          <w:rFonts w:asciiTheme="majorBidi" w:hAnsiTheme="majorBidi" w:cstheme="majorBidi"/>
          <w:color w:val="222222"/>
          <w:sz w:val="22"/>
          <w:szCs w:val="22"/>
          <w:shd w:val="clear" w:color="auto" w:fill="FFFFFF"/>
        </w:rPr>
        <w:t>Frankland</w:t>
      </w:r>
      <w:proofErr w:type="spellEnd"/>
      <w:r w:rsidRPr="00603315">
        <w:rPr>
          <w:rFonts w:asciiTheme="majorBidi" w:hAnsiTheme="majorBidi" w:cstheme="majorBidi"/>
          <w:color w:val="222222"/>
          <w:sz w:val="22"/>
          <w:szCs w:val="22"/>
          <w:shd w:val="clear" w:color="auto" w:fill="FFFFFF"/>
        </w:rPr>
        <w:t xml:space="preserve">, T., </w:t>
      </w:r>
      <w:proofErr w:type="spellStart"/>
      <w:r w:rsidRPr="00603315">
        <w:rPr>
          <w:rFonts w:asciiTheme="majorBidi" w:hAnsiTheme="majorBidi" w:cstheme="majorBidi"/>
          <w:color w:val="222222"/>
          <w:sz w:val="22"/>
          <w:szCs w:val="22"/>
          <w:shd w:val="clear" w:color="auto" w:fill="FFFFFF"/>
        </w:rPr>
        <w:t>Okun</w:t>
      </w:r>
      <w:proofErr w:type="spellEnd"/>
      <w:r w:rsidRPr="00603315">
        <w:rPr>
          <w:rFonts w:asciiTheme="majorBidi" w:hAnsiTheme="majorBidi" w:cstheme="majorBidi"/>
          <w:color w:val="222222"/>
          <w:sz w:val="22"/>
          <w:szCs w:val="22"/>
          <w:shd w:val="clear" w:color="auto" w:fill="FFFFFF"/>
        </w:rPr>
        <w:t xml:space="preserve">, O., </w:t>
      </w:r>
      <w:proofErr w:type="spellStart"/>
      <w:r w:rsidRPr="00603315">
        <w:rPr>
          <w:rFonts w:asciiTheme="majorBidi" w:hAnsiTheme="majorBidi" w:cstheme="majorBidi"/>
          <w:color w:val="222222"/>
          <w:sz w:val="22"/>
          <w:szCs w:val="22"/>
          <w:shd w:val="clear" w:color="auto" w:fill="FFFFFF"/>
        </w:rPr>
        <w:t>Zampara</w:t>
      </w:r>
      <w:proofErr w:type="spellEnd"/>
      <w:r w:rsidRPr="00603315">
        <w:rPr>
          <w:rFonts w:asciiTheme="majorBidi" w:hAnsiTheme="majorBidi" w:cstheme="majorBidi"/>
          <w:color w:val="222222"/>
          <w:sz w:val="22"/>
          <w:szCs w:val="22"/>
          <w:shd w:val="clear" w:color="auto" w:fill="FFFFFF"/>
        </w:rPr>
        <w:t xml:space="preserve">, J., </w:t>
      </w:r>
      <w:proofErr w:type="spellStart"/>
      <w:r w:rsidRPr="00603315">
        <w:rPr>
          <w:rFonts w:asciiTheme="majorBidi" w:hAnsiTheme="majorBidi" w:cstheme="majorBidi"/>
          <w:color w:val="222222"/>
          <w:sz w:val="22"/>
          <w:szCs w:val="22"/>
          <w:shd w:val="clear" w:color="auto" w:fill="FFFFFF"/>
        </w:rPr>
        <w:t>Gray</w:t>
      </w:r>
      <w:proofErr w:type="spellEnd"/>
      <w:r w:rsidRPr="00603315">
        <w:rPr>
          <w:rFonts w:asciiTheme="majorBidi" w:hAnsiTheme="majorBidi" w:cstheme="majorBidi"/>
          <w:color w:val="222222"/>
          <w:sz w:val="22"/>
          <w:szCs w:val="22"/>
          <w:shd w:val="clear" w:color="auto" w:fill="FFFFFF"/>
        </w:rPr>
        <w:t xml:space="preserve">, S., </w:t>
      </w:r>
      <w:proofErr w:type="spellStart"/>
      <w:r w:rsidRPr="00603315">
        <w:rPr>
          <w:rFonts w:asciiTheme="majorBidi" w:hAnsiTheme="majorBidi" w:cstheme="majorBidi"/>
          <w:color w:val="222222"/>
          <w:sz w:val="22"/>
          <w:szCs w:val="22"/>
          <w:shd w:val="clear" w:color="auto" w:fill="FFFFFF"/>
        </w:rPr>
        <w:t>Valluri</w:t>
      </w:r>
      <w:proofErr w:type="spellEnd"/>
      <w:r w:rsidRPr="00603315">
        <w:rPr>
          <w:rFonts w:asciiTheme="majorBidi" w:hAnsiTheme="majorBidi" w:cstheme="majorBidi"/>
          <w:color w:val="222222"/>
          <w:sz w:val="22"/>
          <w:szCs w:val="22"/>
          <w:shd w:val="clear" w:color="auto" w:fill="FFFFFF"/>
        </w:rPr>
        <w:t>, S., Pan, K., Angulo, F.</w:t>
      </w:r>
      <w:r w:rsidR="001A2933">
        <w:rPr>
          <w:rFonts w:asciiTheme="majorBidi" w:hAnsiTheme="majorBidi" w:cstheme="majorBidi"/>
          <w:color w:val="222222"/>
          <w:sz w:val="22"/>
          <w:szCs w:val="22"/>
          <w:shd w:val="clear" w:color="auto" w:fill="FFFFFF"/>
        </w:rPr>
        <w:t xml:space="preserve">, </w:t>
      </w:r>
      <w:proofErr w:type="spellStart"/>
      <w:r w:rsidR="001A2933">
        <w:rPr>
          <w:rFonts w:asciiTheme="majorBidi" w:hAnsiTheme="majorBidi" w:cstheme="majorBidi"/>
          <w:color w:val="222222"/>
          <w:sz w:val="22"/>
          <w:szCs w:val="22"/>
          <w:shd w:val="clear" w:color="auto" w:fill="FFFFFF"/>
        </w:rPr>
        <w:t>Jodar</w:t>
      </w:r>
      <w:proofErr w:type="spellEnd"/>
      <w:r w:rsidR="001A2933">
        <w:rPr>
          <w:rFonts w:asciiTheme="majorBidi" w:hAnsiTheme="majorBidi" w:cstheme="majorBidi"/>
          <w:color w:val="222222"/>
          <w:sz w:val="22"/>
          <w:szCs w:val="22"/>
          <w:shd w:val="clear" w:color="auto" w:fill="FFFFFF"/>
        </w:rPr>
        <w:t>, L., &amp; McLaughlin, J.</w:t>
      </w:r>
      <w:r w:rsidRPr="00603315">
        <w:rPr>
          <w:rFonts w:asciiTheme="majorBidi" w:hAnsiTheme="majorBidi" w:cstheme="majorBidi"/>
          <w:color w:val="222222"/>
          <w:sz w:val="22"/>
          <w:szCs w:val="22"/>
          <w:shd w:val="clear" w:color="auto" w:fill="FFFFFF"/>
        </w:rPr>
        <w:t xml:space="preserve"> (2021). Effectiveness of mRNA BNT162b2 COVID-19 vaccine up to 6 months in a large integrated health system in the USA: a retrospective cohort study. </w:t>
      </w:r>
      <w:r w:rsidRPr="00603315">
        <w:rPr>
          <w:rFonts w:asciiTheme="majorBidi" w:hAnsiTheme="majorBidi" w:cstheme="majorBidi"/>
          <w:i/>
          <w:iCs/>
          <w:color w:val="222222"/>
          <w:sz w:val="22"/>
          <w:szCs w:val="22"/>
          <w:shd w:val="clear" w:color="auto" w:fill="FFFFFF"/>
        </w:rPr>
        <w:t>The Lancet</w:t>
      </w:r>
      <w:r w:rsidRPr="00603315">
        <w:rPr>
          <w:rFonts w:asciiTheme="majorBidi" w:hAnsiTheme="majorBidi" w:cstheme="majorBidi"/>
          <w:color w:val="222222"/>
          <w:sz w:val="22"/>
          <w:szCs w:val="22"/>
          <w:shd w:val="clear" w:color="auto" w:fill="FFFFFF"/>
        </w:rPr>
        <w:t xml:space="preserve">, </w:t>
      </w:r>
      <w:r w:rsidRPr="0079669C">
        <w:rPr>
          <w:rFonts w:asciiTheme="majorBidi" w:hAnsiTheme="majorBidi" w:cstheme="majorBidi"/>
          <w:i/>
          <w:iCs/>
          <w:color w:val="222222"/>
          <w:sz w:val="22"/>
          <w:szCs w:val="22"/>
          <w:shd w:val="clear" w:color="auto" w:fill="FFFFFF"/>
        </w:rPr>
        <w:t>398</w:t>
      </w:r>
      <w:r w:rsidRPr="00603315">
        <w:rPr>
          <w:rFonts w:asciiTheme="majorBidi" w:hAnsiTheme="majorBidi" w:cstheme="majorBidi"/>
          <w:color w:val="222222"/>
          <w:sz w:val="22"/>
          <w:szCs w:val="22"/>
          <w:shd w:val="clear" w:color="auto" w:fill="FFFFFF"/>
        </w:rPr>
        <w:t xml:space="preserve"> (10309) 1407-16.</w:t>
      </w:r>
    </w:p>
    <w:p w:rsidR="001A2933" w:rsidRPr="001A2933" w:rsidRDefault="001A2933" w:rsidP="001A2933">
      <w:pPr>
        <w:widowControl w:val="0"/>
        <w:spacing w:after="0"/>
        <w:ind w:left="720" w:hanging="720"/>
        <w:rPr>
          <w:rFonts w:asciiTheme="majorBidi" w:hAnsiTheme="majorBidi" w:cstheme="majorBidi"/>
          <w:color w:val="222222"/>
          <w:sz w:val="22"/>
          <w:szCs w:val="22"/>
          <w:shd w:val="clear" w:color="auto" w:fill="FFFFFF"/>
        </w:rPr>
      </w:pPr>
      <w:proofErr w:type="spellStart"/>
      <w:r w:rsidRPr="006A1AC9">
        <w:rPr>
          <w:rFonts w:asciiTheme="majorBidi" w:hAnsiTheme="majorBidi" w:cstheme="majorBidi"/>
          <w:color w:val="222222"/>
          <w:sz w:val="22"/>
          <w:szCs w:val="22"/>
          <w:shd w:val="clear" w:color="auto" w:fill="FFFFFF"/>
        </w:rPr>
        <w:t>Walach</w:t>
      </w:r>
      <w:proofErr w:type="spellEnd"/>
      <w:r w:rsidRPr="006A1AC9">
        <w:rPr>
          <w:rFonts w:asciiTheme="majorBidi" w:hAnsiTheme="majorBidi" w:cstheme="majorBidi"/>
          <w:color w:val="222222"/>
          <w:sz w:val="22"/>
          <w:szCs w:val="22"/>
          <w:shd w:val="clear" w:color="auto" w:fill="FFFFFF"/>
        </w:rPr>
        <w:t xml:space="preserve">, H., </w:t>
      </w:r>
      <w:proofErr w:type="spellStart"/>
      <w:r w:rsidRPr="006A1AC9">
        <w:rPr>
          <w:rFonts w:asciiTheme="majorBidi" w:hAnsiTheme="majorBidi" w:cstheme="majorBidi"/>
          <w:color w:val="222222"/>
          <w:sz w:val="22"/>
          <w:szCs w:val="22"/>
          <w:shd w:val="clear" w:color="auto" w:fill="FFFFFF"/>
        </w:rPr>
        <w:t>Klement</w:t>
      </w:r>
      <w:proofErr w:type="spellEnd"/>
      <w:r w:rsidRPr="006A1AC9">
        <w:rPr>
          <w:rFonts w:asciiTheme="majorBidi" w:hAnsiTheme="majorBidi" w:cstheme="majorBidi"/>
          <w:color w:val="222222"/>
          <w:sz w:val="22"/>
          <w:szCs w:val="22"/>
          <w:shd w:val="clear" w:color="auto" w:fill="FFFFFF"/>
        </w:rPr>
        <w:t xml:space="preserve">, R., &amp; </w:t>
      </w:r>
      <w:proofErr w:type="spellStart"/>
      <w:r w:rsidRPr="006A1AC9">
        <w:rPr>
          <w:rFonts w:asciiTheme="majorBidi" w:hAnsiTheme="majorBidi" w:cstheme="majorBidi"/>
          <w:color w:val="222222"/>
          <w:sz w:val="22"/>
          <w:szCs w:val="22"/>
          <w:shd w:val="clear" w:color="auto" w:fill="FFFFFF"/>
        </w:rPr>
        <w:t>Aukema</w:t>
      </w:r>
      <w:proofErr w:type="spellEnd"/>
      <w:r w:rsidRPr="006A1AC9">
        <w:rPr>
          <w:rFonts w:asciiTheme="majorBidi" w:hAnsiTheme="majorBidi" w:cstheme="majorBidi"/>
          <w:color w:val="222222"/>
          <w:sz w:val="22"/>
          <w:szCs w:val="22"/>
          <w:shd w:val="clear" w:color="auto" w:fill="FFFFFF"/>
        </w:rPr>
        <w:t xml:space="preserve">, W. (2021). </w:t>
      </w:r>
      <w:r>
        <w:rPr>
          <w:rFonts w:asciiTheme="majorBidi" w:hAnsiTheme="majorBidi" w:cstheme="majorBidi"/>
          <w:color w:val="222222"/>
          <w:sz w:val="22"/>
          <w:szCs w:val="22"/>
          <w:shd w:val="clear" w:color="auto" w:fill="FFFFFF"/>
        </w:rPr>
        <w:t>The safety of COVID-19 vaccinations - should we rethink the p</w:t>
      </w:r>
      <w:r w:rsidRPr="001A2933">
        <w:rPr>
          <w:rFonts w:asciiTheme="majorBidi" w:hAnsiTheme="majorBidi" w:cstheme="majorBidi"/>
          <w:color w:val="222222"/>
          <w:sz w:val="22"/>
          <w:szCs w:val="22"/>
          <w:shd w:val="clear" w:color="auto" w:fill="FFFFFF"/>
        </w:rPr>
        <w:t>olicy? </w:t>
      </w:r>
      <w:r w:rsidRPr="001A2933">
        <w:rPr>
          <w:rFonts w:asciiTheme="majorBidi" w:hAnsiTheme="majorBidi" w:cstheme="majorBidi"/>
          <w:i/>
          <w:iCs/>
          <w:color w:val="222222"/>
          <w:sz w:val="22"/>
          <w:szCs w:val="22"/>
          <w:shd w:val="clear" w:color="auto" w:fill="FFFFFF"/>
        </w:rPr>
        <w:t>Sc</w:t>
      </w:r>
      <w:r w:rsidR="00D64269">
        <w:rPr>
          <w:rFonts w:asciiTheme="majorBidi" w:hAnsiTheme="majorBidi" w:cstheme="majorBidi"/>
          <w:i/>
          <w:iCs/>
          <w:color w:val="222222"/>
          <w:sz w:val="22"/>
          <w:szCs w:val="22"/>
          <w:shd w:val="clear" w:color="auto" w:fill="FFFFFF"/>
        </w:rPr>
        <w:t>ience, Public Health Policy, &amp;</w:t>
      </w:r>
      <w:r w:rsidRPr="001A2933">
        <w:rPr>
          <w:rFonts w:asciiTheme="majorBidi" w:hAnsiTheme="majorBidi" w:cstheme="majorBidi"/>
          <w:i/>
          <w:iCs/>
          <w:color w:val="222222"/>
          <w:sz w:val="22"/>
          <w:szCs w:val="22"/>
          <w:shd w:val="clear" w:color="auto" w:fill="FFFFFF"/>
        </w:rPr>
        <w:t xml:space="preserve"> the Law</w:t>
      </w:r>
      <w:r>
        <w:rPr>
          <w:rFonts w:asciiTheme="majorBidi" w:hAnsiTheme="majorBidi" w:cstheme="majorBidi"/>
          <w:color w:val="222222"/>
          <w:sz w:val="22"/>
          <w:szCs w:val="22"/>
          <w:shd w:val="clear" w:color="auto" w:fill="FFFFFF"/>
        </w:rPr>
        <w:t>,</w:t>
      </w:r>
      <w:r w:rsidRPr="001A2933">
        <w:rPr>
          <w:rFonts w:asciiTheme="majorBidi" w:hAnsiTheme="majorBidi" w:cstheme="majorBidi"/>
          <w:color w:val="222222"/>
          <w:sz w:val="22"/>
          <w:szCs w:val="22"/>
          <w:shd w:val="clear" w:color="auto" w:fill="FFFFFF"/>
        </w:rPr>
        <w:t xml:space="preserve"> </w:t>
      </w:r>
      <w:r w:rsidRPr="0079669C">
        <w:rPr>
          <w:rFonts w:asciiTheme="majorBidi" w:hAnsiTheme="majorBidi" w:cstheme="majorBidi"/>
          <w:i/>
          <w:iCs/>
          <w:color w:val="222222"/>
          <w:sz w:val="22"/>
          <w:szCs w:val="22"/>
          <w:shd w:val="clear" w:color="auto" w:fill="FFFFFF"/>
        </w:rPr>
        <w:t>3</w:t>
      </w:r>
      <w:r w:rsidR="00D64269">
        <w:rPr>
          <w:rFonts w:asciiTheme="majorBidi" w:hAnsiTheme="majorBidi" w:cstheme="majorBidi"/>
          <w:color w:val="222222"/>
          <w:sz w:val="22"/>
          <w:szCs w:val="22"/>
          <w:shd w:val="clear" w:color="auto" w:fill="FFFFFF"/>
        </w:rPr>
        <w:t>,</w:t>
      </w:r>
      <w:r w:rsidRPr="001A2933">
        <w:rPr>
          <w:rFonts w:asciiTheme="majorBidi" w:hAnsiTheme="majorBidi" w:cstheme="majorBidi"/>
          <w:color w:val="222222"/>
          <w:sz w:val="22"/>
          <w:szCs w:val="22"/>
          <w:shd w:val="clear" w:color="auto" w:fill="FFFFFF"/>
        </w:rPr>
        <w:t xml:space="preserve"> 87-99.</w:t>
      </w:r>
    </w:p>
    <w:p w:rsidR="001A2933" w:rsidRDefault="001A2933" w:rsidP="00603315">
      <w:pPr>
        <w:widowControl w:val="0"/>
        <w:spacing w:after="0"/>
        <w:ind w:left="720" w:hanging="720"/>
        <w:rPr>
          <w:rFonts w:asciiTheme="majorBidi" w:hAnsiTheme="majorBidi" w:cstheme="majorBidi"/>
          <w:color w:val="222222"/>
          <w:sz w:val="22"/>
          <w:szCs w:val="22"/>
          <w:shd w:val="clear" w:color="auto" w:fill="FFFFFF"/>
        </w:rPr>
      </w:pPr>
    </w:p>
    <w:sectPr w:rsidR="001A2933" w:rsidSect="00B67A3A">
      <w:footerReference w:type="defaul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43F" w:rsidRDefault="0063343F" w:rsidP="00A97771">
      <w:pPr>
        <w:spacing w:after="0" w:line="240" w:lineRule="auto"/>
      </w:pPr>
      <w:r>
        <w:separator/>
      </w:r>
    </w:p>
  </w:endnote>
  <w:endnote w:type="continuationSeparator" w:id="0">
    <w:p w:rsidR="0063343F" w:rsidRDefault="0063343F" w:rsidP="00A9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171763"/>
      <w:docPartObj>
        <w:docPartGallery w:val="Page Numbers (Bottom of Page)"/>
        <w:docPartUnique/>
      </w:docPartObj>
    </w:sdtPr>
    <w:sdtEndPr>
      <w:rPr>
        <w:noProof/>
      </w:rPr>
    </w:sdtEndPr>
    <w:sdtContent>
      <w:p w:rsidR="00A422CC" w:rsidRDefault="00A422CC" w:rsidP="00FE2861">
        <w:pPr>
          <w:pStyle w:val="Footer"/>
          <w:jc w:val="center"/>
        </w:pPr>
        <w:r>
          <w:fldChar w:fldCharType="begin"/>
        </w:r>
        <w:r>
          <w:instrText xml:space="preserve"> PAGE   \* MERGEFORMAT </w:instrText>
        </w:r>
        <w:r>
          <w:fldChar w:fldCharType="separate"/>
        </w:r>
        <w:r w:rsidR="00C467AD">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2CC" w:rsidRDefault="00A422CC" w:rsidP="006B0214">
    <w:pPr>
      <w:pStyle w:val="Footer"/>
      <w:jc w:val="center"/>
    </w:pPr>
  </w:p>
  <w:p w:rsidR="00A422CC" w:rsidRDefault="00A4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43F" w:rsidRDefault="0063343F" w:rsidP="00A97771">
      <w:pPr>
        <w:spacing w:after="0" w:line="240" w:lineRule="auto"/>
      </w:pPr>
      <w:r>
        <w:separator/>
      </w:r>
    </w:p>
  </w:footnote>
  <w:footnote w:type="continuationSeparator" w:id="0">
    <w:p w:rsidR="0063343F" w:rsidRDefault="0063343F" w:rsidP="00A97771">
      <w:pPr>
        <w:spacing w:after="0" w:line="240" w:lineRule="auto"/>
      </w:pPr>
      <w:r>
        <w:continuationSeparator/>
      </w:r>
    </w:p>
  </w:footnote>
  <w:footnote w:id="1">
    <w:p w:rsidR="00A422CC" w:rsidRPr="00CF7C79" w:rsidRDefault="00A422CC" w:rsidP="009925A9">
      <w:pPr>
        <w:pStyle w:val="FootnoteText"/>
      </w:pPr>
      <w:r>
        <w:rPr>
          <w:rStyle w:val="FootnoteReference"/>
        </w:rPr>
        <w:footnoteRef/>
      </w:r>
      <w:r>
        <w:t xml:space="preserve"> Vaccination figures </w:t>
      </w:r>
      <w:r w:rsidR="009925A9">
        <w:t xml:space="preserve">and data on Covid-19 cases and deaths </w:t>
      </w:r>
      <w:r>
        <w:t xml:space="preserve">are </w:t>
      </w:r>
      <w:r w:rsidR="009925A9">
        <w:t xml:space="preserve">obtained </w:t>
      </w:r>
      <w:r>
        <w:t xml:space="preserve">from the </w:t>
      </w:r>
      <w:r>
        <w:rPr>
          <w:i/>
          <w:iCs/>
        </w:rPr>
        <w:t>Our World in Data</w:t>
      </w:r>
      <w:r>
        <w:t xml:space="preserve"> (OWID) database (</w:t>
      </w:r>
      <w:r w:rsidRPr="00CB1EC4">
        <w:rPr>
          <w:rFonts w:asciiTheme="majorBidi" w:hAnsiTheme="majorBidi" w:cstheme="majorBidi"/>
          <w:bCs/>
        </w:rPr>
        <w:t>Mathieu et al, 2021</w:t>
      </w:r>
      <w:r>
        <w:rPr>
          <w:rFonts w:asciiTheme="majorBidi" w:hAnsiTheme="majorBidi" w:cstheme="majorBidi"/>
          <w:bCs/>
        </w:rPr>
        <w:t>).</w:t>
      </w:r>
    </w:p>
  </w:footnote>
  <w:footnote w:id="2">
    <w:p w:rsidR="00C12D08" w:rsidRDefault="00C12D08" w:rsidP="00C57F33">
      <w:pPr>
        <w:pStyle w:val="FootnoteText"/>
      </w:pPr>
      <w:r>
        <w:rPr>
          <w:rStyle w:val="FootnoteReference"/>
        </w:rPr>
        <w:footnoteRef/>
      </w:r>
      <w:r>
        <w:t xml:space="preserve"> </w:t>
      </w:r>
      <w:r w:rsidRPr="00C12D08">
        <w:t xml:space="preserve">Compared to </w:t>
      </w:r>
      <w:r w:rsidR="00C57F33">
        <w:t>Covid-19’s</w:t>
      </w:r>
      <w:r w:rsidRPr="00C12D08">
        <w:t xml:space="preserve"> Infection-Fatality Rate (IFR) for people age 0-34, the IFR for the 65-74 age group is 625 times higher, for 75-84 it is 2125 times higher, and for 85+ it is 7075 times higher</w:t>
      </w:r>
      <w:r>
        <w:t xml:space="preserve"> (Levin et al, 2020)</w:t>
      </w:r>
      <w:r w:rsidRPr="00C12D08">
        <w:t>.</w:t>
      </w:r>
    </w:p>
  </w:footnote>
  <w:footnote w:id="3">
    <w:p w:rsidR="00A33791" w:rsidRDefault="00A33791" w:rsidP="00D705C1">
      <w:pPr>
        <w:pStyle w:val="FootnoteText"/>
      </w:pPr>
      <w:r>
        <w:rPr>
          <w:rStyle w:val="FootnoteReference"/>
        </w:rPr>
        <w:footnoteRef/>
      </w:r>
      <w:r>
        <w:t xml:space="preserve"> </w:t>
      </w:r>
      <w:r w:rsidR="00C57F33">
        <w:rPr>
          <w:rFonts w:asciiTheme="majorBidi" w:hAnsiTheme="majorBidi" w:cstheme="majorBidi"/>
          <w:color w:val="000000" w:themeColor="text1"/>
          <w:shd w:val="clear" w:color="auto" w:fill="FFFFFF"/>
        </w:rPr>
        <w:t>V</w:t>
      </w:r>
      <w:r w:rsidRPr="00C9116D">
        <w:rPr>
          <w:rFonts w:asciiTheme="majorBidi" w:hAnsiTheme="majorBidi" w:cstheme="majorBidi"/>
        </w:rPr>
        <w:t>accine efficacy (VE)</w:t>
      </w:r>
      <w:r>
        <w:rPr>
          <w:rFonts w:asciiTheme="majorBidi" w:hAnsiTheme="majorBidi" w:cstheme="majorBidi"/>
        </w:rPr>
        <w:t xml:space="preserve"> </w:t>
      </w:r>
      <w:r w:rsidRPr="00C9116D">
        <w:rPr>
          <w:rFonts w:asciiTheme="majorBidi" w:hAnsiTheme="majorBidi" w:cstheme="majorBidi"/>
          <w:color w:val="000000" w:themeColor="text1"/>
          <w:shd w:val="clear" w:color="auto" w:fill="FFFFFF"/>
        </w:rPr>
        <w:t>a</w:t>
      </w:r>
      <w:r>
        <w:rPr>
          <w:rFonts w:asciiTheme="majorBidi" w:hAnsiTheme="majorBidi" w:cstheme="majorBidi"/>
          <w:color w:val="000000" w:themeColor="text1"/>
          <w:shd w:val="clear" w:color="auto" w:fill="FFFFFF"/>
        </w:rPr>
        <w:t>gainst infection</w:t>
      </w:r>
      <w:r w:rsidRPr="00C9116D">
        <w:rPr>
          <w:rFonts w:asciiTheme="majorBidi" w:hAnsiTheme="majorBidi" w:cstheme="majorBidi"/>
          <w:color w:val="000000" w:themeColor="text1"/>
          <w:shd w:val="clear" w:color="auto" w:fill="FFFFFF"/>
        </w:rPr>
        <w:t xml:space="preserve"> f</w:t>
      </w:r>
      <w:r>
        <w:rPr>
          <w:rFonts w:asciiTheme="majorBidi" w:hAnsiTheme="majorBidi" w:cstheme="majorBidi"/>
          <w:color w:val="000000" w:themeColor="text1"/>
          <w:shd w:val="clear" w:color="auto" w:fill="FFFFFF"/>
        </w:rPr>
        <w:t>or</w:t>
      </w:r>
      <w:r w:rsidR="00C57F33">
        <w:rPr>
          <w:rFonts w:asciiTheme="majorBidi" w:hAnsiTheme="majorBidi" w:cstheme="majorBidi"/>
          <w:color w:val="000000" w:themeColor="text1"/>
          <w:shd w:val="clear" w:color="auto" w:fill="FFFFFF"/>
        </w:rPr>
        <w:t xml:space="preserve"> 3.5 million clients of</w:t>
      </w:r>
      <w:r>
        <w:rPr>
          <w:rFonts w:asciiTheme="majorBidi" w:hAnsiTheme="majorBidi" w:cstheme="majorBidi"/>
          <w:color w:val="000000" w:themeColor="text1"/>
          <w:shd w:val="clear" w:color="auto" w:fill="FFFFFF"/>
        </w:rPr>
        <w:t xml:space="preserve"> a large U.S. health insurer</w:t>
      </w:r>
      <w:r w:rsidRPr="00C9116D">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fell 10 percentage points per month for the </w:t>
      </w:r>
      <w:r w:rsidRPr="00C9116D">
        <w:rPr>
          <w:rFonts w:asciiTheme="majorBidi" w:hAnsiTheme="majorBidi" w:cstheme="majorBidi"/>
        </w:rPr>
        <w:t xml:space="preserve">Pfizer </w:t>
      </w:r>
      <w:r>
        <w:rPr>
          <w:rFonts w:asciiTheme="majorBidi" w:hAnsiTheme="majorBidi" w:cstheme="majorBidi"/>
        </w:rPr>
        <w:t xml:space="preserve">vaccine </w:t>
      </w:r>
      <w:r w:rsidRPr="00C9116D">
        <w:rPr>
          <w:rFonts w:asciiTheme="majorBidi" w:hAnsiTheme="majorBidi" w:cstheme="majorBidi"/>
        </w:rPr>
        <w:t xml:space="preserve">(for </w:t>
      </w:r>
      <w:r w:rsidR="00C57F33">
        <w:rPr>
          <w:rFonts w:asciiTheme="majorBidi" w:hAnsiTheme="majorBidi" w:cstheme="majorBidi"/>
        </w:rPr>
        <w:t xml:space="preserve">Delta variant; </w:t>
      </w:r>
      <w:r w:rsidRPr="00C9116D">
        <w:rPr>
          <w:rFonts w:asciiTheme="majorBidi" w:hAnsiTheme="majorBidi" w:cstheme="majorBidi"/>
        </w:rPr>
        <w:t xml:space="preserve">eight points per month for other variants), </w:t>
      </w:r>
      <w:r w:rsidR="00C57F33">
        <w:rPr>
          <w:rFonts w:asciiTheme="majorBidi" w:hAnsiTheme="majorBidi" w:cstheme="majorBidi"/>
        </w:rPr>
        <w:t xml:space="preserve">to just 53% if </w:t>
      </w:r>
      <w:r>
        <w:rPr>
          <w:rFonts w:asciiTheme="majorBidi" w:hAnsiTheme="majorBidi" w:cstheme="majorBidi"/>
        </w:rPr>
        <w:t>second dose</w:t>
      </w:r>
      <w:r w:rsidRPr="00C9116D">
        <w:rPr>
          <w:rFonts w:asciiTheme="majorBidi" w:hAnsiTheme="majorBidi" w:cstheme="majorBidi"/>
        </w:rPr>
        <w:t xml:space="preserve"> was more than four months ago (</w:t>
      </w:r>
      <w:proofErr w:type="spellStart"/>
      <w:r w:rsidRPr="00C9116D">
        <w:rPr>
          <w:rFonts w:asciiTheme="majorBidi" w:hAnsiTheme="majorBidi" w:cstheme="majorBidi"/>
        </w:rPr>
        <w:t>Tartof</w:t>
      </w:r>
      <w:proofErr w:type="spellEnd"/>
      <w:r w:rsidRPr="00C9116D">
        <w:rPr>
          <w:rFonts w:asciiTheme="majorBidi" w:hAnsiTheme="majorBidi" w:cstheme="majorBidi"/>
        </w:rPr>
        <w:t xml:space="preserve"> et al, 2021). </w:t>
      </w:r>
      <w:r w:rsidR="00C57F33">
        <w:rPr>
          <w:rFonts w:asciiTheme="majorBidi" w:hAnsiTheme="majorBidi" w:cstheme="majorBidi"/>
        </w:rPr>
        <w:t xml:space="preserve">For </w:t>
      </w:r>
      <w:r>
        <w:rPr>
          <w:rFonts w:asciiTheme="majorBidi" w:hAnsiTheme="majorBidi" w:cstheme="majorBidi"/>
        </w:rPr>
        <w:t xml:space="preserve">0.62 million U.S. veterans, </w:t>
      </w:r>
      <w:r w:rsidR="00C57F33">
        <w:rPr>
          <w:rFonts w:asciiTheme="majorBidi" w:hAnsiTheme="majorBidi" w:cstheme="majorBidi"/>
        </w:rPr>
        <w:t xml:space="preserve">given </w:t>
      </w:r>
      <w:r w:rsidR="00194182">
        <w:rPr>
          <w:rFonts w:asciiTheme="majorBidi" w:hAnsiTheme="majorBidi" w:cstheme="majorBidi"/>
        </w:rPr>
        <w:t xml:space="preserve">either Pfizer, </w:t>
      </w:r>
      <w:proofErr w:type="spellStart"/>
      <w:r w:rsidR="00194182">
        <w:rPr>
          <w:rFonts w:asciiTheme="majorBidi" w:hAnsiTheme="majorBidi" w:cstheme="majorBidi"/>
        </w:rPr>
        <w:t>Moderna</w:t>
      </w:r>
      <w:proofErr w:type="spellEnd"/>
      <w:r w:rsidR="00194182">
        <w:rPr>
          <w:rFonts w:asciiTheme="majorBidi" w:hAnsiTheme="majorBidi" w:cstheme="majorBidi"/>
        </w:rPr>
        <w:t>, or Janssen</w:t>
      </w:r>
      <w:r w:rsidR="00C57F33">
        <w:rPr>
          <w:rFonts w:asciiTheme="majorBidi" w:hAnsiTheme="majorBidi" w:cstheme="majorBidi"/>
        </w:rPr>
        <w:t>,</w:t>
      </w:r>
      <w:r>
        <w:rPr>
          <w:rFonts w:asciiTheme="majorBidi" w:hAnsiTheme="majorBidi" w:cstheme="majorBidi"/>
        </w:rPr>
        <w:t xml:space="preserve"> VE sta</w:t>
      </w:r>
      <w:r w:rsidR="00C57F33">
        <w:rPr>
          <w:rFonts w:asciiTheme="majorBidi" w:hAnsiTheme="majorBidi" w:cstheme="majorBidi"/>
        </w:rPr>
        <w:t>rted at 91-95%; by</w:t>
      </w:r>
      <w:r>
        <w:rPr>
          <w:rFonts w:asciiTheme="majorBidi" w:hAnsiTheme="majorBidi" w:cstheme="majorBidi"/>
        </w:rPr>
        <w:t xml:space="preserve"> five months </w:t>
      </w:r>
      <w:r w:rsidR="00C57F33">
        <w:rPr>
          <w:rFonts w:asciiTheme="majorBidi" w:hAnsiTheme="majorBidi" w:cstheme="majorBidi"/>
        </w:rPr>
        <w:t xml:space="preserve">it </w:t>
      </w:r>
      <w:r>
        <w:rPr>
          <w:rFonts w:asciiTheme="majorBidi" w:hAnsiTheme="majorBidi" w:cstheme="majorBidi"/>
        </w:rPr>
        <w:t>had fallen</w:t>
      </w:r>
      <w:r w:rsidR="00194182">
        <w:rPr>
          <w:rFonts w:asciiTheme="majorBidi" w:hAnsiTheme="majorBidi" w:cstheme="majorBidi"/>
        </w:rPr>
        <w:t xml:space="preserve"> to 3% (Janssen</w:t>
      </w:r>
      <w:r w:rsidR="00C57F33">
        <w:rPr>
          <w:rFonts w:asciiTheme="majorBidi" w:hAnsiTheme="majorBidi" w:cstheme="majorBidi"/>
        </w:rPr>
        <w:t>), to 50% (Pfizer) or to 64% (</w:t>
      </w:r>
      <w:proofErr w:type="spellStart"/>
      <w:r w:rsidR="00C57F33">
        <w:rPr>
          <w:rFonts w:asciiTheme="majorBidi" w:hAnsiTheme="majorBidi" w:cstheme="majorBidi"/>
        </w:rPr>
        <w:t>Moderna</w:t>
      </w:r>
      <w:proofErr w:type="spellEnd"/>
      <w:r w:rsidR="00C57F33">
        <w:rPr>
          <w:rFonts w:asciiTheme="majorBidi" w:hAnsiTheme="majorBidi" w:cstheme="majorBidi"/>
        </w:rPr>
        <w:t xml:space="preserve">) (Cohn et al, </w:t>
      </w:r>
      <w:r w:rsidR="00C57F33" w:rsidRPr="00C9116D">
        <w:rPr>
          <w:rFonts w:asciiTheme="majorBidi" w:hAnsiTheme="majorBidi" w:cstheme="majorBidi"/>
        </w:rPr>
        <w:t>2021)</w:t>
      </w:r>
      <w:r w:rsidR="00C57F33">
        <w:rPr>
          <w:rFonts w:asciiTheme="majorBidi" w:hAnsiTheme="majorBidi" w:cstheme="majorBidi"/>
        </w:rPr>
        <w:t xml:space="preserve">. Amongst 0.23 million people in Qatar, </w:t>
      </w:r>
      <w:r w:rsidR="00C64B80">
        <w:rPr>
          <w:rFonts w:asciiTheme="majorBidi" w:hAnsiTheme="majorBidi" w:cstheme="majorBidi"/>
        </w:rPr>
        <w:t xml:space="preserve">peak </w:t>
      </w:r>
      <w:r w:rsidR="00C57F33">
        <w:rPr>
          <w:rFonts w:asciiTheme="majorBidi" w:hAnsiTheme="majorBidi" w:cstheme="majorBidi"/>
        </w:rPr>
        <w:t xml:space="preserve">VE for the Pfizer vaccine </w:t>
      </w:r>
      <w:r w:rsidR="00C64B80">
        <w:rPr>
          <w:rFonts w:asciiTheme="majorBidi" w:hAnsiTheme="majorBidi" w:cstheme="majorBidi"/>
        </w:rPr>
        <w:t xml:space="preserve">was </w:t>
      </w:r>
      <w:r w:rsidR="00C57F33">
        <w:rPr>
          <w:rFonts w:asciiTheme="majorBidi" w:hAnsiTheme="majorBidi" w:cstheme="majorBidi"/>
        </w:rPr>
        <w:t>78% in the mon</w:t>
      </w:r>
      <w:r w:rsidR="00C64B80">
        <w:rPr>
          <w:rFonts w:asciiTheme="majorBidi" w:hAnsiTheme="majorBidi" w:cstheme="majorBidi"/>
        </w:rPr>
        <w:t>th following the second dose, fell</w:t>
      </w:r>
      <w:r w:rsidR="00C57F33">
        <w:rPr>
          <w:rFonts w:asciiTheme="majorBidi" w:hAnsiTheme="majorBidi" w:cstheme="majorBidi"/>
        </w:rPr>
        <w:t xml:space="preserve"> to 23% by the 5</w:t>
      </w:r>
      <w:r w:rsidR="00C57F33" w:rsidRPr="00C57F33">
        <w:rPr>
          <w:rFonts w:asciiTheme="majorBidi" w:hAnsiTheme="majorBidi" w:cstheme="majorBidi"/>
          <w:vertAlign w:val="superscript"/>
        </w:rPr>
        <w:t>th</w:t>
      </w:r>
      <w:r w:rsidR="00C57F33">
        <w:rPr>
          <w:rFonts w:asciiTheme="majorBidi" w:hAnsiTheme="majorBidi" w:cstheme="majorBidi"/>
        </w:rPr>
        <w:t xml:space="preserve"> month and zero efficacy cannot be ruled out after six months (</w:t>
      </w:r>
      <w:proofErr w:type="spellStart"/>
      <w:r w:rsidR="00C57F33">
        <w:rPr>
          <w:rFonts w:asciiTheme="majorBidi" w:hAnsiTheme="majorBidi" w:cstheme="majorBidi"/>
        </w:rPr>
        <w:t>Chemaitelly</w:t>
      </w:r>
      <w:proofErr w:type="spellEnd"/>
      <w:r w:rsidR="00C57F33">
        <w:rPr>
          <w:rFonts w:asciiTheme="majorBidi" w:hAnsiTheme="majorBidi" w:cstheme="majorBidi"/>
        </w:rPr>
        <w:t xml:space="preserve"> et al, 2021).</w:t>
      </w:r>
      <w:r w:rsidR="00350351">
        <w:rPr>
          <w:rFonts w:asciiTheme="majorBidi" w:hAnsiTheme="majorBidi" w:cstheme="majorBidi"/>
        </w:rPr>
        <w:t xml:space="preserve"> For 1.7 million people in Swedish nationwide registries, tracked from 12 January to 4 October 2021, peak VE against infection for the Pfizer vaccine was 92% at 2-4 weeks after the second dose, had fallen to 47% by month 4-6,</w:t>
      </w:r>
      <w:r w:rsidR="00C9670F">
        <w:rPr>
          <w:rFonts w:asciiTheme="majorBidi" w:hAnsiTheme="majorBidi" w:cstheme="majorBidi"/>
        </w:rPr>
        <w:t xml:space="preserve"> with</w:t>
      </w:r>
      <w:r w:rsidR="00350351">
        <w:rPr>
          <w:rFonts w:asciiTheme="majorBidi" w:hAnsiTheme="majorBidi" w:cstheme="majorBidi"/>
        </w:rPr>
        <w:t xml:space="preserve"> no effectiveness detected from month 7 onwards</w:t>
      </w:r>
      <w:r w:rsidR="00C9670F">
        <w:rPr>
          <w:rFonts w:asciiTheme="majorBidi" w:hAnsiTheme="majorBidi" w:cstheme="majorBidi"/>
        </w:rPr>
        <w:t>, and</w:t>
      </w:r>
      <w:r w:rsidR="00350351">
        <w:rPr>
          <w:rFonts w:asciiTheme="majorBidi" w:hAnsiTheme="majorBidi" w:cstheme="majorBidi"/>
        </w:rPr>
        <w:t xml:space="preserve"> VE against severe outcomes (hospitalization and death) also fell rapidly</w:t>
      </w:r>
      <w:r w:rsidR="00C9670F">
        <w:rPr>
          <w:rFonts w:asciiTheme="majorBidi" w:hAnsiTheme="majorBidi" w:cstheme="majorBidi"/>
        </w:rPr>
        <w:t xml:space="preserve">; </w:t>
      </w:r>
      <w:r w:rsidR="002F1ADD">
        <w:rPr>
          <w:rFonts w:asciiTheme="majorBidi" w:hAnsiTheme="majorBidi" w:cstheme="majorBidi"/>
        </w:rPr>
        <w:t>by six</w:t>
      </w:r>
      <w:r w:rsidR="00350351">
        <w:rPr>
          <w:rFonts w:asciiTheme="majorBidi" w:hAnsiTheme="majorBidi" w:cstheme="majorBidi"/>
        </w:rPr>
        <w:t xml:space="preserve"> months after the second dose zero effectiveness </w:t>
      </w:r>
      <w:r w:rsidR="00D705C1">
        <w:rPr>
          <w:rFonts w:asciiTheme="majorBidi" w:hAnsiTheme="majorBidi" w:cstheme="majorBidi"/>
        </w:rPr>
        <w:t xml:space="preserve">against hospitalization and death </w:t>
      </w:r>
      <w:r w:rsidR="00350351">
        <w:rPr>
          <w:rFonts w:asciiTheme="majorBidi" w:hAnsiTheme="majorBidi" w:cstheme="majorBidi"/>
        </w:rPr>
        <w:t>cannot be rule</w:t>
      </w:r>
      <w:r w:rsidR="00C56958">
        <w:rPr>
          <w:rFonts w:asciiTheme="majorBidi" w:hAnsiTheme="majorBidi" w:cstheme="majorBidi"/>
        </w:rPr>
        <w:t>d</w:t>
      </w:r>
      <w:r w:rsidR="00350351">
        <w:rPr>
          <w:rFonts w:asciiTheme="majorBidi" w:hAnsiTheme="majorBidi" w:cstheme="majorBidi"/>
        </w:rPr>
        <w:t xml:space="preserve"> o</w:t>
      </w:r>
      <w:r w:rsidR="00350351" w:rsidRPr="00350351">
        <w:rPr>
          <w:rFonts w:asciiTheme="majorBidi" w:hAnsiTheme="majorBidi" w:cstheme="majorBidi"/>
        </w:rPr>
        <w:t>ut (</w:t>
      </w:r>
      <w:proofErr w:type="spellStart"/>
      <w:r w:rsidR="00350351" w:rsidRPr="00350351">
        <w:rPr>
          <w:rFonts w:asciiTheme="majorBidi" w:hAnsiTheme="majorBidi" w:cstheme="majorBidi"/>
          <w:color w:val="222222"/>
          <w:shd w:val="clear" w:color="auto" w:fill="FFFFFF"/>
        </w:rPr>
        <w:t>Nordström</w:t>
      </w:r>
      <w:proofErr w:type="spellEnd"/>
      <w:r w:rsidR="00350351" w:rsidRPr="00350351">
        <w:rPr>
          <w:rFonts w:asciiTheme="majorBidi" w:hAnsiTheme="majorBidi" w:cstheme="majorBidi"/>
        </w:rPr>
        <w:t xml:space="preserve"> </w:t>
      </w:r>
      <w:r w:rsidR="00350351">
        <w:rPr>
          <w:rFonts w:asciiTheme="majorBidi" w:hAnsiTheme="majorBidi" w:cstheme="majorBidi"/>
        </w:rPr>
        <w:t>et al, 2021).</w:t>
      </w:r>
    </w:p>
  </w:footnote>
  <w:footnote w:id="4">
    <w:p w:rsidR="003D01ED" w:rsidRPr="00AA068A" w:rsidRDefault="003D01ED" w:rsidP="002F1ADD">
      <w:pPr>
        <w:pStyle w:val="FootnoteText"/>
      </w:pPr>
      <w:r>
        <w:rPr>
          <w:rStyle w:val="FootnoteReference"/>
        </w:rPr>
        <w:footnoteRef/>
      </w:r>
      <w:r>
        <w:t xml:space="preserve"> </w:t>
      </w:r>
      <w:r w:rsidR="00AA068A">
        <w:t xml:space="preserve">For example, journalist Kate </w:t>
      </w:r>
      <w:proofErr w:type="spellStart"/>
      <w:r w:rsidR="00AA068A">
        <w:t>MacNamara</w:t>
      </w:r>
      <w:proofErr w:type="spellEnd"/>
      <w:r w:rsidR="00AA068A">
        <w:t xml:space="preserve"> (“The suffocating spin of NZ’s vaccine taskforce” </w:t>
      </w:r>
      <w:r w:rsidR="00AA068A">
        <w:rPr>
          <w:i/>
          <w:iCs/>
        </w:rPr>
        <w:t>New Zealand Herald</w:t>
      </w:r>
      <w:r w:rsidR="00AA068A">
        <w:t>, 2 November, 2021) shows how the NZ government hired a PR firm to help shape messages about the vaccination program</w:t>
      </w:r>
      <w:r w:rsidR="00BC6B03">
        <w:t>,</w:t>
      </w:r>
      <w:r w:rsidR="00AA068A">
        <w:t xml:space="preserve"> </w:t>
      </w:r>
      <w:r w:rsidR="00BC6B03">
        <w:t xml:space="preserve">for supposedly independent academics, who then </w:t>
      </w:r>
      <w:r w:rsidR="002F1ADD">
        <w:t xml:space="preserve">repeated </w:t>
      </w:r>
      <w:r w:rsidR="00BC6B03">
        <w:t xml:space="preserve">them </w:t>
      </w:r>
      <w:r w:rsidR="002F1ADD">
        <w:t>in</w:t>
      </w:r>
      <w:r w:rsidR="00BC6B03">
        <w:t xml:space="preserve"> media commentary</w:t>
      </w:r>
      <w:r w:rsidR="00AA068A">
        <w:t>.</w:t>
      </w:r>
    </w:p>
  </w:footnote>
  <w:footnote w:id="5">
    <w:p w:rsidR="00AA4890" w:rsidRDefault="00AA4890" w:rsidP="004A6BC6">
      <w:pPr>
        <w:pStyle w:val="FootnoteText"/>
      </w:pPr>
      <w:r>
        <w:rPr>
          <w:rStyle w:val="FootnoteReference"/>
        </w:rPr>
        <w:footnoteRef/>
      </w:r>
      <w:r>
        <w:t xml:space="preserve"> Note that the pivotal trials for the main vaccines used in OECD countries (AstraZeneca, Janssen, </w:t>
      </w:r>
      <w:proofErr w:type="spellStart"/>
      <w:r>
        <w:t>Moderna</w:t>
      </w:r>
      <w:proofErr w:type="spellEnd"/>
      <w:r>
        <w:t xml:space="preserve"> and Pfizer) were not designed to find out whether the vaccines save lives (nor whether they prevent transmission). The primary endpoint </w:t>
      </w:r>
      <w:r w:rsidR="004A6BC6">
        <w:t xml:space="preserve">was </w:t>
      </w:r>
      <w:r>
        <w:t xml:space="preserve">symptoms </w:t>
      </w:r>
      <w:r w:rsidR="004A6BC6">
        <w:t xml:space="preserve">(even just mild ones) </w:t>
      </w:r>
      <w:r>
        <w:t>with laboratory-</w:t>
      </w:r>
      <w:r w:rsidR="004A6BC6">
        <w:t>confirmed infection</w:t>
      </w:r>
      <w:r>
        <w:t xml:space="preserve"> (</w:t>
      </w:r>
      <w:proofErr w:type="spellStart"/>
      <w:r>
        <w:t>Doshi</w:t>
      </w:r>
      <w:proofErr w:type="spellEnd"/>
      <w:r>
        <w:t>, 2020).</w:t>
      </w:r>
    </w:p>
  </w:footnote>
  <w:footnote w:id="6">
    <w:p w:rsidR="00032EF6" w:rsidRDefault="00032EF6" w:rsidP="002F1ADD">
      <w:pPr>
        <w:pStyle w:val="FootnoteText"/>
      </w:pPr>
      <w:r>
        <w:rPr>
          <w:rStyle w:val="FootnoteReference"/>
        </w:rPr>
        <w:footnoteRef/>
      </w:r>
      <w:r>
        <w:t xml:space="preserve"> </w:t>
      </w:r>
      <w:r>
        <w:rPr>
          <w:rFonts w:asciiTheme="majorBidi" w:hAnsiTheme="majorBidi" w:cstheme="majorBidi"/>
          <w:bCs/>
        </w:rPr>
        <w:t xml:space="preserve">The </w:t>
      </w:r>
      <w:proofErr w:type="spellStart"/>
      <w:r>
        <w:rPr>
          <w:rFonts w:asciiTheme="majorBidi" w:hAnsiTheme="majorBidi" w:cstheme="majorBidi"/>
          <w:bCs/>
        </w:rPr>
        <w:t>Walach</w:t>
      </w:r>
      <w:proofErr w:type="spellEnd"/>
      <w:r>
        <w:rPr>
          <w:rFonts w:asciiTheme="majorBidi" w:hAnsiTheme="majorBidi" w:cstheme="majorBidi"/>
          <w:bCs/>
        </w:rPr>
        <w:t xml:space="preserve"> et al paper was first published by the journal </w:t>
      </w:r>
      <w:r>
        <w:rPr>
          <w:rFonts w:asciiTheme="majorBidi" w:hAnsiTheme="majorBidi" w:cstheme="majorBidi"/>
          <w:bCs/>
          <w:i/>
          <w:iCs/>
        </w:rPr>
        <w:t>Vaccines</w:t>
      </w:r>
      <w:r>
        <w:rPr>
          <w:rFonts w:asciiTheme="majorBidi" w:hAnsiTheme="majorBidi" w:cstheme="majorBidi"/>
          <w:bCs/>
        </w:rPr>
        <w:t xml:space="preserve"> but then withdrawn by the publisher after editorial board members resign</w:t>
      </w:r>
      <w:r w:rsidR="00834979">
        <w:rPr>
          <w:rFonts w:asciiTheme="majorBidi" w:hAnsiTheme="majorBidi" w:cstheme="majorBidi"/>
          <w:bCs/>
        </w:rPr>
        <w:t>ed in protest</w:t>
      </w:r>
      <w:r>
        <w:rPr>
          <w:rFonts w:asciiTheme="majorBidi" w:hAnsiTheme="majorBidi" w:cstheme="majorBidi"/>
          <w:bCs/>
        </w:rPr>
        <w:t xml:space="preserve">. The retraction was not for </w:t>
      </w:r>
      <w:r w:rsidR="00834979">
        <w:rPr>
          <w:rFonts w:asciiTheme="majorBidi" w:hAnsiTheme="majorBidi" w:cstheme="majorBidi"/>
          <w:bCs/>
        </w:rPr>
        <w:t xml:space="preserve">the </w:t>
      </w:r>
      <w:r>
        <w:rPr>
          <w:rFonts w:asciiTheme="majorBidi" w:hAnsiTheme="majorBidi" w:cstheme="majorBidi"/>
          <w:bCs/>
        </w:rPr>
        <w:t>usual reasons of plagiarism or d</w:t>
      </w:r>
      <w:r w:rsidR="00834979">
        <w:rPr>
          <w:rFonts w:asciiTheme="majorBidi" w:hAnsiTheme="majorBidi" w:cstheme="majorBidi"/>
          <w:bCs/>
        </w:rPr>
        <w:t xml:space="preserve">ata fabrication but because </w:t>
      </w:r>
      <w:r w:rsidR="00BC6B03">
        <w:rPr>
          <w:rFonts w:asciiTheme="majorBidi" w:hAnsiTheme="majorBidi" w:cstheme="majorBidi"/>
          <w:bCs/>
        </w:rPr>
        <w:t xml:space="preserve">these board members disagreed with </w:t>
      </w:r>
      <w:r w:rsidR="00834979">
        <w:rPr>
          <w:rFonts w:asciiTheme="majorBidi" w:hAnsiTheme="majorBidi" w:cstheme="majorBidi"/>
          <w:bCs/>
        </w:rPr>
        <w:t>the conclusions</w:t>
      </w:r>
      <w:r w:rsidR="00BC6B03">
        <w:rPr>
          <w:rFonts w:asciiTheme="majorBidi" w:hAnsiTheme="majorBidi" w:cstheme="majorBidi"/>
          <w:bCs/>
        </w:rPr>
        <w:t>. Lyons-</w:t>
      </w:r>
      <w:proofErr w:type="spellStart"/>
      <w:r w:rsidR="00BC6B03">
        <w:rPr>
          <w:rFonts w:asciiTheme="majorBidi" w:hAnsiTheme="majorBidi" w:cstheme="majorBidi"/>
          <w:bCs/>
        </w:rPr>
        <w:t>Weiler</w:t>
      </w:r>
      <w:proofErr w:type="spellEnd"/>
      <w:r w:rsidR="00BC6B03">
        <w:rPr>
          <w:rFonts w:asciiTheme="majorBidi" w:hAnsiTheme="majorBidi" w:cstheme="majorBidi"/>
          <w:bCs/>
        </w:rPr>
        <w:t xml:space="preserve"> (2021) provides</w:t>
      </w:r>
      <w:r w:rsidR="00834979">
        <w:rPr>
          <w:rFonts w:asciiTheme="majorBidi" w:hAnsiTheme="majorBidi" w:cstheme="majorBidi"/>
          <w:bCs/>
        </w:rPr>
        <w:t xml:space="preserve"> details on this case, and discusses some implications for</w:t>
      </w:r>
      <w:r w:rsidR="002F1ADD">
        <w:rPr>
          <w:rFonts w:asciiTheme="majorBidi" w:hAnsiTheme="majorBidi" w:cstheme="majorBidi"/>
          <w:bCs/>
        </w:rPr>
        <w:t xml:space="preserve"> the safety monitoring of vaccines</w:t>
      </w:r>
      <w:r w:rsidR="00834979">
        <w:rPr>
          <w:rFonts w:asciiTheme="majorBidi" w:hAnsiTheme="majorBidi" w:cstheme="majorBidi"/>
          <w:bCs/>
        </w:rPr>
        <w:t xml:space="preserve">. </w:t>
      </w:r>
    </w:p>
  </w:footnote>
  <w:footnote w:id="7">
    <w:p w:rsidR="00AF1094" w:rsidRDefault="00AF1094" w:rsidP="00AF1094">
      <w:pPr>
        <w:pStyle w:val="FootnoteText"/>
      </w:pPr>
      <w:r>
        <w:rPr>
          <w:rStyle w:val="FootnoteReference"/>
        </w:rPr>
        <w:footnoteRef/>
      </w:r>
      <w:r>
        <w:t xml:space="preserve"> The sample size is below n=1248 (39×32) because not all countries had started their vaccination drives by the beginning of 2021, and the reporting of deaths by a few countries is not yet up to week 39 of 2021.</w:t>
      </w:r>
    </w:p>
  </w:footnote>
  <w:footnote w:id="8">
    <w:p w:rsidR="00DD3DDA" w:rsidRPr="00DD3DDA" w:rsidRDefault="00DD3DDA" w:rsidP="002748E7">
      <w:pPr>
        <w:pStyle w:val="FootnoteText"/>
      </w:pPr>
      <w:r>
        <w:rPr>
          <w:rStyle w:val="FootnoteReference"/>
        </w:rPr>
        <w:footnoteRef/>
      </w:r>
      <w:r>
        <w:t xml:space="preserve"> Note that </w:t>
      </w:r>
      <w:proofErr w:type="spellStart"/>
      <w:r>
        <w:rPr>
          <w:i/>
          <w:iCs/>
        </w:rPr>
        <w:t>v</w:t>
      </w:r>
      <w:r w:rsidRPr="00DD3DDA">
        <w:rPr>
          <w:i/>
          <w:iCs/>
          <w:vertAlign w:val="subscript"/>
        </w:rPr>
        <w:t>it</w:t>
      </w:r>
      <w:proofErr w:type="spellEnd"/>
      <w:r>
        <w:t xml:space="preserve"> and </w:t>
      </w:r>
      <w:proofErr w:type="spellStart"/>
      <w:r>
        <w:rPr>
          <w:i/>
          <w:iCs/>
        </w:rPr>
        <w:t>c</w:t>
      </w:r>
      <w:r w:rsidRPr="00DD3DDA">
        <w:rPr>
          <w:i/>
          <w:iCs/>
          <w:vertAlign w:val="subscript"/>
        </w:rPr>
        <w:t>it</w:t>
      </w:r>
      <w:proofErr w:type="spellEnd"/>
      <w:r>
        <w:t xml:space="preserve"> are not age-specific; age-specific excess mortality is regressed on the </w:t>
      </w:r>
      <w:r w:rsidR="002748E7">
        <w:t xml:space="preserve">all-ages </w:t>
      </w:r>
      <w:r>
        <w:t xml:space="preserve">vaccination incidence rate and the </w:t>
      </w:r>
      <w:r w:rsidR="002748E7">
        <w:t xml:space="preserve">all-ages </w:t>
      </w:r>
      <w:r>
        <w:t>rate of new Covid-19 deaths, as age-specific data are</w:t>
      </w:r>
      <w:r w:rsidR="002748E7">
        <w:t xml:space="preserve"> unavailable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46F1A"/>
    <w:multiLevelType w:val="hybridMultilevel"/>
    <w:tmpl w:val="67E2E9C6"/>
    <w:lvl w:ilvl="0" w:tplc="FBBC02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5A3146F"/>
    <w:multiLevelType w:val="multilevel"/>
    <w:tmpl w:val="2EE0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8B"/>
    <w:rsid w:val="00001B7E"/>
    <w:rsid w:val="00002279"/>
    <w:rsid w:val="00004403"/>
    <w:rsid w:val="00004567"/>
    <w:rsid w:val="000053DA"/>
    <w:rsid w:val="000065F2"/>
    <w:rsid w:val="00007462"/>
    <w:rsid w:val="00007A41"/>
    <w:rsid w:val="00010C53"/>
    <w:rsid w:val="00012246"/>
    <w:rsid w:val="00013328"/>
    <w:rsid w:val="0001424F"/>
    <w:rsid w:val="0001456C"/>
    <w:rsid w:val="000147B4"/>
    <w:rsid w:val="000150BC"/>
    <w:rsid w:val="00015EC2"/>
    <w:rsid w:val="00016A72"/>
    <w:rsid w:val="000200EC"/>
    <w:rsid w:val="00020BEC"/>
    <w:rsid w:val="00023C81"/>
    <w:rsid w:val="00023ED8"/>
    <w:rsid w:val="0002469C"/>
    <w:rsid w:val="0002493E"/>
    <w:rsid w:val="00025317"/>
    <w:rsid w:val="00025758"/>
    <w:rsid w:val="00026615"/>
    <w:rsid w:val="000269C5"/>
    <w:rsid w:val="000271F1"/>
    <w:rsid w:val="00027ABC"/>
    <w:rsid w:val="00027AC8"/>
    <w:rsid w:val="000302A6"/>
    <w:rsid w:val="000304BD"/>
    <w:rsid w:val="00031CE0"/>
    <w:rsid w:val="00031EE7"/>
    <w:rsid w:val="00032873"/>
    <w:rsid w:val="00032B6E"/>
    <w:rsid w:val="00032EF6"/>
    <w:rsid w:val="00032F1D"/>
    <w:rsid w:val="000359F4"/>
    <w:rsid w:val="00036F59"/>
    <w:rsid w:val="00040382"/>
    <w:rsid w:val="00041814"/>
    <w:rsid w:val="00041C56"/>
    <w:rsid w:val="000429B6"/>
    <w:rsid w:val="000430B4"/>
    <w:rsid w:val="00044576"/>
    <w:rsid w:val="0004457F"/>
    <w:rsid w:val="00044689"/>
    <w:rsid w:val="00045373"/>
    <w:rsid w:val="00047C60"/>
    <w:rsid w:val="0005182B"/>
    <w:rsid w:val="00051CFA"/>
    <w:rsid w:val="00052401"/>
    <w:rsid w:val="00052767"/>
    <w:rsid w:val="00055721"/>
    <w:rsid w:val="00056FE0"/>
    <w:rsid w:val="00057774"/>
    <w:rsid w:val="00061AA4"/>
    <w:rsid w:val="000663C4"/>
    <w:rsid w:val="00066616"/>
    <w:rsid w:val="00066A91"/>
    <w:rsid w:val="00066F0C"/>
    <w:rsid w:val="000679C1"/>
    <w:rsid w:val="00070934"/>
    <w:rsid w:val="00070E29"/>
    <w:rsid w:val="00071E99"/>
    <w:rsid w:val="000728C5"/>
    <w:rsid w:val="00072F37"/>
    <w:rsid w:val="00074ECB"/>
    <w:rsid w:val="00075759"/>
    <w:rsid w:val="0007596A"/>
    <w:rsid w:val="00075D6D"/>
    <w:rsid w:val="000766F8"/>
    <w:rsid w:val="00080066"/>
    <w:rsid w:val="00080123"/>
    <w:rsid w:val="0008015C"/>
    <w:rsid w:val="00081B74"/>
    <w:rsid w:val="000831AC"/>
    <w:rsid w:val="0008350E"/>
    <w:rsid w:val="000841D6"/>
    <w:rsid w:val="00084D97"/>
    <w:rsid w:val="000851F0"/>
    <w:rsid w:val="000875B9"/>
    <w:rsid w:val="00087C02"/>
    <w:rsid w:val="000900CE"/>
    <w:rsid w:val="0009194A"/>
    <w:rsid w:val="00091BAC"/>
    <w:rsid w:val="00092079"/>
    <w:rsid w:val="000A3580"/>
    <w:rsid w:val="000A3E9C"/>
    <w:rsid w:val="000A4237"/>
    <w:rsid w:val="000A5474"/>
    <w:rsid w:val="000A6977"/>
    <w:rsid w:val="000A75AB"/>
    <w:rsid w:val="000A7729"/>
    <w:rsid w:val="000B11EE"/>
    <w:rsid w:val="000B26C3"/>
    <w:rsid w:val="000B384A"/>
    <w:rsid w:val="000B69D0"/>
    <w:rsid w:val="000B78E9"/>
    <w:rsid w:val="000B7C0F"/>
    <w:rsid w:val="000C0044"/>
    <w:rsid w:val="000C0821"/>
    <w:rsid w:val="000C096F"/>
    <w:rsid w:val="000C0A63"/>
    <w:rsid w:val="000C1545"/>
    <w:rsid w:val="000C1DA7"/>
    <w:rsid w:val="000C21D9"/>
    <w:rsid w:val="000C2308"/>
    <w:rsid w:val="000C2DBE"/>
    <w:rsid w:val="000C368B"/>
    <w:rsid w:val="000C572C"/>
    <w:rsid w:val="000C5757"/>
    <w:rsid w:val="000C63F5"/>
    <w:rsid w:val="000C6826"/>
    <w:rsid w:val="000C6960"/>
    <w:rsid w:val="000C6F48"/>
    <w:rsid w:val="000D158E"/>
    <w:rsid w:val="000D4B3C"/>
    <w:rsid w:val="000D5669"/>
    <w:rsid w:val="000D727D"/>
    <w:rsid w:val="000D79D7"/>
    <w:rsid w:val="000E0071"/>
    <w:rsid w:val="000E00AD"/>
    <w:rsid w:val="000E1BF8"/>
    <w:rsid w:val="000E3589"/>
    <w:rsid w:val="000E4023"/>
    <w:rsid w:val="000E4879"/>
    <w:rsid w:val="000E4A01"/>
    <w:rsid w:val="000E5AC1"/>
    <w:rsid w:val="000E5ACF"/>
    <w:rsid w:val="000E6DC9"/>
    <w:rsid w:val="000E752E"/>
    <w:rsid w:val="000E75E5"/>
    <w:rsid w:val="000E7A10"/>
    <w:rsid w:val="000E7DE0"/>
    <w:rsid w:val="000F0020"/>
    <w:rsid w:val="000F06D5"/>
    <w:rsid w:val="000F0817"/>
    <w:rsid w:val="000F0884"/>
    <w:rsid w:val="000F0F9C"/>
    <w:rsid w:val="000F170D"/>
    <w:rsid w:val="000F180D"/>
    <w:rsid w:val="000F1892"/>
    <w:rsid w:val="000F199B"/>
    <w:rsid w:val="000F3FBA"/>
    <w:rsid w:val="000F5A73"/>
    <w:rsid w:val="000F5EB6"/>
    <w:rsid w:val="000F622A"/>
    <w:rsid w:val="000F63D2"/>
    <w:rsid w:val="000F77EA"/>
    <w:rsid w:val="00100D22"/>
    <w:rsid w:val="00101073"/>
    <w:rsid w:val="0010124A"/>
    <w:rsid w:val="00101C23"/>
    <w:rsid w:val="00102929"/>
    <w:rsid w:val="00104533"/>
    <w:rsid w:val="001046FC"/>
    <w:rsid w:val="001106A9"/>
    <w:rsid w:val="00110C8B"/>
    <w:rsid w:val="00112AC7"/>
    <w:rsid w:val="00114D29"/>
    <w:rsid w:val="001151B0"/>
    <w:rsid w:val="001224B2"/>
    <w:rsid w:val="00123084"/>
    <w:rsid w:val="00124D49"/>
    <w:rsid w:val="001250FD"/>
    <w:rsid w:val="00126BFD"/>
    <w:rsid w:val="00126FD2"/>
    <w:rsid w:val="00132216"/>
    <w:rsid w:val="00133C61"/>
    <w:rsid w:val="001340E6"/>
    <w:rsid w:val="00134337"/>
    <w:rsid w:val="00134537"/>
    <w:rsid w:val="001347AC"/>
    <w:rsid w:val="001358D4"/>
    <w:rsid w:val="00137DC8"/>
    <w:rsid w:val="00144B68"/>
    <w:rsid w:val="00144D60"/>
    <w:rsid w:val="001514FA"/>
    <w:rsid w:val="00151C20"/>
    <w:rsid w:val="001521B9"/>
    <w:rsid w:val="00152B75"/>
    <w:rsid w:val="00153566"/>
    <w:rsid w:val="001547C0"/>
    <w:rsid w:val="001548D2"/>
    <w:rsid w:val="00156B76"/>
    <w:rsid w:val="00161EE3"/>
    <w:rsid w:val="001629B2"/>
    <w:rsid w:val="00163B89"/>
    <w:rsid w:val="001653E3"/>
    <w:rsid w:val="00170A57"/>
    <w:rsid w:val="00171B42"/>
    <w:rsid w:val="00171CB6"/>
    <w:rsid w:val="001745CF"/>
    <w:rsid w:val="00176C50"/>
    <w:rsid w:val="0018220C"/>
    <w:rsid w:val="00182DF0"/>
    <w:rsid w:val="0018427F"/>
    <w:rsid w:val="00184897"/>
    <w:rsid w:val="00184EBC"/>
    <w:rsid w:val="001862F5"/>
    <w:rsid w:val="0018663B"/>
    <w:rsid w:val="001879DA"/>
    <w:rsid w:val="0019091C"/>
    <w:rsid w:val="00191F05"/>
    <w:rsid w:val="001936B0"/>
    <w:rsid w:val="00194182"/>
    <w:rsid w:val="00194405"/>
    <w:rsid w:val="00194DE6"/>
    <w:rsid w:val="001953B5"/>
    <w:rsid w:val="00196DEE"/>
    <w:rsid w:val="0019712A"/>
    <w:rsid w:val="00197D19"/>
    <w:rsid w:val="001A1111"/>
    <w:rsid w:val="001A1AE4"/>
    <w:rsid w:val="001A1E83"/>
    <w:rsid w:val="001A2933"/>
    <w:rsid w:val="001A330D"/>
    <w:rsid w:val="001A3F51"/>
    <w:rsid w:val="001A6B9B"/>
    <w:rsid w:val="001A7193"/>
    <w:rsid w:val="001B0B56"/>
    <w:rsid w:val="001B0EFF"/>
    <w:rsid w:val="001B307F"/>
    <w:rsid w:val="001B33D1"/>
    <w:rsid w:val="001B4E73"/>
    <w:rsid w:val="001B5F59"/>
    <w:rsid w:val="001C1F4D"/>
    <w:rsid w:val="001C3FE8"/>
    <w:rsid w:val="001C7364"/>
    <w:rsid w:val="001D3790"/>
    <w:rsid w:val="001D46AC"/>
    <w:rsid w:val="001D52FC"/>
    <w:rsid w:val="001D68E2"/>
    <w:rsid w:val="001D6BC7"/>
    <w:rsid w:val="001E0555"/>
    <w:rsid w:val="001E0F73"/>
    <w:rsid w:val="001E1D87"/>
    <w:rsid w:val="001E2802"/>
    <w:rsid w:val="001E7415"/>
    <w:rsid w:val="001E7B15"/>
    <w:rsid w:val="001E7DBB"/>
    <w:rsid w:val="001F0D09"/>
    <w:rsid w:val="001F6018"/>
    <w:rsid w:val="001F64DA"/>
    <w:rsid w:val="001F75DB"/>
    <w:rsid w:val="001F76DE"/>
    <w:rsid w:val="0020283B"/>
    <w:rsid w:val="00202E7E"/>
    <w:rsid w:val="00206140"/>
    <w:rsid w:val="002113A9"/>
    <w:rsid w:val="00213A18"/>
    <w:rsid w:val="00213C1D"/>
    <w:rsid w:val="00213D13"/>
    <w:rsid w:val="00214622"/>
    <w:rsid w:val="00214726"/>
    <w:rsid w:val="002147F0"/>
    <w:rsid w:val="00214A7D"/>
    <w:rsid w:val="00214C92"/>
    <w:rsid w:val="00214D94"/>
    <w:rsid w:val="0021726B"/>
    <w:rsid w:val="00217731"/>
    <w:rsid w:val="00220548"/>
    <w:rsid w:val="00221253"/>
    <w:rsid w:val="002227FE"/>
    <w:rsid w:val="002235D3"/>
    <w:rsid w:val="0022401B"/>
    <w:rsid w:val="002240A8"/>
    <w:rsid w:val="00224732"/>
    <w:rsid w:val="00225D79"/>
    <w:rsid w:val="00227BD1"/>
    <w:rsid w:val="00227D7A"/>
    <w:rsid w:val="0023069C"/>
    <w:rsid w:val="002319E5"/>
    <w:rsid w:val="00233546"/>
    <w:rsid w:val="00235687"/>
    <w:rsid w:val="00235A3B"/>
    <w:rsid w:val="002428BD"/>
    <w:rsid w:val="00242CDB"/>
    <w:rsid w:val="00243BE9"/>
    <w:rsid w:val="00244069"/>
    <w:rsid w:val="00244F1A"/>
    <w:rsid w:val="002466E8"/>
    <w:rsid w:val="00250584"/>
    <w:rsid w:val="00250D8F"/>
    <w:rsid w:val="00251D61"/>
    <w:rsid w:val="002520F7"/>
    <w:rsid w:val="002524F6"/>
    <w:rsid w:val="00254DE6"/>
    <w:rsid w:val="0025570B"/>
    <w:rsid w:val="00260C95"/>
    <w:rsid w:val="002619E2"/>
    <w:rsid w:val="00261AB7"/>
    <w:rsid w:val="00267618"/>
    <w:rsid w:val="00271BB7"/>
    <w:rsid w:val="00274481"/>
    <w:rsid w:val="002748E7"/>
    <w:rsid w:val="00274AE9"/>
    <w:rsid w:val="00275508"/>
    <w:rsid w:val="00275D16"/>
    <w:rsid w:val="0028356F"/>
    <w:rsid w:val="00284373"/>
    <w:rsid w:val="002858B5"/>
    <w:rsid w:val="00287E18"/>
    <w:rsid w:val="002903EF"/>
    <w:rsid w:val="00291A78"/>
    <w:rsid w:val="00291F25"/>
    <w:rsid w:val="002920BD"/>
    <w:rsid w:val="0029226C"/>
    <w:rsid w:val="00292FD2"/>
    <w:rsid w:val="002936EA"/>
    <w:rsid w:val="00293F73"/>
    <w:rsid w:val="00294D67"/>
    <w:rsid w:val="00296C04"/>
    <w:rsid w:val="00296F29"/>
    <w:rsid w:val="00297677"/>
    <w:rsid w:val="002A198C"/>
    <w:rsid w:val="002A1F76"/>
    <w:rsid w:val="002A21F3"/>
    <w:rsid w:val="002A2603"/>
    <w:rsid w:val="002A30C8"/>
    <w:rsid w:val="002A423A"/>
    <w:rsid w:val="002A5E2D"/>
    <w:rsid w:val="002A6915"/>
    <w:rsid w:val="002A6B07"/>
    <w:rsid w:val="002A7C8E"/>
    <w:rsid w:val="002B06A5"/>
    <w:rsid w:val="002B1F34"/>
    <w:rsid w:val="002B3897"/>
    <w:rsid w:val="002B71DC"/>
    <w:rsid w:val="002B7418"/>
    <w:rsid w:val="002C0CBB"/>
    <w:rsid w:val="002C127F"/>
    <w:rsid w:val="002C1C8A"/>
    <w:rsid w:val="002C1FBF"/>
    <w:rsid w:val="002C2413"/>
    <w:rsid w:val="002C25F9"/>
    <w:rsid w:val="002C3EE7"/>
    <w:rsid w:val="002C44AA"/>
    <w:rsid w:val="002C5554"/>
    <w:rsid w:val="002C5B8B"/>
    <w:rsid w:val="002C66E0"/>
    <w:rsid w:val="002C6994"/>
    <w:rsid w:val="002C74C4"/>
    <w:rsid w:val="002D0466"/>
    <w:rsid w:val="002D05F2"/>
    <w:rsid w:val="002D2D8E"/>
    <w:rsid w:val="002D3117"/>
    <w:rsid w:val="002D31C8"/>
    <w:rsid w:val="002D50DC"/>
    <w:rsid w:val="002D59F7"/>
    <w:rsid w:val="002D6353"/>
    <w:rsid w:val="002D73F5"/>
    <w:rsid w:val="002E09AF"/>
    <w:rsid w:val="002E115F"/>
    <w:rsid w:val="002E13C3"/>
    <w:rsid w:val="002E25B7"/>
    <w:rsid w:val="002E3247"/>
    <w:rsid w:val="002E3741"/>
    <w:rsid w:val="002E62D9"/>
    <w:rsid w:val="002E6937"/>
    <w:rsid w:val="002F0C3F"/>
    <w:rsid w:val="002F1ADD"/>
    <w:rsid w:val="002F1C9E"/>
    <w:rsid w:val="002F23D5"/>
    <w:rsid w:val="002F35F1"/>
    <w:rsid w:val="002F5BBC"/>
    <w:rsid w:val="002F6CD4"/>
    <w:rsid w:val="0030131B"/>
    <w:rsid w:val="003015B5"/>
    <w:rsid w:val="00301C42"/>
    <w:rsid w:val="00303F15"/>
    <w:rsid w:val="00304E9C"/>
    <w:rsid w:val="00305809"/>
    <w:rsid w:val="00307CB8"/>
    <w:rsid w:val="00310A4D"/>
    <w:rsid w:val="003115C3"/>
    <w:rsid w:val="00312C8D"/>
    <w:rsid w:val="003176A2"/>
    <w:rsid w:val="003215DC"/>
    <w:rsid w:val="003220E4"/>
    <w:rsid w:val="003226F2"/>
    <w:rsid w:val="00322983"/>
    <w:rsid w:val="00323192"/>
    <w:rsid w:val="0032325D"/>
    <w:rsid w:val="0032581D"/>
    <w:rsid w:val="0032699D"/>
    <w:rsid w:val="00326B05"/>
    <w:rsid w:val="00326CF7"/>
    <w:rsid w:val="003270BE"/>
    <w:rsid w:val="00327A5A"/>
    <w:rsid w:val="0033098D"/>
    <w:rsid w:val="0033209F"/>
    <w:rsid w:val="0033214C"/>
    <w:rsid w:val="00332AAD"/>
    <w:rsid w:val="0033540C"/>
    <w:rsid w:val="00335EC2"/>
    <w:rsid w:val="00336CA2"/>
    <w:rsid w:val="0034053E"/>
    <w:rsid w:val="003416E7"/>
    <w:rsid w:val="00342A26"/>
    <w:rsid w:val="00342E38"/>
    <w:rsid w:val="003461E2"/>
    <w:rsid w:val="003466ED"/>
    <w:rsid w:val="00346E44"/>
    <w:rsid w:val="00350351"/>
    <w:rsid w:val="00351228"/>
    <w:rsid w:val="00351695"/>
    <w:rsid w:val="003516D3"/>
    <w:rsid w:val="00352283"/>
    <w:rsid w:val="00357070"/>
    <w:rsid w:val="003575FD"/>
    <w:rsid w:val="0035782B"/>
    <w:rsid w:val="00360994"/>
    <w:rsid w:val="003639E3"/>
    <w:rsid w:val="0036420A"/>
    <w:rsid w:val="0036596F"/>
    <w:rsid w:val="00367361"/>
    <w:rsid w:val="003705EA"/>
    <w:rsid w:val="00371247"/>
    <w:rsid w:val="00372189"/>
    <w:rsid w:val="0037219C"/>
    <w:rsid w:val="0037345B"/>
    <w:rsid w:val="0037378E"/>
    <w:rsid w:val="00373DC9"/>
    <w:rsid w:val="0037463D"/>
    <w:rsid w:val="00374734"/>
    <w:rsid w:val="00374ADC"/>
    <w:rsid w:val="00377520"/>
    <w:rsid w:val="00377714"/>
    <w:rsid w:val="003802F8"/>
    <w:rsid w:val="003815C0"/>
    <w:rsid w:val="00381D95"/>
    <w:rsid w:val="003832DF"/>
    <w:rsid w:val="00385A0E"/>
    <w:rsid w:val="00385E02"/>
    <w:rsid w:val="00386B5A"/>
    <w:rsid w:val="00386EE0"/>
    <w:rsid w:val="00387156"/>
    <w:rsid w:val="00387464"/>
    <w:rsid w:val="0038767B"/>
    <w:rsid w:val="0039140B"/>
    <w:rsid w:val="00391E8D"/>
    <w:rsid w:val="0039259D"/>
    <w:rsid w:val="00392A11"/>
    <w:rsid w:val="003965A5"/>
    <w:rsid w:val="003965EC"/>
    <w:rsid w:val="003967E9"/>
    <w:rsid w:val="003A0386"/>
    <w:rsid w:val="003A1456"/>
    <w:rsid w:val="003A36C0"/>
    <w:rsid w:val="003A496E"/>
    <w:rsid w:val="003A56CD"/>
    <w:rsid w:val="003A75AA"/>
    <w:rsid w:val="003A75AB"/>
    <w:rsid w:val="003A7F49"/>
    <w:rsid w:val="003B03BA"/>
    <w:rsid w:val="003B042D"/>
    <w:rsid w:val="003B0607"/>
    <w:rsid w:val="003B0C66"/>
    <w:rsid w:val="003B1580"/>
    <w:rsid w:val="003B427C"/>
    <w:rsid w:val="003B4381"/>
    <w:rsid w:val="003B4D8E"/>
    <w:rsid w:val="003B5740"/>
    <w:rsid w:val="003B64A6"/>
    <w:rsid w:val="003B7672"/>
    <w:rsid w:val="003B7A69"/>
    <w:rsid w:val="003C2496"/>
    <w:rsid w:val="003C24DF"/>
    <w:rsid w:val="003C5D9F"/>
    <w:rsid w:val="003C60B8"/>
    <w:rsid w:val="003C617A"/>
    <w:rsid w:val="003C6226"/>
    <w:rsid w:val="003C66B6"/>
    <w:rsid w:val="003C7709"/>
    <w:rsid w:val="003D01ED"/>
    <w:rsid w:val="003D043B"/>
    <w:rsid w:val="003D2AA7"/>
    <w:rsid w:val="003D33C9"/>
    <w:rsid w:val="003D33D2"/>
    <w:rsid w:val="003D4B34"/>
    <w:rsid w:val="003D5189"/>
    <w:rsid w:val="003D5D8A"/>
    <w:rsid w:val="003E023A"/>
    <w:rsid w:val="003E026B"/>
    <w:rsid w:val="003E1DEE"/>
    <w:rsid w:val="003E2175"/>
    <w:rsid w:val="003E2743"/>
    <w:rsid w:val="003E642B"/>
    <w:rsid w:val="003E73FE"/>
    <w:rsid w:val="003E7847"/>
    <w:rsid w:val="003F0198"/>
    <w:rsid w:val="003F1941"/>
    <w:rsid w:val="003F1BC3"/>
    <w:rsid w:val="003F2177"/>
    <w:rsid w:val="003F3282"/>
    <w:rsid w:val="003F359E"/>
    <w:rsid w:val="003F465D"/>
    <w:rsid w:val="003F490C"/>
    <w:rsid w:val="003F4B87"/>
    <w:rsid w:val="003F4C23"/>
    <w:rsid w:val="003F6961"/>
    <w:rsid w:val="003F6D59"/>
    <w:rsid w:val="004001ED"/>
    <w:rsid w:val="00404AE6"/>
    <w:rsid w:val="00405EAA"/>
    <w:rsid w:val="0041000D"/>
    <w:rsid w:val="004101BE"/>
    <w:rsid w:val="00410ABE"/>
    <w:rsid w:val="00413C37"/>
    <w:rsid w:val="0041438D"/>
    <w:rsid w:val="004148FF"/>
    <w:rsid w:val="00417310"/>
    <w:rsid w:val="00421CC7"/>
    <w:rsid w:val="0043256F"/>
    <w:rsid w:val="004327EE"/>
    <w:rsid w:val="00433461"/>
    <w:rsid w:val="00434F1E"/>
    <w:rsid w:val="004355AB"/>
    <w:rsid w:val="00435FB9"/>
    <w:rsid w:val="0043634A"/>
    <w:rsid w:val="00437255"/>
    <w:rsid w:val="004378F9"/>
    <w:rsid w:val="00446258"/>
    <w:rsid w:val="0044662D"/>
    <w:rsid w:val="00447027"/>
    <w:rsid w:val="00451C9A"/>
    <w:rsid w:val="00451CD2"/>
    <w:rsid w:val="00452061"/>
    <w:rsid w:val="004527A1"/>
    <w:rsid w:val="004529B6"/>
    <w:rsid w:val="00453EAA"/>
    <w:rsid w:val="0045572F"/>
    <w:rsid w:val="00456343"/>
    <w:rsid w:val="00456E61"/>
    <w:rsid w:val="00456F71"/>
    <w:rsid w:val="0045731C"/>
    <w:rsid w:val="00457FE2"/>
    <w:rsid w:val="00461097"/>
    <w:rsid w:val="004640A5"/>
    <w:rsid w:val="00464B9C"/>
    <w:rsid w:val="0046574C"/>
    <w:rsid w:val="004660CE"/>
    <w:rsid w:val="00467A48"/>
    <w:rsid w:val="00467E26"/>
    <w:rsid w:val="00470B2C"/>
    <w:rsid w:val="0047304A"/>
    <w:rsid w:val="00475F32"/>
    <w:rsid w:val="00477CC3"/>
    <w:rsid w:val="0048060A"/>
    <w:rsid w:val="00482133"/>
    <w:rsid w:val="004826B4"/>
    <w:rsid w:val="0048292E"/>
    <w:rsid w:val="0048381D"/>
    <w:rsid w:val="0048394C"/>
    <w:rsid w:val="004839DE"/>
    <w:rsid w:val="004855B9"/>
    <w:rsid w:val="004862F3"/>
    <w:rsid w:val="004872D2"/>
    <w:rsid w:val="004901F9"/>
    <w:rsid w:val="00493EE6"/>
    <w:rsid w:val="00494324"/>
    <w:rsid w:val="00496BBE"/>
    <w:rsid w:val="00496EA0"/>
    <w:rsid w:val="004976CA"/>
    <w:rsid w:val="004A1E78"/>
    <w:rsid w:val="004A2068"/>
    <w:rsid w:val="004A2F9C"/>
    <w:rsid w:val="004A3AE2"/>
    <w:rsid w:val="004A3EAC"/>
    <w:rsid w:val="004A5144"/>
    <w:rsid w:val="004A621D"/>
    <w:rsid w:val="004A6BC6"/>
    <w:rsid w:val="004B0257"/>
    <w:rsid w:val="004B0396"/>
    <w:rsid w:val="004B0F83"/>
    <w:rsid w:val="004B1019"/>
    <w:rsid w:val="004B2158"/>
    <w:rsid w:val="004B48CE"/>
    <w:rsid w:val="004B4D63"/>
    <w:rsid w:val="004B6CCC"/>
    <w:rsid w:val="004C0DAC"/>
    <w:rsid w:val="004C1709"/>
    <w:rsid w:val="004C21C8"/>
    <w:rsid w:val="004C344C"/>
    <w:rsid w:val="004C43EE"/>
    <w:rsid w:val="004C47DB"/>
    <w:rsid w:val="004C5EA1"/>
    <w:rsid w:val="004C6427"/>
    <w:rsid w:val="004C6DA3"/>
    <w:rsid w:val="004D26F5"/>
    <w:rsid w:val="004D2BD7"/>
    <w:rsid w:val="004D315B"/>
    <w:rsid w:val="004D3E9F"/>
    <w:rsid w:val="004D5A97"/>
    <w:rsid w:val="004D5CDB"/>
    <w:rsid w:val="004D5DA7"/>
    <w:rsid w:val="004E6525"/>
    <w:rsid w:val="004E73C3"/>
    <w:rsid w:val="004F1F88"/>
    <w:rsid w:val="004F3372"/>
    <w:rsid w:val="004F3C54"/>
    <w:rsid w:val="004F3FCB"/>
    <w:rsid w:val="004F612E"/>
    <w:rsid w:val="004F762C"/>
    <w:rsid w:val="004F7B6C"/>
    <w:rsid w:val="004F7F1B"/>
    <w:rsid w:val="005017BD"/>
    <w:rsid w:val="00501E32"/>
    <w:rsid w:val="005046F4"/>
    <w:rsid w:val="0050594D"/>
    <w:rsid w:val="00506047"/>
    <w:rsid w:val="005063EA"/>
    <w:rsid w:val="00506830"/>
    <w:rsid w:val="00507E37"/>
    <w:rsid w:val="00510E58"/>
    <w:rsid w:val="00514237"/>
    <w:rsid w:val="0051580D"/>
    <w:rsid w:val="0052052A"/>
    <w:rsid w:val="0052077C"/>
    <w:rsid w:val="00520C02"/>
    <w:rsid w:val="00522690"/>
    <w:rsid w:val="00523356"/>
    <w:rsid w:val="0052490F"/>
    <w:rsid w:val="00526A0C"/>
    <w:rsid w:val="00527085"/>
    <w:rsid w:val="00527356"/>
    <w:rsid w:val="0052796B"/>
    <w:rsid w:val="00530D91"/>
    <w:rsid w:val="00530FC8"/>
    <w:rsid w:val="00530FF0"/>
    <w:rsid w:val="005321E5"/>
    <w:rsid w:val="0053301E"/>
    <w:rsid w:val="005336B5"/>
    <w:rsid w:val="005338E9"/>
    <w:rsid w:val="00536611"/>
    <w:rsid w:val="00537144"/>
    <w:rsid w:val="00537736"/>
    <w:rsid w:val="005378DF"/>
    <w:rsid w:val="00540940"/>
    <w:rsid w:val="0054147B"/>
    <w:rsid w:val="00541F35"/>
    <w:rsid w:val="00542CBB"/>
    <w:rsid w:val="00544737"/>
    <w:rsid w:val="00544901"/>
    <w:rsid w:val="00547562"/>
    <w:rsid w:val="00547B30"/>
    <w:rsid w:val="00547BE5"/>
    <w:rsid w:val="005503B6"/>
    <w:rsid w:val="005523DF"/>
    <w:rsid w:val="00555CD4"/>
    <w:rsid w:val="00560CD2"/>
    <w:rsid w:val="00561DAD"/>
    <w:rsid w:val="00564EA6"/>
    <w:rsid w:val="0056551B"/>
    <w:rsid w:val="00566909"/>
    <w:rsid w:val="00566FA7"/>
    <w:rsid w:val="005722DC"/>
    <w:rsid w:val="005741F4"/>
    <w:rsid w:val="0057675C"/>
    <w:rsid w:val="005769F7"/>
    <w:rsid w:val="00576CF1"/>
    <w:rsid w:val="005775C2"/>
    <w:rsid w:val="00577BF6"/>
    <w:rsid w:val="005811DF"/>
    <w:rsid w:val="00582836"/>
    <w:rsid w:val="00582C7C"/>
    <w:rsid w:val="00582FD6"/>
    <w:rsid w:val="00583170"/>
    <w:rsid w:val="00583A9D"/>
    <w:rsid w:val="00584009"/>
    <w:rsid w:val="00585703"/>
    <w:rsid w:val="005865E9"/>
    <w:rsid w:val="00586929"/>
    <w:rsid w:val="00587157"/>
    <w:rsid w:val="00587A31"/>
    <w:rsid w:val="00590169"/>
    <w:rsid w:val="005922B7"/>
    <w:rsid w:val="00592C8E"/>
    <w:rsid w:val="0059408F"/>
    <w:rsid w:val="005966D7"/>
    <w:rsid w:val="00596E37"/>
    <w:rsid w:val="005977D7"/>
    <w:rsid w:val="005A0260"/>
    <w:rsid w:val="005A1042"/>
    <w:rsid w:val="005A243F"/>
    <w:rsid w:val="005A2993"/>
    <w:rsid w:val="005A461C"/>
    <w:rsid w:val="005A4794"/>
    <w:rsid w:val="005A4B57"/>
    <w:rsid w:val="005A545A"/>
    <w:rsid w:val="005A66DE"/>
    <w:rsid w:val="005B3645"/>
    <w:rsid w:val="005B473E"/>
    <w:rsid w:val="005B4C84"/>
    <w:rsid w:val="005B59A4"/>
    <w:rsid w:val="005B6B2D"/>
    <w:rsid w:val="005B7948"/>
    <w:rsid w:val="005B7D6B"/>
    <w:rsid w:val="005C2836"/>
    <w:rsid w:val="005C2E59"/>
    <w:rsid w:val="005C323B"/>
    <w:rsid w:val="005C3C5E"/>
    <w:rsid w:val="005C51A6"/>
    <w:rsid w:val="005C6074"/>
    <w:rsid w:val="005C777B"/>
    <w:rsid w:val="005C7A41"/>
    <w:rsid w:val="005C7FCF"/>
    <w:rsid w:val="005D1361"/>
    <w:rsid w:val="005D1A93"/>
    <w:rsid w:val="005D1F08"/>
    <w:rsid w:val="005D2698"/>
    <w:rsid w:val="005D3F48"/>
    <w:rsid w:val="005D4F7F"/>
    <w:rsid w:val="005D6CFF"/>
    <w:rsid w:val="005E0399"/>
    <w:rsid w:val="005E160E"/>
    <w:rsid w:val="005E6824"/>
    <w:rsid w:val="005E7897"/>
    <w:rsid w:val="005F0720"/>
    <w:rsid w:val="005F11CF"/>
    <w:rsid w:val="005F7860"/>
    <w:rsid w:val="006004F8"/>
    <w:rsid w:val="00600B4D"/>
    <w:rsid w:val="00601072"/>
    <w:rsid w:val="00601715"/>
    <w:rsid w:val="0060211C"/>
    <w:rsid w:val="0060230A"/>
    <w:rsid w:val="00602CB3"/>
    <w:rsid w:val="00603315"/>
    <w:rsid w:val="00603843"/>
    <w:rsid w:val="00604524"/>
    <w:rsid w:val="00605454"/>
    <w:rsid w:val="00607DB5"/>
    <w:rsid w:val="0061099C"/>
    <w:rsid w:val="0061127D"/>
    <w:rsid w:val="00611B1C"/>
    <w:rsid w:val="00611FE5"/>
    <w:rsid w:val="00612E4D"/>
    <w:rsid w:val="0061317E"/>
    <w:rsid w:val="00613AE0"/>
    <w:rsid w:val="00615CB9"/>
    <w:rsid w:val="00616F31"/>
    <w:rsid w:val="00617583"/>
    <w:rsid w:val="00621BA8"/>
    <w:rsid w:val="00622006"/>
    <w:rsid w:val="00623641"/>
    <w:rsid w:val="00624A4E"/>
    <w:rsid w:val="00630706"/>
    <w:rsid w:val="0063343D"/>
    <w:rsid w:val="0063343F"/>
    <w:rsid w:val="006351C8"/>
    <w:rsid w:val="00637B96"/>
    <w:rsid w:val="00640C1E"/>
    <w:rsid w:val="00641F5D"/>
    <w:rsid w:val="0064256F"/>
    <w:rsid w:val="006430B8"/>
    <w:rsid w:val="006432D6"/>
    <w:rsid w:val="00645D7F"/>
    <w:rsid w:val="00646F3E"/>
    <w:rsid w:val="00647C21"/>
    <w:rsid w:val="00647CE4"/>
    <w:rsid w:val="00647F65"/>
    <w:rsid w:val="00647FAA"/>
    <w:rsid w:val="0065168B"/>
    <w:rsid w:val="00652EB5"/>
    <w:rsid w:val="00655ADB"/>
    <w:rsid w:val="00656259"/>
    <w:rsid w:val="006577A8"/>
    <w:rsid w:val="006579F2"/>
    <w:rsid w:val="00657A8F"/>
    <w:rsid w:val="00661687"/>
    <w:rsid w:val="00663AEB"/>
    <w:rsid w:val="0066585D"/>
    <w:rsid w:val="00665FB1"/>
    <w:rsid w:val="006662B7"/>
    <w:rsid w:val="006702A7"/>
    <w:rsid w:val="00670698"/>
    <w:rsid w:val="00670752"/>
    <w:rsid w:val="0067241A"/>
    <w:rsid w:val="006725B7"/>
    <w:rsid w:val="00673043"/>
    <w:rsid w:val="006741F0"/>
    <w:rsid w:val="00674F26"/>
    <w:rsid w:val="00675115"/>
    <w:rsid w:val="006760E8"/>
    <w:rsid w:val="00680335"/>
    <w:rsid w:val="00681A39"/>
    <w:rsid w:val="0068603E"/>
    <w:rsid w:val="006919FA"/>
    <w:rsid w:val="00692DA7"/>
    <w:rsid w:val="006932DE"/>
    <w:rsid w:val="006935DB"/>
    <w:rsid w:val="00694592"/>
    <w:rsid w:val="00695332"/>
    <w:rsid w:val="00695ACB"/>
    <w:rsid w:val="00695E2D"/>
    <w:rsid w:val="006A0942"/>
    <w:rsid w:val="006A1853"/>
    <w:rsid w:val="006A1AC9"/>
    <w:rsid w:val="006A30C2"/>
    <w:rsid w:val="006A49CA"/>
    <w:rsid w:val="006A5436"/>
    <w:rsid w:val="006A59AD"/>
    <w:rsid w:val="006A6529"/>
    <w:rsid w:val="006A7104"/>
    <w:rsid w:val="006A7767"/>
    <w:rsid w:val="006A7C53"/>
    <w:rsid w:val="006A7F30"/>
    <w:rsid w:val="006B0214"/>
    <w:rsid w:val="006B23E4"/>
    <w:rsid w:val="006B374C"/>
    <w:rsid w:val="006B396D"/>
    <w:rsid w:val="006B3BED"/>
    <w:rsid w:val="006B4336"/>
    <w:rsid w:val="006B7C93"/>
    <w:rsid w:val="006C422F"/>
    <w:rsid w:val="006C44B6"/>
    <w:rsid w:val="006C482B"/>
    <w:rsid w:val="006C52D9"/>
    <w:rsid w:val="006C6424"/>
    <w:rsid w:val="006C76B3"/>
    <w:rsid w:val="006D18AA"/>
    <w:rsid w:val="006D1D0A"/>
    <w:rsid w:val="006D28EA"/>
    <w:rsid w:val="006D49D1"/>
    <w:rsid w:val="006D6658"/>
    <w:rsid w:val="006E1698"/>
    <w:rsid w:val="006E1A33"/>
    <w:rsid w:val="006E474F"/>
    <w:rsid w:val="006E6113"/>
    <w:rsid w:val="006E6954"/>
    <w:rsid w:val="006E6EA7"/>
    <w:rsid w:val="006F0748"/>
    <w:rsid w:val="006F1946"/>
    <w:rsid w:val="006F26DF"/>
    <w:rsid w:val="006F29EE"/>
    <w:rsid w:val="006F2CD4"/>
    <w:rsid w:val="006F4F14"/>
    <w:rsid w:val="006F5FB3"/>
    <w:rsid w:val="006F6526"/>
    <w:rsid w:val="006F6B8E"/>
    <w:rsid w:val="006F707D"/>
    <w:rsid w:val="006F799B"/>
    <w:rsid w:val="00700872"/>
    <w:rsid w:val="00702703"/>
    <w:rsid w:val="0070376E"/>
    <w:rsid w:val="00703ED8"/>
    <w:rsid w:val="00704E84"/>
    <w:rsid w:val="00706FE8"/>
    <w:rsid w:val="007114A4"/>
    <w:rsid w:val="00711B5B"/>
    <w:rsid w:val="0071265F"/>
    <w:rsid w:val="00714DA8"/>
    <w:rsid w:val="00715ECB"/>
    <w:rsid w:val="007177A8"/>
    <w:rsid w:val="0071780B"/>
    <w:rsid w:val="00717F08"/>
    <w:rsid w:val="00720DBF"/>
    <w:rsid w:val="007220C1"/>
    <w:rsid w:val="00723937"/>
    <w:rsid w:val="00725EE4"/>
    <w:rsid w:val="00727528"/>
    <w:rsid w:val="0073232E"/>
    <w:rsid w:val="00733A30"/>
    <w:rsid w:val="00734351"/>
    <w:rsid w:val="00735301"/>
    <w:rsid w:val="00735A9C"/>
    <w:rsid w:val="0073600F"/>
    <w:rsid w:val="00740A96"/>
    <w:rsid w:val="00741202"/>
    <w:rsid w:val="00741776"/>
    <w:rsid w:val="007437F7"/>
    <w:rsid w:val="00744996"/>
    <w:rsid w:val="00744BAC"/>
    <w:rsid w:val="00745450"/>
    <w:rsid w:val="007468AF"/>
    <w:rsid w:val="00747049"/>
    <w:rsid w:val="007474C2"/>
    <w:rsid w:val="00747BA5"/>
    <w:rsid w:val="00751316"/>
    <w:rsid w:val="00756DB4"/>
    <w:rsid w:val="00757943"/>
    <w:rsid w:val="00757F22"/>
    <w:rsid w:val="007600F8"/>
    <w:rsid w:val="0076032F"/>
    <w:rsid w:val="007624DF"/>
    <w:rsid w:val="007632DB"/>
    <w:rsid w:val="00763CF9"/>
    <w:rsid w:val="00763D6E"/>
    <w:rsid w:val="00763FFC"/>
    <w:rsid w:val="0077129B"/>
    <w:rsid w:val="007717B8"/>
    <w:rsid w:val="007729F5"/>
    <w:rsid w:val="00772E71"/>
    <w:rsid w:val="007732CD"/>
    <w:rsid w:val="007737A3"/>
    <w:rsid w:val="00773D1F"/>
    <w:rsid w:val="0077567C"/>
    <w:rsid w:val="00775A95"/>
    <w:rsid w:val="007760BF"/>
    <w:rsid w:val="007766CE"/>
    <w:rsid w:val="007813CB"/>
    <w:rsid w:val="007835D8"/>
    <w:rsid w:val="00790CFD"/>
    <w:rsid w:val="0079186E"/>
    <w:rsid w:val="00791ABA"/>
    <w:rsid w:val="00791BEA"/>
    <w:rsid w:val="00793B70"/>
    <w:rsid w:val="007957AB"/>
    <w:rsid w:val="0079669C"/>
    <w:rsid w:val="007968C5"/>
    <w:rsid w:val="00796B00"/>
    <w:rsid w:val="00796DC9"/>
    <w:rsid w:val="00797832"/>
    <w:rsid w:val="007A04FA"/>
    <w:rsid w:val="007A415D"/>
    <w:rsid w:val="007A4302"/>
    <w:rsid w:val="007A5055"/>
    <w:rsid w:val="007A722F"/>
    <w:rsid w:val="007B0726"/>
    <w:rsid w:val="007B1338"/>
    <w:rsid w:val="007B45F3"/>
    <w:rsid w:val="007B4B54"/>
    <w:rsid w:val="007B5849"/>
    <w:rsid w:val="007B5B95"/>
    <w:rsid w:val="007B5EEB"/>
    <w:rsid w:val="007B5F42"/>
    <w:rsid w:val="007B645D"/>
    <w:rsid w:val="007C0060"/>
    <w:rsid w:val="007C0AFD"/>
    <w:rsid w:val="007C1CDD"/>
    <w:rsid w:val="007C2C05"/>
    <w:rsid w:val="007C3222"/>
    <w:rsid w:val="007C3E25"/>
    <w:rsid w:val="007C4988"/>
    <w:rsid w:val="007C6206"/>
    <w:rsid w:val="007C676A"/>
    <w:rsid w:val="007C6C7B"/>
    <w:rsid w:val="007D0313"/>
    <w:rsid w:val="007D1FD1"/>
    <w:rsid w:val="007D4330"/>
    <w:rsid w:val="007D4367"/>
    <w:rsid w:val="007D44AB"/>
    <w:rsid w:val="007D5F1B"/>
    <w:rsid w:val="007D670F"/>
    <w:rsid w:val="007D716A"/>
    <w:rsid w:val="007E1017"/>
    <w:rsid w:val="007E2BC4"/>
    <w:rsid w:val="007E31EB"/>
    <w:rsid w:val="007E3A94"/>
    <w:rsid w:val="007E3C3D"/>
    <w:rsid w:val="007E5B69"/>
    <w:rsid w:val="007E6A7D"/>
    <w:rsid w:val="007F23E7"/>
    <w:rsid w:val="007F268F"/>
    <w:rsid w:val="007F4B11"/>
    <w:rsid w:val="007F6D64"/>
    <w:rsid w:val="007F7137"/>
    <w:rsid w:val="0080262D"/>
    <w:rsid w:val="00802A80"/>
    <w:rsid w:val="0080380C"/>
    <w:rsid w:val="00803C8B"/>
    <w:rsid w:val="00804449"/>
    <w:rsid w:val="008065A8"/>
    <w:rsid w:val="00806D4F"/>
    <w:rsid w:val="00807C5A"/>
    <w:rsid w:val="00807E7C"/>
    <w:rsid w:val="0081149C"/>
    <w:rsid w:val="0081286D"/>
    <w:rsid w:val="00813802"/>
    <w:rsid w:val="008168B6"/>
    <w:rsid w:val="00817218"/>
    <w:rsid w:val="00820BFC"/>
    <w:rsid w:val="00821D4F"/>
    <w:rsid w:val="00822078"/>
    <w:rsid w:val="00822860"/>
    <w:rsid w:val="00823957"/>
    <w:rsid w:val="0082626C"/>
    <w:rsid w:val="008268F1"/>
    <w:rsid w:val="00832B4A"/>
    <w:rsid w:val="008335F6"/>
    <w:rsid w:val="00833CB7"/>
    <w:rsid w:val="00834979"/>
    <w:rsid w:val="00836317"/>
    <w:rsid w:val="00837F99"/>
    <w:rsid w:val="00837F9B"/>
    <w:rsid w:val="0084159F"/>
    <w:rsid w:val="008419DE"/>
    <w:rsid w:val="00841BCF"/>
    <w:rsid w:val="00842746"/>
    <w:rsid w:val="00842D3D"/>
    <w:rsid w:val="008463EB"/>
    <w:rsid w:val="00846DD6"/>
    <w:rsid w:val="0085025E"/>
    <w:rsid w:val="00851883"/>
    <w:rsid w:val="008518B7"/>
    <w:rsid w:val="008528BF"/>
    <w:rsid w:val="00853925"/>
    <w:rsid w:val="00854781"/>
    <w:rsid w:val="00854C0C"/>
    <w:rsid w:val="00854C7A"/>
    <w:rsid w:val="00855250"/>
    <w:rsid w:val="00857727"/>
    <w:rsid w:val="00860C38"/>
    <w:rsid w:val="00860F17"/>
    <w:rsid w:val="0086182F"/>
    <w:rsid w:val="00865E08"/>
    <w:rsid w:val="00866320"/>
    <w:rsid w:val="008673D0"/>
    <w:rsid w:val="0087183B"/>
    <w:rsid w:val="0087247F"/>
    <w:rsid w:val="008743F1"/>
    <w:rsid w:val="00880F72"/>
    <w:rsid w:val="0088156A"/>
    <w:rsid w:val="00881831"/>
    <w:rsid w:val="00882924"/>
    <w:rsid w:val="00884273"/>
    <w:rsid w:val="00884525"/>
    <w:rsid w:val="008854F8"/>
    <w:rsid w:val="00885FF3"/>
    <w:rsid w:val="00886096"/>
    <w:rsid w:val="008866A2"/>
    <w:rsid w:val="008904AC"/>
    <w:rsid w:val="008961C1"/>
    <w:rsid w:val="008976CE"/>
    <w:rsid w:val="00897E09"/>
    <w:rsid w:val="008A06E0"/>
    <w:rsid w:val="008A070C"/>
    <w:rsid w:val="008A08FC"/>
    <w:rsid w:val="008A1FCF"/>
    <w:rsid w:val="008A34A9"/>
    <w:rsid w:val="008A36B5"/>
    <w:rsid w:val="008A622D"/>
    <w:rsid w:val="008A6487"/>
    <w:rsid w:val="008A6CA9"/>
    <w:rsid w:val="008A795D"/>
    <w:rsid w:val="008B0E66"/>
    <w:rsid w:val="008B16CA"/>
    <w:rsid w:val="008B2515"/>
    <w:rsid w:val="008B5C22"/>
    <w:rsid w:val="008B5CF7"/>
    <w:rsid w:val="008B6E69"/>
    <w:rsid w:val="008C2B5E"/>
    <w:rsid w:val="008C31C3"/>
    <w:rsid w:val="008C40E6"/>
    <w:rsid w:val="008C6430"/>
    <w:rsid w:val="008D0CCD"/>
    <w:rsid w:val="008D36D0"/>
    <w:rsid w:val="008D4729"/>
    <w:rsid w:val="008D4CA7"/>
    <w:rsid w:val="008D63A2"/>
    <w:rsid w:val="008D6BA3"/>
    <w:rsid w:val="008E07BD"/>
    <w:rsid w:val="008E3BE5"/>
    <w:rsid w:val="008E5462"/>
    <w:rsid w:val="008E5EBA"/>
    <w:rsid w:val="008E6427"/>
    <w:rsid w:val="008F08C9"/>
    <w:rsid w:val="008F1A12"/>
    <w:rsid w:val="008F58AB"/>
    <w:rsid w:val="008F5DB8"/>
    <w:rsid w:val="008F627B"/>
    <w:rsid w:val="009009ED"/>
    <w:rsid w:val="00900D5B"/>
    <w:rsid w:val="009013F2"/>
    <w:rsid w:val="0090187B"/>
    <w:rsid w:val="00901F58"/>
    <w:rsid w:val="00904060"/>
    <w:rsid w:val="0090557B"/>
    <w:rsid w:val="00906556"/>
    <w:rsid w:val="00912F6D"/>
    <w:rsid w:val="0091339E"/>
    <w:rsid w:val="00915AD8"/>
    <w:rsid w:val="00916314"/>
    <w:rsid w:val="0091664F"/>
    <w:rsid w:val="00920210"/>
    <w:rsid w:val="00920E18"/>
    <w:rsid w:val="009217E3"/>
    <w:rsid w:val="0092277C"/>
    <w:rsid w:val="009238F5"/>
    <w:rsid w:val="00923A3D"/>
    <w:rsid w:val="009254ED"/>
    <w:rsid w:val="00925695"/>
    <w:rsid w:val="00926FDA"/>
    <w:rsid w:val="00927C7B"/>
    <w:rsid w:val="00927D43"/>
    <w:rsid w:val="00927E24"/>
    <w:rsid w:val="009302E0"/>
    <w:rsid w:val="009320DC"/>
    <w:rsid w:val="00933546"/>
    <w:rsid w:val="0093367E"/>
    <w:rsid w:val="00933E9A"/>
    <w:rsid w:val="00935460"/>
    <w:rsid w:val="00936B60"/>
    <w:rsid w:val="00936FE4"/>
    <w:rsid w:val="00937089"/>
    <w:rsid w:val="0093716D"/>
    <w:rsid w:val="009376CD"/>
    <w:rsid w:val="00937A04"/>
    <w:rsid w:val="00937D8B"/>
    <w:rsid w:val="00942A59"/>
    <w:rsid w:val="009457EF"/>
    <w:rsid w:val="009472D2"/>
    <w:rsid w:val="00950485"/>
    <w:rsid w:val="009509B4"/>
    <w:rsid w:val="00951103"/>
    <w:rsid w:val="00952701"/>
    <w:rsid w:val="00952F3C"/>
    <w:rsid w:val="00955FCE"/>
    <w:rsid w:val="00956728"/>
    <w:rsid w:val="00956EED"/>
    <w:rsid w:val="0096039C"/>
    <w:rsid w:val="00960511"/>
    <w:rsid w:val="0096670D"/>
    <w:rsid w:val="00967384"/>
    <w:rsid w:val="0096772C"/>
    <w:rsid w:val="00967C19"/>
    <w:rsid w:val="00970235"/>
    <w:rsid w:val="0097049A"/>
    <w:rsid w:val="0097064A"/>
    <w:rsid w:val="00970860"/>
    <w:rsid w:val="00972422"/>
    <w:rsid w:val="00972651"/>
    <w:rsid w:val="00973A2D"/>
    <w:rsid w:val="00974AEA"/>
    <w:rsid w:val="00975662"/>
    <w:rsid w:val="009760A6"/>
    <w:rsid w:val="0098105F"/>
    <w:rsid w:val="00981A1A"/>
    <w:rsid w:val="00981CAB"/>
    <w:rsid w:val="00983639"/>
    <w:rsid w:val="00987810"/>
    <w:rsid w:val="00991682"/>
    <w:rsid w:val="00991DF9"/>
    <w:rsid w:val="009925A9"/>
    <w:rsid w:val="009928CA"/>
    <w:rsid w:val="009936F7"/>
    <w:rsid w:val="00993D21"/>
    <w:rsid w:val="0099494D"/>
    <w:rsid w:val="009954ED"/>
    <w:rsid w:val="00995DE9"/>
    <w:rsid w:val="009969BD"/>
    <w:rsid w:val="009979C0"/>
    <w:rsid w:val="00997F40"/>
    <w:rsid w:val="009A0C91"/>
    <w:rsid w:val="009A152E"/>
    <w:rsid w:val="009A15CD"/>
    <w:rsid w:val="009A2126"/>
    <w:rsid w:val="009A2E26"/>
    <w:rsid w:val="009A3C97"/>
    <w:rsid w:val="009A4271"/>
    <w:rsid w:val="009A5730"/>
    <w:rsid w:val="009A5F5F"/>
    <w:rsid w:val="009A62B9"/>
    <w:rsid w:val="009B03C5"/>
    <w:rsid w:val="009B1E94"/>
    <w:rsid w:val="009B4576"/>
    <w:rsid w:val="009B47E4"/>
    <w:rsid w:val="009B5F78"/>
    <w:rsid w:val="009B64F1"/>
    <w:rsid w:val="009B66D3"/>
    <w:rsid w:val="009B68FA"/>
    <w:rsid w:val="009B6960"/>
    <w:rsid w:val="009C0A86"/>
    <w:rsid w:val="009C0D82"/>
    <w:rsid w:val="009C0F5A"/>
    <w:rsid w:val="009C1234"/>
    <w:rsid w:val="009C1A97"/>
    <w:rsid w:val="009C25C6"/>
    <w:rsid w:val="009C399B"/>
    <w:rsid w:val="009C4471"/>
    <w:rsid w:val="009C50B9"/>
    <w:rsid w:val="009C54B6"/>
    <w:rsid w:val="009D1035"/>
    <w:rsid w:val="009D12B3"/>
    <w:rsid w:val="009D1406"/>
    <w:rsid w:val="009D29A5"/>
    <w:rsid w:val="009D3011"/>
    <w:rsid w:val="009D4771"/>
    <w:rsid w:val="009D51DB"/>
    <w:rsid w:val="009D6AAB"/>
    <w:rsid w:val="009D6EB8"/>
    <w:rsid w:val="009E0BDB"/>
    <w:rsid w:val="009E1F26"/>
    <w:rsid w:val="009E3BAC"/>
    <w:rsid w:val="009E3CD4"/>
    <w:rsid w:val="009E4750"/>
    <w:rsid w:val="009E5B10"/>
    <w:rsid w:val="009E5FD5"/>
    <w:rsid w:val="009E688A"/>
    <w:rsid w:val="009E7EA0"/>
    <w:rsid w:val="009F0F6F"/>
    <w:rsid w:val="009F1C24"/>
    <w:rsid w:val="009F21F4"/>
    <w:rsid w:val="009F2392"/>
    <w:rsid w:val="009F2468"/>
    <w:rsid w:val="009F309D"/>
    <w:rsid w:val="009F5929"/>
    <w:rsid w:val="009F5AE6"/>
    <w:rsid w:val="009F6004"/>
    <w:rsid w:val="00A0065E"/>
    <w:rsid w:val="00A02C51"/>
    <w:rsid w:val="00A0302B"/>
    <w:rsid w:val="00A046B0"/>
    <w:rsid w:val="00A04EEE"/>
    <w:rsid w:val="00A07280"/>
    <w:rsid w:val="00A07708"/>
    <w:rsid w:val="00A1336E"/>
    <w:rsid w:val="00A135CD"/>
    <w:rsid w:val="00A13ABC"/>
    <w:rsid w:val="00A157E3"/>
    <w:rsid w:val="00A15972"/>
    <w:rsid w:val="00A159BD"/>
    <w:rsid w:val="00A1606E"/>
    <w:rsid w:val="00A207BA"/>
    <w:rsid w:val="00A21D41"/>
    <w:rsid w:val="00A22BAB"/>
    <w:rsid w:val="00A247A1"/>
    <w:rsid w:val="00A25286"/>
    <w:rsid w:val="00A25CCA"/>
    <w:rsid w:val="00A25F4E"/>
    <w:rsid w:val="00A312F3"/>
    <w:rsid w:val="00A320FC"/>
    <w:rsid w:val="00A33791"/>
    <w:rsid w:val="00A3690A"/>
    <w:rsid w:val="00A406A2"/>
    <w:rsid w:val="00A419CC"/>
    <w:rsid w:val="00A422CC"/>
    <w:rsid w:val="00A43367"/>
    <w:rsid w:val="00A446C2"/>
    <w:rsid w:val="00A4478D"/>
    <w:rsid w:val="00A47B1B"/>
    <w:rsid w:val="00A50826"/>
    <w:rsid w:val="00A53B58"/>
    <w:rsid w:val="00A547B2"/>
    <w:rsid w:val="00A55DA9"/>
    <w:rsid w:val="00A55FF2"/>
    <w:rsid w:val="00A566A9"/>
    <w:rsid w:val="00A57C1A"/>
    <w:rsid w:val="00A60D4A"/>
    <w:rsid w:val="00A61755"/>
    <w:rsid w:val="00A62CED"/>
    <w:rsid w:val="00A63080"/>
    <w:rsid w:val="00A6622D"/>
    <w:rsid w:val="00A67CD1"/>
    <w:rsid w:val="00A71303"/>
    <w:rsid w:val="00A7220C"/>
    <w:rsid w:val="00A7229C"/>
    <w:rsid w:val="00A73ECA"/>
    <w:rsid w:val="00A76ED8"/>
    <w:rsid w:val="00A77DD6"/>
    <w:rsid w:val="00A82C8D"/>
    <w:rsid w:val="00A82D8A"/>
    <w:rsid w:val="00A8428F"/>
    <w:rsid w:val="00A84E22"/>
    <w:rsid w:val="00A86049"/>
    <w:rsid w:val="00A86AF2"/>
    <w:rsid w:val="00A87A02"/>
    <w:rsid w:val="00A9026C"/>
    <w:rsid w:val="00A9155A"/>
    <w:rsid w:val="00A93490"/>
    <w:rsid w:val="00A93E81"/>
    <w:rsid w:val="00A94CA5"/>
    <w:rsid w:val="00A97771"/>
    <w:rsid w:val="00AA068A"/>
    <w:rsid w:val="00AA2444"/>
    <w:rsid w:val="00AA25FD"/>
    <w:rsid w:val="00AA37C6"/>
    <w:rsid w:val="00AA39EC"/>
    <w:rsid w:val="00AA3F1F"/>
    <w:rsid w:val="00AA4890"/>
    <w:rsid w:val="00AA4CD3"/>
    <w:rsid w:val="00AA4ECC"/>
    <w:rsid w:val="00AA4FA0"/>
    <w:rsid w:val="00AA5625"/>
    <w:rsid w:val="00AA73A5"/>
    <w:rsid w:val="00AB08BA"/>
    <w:rsid w:val="00AB0D18"/>
    <w:rsid w:val="00AB0E57"/>
    <w:rsid w:val="00AB2207"/>
    <w:rsid w:val="00AB2378"/>
    <w:rsid w:val="00AB595B"/>
    <w:rsid w:val="00AB7015"/>
    <w:rsid w:val="00AB72C3"/>
    <w:rsid w:val="00AC0F07"/>
    <w:rsid w:val="00AC21C2"/>
    <w:rsid w:val="00AC290E"/>
    <w:rsid w:val="00AC3E52"/>
    <w:rsid w:val="00AC4D37"/>
    <w:rsid w:val="00AC50B1"/>
    <w:rsid w:val="00AC5685"/>
    <w:rsid w:val="00AC7E1F"/>
    <w:rsid w:val="00AD0A3C"/>
    <w:rsid w:val="00AD1C2A"/>
    <w:rsid w:val="00AD2BBA"/>
    <w:rsid w:val="00AD3145"/>
    <w:rsid w:val="00AD35AC"/>
    <w:rsid w:val="00AE131F"/>
    <w:rsid w:val="00AE2CE5"/>
    <w:rsid w:val="00AE404C"/>
    <w:rsid w:val="00AE40F5"/>
    <w:rsid w:val="00AE6EED"/>
    <w:rsid w:val="00AE73E2"/>
    <w:rsid w:val="00AE7BEE"/>
    <w:rsid w:val="00AF07D5"/>
    <w:rsid w:val="00AF0C78"/>
    <w:rsid w:val="00AF1094"/>
    <w:rsid w:val="00AF1135"/>
    <w:rsid w:val="00AF2CB8"/>
    <w:rsid w:val="00AF32B3"/>
    <w:rsid w:val="00AF33F8"/>
    <w:rsid w:val="00AF399A"/>
    <w:rsid w:val="00AF478A"/>
    <w:rsid w:val="00AF51C8"/>
    <w:rsid w:val="00AF547A"/>
    <w:rsid w:val="00B00AA3"/>
    <w:rsid w:val="00B01003"/>
    <w:rsid w:val="00B01446"/>
    <w:rsid w:val="00B01B5E"/>
    <w:rsid w:val="00B05871"/>
    <w:rsid w:val="00B0656D"/>
    <w:rsid w:val="00B10789"/>
    <w:rsid w:val="00B107FD"/>
    <w:rsid w:val="00B1094A"/>
    <w:rsid w:val="00B13A4D"/>
    <w:rsid w:val="00B15348"/>
    <w:rsid w:val="00B15458"/>
    <w:rsid w:val="00B15D84"/>
    <w:rsid w:val="00B16101"/>
    <w:rsid w:val="00B21CCC"/>
    <w:rsid w:val="00B22682"/>
    <w:rsid w:val="00B2284D"/>
    <w:rsid w:val="00B2300A"/>
    <w:rsid w:val="00B23263"/>
    <w:rsid w:val="00B24D38"/>
    <w:rsid w:val="00B254CE"/>
    <w:rsid w:val="00B25AD0"/>
    <w:rsid w:val="00B25BD1"/>
    <w:rsid w:val="00B2616F"/>
    <w:rsid w:val="00B3232F"/>
    <w:rsid w:val="00B33662"/>
    <w:rsid w:val="00B336D4"/>
    <w:rsid w:val="00B34841"/>
    <w:rsid w:val="00B35B11"/>
    <w:rsid w:val="00B35D0D"/>
    <w:rsid w:val="00B36FAF"/>
    <w:rsid w:val="00B4175A"/>
    <w:rsid w:val="00B42705"/>
    <w:rsid w:val="00B427C0"/>
    <w:rsid w:val="00B42B1B"/>
    <w:rsid w:val="00B430F1"/>
    <w:rsid w:val="00B43ADD"/>
    <w:rsid w:val="00B43FED"/>
    <w:rsid w:val="00B44491"/>
    <w:rsid w:val="00B45DE7"/>
    <w:rsid w:val="00B46773"/>
    <w:rsid w:val="00B46CE8"/>
    <w:rsid w:val="00B503EC"/>
    <w:rsid w:val="00B5041D"/>
    <w:rsid w:val="00B52546"/>
    <w:rsid w:val="00B52D27"/>
    <w:rsid w:val="00B5301F"/>
    <w:rsid w:val="00B53744"/>
    <w:rsid w:val="00B54528"/>
    <w:rsid w:val="00B566E2"/>
    <w:rsid w:val="00B576E4"/>
    <w:rsid w:val="00B5790D"/>
    <w:rsid w:val="00B57E84"/>
    <w:rsid w:val="00B61E16"/>
    <w:rsid w:val="00B63294"/>
    <w:rsid w:val="00B6383A"/>
    <w:rsid w:val="00B63D7C"/>
    <w:rsid w:val="00B64166"/>
    <w:rsid w:val="00B650E7"/>
    <w:rsid w:val="00B654A3"/>
    <w:rsid w:val="00B65675"/>
    <w:rsid w:val="00B65938"/>
    <w:rsid w:val="00B664DA"/>
    <w:rsid w:val="00B668C8"/>
    <w:rsid w:val="00B66A5C"/>
    <w:rsid w:val="00B67A3A"/>
    <w:rsid w:val="00B67E99"/>
    <w:rsid w:val="00B7141B"/>
    <w:rsid w:val="00B71CDD"/>
    <w:rsid w:val="00B72AEE"/>
    <w:rsid w:val="00B732CF"/>
    <w:rsid w:val="00B73375"/>
    <w:rsid w:val="00B762C6"/>
    <w:rsid w:val="00B7665C"/>
    <w:rsid w:val="00B8066A"/>
    <w:rsid w:val="00B83E10"/>
    <w:rsid w:val="00B85B32"/>
    <w:rsid w:val="00B86F7F"/>
    <w:rsid w:val="00B910AE"/>
    <w:rsid w:val="00B91BC9"/>
    <w:rsid w:val="00B91F19"/>
    <w:rsid w:val="00B95680"/>
    <w:rsid w:val="00B95BFD"/>
    <w:rsid w:val="00B97C47"/>
    <w:rsid w:val="00BA04BD"/>
    <w:rsid w:val="00BA1121"/>
    <w:rsid w:val="00BA2AD7"/>
    <w:rsid w:val="00BA2BFB"/>
    <w:rsid w:val="00BA38DC"/>
    <w:rsid w:val="00BA4D9B"/>
    <w:rsid w:val="00BA5778"/>
    <w:rsid w:val="00BA58DD"/>
    <w:rsid w:val="00BA5C29"/>
    <w:rsid w:val="00BA66D2"/>
    <w:rsid w:val="00BA7790"/>
    <w:rsid w:val="00BA791D"/>
    <w:rsid w:val="00BB12D9"/>
    <w:rsid w:val="00BB2BAA"/>
    <w:rsid w:val="00BB5B2E"/>
    <w:rsid w:val="00BB653E"/>
    <w:rsid w:val="00BB6CD3"/>
    <w:rsid w:val="00BB70A4"/>
    <w:rsid w:val="00BB766F"/>
    <w:rsid w:val="00BB769A"/>
    <w:rsid w:val="00BB7F49"/>
    <w:rsid w:val="00BC038A"/>
    <w:rsid w:val="00BC0811"/>
    <w:rsid w:val="00BC222A"/>
    <w:rsid w:val="00BC38B5"/>
    <w:rsid w:val="00BC4E80"/>
    <w:rsid w:val="00BC5145"/>
    <w:rsid w:val="00BC6B03"/>
    <w:rsid w:val="00BD103E"/>
    <w:rsid w:val="00BD25C3"/>
    <w:rsid w:val="00BD260C"/>
    <w:rsid w:val="00BD56E7"/>
    <w:rsid w:val="00BD5D45"/>
    <w:rsid w:val="00BD6111"/>
    <w:rsid w:val="00BD6660"/>
    <w:rsid w:val="00BD6E8A"/>
    <w:rsid w:val="00BD7E64"/>
    <w:rsid w:val="00BE0A11"/>
    <w:rsid w:val="00BE12E6"/>
    <w:rsid w:val="00BE1A47"/>
    <w:rsid w:val="00BE4C3E"/>
    <w:rsid w:val="00BE534D"/>
    <w:rsid w:val="00BE5437"/>
    <w:rsid w:val="00BE6B4B"/>
    <w:rsid w:val="00BF1356"/>
    <w:rsid w:val="00BF1615"/>
    <w:rsid w:val="00BF4EF7"/>
    <w:rsid w:val="00BF5CB7"/>
    <w:rsid w:val="00BF7E70"/>
    <w:rsid w:val="00C013E5"/>
    <w:rsid w:val="00C03265"/>
    <w:rsid w:val="00C03B42"/>
    <w:rsid w:val="00C03C18"/>
    <w:rsid w:val="00C06396"/>
    <w:rsid w:val="00C063AC"/>
    <w:rsid w:val="00C0661B"/>
    <w:rsid w:val="00C06F28"/>
    <w:rsid w:val="00C079FA"/>
    <w:rsid w:val="00C10468"/>
    <w:rsid w:val="00C1162C"/>
    <w:rsid w:val="00C122A2"/>
    <w:rsid w:val="00C12D08"/>
    <w:rsid w:val="00C13FCF"/>
    <w:rsid w:val="00C154A4"/>
    <w:rsid w:val="00C15A41"/>
    <w:rsid w:val="00C167EA"/>
    <w:rsid w:val="00C16A67"/>
    <w:rsid w:val="00C16CF7"/>
    <w:rsid w:val="00C16FBB"/>
    <w:rsid w:val="00C1755C"/>
    <w:rsid w:val="00C2056D"/>
    <w:rsid w:val="00C21F7A"/>
    <w:rsid w:val="00C224CE"/>
    <w:rsid w:val="00C23239"/>
    <w:rsid w:val="00C23955"/>
    <w:rsid w:val="00C24084"/>
    <w:rsid w:val="00C241D9"/>
    <w:rsid w:val="00C24BEB"/>
    <w:rsid w:val="00C27525"/>
    <w:rsid w:val="00C343D9"/>
    <w:rsid w:val="00C3544B"/>
    <w:rsid w:val="00C357CF"/>
    <w:rsid w:val="00C37ADB"/>
    <w:rsid w:val="00C37F68"/>
    <w:rsid w:val="00C40988"/>
    <w:rsid w:val="00C40E8E"/>
    <w:rsid w:val="00C41B68"/>
    <w:rsid w:val="00C43A0B"/>
    <w:rsid w:val="00C45905"/>
    <w:rsid w:val="00C461E6"/>
    <w:rsid w:val="00C467AD"/>
    <w:rsid w:val="00C513B4"/>
    <w:rsid w:val="00C5177A"/>
    <w:rsid w:val="00C52D82"/>
    <w:rsid w:val="00C56785"/>
    <w:rsid w:val="00C56958"/>
    <w:rsid w:val="00C573B4"/>
    <w:rsid w:val="00C57A3A"/>
    <w:rsid w:val="00C57C44"/>
    <w:rsid w:val="00C57F33"/>
    <w:rsid w:val="00C602AA"/>
    <w:rsid w:val="00C61197"/>
    <w:rsid w:val="00C61245"/>
    <w:rsid w:val="00C64B80"/>
    <w:rsid w:val="00C66173"/>
    <w:rsid w:val="00C70578"/>
    <w:rsid w:val="00C7195D"/>
    <w:rsid w:val="00C723B3"/>
    <w:rsid w:val="00C72511"/>
    <w:rsid w:val="00C75BF2"/>
    <w:rsid w:val="00C768FB"/>
    <w:rsid w:val="00C7708E"/>
    <w:rsid w:val="00C77932"/>
    <w:rsid w:val="00C77CC0"/>
    <w:rsid w:val="00C8047A"/>
    <w:rsid w:val="00C81443"/>
    <w:rsid w:val="00C81E8C"/>
    <w:rsid w:val="00C84DA6"/>
    <w:rsid w:val="00C8503F"/>
    <w:rsid w:val="00C854E2"/>
    <w:rsid w:val="00C86204"/>
    <w:rsid w:val="00C90E88"/>
    <w:rsid w:val="00C9210B"/>
    <w:rsid w:val="00C933A5"/>
    <w:rsid w:val="00C942A1"/>
    <w:rsid w:val="00C943FC"/>
    <w:rsid w:val="00C94C9F"/>
    <w:rsid w:val="00C9670F"/>
    <w:rsid w:val="00C97326"/>
    <w:rsid w:val="00CA32C7"/>
    <w:rsid w:val="00CA3CF1"/>
    <w:rsid w:val="00CA426E"/>
    <w:rsid w:val="00CB1EC4"/>
    <w:rsid w:val="00CB216E"/>
    <w:rsid w:val="00CB34D3"/>
    <w:rsid w:val="00CB5AC3"/>
    <w:rsid w:val="00CB5C19"/>
    <w:rsid w:val="00CB5D16"/>
    <w:rsid w:val="00CC1295"/>
    <w:rsid w:val="00CC1BCF"/>
    <w:rsid w:val="00CC1F37"/>
    <w:rsid w:val="00CC22A1"/>
    <w:rsid w:val="00CC4092"/>
    <w:rsid w:val="00CC6FB3"/>
    <w:rsid w:val="00CC746F"/>
    <w:rsid w:val="00CD1075"/>
    <w:rsid w:val="00CD1F79"/>
    <w:rsid w:val="00CD23FF"/>
    <w:rsid w:val="00CD2588"/>
    <w:rsid w:val="00CD2CD3"/>
    <w:rsid w:val="00CD4930"/>
    <w:rsid w:val="00CD5653"/>
    <w:rsid w:val="00CD62A6"/>
    <w:rsid w:val="00CD7F22"/>
    <w:rsid w:val="00CE09ED"/>
    <w:rsid w:val="00CE17EB"/>
    <w:rsid w:val="00CE27EF"/>
    <w:rsid w:val="00CE5774"/>
    <w:rsid w:val="00CE6708"/>
    <w:rsid w:val="00CE6D4F"/>
    <w:rsid w:val="00CE7A5D"/>
    <w:rsid w:val="00CF11DF"/>
    <w:rsid w:val="00CF1B23"/>
    <w:rsid w:val="00CF3D5C"/>
    <w:rsid w:val="00CF55C0"/>
    <w:rsid w:val="00CF5788"/>
    <w:rsid w:val="00CF7C79"/>
    <w:rsid w:val="00D00136"/>
    <w:rsid w:val="00D00213"/>
    <w:rsid w:val="00D01563"/>
    <w:rsid w:val="00D01924"/>
    <w:rsid w:val="00D035A4"/>
    <w:rsid w:val="00D0365F"/>
    <w:rsid w:val="00D04893"/>
    <w:rsid w:val="00D04B9C"/>
    <w:rsid w:val="00D04BBB"/>
    <w:rsid w:val="00D06AF3"/>
    <w:rsid w:val="00D07231"/>
    <w:rsid w:val="00D07FD2"/>
    <w:rsid w:val="00D10542"/>
    <w:rsid w:val="00D11745"/>
    <w:rsid w:val="00D1202F"/>
    <w:rsid w:val="00D121C1"/>
    <w:rsid w:val="00D12B69"/>
    <w:rsid w:val="00D14111"/>
    <w:rsid w:val="00D15381"/>
    <w:rsid w:val="00D16B36"/>
    <w:rsid w:val="00D1721C"/>
    <w:rsid w:val="00D20FE3"/>
    <w:rsid w:val="00D21DAA"/>
    <w:rsid w:val="00D220D6"/>
    <w:rsid w:val="00D23E5D"/>
    <w:rsid w:val="00D24303"/>
    <w:rsid w:val="00D3100C"/>
    <w:rsid w:val="00D31DFA"/>
    <w:rsid w:val="00D3266D"/>
    <w:rsid w:val="00D3503B"/>
    <w:rsid w:val="00D36BF8"/>
    <w:rsid w:val="00D37747"/>
    <w:rsid w:val="00D40362"/>
    <w:rsid w:val="00D40416"/>
    <w:rsid w:val="00D406F2"/>
    <w:rsid w:val="00D409F8"/>
    <w:rsid w:val="00D4156A"/>
    <w:rsid w:val="00D41DB6"/>
    <w:rsid w:val="00D42E54"/>
    <w:rsid w:val="00D44B51"/>
    <w:rsid w:val="00D45821"/>
    <w:rsid w:val="00D47449"/>
    <w:rsid w:val="00D47958"/>
    <w:rsid w:val="00D47B5A"/>
    <w:rsid w:val="00D47F3C"/>
    <w:rsid w:val="00D5356D"/>
    <w:rsid w:val="00D5359A"/>
    <w:rsid w:val="00D55187"/>
    <w:rsid w:val="00D56B28"/>
    <w:rsid w:val="00D571E6"/>
    <w:rsid w:val="00D573D0"/>
    <w:rsid w:val="00D57494"/>
    <w:rsid w:val="00D61AC1"/>
    <w:rsid w:val="00D61BB3"/>
    <w:rsid w:val="00D633AE"/>
    <w:rsid w:val="00D63E54"/>
    <w:rsid w:val="00D64269"/>
    <w:rsid w:val="00D646D5"/>
    <w:rsid w:val="00D66673"/>
    <w:rsid w:val="00D676AD"/>
    <w:rsid w:val="00D705C1"/>
    <w:rsid w:val="00D71713"/>
    <w:rsid w:val="00D72A1E"/>
    <w:rsid w:val="00D73BDE"/>
    <w:rsid w:val="00D73C64"/>
    <w:rsid w:val="00D7714F"/>
    <w:rsid w:val="00D77470"/>
    <w:rsid w:val="00D808C0"/>
    <w:rsid w:val="00D81873"/>
    <w:rsid w:val="00D825C4"/>
    <w:rsid w:val="00D84A8B"/>
    <w:rsid w:val="00D85381"/>
    <w:rsid w:val="00D865EC"/>
    <w:rsid w:val="00D86BF6"/>
    <w:rsid w:val="00D9009D"/>
    <w:rsid w:val="00D903FA"/>
    <w:rsid w:val="00D9131E"/>
    <w:rsid w:val="00D92CF8"/>
    <w:rsid w:val="00D93F18"/>
    <w:rsid w:val="00D943DD"/>
    <w:rsid w:val="00D964B0"/>
    <w:rsid w:val="00D96F7E"/>
    <w:rsid w:val="00D97BC8"/>
    <w:rsid w:val="00DA0B00"/>
    <w:rsid w:val="00DA0EA5"/>
    <w:rsid w:val="00DA34FB"/>
    <w:rsid w:val="00DA3A31"/>
    <w:rsid w:val="00DA561D"/>
    <w:rsid w:val="00DA58F1"/>
    <w:rsid w:val="00DB034C"/>
    <w:rsid w:val="00DB03A4"/>
    <w:rsid w:val="00DB0D33"/>
    <w:rsid w:val="00DB3261"/>
    <w:rsid w:val="00DB47D3"/>
    <w:rsid w:val="00DB58E0"/>
    <w:rsid w:val="00DB6F71"/>
    <w:rsid w:val="00DB7E64"/>
    <w:rsid w:val="00DC0191"/>
    <w:rsid w:val="00DC0ECC"/>
    <w:rsid w:val="00DC7504"/>
    <w:rsid w:val="00DD2768"/>
    <w:rsid w:val="00DD3DDA"/>
    <w:rsid w:val="00DD6F8E"/>
    <w:rsid w:val="00DE1A5C"/>
    <w:rsid w:val="00DE2107"/>
    <w:rsid w:val="00DE2529"/>
    <w:rsid w:val="00DE28EA"/>
    <w:rsid w:val="00DE3E20"/>
    <w:rsid w:val="00DE4D7F"/>
    <w:rsid w:val="00DE65D2"/>
    <w:rsid w:val="00DE6734"/>
    <w:rsid w:val="00DE7627"/>
    <w:rsid w:val="00DF10AE"/>
    <w:rsid w:val="00DF13B6"/>
    <w:rsid w:val="00DF1831"/>
    <w:rsid w:val="00DF2E71"/>
    <w:rsid w:val="00DF3147"/>
    <w:rsid w:val="00DF465F"/>
    <w:rsid w:val="00DF5DA3"/>
    <w:rsid w:val="00E00C60"/>
    <w:rsid w:val="00E00D7C"/>
    <w:rsid w:val="00E0243C"/>
    <w:rsid w:val="00E03CEE"/>
    <w:rsid w:val="00E04D3B"/>
    <w:rsid w:val="00E05661"/>
    <w:rsid w:val="00E05CCA"/>
    <w:rsid w:val="00E07E8C"/>
    <w:rsid w:val="00E103CA"/>
    <w:rsid w:val="00E106CB"/>
    <w:rsid w:val="00E11630"/>
    <w:rsid w:val="00E11683"/>
    <w:rsid w:val="00E118C4"/>
    <w:rsid w:val="00E11DD1"/>
    <w:rsid w:val="00E122D0"/>
    <w:rsid w:val="00E137C3"/>
    <w:rsid w:val="00E20051"/>
    <w:rsid w:val="00E20602"/>
    <w:rsid w:val="00E2232B"/>
    <w:rsid w:val="00E22B51"/>
    <w:rsid w:val="00E23253"/>
    <w:rsid w:val="00E24720"/>
    <w:rsid w:val="00E26DB3"/>
    <w:rsid w:val="00E31807"/>
    <w:rsid w:val="00E32486"/>
    <w:rsid w:val="00E32E1C"/>
    <w:rsid w:val="00E34CD1"/>
    <w:rsid w:val="00E35903"/>
    <w:rsid w:val="00E405EE"/>
    <w:rsid w:val="00E41003"/>
    <w:rsid w:val="00E43B33"/>
    <w:rsid w:val="00E43D61"/>
    <w:rsid w:val="00E45228"/>
    <w:rsid w:val="00E46AD0"/>
    <w:rsid w:val="00E47E1D"/>
    <w:rsid w:val="00E5009B"/>
    <w:rsid w:val="00E50445"/>
    <w:rsid w:val="00E5156B"/>
    <w:rsid w:val="00E52AB6"/>
    <w:rsid w:val="00E54150"/>
    <w:rsid w:val="00E5469A"/>
    <w:rsid w:val="00E56EF1"/>
    <w:rsid w:val="00E573A3"/>
    <w:rsid w:val="00E60104"/>
    <w:rsid w:val="00E60A10"/>
    <w:rsid w:val="00E61E6D"/>
    <w:rsid w:val="00E635CD"/>
    <w:rsid w:val="00E63939"/>
    <w:rsid w:val="00E63F84"/>
    <w:rsid w:val="00E64A99"/>
    <w:rsid w:val="00E64D5E"/>
    <w:rsid w:val="00E65FAE"/>
    <w:rsid w:val="00E66958"/>
    <w:rsid w:val="00E67C79"/>
    <w:rsid w:val="00E72AC4"/>
    <w:rsid w:val="00E72EE2"/>
    <w:rsid w:val="00E741A9"/>
    <w:rsid w:val="00E74ADA"/>
    <w:rsid w:val="00E74E43"/>
    <w:rsid w:val="00E759C1"/>
    <w:rsid w:val="00E75A17"/>
    <w:rsid w:val="00E77C07"/>
    <w:rsid w:val="00E77E0C"/>
    <w:rsid w:val="00E77F25"/>
    <w:rsid w:val="00E80FD9"/>
    <w:rsid w:val="00E81246"/>
    <w:rsid w:val="00E8144F"/>
    <w:rsid w:val="00E81C59"/>
    <w:rsid w:val="00E82B9E"/>
    <w:rsid w:val="00E84BEE"/>
    <w:rsid w:val="00E85C83"/>
    <w:rsid w:val="00E8683A"/>
    <w:rsid w:val="00E87829"/>
    <w:rsid w:val="00E87EFC"/>
    <w:rsid w:val="00E90075"/>
    <w:rsid w:val="00E90B98"/>
    <w:rsid w:val="00E90EC3"/>
    <w:rsid w:val="00E916D5"/>
    <w:rsid w:val="00E91D2D"/>
    <w:rsid w:val="00E92719"/>
    <w:rsid w:val="00E92CE4"/>
    <w:rsid w:val="00E93ABC"/>
    <w:rsid w:val="00E95FC6"/>
    <w:rsid w:val="00EA1E0B"/>
    <w:rsid w:val="00EA273E"/>
    <w:rsid w:val="00EA41A0"/>
    <w:rsid w:val="00EA43C8"/>
    <w:rsid w:val="00EA4854"/>
    <w:rsid w:val="00EA4D34"/>
    <w:rsid w:val="00EA5114"/>
    <w:rsid w:val="00EA5FA3"/>
    <w:rsid w:val="00EA66F3"/>
    <w:rsid w:val="00EA6E1A"/>
    <w:rsid w:val="00EA7090"/>
    <w:rsid w:val="00EA7427"/>
    <w:rsid w:val="00EA769E"/>
    <w:rsid w:val="00EB221F"/>
    <w:rsid w:val="00EB36A1"/>
    <w:rsid w:val="00EB3B0A"/>
    <w:rsid w:val="00EB3D73"/>
    <w:rsid w:val="00EB5D6B"/>
    <w:rsid w:val="00EC12CF"/>
    <w:rsid w:val="00EC16E8"/>
    <w:rsid w:val="00EC5239"/>
    <w:rsid w:val="00EC595B"/>
    <w:rsid w:val="00EC5BB4"/>
    <w:rsid w:val="00EC6AA7"/>
    <w:rsid w:val="00EC735B"/>
    <w:rsid w:val="00EC7FE5"/>
    <w:rsid w:val="00ED1EB5"/>
    <w:rsid w:val="00ED5CD1"/>
    <w:rsid w:val="00ED5E9B"/>
    <w:rsid w:val="00EE1DFD"/>
    <w:rsid w:val="00EE1EF4"/>
    <w:rsid w:val="00EE3270"/>
    <w:rsid w:val="00EE4F21"/>
    <w:rsid w:val="00EE6CE9"/>
    <w:rsid w:val="00EE7128"/>
    <w:rsid w:val="00EE7EC7"/>
    <w:rsid w:val="00EF364D"/>
    <w:rsid w:val="00EF365E"/>
    <w:rsid w:val="00EF4291"/>
    <w:rsid w:val="00EF4F66"/>
    <w:rsid w:val="00EF5434"/>
    <w:rsid w:val="00EF6477"/>
    <w:rsid w:val="00EF6CE3"/>
    <w:rsid w:val="00EF7482"/>
    <w:rsid w:val="00F0026C"/>
    <w:rsid w:val="00F01264"/>
    <w:rsid w:val="00F0149A"/>
    <w:rsid w:val="00F039AC"/>
    <w:rsid w:val="00F03DB3"/>
    <w:rsid w:val="00F07464"/>
    <w:rsid w:val="00F07FEC"/>
    <w:rsid w:val="00F109A4"/>
    <w:rsid w:val="00F16FC9"/>
    <w:rsid w:val="00F201CD"/>
    <w:rsid w:val="00F212A8"/>
    <w:rsid w:val="00F221A0"/>
    <w:rsid w:val="00F23142"/>
    <w:rsid w:val="00F23BE4"/>
    <w:rsid w:val="00F24828"/>
    <w:rsid w:val="00F24BA6"/>
    <w:rsid w:val="00F2521C"/>
    <w:rsid w:val="00F25298"/>
    <w:rsid w:val="00F2581B"/>
    <w:rsid w:val="00F25BA9"/>
    <w:rsid w:val="00F3005F"/>
    <w:rsid w:val="00F327D7"/>
    <w:rsid w:val="00F33527"/>
    <w:rsid w:val="00F35108"/>
    <w:rsid w:val="00F360E8"/>
    <w:rsid w:val="00F361EA"/>
    <w:rsid w:val="00F36B5A"/>
    <w:rsid w:val="00F40B31"/>
    <w:rsid w:val="00F40E38"/>
    <w:rsid w:val="00F43497"/>
    <w:rsid w:val="00F441B6"/>
    <w:rsid w:val="00F4471B"/>
    <w:rsid w:val="00F4565A"/>
    <w:rsid w:val="00F465C8"/>
    <w:rsid w:val="00F4706D"/>
    <w:rsid w:val="00F47232"/>
    <w:rsid w:val="00F47606"/>
    <w:rsid w:val="00F52159"/>
    <w:rsid w:val="00F54EF0"/>
    <w:rsid w:val="00F5611B"/>
    <w:rsid w:val="00F56C2F"/>
    <w:rsid w:val="00F5700D"/>
    <w:rsid w:val="00F60D82"/>
    <w:rsid w:val="00F62AF0"/>
    <w:rsid w:val="00F65609"/>
    <w:rsid w:val="00F6666B"/>
    <w:rsid w:val="00F66849"/>
    <w:rsid w:val="00F67582"/>
    <w:rsid w:val="00F734B1"/>
    <w:rsid w:val="00F73C9C"/>
    <w:rsid w:val="00F74D9D"/>
    <w:rsid w:val="00F75524"/>
    <w:rsid w:val="00F770AD"/>
    <w:rsid w:val="00F77E67"/>
    <w:rsid w:val="00F80469"/>
    <w:rsid w:val="00F806FB"/>
    <w:rsid w:val="00F84335"/>
    <w:rsid w:val="00F902A7"/>
    <w:rsid w:val="00F90D87"/>
    <w:rsid w:val="00F90FAF"/>
    <w:rsid w:val="00F914C4"/>
    <w:rsid w:val="00F92B7B"/>
    <w:rsid w:val="00F92C47"/>
    <w:rsid w:val="00F93A98"/>
    <w:rsid w:val="00F95057"/>
    <w:rsid w:val="00F96420"/>
    <w:rsid w:val="00FA1384"/>
    <w:rsid w:val="00FA265F"/>
    <w:rsid w:val="00FA3849"/>
    <w:rsid w:val="00FB0DFC"/>
    <w:rsid w:val="00FB473E"/>
    <w:rsid w:val="00FB532F"/>
    <w:rsid w:val="00FB7C1F"/>
    <w:rsid w:val="00FC1095"/>
    <w:rsid w:val="00FC1242"/>
    <w:rsid w:val="00FC1CB2"/>
    <w:rsid w:val="00FC3E2B"/>
    <w:rsid w:val="00FC6A49"/>
    <w:rsid w:val="00FC73A0"/>
    <w:rsid w:val="00FC74F0"/>
    <w:rsid w:val="00FC78A0"/>
    <w:rsid w:val="00FC78D1"/>
    <w:rsid w:val="00FD0052"/>
    <w:rsid w:val="00FD22A8"/>
    <w:rsid w:val="00FD5C43"/>
    <w:rsid w:val="00FD7FB0"/>
    <w:rsid w:val="00FE1BE3"/>
    <w:rsid w:val="00FE1C1B"/>
    <w:rsid w:val="00FE225D"/>
    <w:rsid w:val="00FE2719"/>
    <w:rsid w:val="00FE2861"/>
    <w:rsid w:val="00FE317D"/>
    <w:rsid w:val="00FE38C9"/>
    <w:rsid w:val="00FE3CD4"/>
    <w:rsid w:val="00FE4C55"/>
    <w:rsid w:val="00FE51E0"/>
    <w:rsid w:val="00FE5311"/>
    <w:rsid w:val="00FE56C8"/>
    <w:rsid w:val="00FE694E"/>
    <w:rsid w:val="00FE6FE9"/>
    <w:rsid w:val="00FE7970"/>
    <w:rsid w:val="00FF295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E2FDA"/>
  <w14:defaultImageDpi w14:val="330"/>
  <w15:docId w15:val="{8B27B79A-E8CB-4BFF-A50D-920BEA7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6CD"/>
  </w:style>
  <w:style w:type="paragraph" w:styleId="Heading1">
    <w:name w:val="heading 1"/>
    <w:basedOn w:val="Normal"/>
    <w:next w:val="Normal"/>
    <w:link w:val="Heading1Char"/>
    <w:uiPriority w:val="9"/>
    <w:qFormat/>
    <w:rsid w:val="00AA56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A4F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2C5B8B"/>
    <w:pPr>
      <w:widowControl w:val="0"/>
      <w:tabs>
        <w:tab w:val="left" w:pos="720"/>
      </w:tabs>
      <w:spacing w:after="0" w:line="240" w:lineRule="auto"/>
      <w:ind w:left="720" w:hanging="720"/>
      <w:jc w:val="both"/>
    </w:pPr>
    <w:rPr>
      <w:rFonts w:eastAsia="Times New Roman"/>
      <w:snapToGrid w:val="0"/>
      <w:szCs w:val="20"/>
      <w:lang w:val="en-AU"/>
    </w:rPr>
  </w:style>
  <w:style w:type="paragraph" w:styleId="BalloonText">
    <w:name w:val="Balloon Text"/>
    <w:basedOn w:val="Normal"/>
    <w:link w:val="BalloonTextChar"/>
    <w:uiPriority w:val="99"/>
    <w:semiHidden/>
    <w:unhideWhenUsed/>
    <w:rsid w:val="00E10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CA"/>
    <w:rPr>
      <w:rFonts w:ascii="Segoe UI" w:hAnsi="Segoe UI" w:cs="Segoe UI"/>
      <w:sz w:val="18"/>
      <w:szCs w:val="18"/>
    </w:rPr>
  </w:style>
  <w:style w:type="paragraph" w:styleId="FootnoteText">
    <w:name w:val="footnote text"/>
    <w:aliases w:val="single space,FOOTNOTES,ft,footnote text,Footnote Text Char2 Char,Footnote Text Char1 Char Char,Footnote Text Char Char Char Char,Footnote Text Char2 Char Char Char Char,Footnote Text Char Char Char Char Char Char,ADB"/>
    <w:basedOn w:val="Normal"/>
    <w:link w:val="FootnoteTextChar"/>
    <w:uiPriority w:val="99"/>
    <w:unhideWhenUsed/>
    <w:qFormat/>
    <w:rsid w:val="00A97771"/>
    <w:pPr>
      <w:spacing w:after="0" w:line="240" w:lineRule="auto"/>
    </w:pPr>
    <w:rPr>
      <w:sz w:val="20"/>
      <w:szCs w:val="20"/>
    </w:rPr>
  </w:style>
  <w:style w:type="character" w:customStyle="1" w:styleId="FootnoteTextChar">
    <w:name w:val="Footnote Text Char"/>
    <w:aliases w:val="single space Char,FOOTNOTES Char,ft Char,footnote text Char,Footnote Text Char2 Char Char,Footnote Text Char1 Char Char Char,Footnote Text Char Char Char Char Char,Footnote Text Char2 Char Char Char Char Char,ADB Char"/>
    <w:basedOn w:val="DefaultParagraphFont"/>
    <w:link w:val="FootnoteText"/>
    <w:uiPriority w:val="99"/>
    <w:rsid w:val="00A97771"/>
    <w:rPr>
      <w:sz w:val="20"/>
      <w:szCs w:val="20"/>
    </w:rPr>
  </w:style>
  <w:style w:type="character" w:styleId="FootnoteReference">
    <w:name w:val="footnote reference"/>
    <w:aliases w:val="ftref,Error-Fußnotenzeichen5,Error-Fußnotenzeichen6,Error-Fußnotenzeichen3,Footnote Reference1,referencia nota al pie,Знак сноски 1,Footnote Reference Number,Footnote Reference_LVL6,Footnote Reference_LVL61,Footnote Reference_LVL62"/>
    <w:basedOn w:val="DefaultParagraphFont"/>
    <w:uiPriority w:val="99"/>
    <w:unhideWhenUsed/>
    <w:rsid w:val="00A97771"/>
    <w:rPr>
      <w:vertAlign w:val="superscript"/>
    </w:rPr>
  </w:style>
  <w:style w:type="character" w:styleId="Hyperlink">
    <w:name w:val="Hyperlink"/>
    <w:basedOn w:val="DefaultParagraphFont"/>
    <w:uiPriority w:val="99"/>
    <w:unhideWhenUsed/>
    <w:rsid w:val="00FE56C8"/>
    <w:rPr>
      <w:color w:val="0563C1" w:themeColor="hyperlink"/>
      <w:u w:val="single"/>
    </w:rPr>
  </w:style>
  <w:style w:type="character" w:customStyle="1" w:styleId="Heading1Char">
    <w:name w:val="Heading 1 Char"/>
    <w:basedOn w:val="DefaultParagraphFont"/>
    <w:link w:val="Heading1"/>
    <w:uiPriority w:val="9"/>
    <w:rsid w:val="00AA562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8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DF"/>
  </w:style>
  <w:style w:type="paragraph" w:styleId="Footer">
    <w:name w:val="footer"/>
    <w:basedOn w:val="Normal"/>
    <w:link w:val="FooterChar"/>
    <w:uiPriority w:val="99"/>
    <w:unhideWhenUsed/>
    <w:rsid w:val="0058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DF"/>
  </w:style>
  <w:style w:type="paragraph" w:styleId="ListParagraph">
    <w:name w:val="List Paragraph"/>
    <w:basedOn w:val="Normal"/>
    <w:uiPriority w:val="34"/>
    <w:qFormat/>
    <w:rsid w:val="004327EE"/>
    <w:pPr>
      <w:ind w:left="720"/>
      <w:contextualSpacing/>
    </w:pPr>
  </w:style>
  <w:style w:type="paragraph" w:styleId="BodyText3">
    <w:name w:val="Body Text 3"/>
    <w:basedOn w:val="Normal"/>
    <w:link w:val="BodyText3Char"/>
    <w:rsid w:val="0032699D"/>
    <w:pPr>
      <w:spacing w:after="120" w:line="240" w:lineRule="auto"/>
    </w:pPr>
    <w:rPr>
      <w:rFonts w:eastAsia="Times New Roman"/>
      <w:sz w:val="16"/>
      <w:szCs w:val="20"/>
      <w:lang w:val="en-US"/>
    </w:rPr>
  </w:style>
  <w:style w:type="character" w:customStyle="1" w:styleId="BodyText3Char">
    <w:name w:val="Body Text 3 Char"/>
    <w:basedOn w:val="DefaultParagraphFont"/>
    <w:link w:val="BodyText3"/>
    <w:rsid w:val="0032699D"/>
    <w:rPr>
      <w:rFonts w:eastAsia="Times New Roman"/>
      <w:sz w:val="16"/>
      <w:szCs w:val="20"/>
      <w:lang w:val="en-US"/>
    </w:rPr>
  </w:style>
  <w:style w:type="character" w:styleId="HTMLCite">
    <w:name w:val="HTML Cite"/>
    <w:basedOn w:val="DefaultParagraphFont"/>
    <w:uiPriority w:val="99"/>
    <w:semiHidden/>
    <w:unhideWhenUsed/>
    <w:rsid w:val="00467A48"/>
    <w:rPr>
      <w:i/>
      <w:iCs/>
    </w:rPr>
  </w:style>
  <w:style w:type="paragraph" w:styleId="PlainText">
    <w:name w:val="Plain Text"/>
    <w:basedOn w:val="Normal"/>
    <w:link w:val="PlainTextChar"/>
    <w:uiPriority w:val="99"/>
    <w:unhideWhenUsed/>
    <w:rsid w:val="00FE28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2861"/>
    <w:rPr>
      <w:rFonts w:ascii="Consolas" w:hAnsi="Consolas"/>
      <w:sz w:val="21"/>
      <w:szCs w:val="21"/>
    </w:rPr>
  </w:style>
  <w:style w:type="table" w:styleId="TableGrid">
    <w:name w:val="Table Grid"/>
    <w:basedOn w:val="TableNormal"/>
    <w:uiPriority w:val="39"/>
    <w:rsid w:val="00FE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author">
    <w:name w:val="post-author"/>
    <w:basedOn w:val="DefaultParagraphFont"/>
    <w:rsid w:val="001A3F51"/>
  </w:style>
  <w:style w:type="character" w:customStyle="1" w:styleId="apple-converted-space">
    <w:name w:val="apple-converted-space"/>
    <w:basedOn w:val="DefaultParagraphFont"/>
    <w:rsid w:val="001A3F51"/>
  </w:style>
  <w:style w:type="character" w:styleId="CommentReference">
    <w:name w:val="annotation reference"/>
    <w:basedOn w:val="DefaultParagraphFont"/>
    <w:uiPriority w:val="99"/>
    <w:semiHidden/>
    <w:unhideWhenUsed/>
    <w:rsid w:val="00C43A0B"/>
    <w:rPr>
      <w:sz w:val="16"/>
      <w:szCs w:val="16"/>
    </w:rPr>
  </w:style>
  <w:style w:type="paragraph" w:styleId="CommentText">
    <w:name w:val="annotation text"/>
    <w:basedOn w:val="Normal"/>
    <w:link w:val="CommentTextChar"/>
    <w:uiPriority w:val="99"/>
    <w:unhideWhenUsed/>
    <w:rsid w:val="00C43A0B"/>
    <w:pPr>
      <w:spacing w:line="240" w:lineRule="auto"/>
    </w:pPr>
    <w:rPr>
      <w:sz w:val="20"/>
      <w:szCs w:val="20"/>
    </w:rPr>
  </w:style>
  <w:style w:type="character" w:customStyle="1" w:styleId="CommentTextChar">
    <w:name w:val="Comment Text Char"/>
    <w:basedOn w:val="DefaultParagraphFont"/>
    <w:link w:val="CommentText"/>
    <w:uiPriority w:val="99"/>
    <w:rsid w:val="00C43A0B"/>
    <w:rPr>
      <w:sz w:val="20"/>
      <w:szCs w:val="20"/>
    </w:rPr>
  </w:style>
  <w:style w:type="paragraph" w:styleId="CommentSubject">
    <w:name w:val="annotation subject"/>
    <w:basedOn w:val="CommentText"/>
    <w:next w:val="CommentText"/>
    <w:link w:val="CommentSubjectChar"/>
    <w:uiPriority w:val="99"/>
    <w:semiHidden/>
    <w:unhideWhenUsed/>
    <w:rsid w:val="00C43A0B"/>
    <w:rPr>
      <w:b/>
      <w:bCs/>
    </w:rPr>
  </w:style>
  <w:style w:type="character" w:customStyle="1" w:styleId="CommentSubjectChar">
    <w:name w:val="Comment Subject Char"/>
    <w:basedOn w:val="CommentTextChar"/>
    <w:link w:val="CommentSubject"/>
    <w:uiPriority w:val="99"/>
    <w:semiHidden/>
    <w:rsid w:val="00C43A0B"/>
    <w:rPr>
      <w:b/>
      <w:bCs/>
      <w:sz w:val="20"/>
      <w:szCs w:val="20"/>
    </w:rPr>
  </w:style>
  <w:style w:type="character" w:styleId="PlaceholderText">
    <w:name w:val="Placeholder Text"/>
    <w:basedOn w:val="DefaultParagraphFont"/>
    <w:uiPriority w:val="99"/>
    <w:semiHidden/>
    <w:rsid w:val="00CF3D5C"/>
    <w:rPr>
      <w:color w:val="808080"/>
    </w:rPr>
  </w:style>
  <w:style w:type="paragraph" w:styleId="NormalWeb">
    <w:name w:val="Normal (Web)"/>
    <w:basedOn w:val="Normal"/>
    <w:uiPriority w:val="99"/>
    <w:unhideWhenUsed/>
    <w:rsid w:val="00B16101"/>
    <w:pPr>
      <w:spacing w:before="100" w:beforeAutospacing="1" w:after="100" w:afterAutospacing="1" w:line="240" w:lineRule="auto"/>
    </w:pPr>
    <w:rPr>
      <w:rFonts w:eastAsia="Times New Roman"/>
      <w:lang w:val="en-US"/>
    </w:rPr>
  </w:style>
  <w:style w:type="character" w:customStyle="1" w:styleId="Heading5Char">
    <w:name w:val="Heading 5 Char"/>
    <w:basedOn w:val="DefaultParagraphFont"/>
    <w:link w:val="Heading5"/>
    <w:uiPriority w:val="9"/>
    <w:semiHidden/>
    <w:rsid w:val="00AA4FA0"/>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semiHidden/>
    <w:unhideWhenUsed/>
    <w:rsid w:val="00F476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7606"/>
    <w:rPr>
      <w:rFonts w:ascii="Consolas" w:hAnsi="Consolas"/>
      <w:sz w:val="20"/>
      <w:szCs w:val="20"/>
    </w:rPr>
  </w:style>
  <w:style w:type="character" w:customStyle="1" w:styleId="PlainTextChar1">
    <w:name w:val="Plain Text Char1"/>
    <w:basedOn w:val="DefaultParagraphFont"/>
    <w:uiPriority w:val="99"/>
    <w:rsid w:val="005B7D6B"/>
    <w:rPr>
      <w:rFonts w:ascii="Consolas" w:hAnsi="Consolas" w:cs="Consolas"/>
      <w:sz w:val="21"/>
      <w:szCs w:val="21"/>
    </w:rPr>
  </w:style>
  <w:style w:type="character" w:styleId="FollowedHyperlink">
    <w:name w:val="FollowedHyperlink"/>
    <w:basedOn w:val="DefaultParagraphFont"/>
    <w:uiPriority w:val="99"/>
    <w:semiHidden/>
    <w:unhideWhenUsed/>
    <w:rsid w:val="00F40E38"/>
    <w:rPr>
      <w:color w:val="954F72" w:themeColor="followedHyperlink"/>
      <w:u w:val="single"/>
    </w:rPr>
  </w:style>
  <w:style w:type="character" w:customStyle="1" w:styleId="hgkelc">
    <w:name w:val="hgkelc"/>
    <w:basedOn w:val="DefaultParagraphFont"/>
    <w:rsid w:val="00133C61"/>
  </w:style>
  <w:style w:type="paragraph" w:customStyle="1" w:styleId="Default">
    <w:name w:val="Default"/>
    <w:rsid w:val="00E67C79"/>
    <w:pPr>
      <w:autoSpaceDE w:val="0"/>
      <w:autoSpaceDN w:val="0"/>
      <w:adjustRightInd w:val="0"/>
      <w:spacing w:after="0" w:line="240" w:lineRule="auto"/>
    </w:pPr>
    <w:rPr>
      <w:rFonts w:eastAsia="Times New Roman"/>
      <w:color w:val="000000"/>
      <w:lang w:eastAsia="en-NZ"/>
    </w:rPr>
  </w:style>
  <w:style w:type="paragraph" w:customStyle="1" w:styleId="CM3">
    <w:name w:val="CM3"/>
    <w:basedOn w:val="Default"/>
    <w:next w:val="Default"/>
    <w:rsid w:val="00E67C79"/>
    <w:pPr>
      <w:widowControl w:val="0"/>
    </w:pPr>
    <w:rPr>
      <w:color w:val="auto"/>
      <w:lang w:val="en-US" w:eastAsia="en-US"/>
    </w:rPr>
  </w:style>
  <w:style w:type="paragraph" w:customStyle="1" w:styleId="CM4">
    <w:name w:val="CM4"/>
    <w:basedOn w:val="Default"/>
    <w:next w:val="Default"/>
    <w:rsid w:val="00E67C79"/>
    <w:pPr>
      <w:widowControl w:val="0"/>
      <w:spacing w:line="253" w:lineRule="atLeast"/>
    </w:pPr>
    <w:rPr>
      <w:color w:val="auto"/>
      <w:lang w:val="en-US" w:eastAsia="en-US"/>
    </w:rPr>
  </w:style>
  <w:style w:type="paragraph" w:customStyle="1" w:styleId="CM23">
    <w:name w:val="CM23"/>
    <w:basedOn w:val="Default"/>
    <w:next w:val="Default"/>
    <w:rsid w:val="00E67C79"/>
    <w:pPr>
      <w:widowControl w:val="0"/>
      <w:spacing w:after="233"/>
    </w:pPr>
    <w:rPr>
      <w:color w:val="auto"/>
      <w:lang w:val="en-US" w:eastAsia="en-US"/>
    </w:rPr>
  </w:style>
  <w:style w:type="paragraph" w:customStyle="1" w:styleId="FigureText">
    <w:name w:val="Figure Text"/>
    <w:basedOn w:val="FootnoteText"/>
    <w:rsid w:val="00EF6477"/>
    <w:rPr>
      <w:rFonts w:ascii="Arial Narrow" w:eastAsia="Times New Roman" w:hAnsi="Arial Narrow"/>
      <w:position w:val="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7775">
      <w:bodyDiv w:val="1"/>
      <w:marLeft w:val="0"/>
      <w:marRight w:val="0"/>
      <w:marTop w:val="0"/>
      <w:marBottom w:val="0"/>
      <w:divBdr>
        <w:top w:val="none" w:sz="0" w:space="0" w:color="auto"/>
        <w:left w:val="none" w:sz="0" w:space="0" w:color="auto"/>
        <w:bottom w:val="none" w:sz="0" w:space="0" w:color="auto"/>
        <w:right w:val="none" w:sz="0" w:space="0" w:color="auto"/>
      </w:divBdr>
    </w:div>
    <w:div w:id="195125462">
      <w:bodyDiv w:val="1"/>
      <w:marLeft w:val="0"/>
      <w:marRight w:val="0"/>
      <w:marTop w:val="0"/>
      <w:marBottom w:val="0"/>
      <w:divBdr>
        <w:top w:val="none" w:sz="0" w:space="0" w:color="auto"/>
        <w:left w:val="none" w:sz="0" w:space="0" w:color="auto"/>
        <w:bottom w:val="none" w:sz="0" w:space="0" w:color="auto"/>
        <w:right w:val="none" w:sz="0" w:space="0" w:color="auto"/>
      </w:divBdr>
    </w:div>
    <w:div w:id="227884796">
      <w:bodyDiv w:val="1"/>
      <w:marLeft w:val="0"/>
      <w:marRight w:val="0"/>
      <w:marTop w:val="0"/>
      <w:marBottom w:val="0"/>
      <w:divBdr>
        <w:top w:val="none" w:sz="0" w:space="0" w:color="auto"/>
        <w:left w:val="none" w:sz="0" w:space="0" w:color="auto"/>
        <w:bottom w:val="none" w:sz="0" w:space="0" w:color="auto"/>
        <w:right w:val="none" w:sz="0" w:space="0" w:color="auto"/>
      </w:divBdr>
    </w:div>
    <w:div w:id="324552745">
      <w:bodyDiv w:val="1"/>
      <w:marLeft w:val="0"/>
      <w:marRight w:val="0"/>
      <w:marTop w:val="0"/>
      <w:marBottom w:val="0"/>
      <w:divBdr>
        <w:top w:val="none" w:sz="0" w:space="0" w:color="auto"/>
        <w:left w:val="none" w:sz="0" w:space="0" w:color="auto"/>
        <w:bottom w:val="none" w:sz="0" w:space="0" w:color="auto"/>
        <w:right w:val="none" w:sz="0" w:space="0" w:color="auto"/>
      </w:divBdr>
    </w:div>
    <w:div w:id="477308404">
      <w:bodyDiv w:val="1"/>
      <w:marLeft w:val="0"/>
      <w:marRight w:val="0"/>
      <w:marTop w:val="0"/>
      <w:marBottom w:val="0"/>
      <w:divBdr>
        <w:top w:val="none" w:sz="0" w:space="0" w:color="auto"/>
        <w:left w:val="none" w:sz="0" w:space="0" w:color="auto"/>
        <w:bottom w:val="none" w:sz="0" w:space="0" w:color="auto"/>
        <w:right w:val="none" w:sz="0" w:space="0" w:color="auto"/>
      </w:divBdr>
    </w:div>
    <w:div w:id="619651659">
      <w:bodyDiv w:val="1"/>
      <w:marLeft w:val="0"/>
      <w:marRight w:val="0"/>
      <w:marTop w:val="0"/>
      <w:marBottom w:val="0"/>
      <w:divBdr>
        <w:top w:val="none" w:sz="0" w:space="0" w:color="auto"/>
        <w:left w:val="none" w:sz="0" w:space="0" w:color="auto"/>
        <w:bottom w:val="none" w:sz="0" w:space="0" w:color="auto"/>
        <w:right w:val="none" w:sz="0" w:space="0" w:color="auto"/>
      </w:divBdr>
    </w:div>
    <w:div w:id="732853316">
      <w:bodyDiv w:val="1"/>
      <w:marLeft w:val="0"/>
      <w:marRight w:val="0"/>
      <w:marTop w:val="0"/>
      <w:marBottom w:val="0"/>
      <w:divBdr>
        <w:top w:val="none" w:sz="0" w:space="0" w:color="auto"/>
        <w:left w:val="none" w:sz="0" w:space="0" w:color="auto"/>
        <w:bottom w:val="none" w:sz="0" w:space="0" w:color="auto"/>
        <w:right w:val="none" w:sz="0" w:space="0" w:color="auto"/>
      </w:divBdr>
    </w:div>
    <w:div w:id="871965759">
      <w:bodyDiv w:val="1"/>
      <w:marLeft w:val="0"/>
      <w:marRight w:val="0"/>
      <w:marTop w:val="0"/>
      <w:marBottom w:val="0"/>
      <w:divBdr>
        <w:top w:val="none" w:sz="0" w:space="0" w:color="auto"/>
        <w:left w:val="none" w:sz="0" w:space="0" w:color="auto"/>
        <w:bottom w:val="none" w:sz="0" w:space="0" w:color="auto"/>
        <w:right w:val="none" w:sz="0" w:space="0" w:color="auto"/>
      </w:divBdr>
      <w:divsChild>
        <w:div w:id="607080256">
          <w:marLeft w:val="0"/>
          <w:marRight w:val="0"/>
          <w:marTop w:val="0"/>
          <w:marBottom w:val="0"/>
          <w:divBdr>
            <w:top w:val="none" w:sz="0" w:space="0" w:color="auto"/>
            <w:left w:val="none" w:sz="0" w:space="0" w:color="auto"/>
            <w:bottom w:val="none" w:sz="0" w:space="0" w:color="auto"/>
            <w:right w:val="none" w:sz="0" w:space="0" w:color="auto"/>
          </w:divBdr>
        </w:div>
        <w:div w:id="1927416874">
          <w:marLeft w:val="0"/>
          <w:marRight w:val="0"/>
          <w:marTop w:val="0"/>
          <w:marBottom w:val="0"/>
          <w:divBdr>
            <w:top w:val="none" w:sz="0" w:space="0" w:color="auto"/>
            <w:left w:val="none" w:sz="0" w:space="0" w:color="auto"/>
            <w:bottom w:val="none" w:sz="0" w:space="0" w:color="auto"/>
            <w:right w:val="none" w:sz="0" w:space="0" w:color="auto"/>
          </w:divBdr>
        </w:div>
        <w:div w:id="698699032">
          <w:marLeft w:val="0"/>
          <w:marRight w:val="0"/>
          <w:marTop w:val="0"/>
          <w:marBottom w:val="0"/>
          <w:divBdr>
            <w:top w:val="none" w:sz="0" w:space="0" w:color="auto"/>
            <w:left w:val="none" w:sz="0" w:space="0" w:color="auto"/>
            <w:bottom w:val="none" w:sz="0" w:space="0" w:color="auto"/>
            <w:right w:val="none" w:sz="0" w:space="0" w:color="auto"/>
          </w:divBdr>
        </w:div>
      </w:divsChild>
    </w:div>
    <w:div w:id="941650059">
      <w:bodyDiv w:val="1"/>
      <w:marLeft w:val="0"/>
      <w:marRight w:val="0"/>
      <w:marTop w:val="0"/>
      <w:marBottom w:val="0"/>
      <w:divBdr>
        <w:top w:val="none" w:sz="0" w:space="0" w:color="auto"/>
        <w:left w:val="none" w:sz="0" w:space="0" w:color="auto"/>
        <w:bottom w:val="none" w:sz="0" w:space="0" w:color="auto"/>
        <w:right w:val="none" w:sz="0" w:space="0" w:color="auto"/>
      </w:divBdr>
    </w:div>
    <w:div w:id="1140876714">
      <w:bodyDiv w:val="1"/>
      <w:marLeft w:val="0"/>
      <w:marRight w:val="0"/>
      <w:marTop w:val="0"/>
      <w:marBottom w:val="0"/>
      <w:divBdr>
        <w:top w:val="none" w:sz="0" w:space="0" w:color="auto"/>
        <w:left w:val="none" w:sz="0" w:space="0" w:color="auto"/>
        <w:bottom w:val="none" w:sz="0" w:space="0" w:color="auto"/>
        <w:right w:val="none" w:sz="0" w:space="0" w:color="auto"/>
      </w:divBdr>
    </w:div>
    <w:div w:id="1154183245">
      <w:bodyDiv w:val="1"/>
      <w:marLeft w:val="0"/>
      <w:marRight w:val="0"/>
      <w:marTop w:val="0"/>
      <w:marBottom w:val="0"/>
      <w:divBdr>
        <w:top w:val="none" w:sz="0" w:space="0" w:color="auto"/>
        <w:left w:val="none" w:sz="0" w:space="0" w:color="auto"/>
        <w:bottom w:val="none" w:sz="0" w:space="0" w:color="auto"/>
        <w:right w:val="none" w:sz="0" w:space="0" w:color="auto"/>
      </w:divBdr>
    </w:div>
    <w:div w:id="1210530782">
      <w:bodyDiv w:val="1"/>
      <w:marLeft w:val="0"/>
      <w:marRight w:val="0"/>
      <w:marTop w:val="0"/>
      <w:marBottom w:val="0"/>
      <w:divBdr>
        <w:top w:val="none" w:sz="0" w:space="0" w:color="auto"/>
        <w:left w:val="none" w:sz="0" w:space="0" w:color="auto"/>
        <w:bottom w:val="none" w:sz="0" w:space="0" w:color="auto"/>
        <w:right w:val="none" w:sz="0" w:space="0" w:color="auto"/>
      </w:divBdr>
    </w:div>
    <w:div w:id="1218662986">
      <w:bodyDiv w:val="1"/>
      <w:marLeft w:val="0"/>
      <w:marRight w:val="0"/>
      <w:marTop w:val="0"/>
      <w:marBottom w:val="0"/>
      <w:divBdr>
        <w:top w:val="none" w:sz="0" w:space="0" w:color="auto"/>
        <w:left w:val="none" w:sz="0" w:space="0" w:color="auto"/>
        <w:bottom w:val="none" w:sz="0" w:space="0" w:color="auto"/>
        <w:right w:val="none" w:sz="0" w:space="0" w:color="auto"/>
      </w:divBdr>
    </w:div>
    <w:div w:id="1254127886">
      <w:bodyDiv w:val="1"/>
      <w:marLeft w:val="0"/>
      <w:marRight w:val="0"/>
      <w:marTop w:val="0"/>
      <w:marBottom w:val="0"/>
      <w:divBdr>
        <w:top w:val="none" w:sz="0" w:space="0" w:color="auto"/>
        <w:left w:val="none" w:sz="0" w:space="0" w:color="auto"/>
        <w:bottom w:val="none" w:sz="0" w:space="0" w:color="auto"/>
        <w:right w:val="none" w:sz="0" w:space="0" w:color="auto"/>
      </w:divBdr>
    </w:div>
    <w:div w:id="1395619013">
      <w:bodyDiv w:val="1"/>
      <w:marLeft w:val="0"/>
      <w:marRight w:val="0"/>
      <w:marTop w:val="0"/>
      <w:marBottom w:val="0"/>
      <w:divBdr>
        <w:top w:val="none" w:sz="0" w:space="0" w:color="auto"/>
        <w:left w:val="none" w:sz="0" w:space="0" w:color="auto"/>
        <w:bottom w:val="none" w:sz="0" w:space="0" w:color="auto"/>
        <w:right w:val="none" w:sz="0" w:space="0" w:color="auto"/>
      </w:divBdr>
    </w:div>
    <w:div w:id="1486430863">
      <w:bodyDiv w:val="1"/>
      <w:marLeft w:val="0"/>
      <w:marRight w:val="0"/>
      <w:marTop w:val="0"/>
      <w:marBottom w:val="0"/>
      <w:divBdr>
        <w:top w:val="none" w:sz="0" w:space="0" w:color="auto"/>
        <w:left w:val="none" w:sz="0" w:space="0" w:color="auto"/>
        <w:bottom w:val="none" w:sz="0" w:space="0" w:color="auto"/>
        <w:right w:val="none" w:sz="0" w:space="0" w:color="auto"/>
      </w:divBdr>
      <w:divsChild>
        <w:div w:id="117336757">
          <w:marLeft w:val="0"/>
          <w:marRight w:val="0"/>
          <w:marTop w:val="0"/>
          <w:marBottom w:val="0"/>
          <w:divBdr>
            <w:top w:val="none" w:sz="0" w:space="0" w:color="auto"/>
            <w:left w:val="none" w:sz="0" w:space="0" w:color="auto"/>
            <w:bottom w:val="none" w:sz="0" w:space="0" w:color="auto"/>
            <w:right w:val="none" w:sz="0" w:space="0" w:color="auto"/>
          </w:divBdr>
        </w:div>
        <w:div w:id="1384409518">
          <w:marLeft w:val="0"/>
          <w:marRight w:val="0"/>
          <w:marTop w:val="0"/>
          <w:marBottom w:val="0"/>
          <w:divBdr>
            <w:top w:val="none" w:sz="0" w:space="0" w:color="auto"/>
            <w:left w:val="none" w:sz="0" w:space="0" w:color="auto"/>
            <w:bottom w:val="none" w:sz="0" w:space="0" w:color="auto"/>
            <w:right w:val="none" w:sz="0" w:space="0" w:color="auto"/>
          </w:divBdr>
        </w:div>
        <w:div w:id="1751462381">
          <w:marLeft w:val="0"/>
          <w:marRight w:val="0"/>
          <w:marTop w:val="0"/>
          <w:marBottom w:val="0"/>
          <w:divBdr>
            <w:top w:val="none" w:sz="0" w:space="0" w:color="auto"/>
            <w:left w:val="none" w:sz="0" w:space="0" w:color="auto"/>
            <w:bottom w:val="none" w:sz="0" w:space="0" w:color="auto"/>
            <w:right w:val="none" w:sz="0" w:space="0" w:color="auto"/>
          </w:divBdr>
        </w:div>
      </w:divsChild>
    </w:div>
    <w:div w:id="1492671403">
      <w:bodyDiv w:val="1"/>
      <w:marLeft w:val="0"/>
      <w:marRight w:val="0"/>
      <w:marTop w:val="0"/>
      <w:marBottom w:val="0"/>
      <w:divBdr>
        <w:top w:val="none" w:sz="0" w:space="0" w:color="auto"/>
        <w:left w:val="none" w:sz="0" w:space="0" w:color="auto"/>
        <w:bottom w:val="none" w:sz="0" w:space="0" w:color="auto"/>
        <w:right w:val="none" w:sz="0" w:space="0" w:color="auto"/>
      </w:divBdr>
    </w:div>
    <w:div w:id="1505197990">
      <w:bodyDiv w:val="1"/>
      <w:marLeft w:val="0"/>
      <w:marRight w:val="0"/>
      <w:marTop w:val="0"/>
      <w:marBottom w:val="0"/>
      <w:divBdr>
        <w:top w:val="none" w:sz="0" w:space="0" w:color="auto"/>
        <w:left w:val="none" w:sz="0" w:space="0" w:color="auto"/>
        <w:bottom w:val="none" w:sz="0" w:space="0" w:color="auto"/>
        <w:right w:val="none" w:sz="0" w:space="0" w:color="auto"/>
      </w:divBdr>
      <w:divsChild>
        <w:div w:id="1366251374">
          <w:marLeft w:val="0"/>
          <w:marRight w:val="0"/>
          <w:marTop w:val="0"/>
          <w:marBottom w:val="0"/>
          <w:divBdr>
            <w:top w:val="none" w:sz="0" w:space="0" w:color="auto"/>
            <w:left w:val="none" w:sz="0" w:space="0" w:color="auto"/>
            <w:bottom w:val="none" w:sz="0" w:space="0" w:color="auto"/>
            <w:right w:val="none" w:sz="0" w:space="0" w:color="auto"/>
          </w:divBdr>
        </w:div>
        <w:div w:id="834342753">
          <w:marLeft w:val="0"/>
          <w:marRight w:val="0"/>
          <w:marTop w:val="0"/>
          <w:marBottom w:val="0"/>
          <w:divBdr>
            <w:top w:val="none" w:sz="0" w:space="0" w:color="auto"/>
            <w:left w:val="none" w:sz="0" w:space="0" w:color="auto"/>
            <w:bottom w:val="none" w:sz="0" w:space="0" w:color="auto"/>
            <w:right w:val="none" w:sz="0" w:space="0" w:color="auto"/>
          </w:divBdr>
        </w:div>
        <w:div w:id="2140493335">
          <w:marLeft w:val="0"/>
          <w:marRight w:val="0"/>
          <w:marTop w:val="0"/>
          <w:marBottom w:val="0"/>
          <w:divBdr>
            <w:top w:val="none" w:sz="0" w:space="0" w:color="auto"/>
            <w:left w:val="none" w:sz="0" w:space="0" w:color="auto"/>
            <w:bottom w:val="none" w:sz="0" w:space="0" w:color="auto"/>
            <w:right w:val="none" w:sz="0" w:space="0" w:color="auto"/>
          </w:divBdr>
        </w:div>
      </w:divsChild>
    </w:div>
    <w:div w:id="1532186022">
      <w:bodyDiv w:val="1"/>
      <w:marLeft w:val="0"/>
      <w:marRight w:val="0"/>
      <w:marTop w:val="0"/>
      <w:marBottom w:val="0"/>
      <w:divBdr>
        <w:top w:val="none" w:sz="0" w:space="0" w:color="auto"/>
        <w:left w:val="none" w:sz="0" w:space="0" w:color="auto"/>
        <w:bottom w:val="none" w:sz="0" w:space="0" w:color="auto"/>
        <w:right w:val="none" w:sz="0" w:space="0" w:color="auto"/>
      </w:divBdr>
    </w:div>
    <w:div w:id="1677151941">
      <w:bodyDiv w:val="1"/>
      <w:marLeft w:val="0"/>
      <w:marRight w:val="0"/>
      <w:marTop w:val="0"/>
      <w:marBottom w:val="0"/>
      <w:divBdr>
        <w:top w:val="none" w:sz="0" w:space="0" w:color="auto"/>
        <w:left w:val="none" w:sz="0" w:space="0" w:color="auto"/>
        <w:bottom w:val="none" w:sz="0" w:space="0" w:color="auto"/>
        <w:right w:val="none" w:sz="0" w:space="0" w:color="auto"/>
      </w:divBdr>
    </w:div>
    <w:div w:id="1717895521">
      <w:bodyDiv w:val="1"/>
      <w:marLeft w:val="0"/>
      <w:marRight w:val="0"/>
      <w:marTop w:val="0"/>
      <w:marBottom w:val="0"/>
      <w:divBdr>
        <w:top w:val="none" w:sz="0" w:space="0" w:color="auto"/>
        <w:left w:val="none" w:sz="0" w:space="0" w:color="auto"/>
        <w:bottom w:val="none" w:sz="0" w:space="0" w:color="auto"/>
        <w:right w:val="none" w:sz="0" w:space="0" w:color="auto"/>
      </w:divBdr>
      <w:divsChild>
        <w:div w:id="976495324">
          <w:marLeft w:val="0"/>
          <w:marRight w:val="0"/>
          <w:marTop w:val="0"/>
          <w:marBottom w:val="150"/>
          <w:divBdr>
            <w:top w:val="none" w:sz="0" w:space="0" w:color="auto"/>
            <w:left w:val="none" w:sz="0" w:space="0" w:color="auto"/>
            <w:bottom w:val="none" w:sz="0" w:space="0" w:color="auto"/>
            <w:right w:val="none" w:sz="0" w:space="0" w:color="auto"/>
          </w:divBdr>
        </w:div>
      </w:divsChild>
    </w:div>
    <w:div w:id="1732340533">
      <w:bodyDiv w:val="1"/>
      <w:marLeft w:val="0"/>
      <w:marRight w:val="0"/>
      <w:marTop w:val="0"/>
      <w:marBottom w:val="0"/>
      <w:divBdr>
        <w:top w:val="none" w:sz="0" w:space="0" w:color="auto"/>
        <w:left w:val="none" w:sz="0" w:space="0" w:color="auto"/>
        <w:bottom w:val="none" w:sz="0" w:space="0" w:color="auto"/>
        <w:right w:val="none" w:sz="0" w:space="0" w:color="auto"/>
      </w:divBdr>
    </w:div>
    <w:div w:id="20324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2139/ssrn.39494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3140/RG.2.2.26987.264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01/2021.10.13.2126496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B723B-EFED-4B02-A6F1-DFAB541D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Gibson</dc:creator>
  <cp:lastModifiedBy>John Gibson</cp:lastModifiedBy>
  <cp:revision>4</cp:revision>
  <cp:lastPrinted>2021-11-05T22:39:00Z</cp:lastPrinted>
  <dcterms:created xsi:type="dcterms:W3CDTF">2021-11-05T22:25:00Z</dcterms:created>
  <dcterms:modified xsi:type="dcterms:W3CDTF">2021-11-05T23:02:00Z</dcterms:modified>
</cp:coreProperties>
</file>