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C79" w:rsidRDefault="00E67C79" w:rsidP="00E67C79">
      <w:pPr>
        <w:spacing w:after="0" w:line="300" w:lineRule="auto"/>
        <w:rPr>
          <w:rFonts w:eastAsia="Times New Roman"/>
          <w:b/>
          <w:bCs/>
          <w:sz w:val="28"/>
          <w:lang w:val="en-US"/>
        </w:rPr>
      </w:pPr>
    </w:p>
    <w:p w:rsidR="00E67C79" w:rsidRDefault="00E67C79" w:rsidP="00E67C79">
      <w:pPr>
        <w:pStyle w:val="PlainText"/>
        <w:tabs>
          <w:tab w:val="left" w:pos="284"/>
        </w:tabs>
        <w:jc w:val="center"/>
        <w:rPr>
          <w:rFonts w:ascii="Times New Roman" w:hAnsi="Times New Roman"/>
          <w:b/>
          <w:sz w:val="28"/>
        </w:rPr>
      </w:pPr>
    </w:p>
    <w:p w:rsidR="00E67C79" w:rsidRDefault="00E67C79" w:rsidP="00E67C79">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E67C79" w:rsidRDefault="00E67C79" w:rsidP="00E67C79">
      <w:pPr>
        <w:pStyle w:val="PlainText"/>
        <w:tabs>
          <w:tab w:val="left" w:pos="284"/>
        </w:tabs>
        <w:jc w:val="center"/>
        <w:rPr>
          <w:rFonts w:ascii="Times New Roman" w:hAnsi="Times New Roman"/>
          <w:b/>
          <w:sz w:val="28"/>
        </w:rPr>
      </w:pPr>
    </w:p>
    <w:p w:rsidR="00E67C79" w:rsidRDefault="00E67C79" w:rsidP="00E67C79">
      <w:pPr>
        <w:pStyle w:val="PlainText"/>
        <w:tabs>
          <w:tab w:val="left" w:pos="284"/>
        </w:tabs>
        <w:jc w:val="center"/>
        <w:rPr>
          <w:rFonts w:ascii="Times New Roman" w:hAnsi="Times New Roman"/>
          <w:b/>
          <w:sz w:val="28"/>
        </w:rPr>
      </w:pPr>
      <w:r>
        <w:rPr>
          <w:rFonts w:ascii="Times New Roman" w:hAnsi="Times New Roman"/>
          <w:b/>
          <w:sz w:val="28"/>
        </w:rPr>
        <w:t>Hamilton</w:t>
      </w:r>
    </w:p>
    <w:p w:rsidR="00E67C79" w:rsidRDefault="00E67C79" w:rsidP="00E67C79">
      <w:pPr>
        <w:pStyle w:val="PlainText"/>
        <w:tabs>
          <w:tab w:val="left" w:pos="284"/>
        </w:tabs>
        <w:jc w:val="center"/>
        <w:rPr>
          <w:rFonts w:ascii="Times New Roman" w:hAnsi="Times New Roman"/>
          <w:b/>
          <w:sz w:val="28"/>
        </w:rPr>
      </w:pPr>
      <w:r>
        <w:rPr>
          <w:rFonts w:ascii="Times New Roman" w:hAnsi="Times New Roman"/>
          <w:b/>
          <w:sz w:val="28"/>
        </w:rPr>
        <w:t>New Zealand</w:t>
      </w:r>
    </w:p>
    <w:p w:rsidR="00E67C79" w:rsidRDefault="00E67C79" w:rsidP="00E67C79">
      <w:pPr>
        <w:pStyle w:val="PlainText"/>
        <w:tabs>
          <w:tab w:val="left" w:pos="284"/>
        </w:tabs>
        <w:jc w:val="center"/>
        <w:rPr>
          <w:rFonts w:ascii="Times New Roman" w:hAnsi="Times New Roman"/>
          <w:b/>
          <w:sz w:val="28"/>
        </w:rPr>
      </w:pPr>
    </w:p>
    <w:p w:rsidR="00E67C79" w:rsidRDefault="00E67C79" w:rsidP="00E67C79">
      <w:pPr>
        <w:pStyle w:val="PlainText"/>
        <w:tabs>
          <w:tab w:val="left" w:pos="284"/>
        </w:tabs>
        <w:jc w:val="center"/>
        <w:rPr>
          <w:rFonts w:ascii="Times New Roman" w:hAnsi="Times New Roman"/>
          <w:b/>
          <w:sz w:val="28"/>
        </w:rPr>
      </w:pPr>
    </w:p>
    <w:p w:rsidR="00E67C79" w:rsidRPr="00E67C79" w:rsidRDefault="00D943DD" w:rsidP="00D943D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bCs/>
          <w:sz w:val="14"/>
          <w:szCs w:val="14"/>
        </w:rPr>
      </w:pPr>
      <w:r w:rsidRPr="00D943DD">
        <w:rPr>
          <w:rFonts w:asciiTheme="majorBidi" w:hAnsiTheme="majorBidi" w:cstheme="majorBidi"/>
          <w:b/>
          <w:bCs/>
          <w:sz w:val="12"/>
          <w:szCs w:val="12"/>
        </w:rPr>
        <w:br/>
      </w:r>
      <w:r w:rsidR="00E67C79" w:rsidRPr="00E67C79">
        <w:rPr>
          <w:rFonts w:asciiTheme="majorBidi" w:hAnsiTheme="majorBidi" w:cstheme="majorBidi"/>
          <w:b/>
          <w:bCs/>
          <w:sz w:val="28"/>
          <w:szCs w:val="28"/>
        </w:rPr>
        <w:t>Rising Immigration and Falling Native-Born Home Ownership:</w:t>
      </w:r>
      <w:r w:rsidR="00E67C79" w:rsidRPr="00E67C79">
        <w:rPr>
          <w:rFonts w:cs="Arial"/>
          <w:b/>
          <w:bCs/>
          <w:sz w:val="28"/>
          <w:szCs w:val="28"/>
        </w:rPr>
        <w:br/>
      </w:r>
      <w:r>
        <w:rPr>
          <w:rFonts w:asciiTheme="majorBidi" w:hAnsiTheme="majorBidi" w:cstheme="majorBidi"/>
          <w:b/>
          <w:bCs/>
          <w:sz w:val="28"/>
          <w:szCs w:val="28"/>
        </w:rPr>
        <w:t xml:space="preserve">A Spatial </w:t>
      </w:r>
      <w:r w:rsidR="00E67C79" w:rsidRPr="00E67C79">
        <w:rPr>
          <w:rFonts w:asciiTheme="majorBidi" w:hAnsiTheme="majorBidi" w:cstheme="majorBidi"/>
          <w:b/>
          <w:bCs/>
          <w:sz w:val="28"/>
          <w:szCs w:val="28"/>
        </w:rPr>
        <w:t>Econometric Analysis for New Zealand</w:t>
      </w:r>
      <w:r w:rsidR="00E67C79" w:rsidRPr="00E67C79">
        <w:rPr>
          <w:rFonts w:cs="Arial"/>
          <w:b/>
          <w:bCs/>
          <w:sz w:val="28"/>
          <w:szCs w:val="28"/>
        </w:rPr>
        <w:br/>
      </w:r>
      <w:r w:rsidR="00E67C79" w:rsidRPr="00E67C79">
        <w:rPr>
          <w:rFonts w:ascii="Times New Roman" w:hAnsi="Times New Roman"/>
          <w:b/>
          <w:bCs/>
          <w:sz w:val="28"/>
          <w:szCs w:val="28"/>
        </w:rPr>
        <w:t xml:space="preserve"> </w:t>
      </w:r>
    </w:p>
    <w:p w:rsidR="00E67C79" w:rsidRDefault="00E67C79" w:rsidP="00E67C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sz w:val="28"/>
        </w:rPr>
      </w:pPr>
      <w:r>
        <w:rPr>
          <w:rFonts w:ascii="Times New Roman" w:hAnsi="Times New Roman"/>
          <w:sz w:val="28"/>
        </w:rPr>
        <w:t xml:space="preserve">Chao Li, John Gibson and Geua Boe-Gibson </w:t>
      </w:r>
    </w:p>
    <w:p w:rsidR="00E67C79" w:rsidRDefault="00E67C79" w:rsidP="00E67C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8"/>
        </w:rPr>
      </w:pPr>
    </w:p>
    <w:p w:rsidR="00E67C79" w:rsidRDefault="00E67C79" w:rsidP="00E67C79">
      <w:pPr>
        <w:pStyle w:val="PlainText"/>
        <w:tabs>
          <w:tab w:val="left" w:pos="284"/>
        </w:tabs>
        <w:rPr>
          <w:rFonts w:ascii="Times New Roman" w:hAnsi="Times New Roman"/>
          <w:b/>
          <w:sz w:val="28"/>
        </w:rPr>
      </w:pPr>
    </w:p>
    <w:p w:rsidR="00E67C79" w:rsidRDefault="00E67C79" w:rsidP="00E67C79">
      <w:pPr>
        <w:pStyle w:val="PlainText"/>
        <w:tabs>
          <w:tab w:val="left" w:pos="284"/>
        </w:tabs>
        <w:rPr>
          <w:rFonts w:ascii="Times New Roman" w:hAnsi="Times New Roman"/>
          <w:b/>
          <w:sz w:val="28"/>
        </w:rPr>
      </w:pPr>
    </w:p>
    <w:p w:rsidR="00E67C79" w:rsidRDefault="00E67C79" w:rsidP="00E67C79">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Working Paper in Economics 3/21</w:t>
      </w:r>
      <w:bookmarkStart w:id="0" w:name="_GoBack"/>
      <w:bookmarkEnd w:id="0"/>
    </w:p>
    <w:p w:rsidR="00E67C79" w:rsidRDefault="00E67C79" w:rsidP="00E67C79">
      <w:pPr>
        <w:pStyle w:val="PlainText"/>
        <w:tabs>
          <w:tab w:val="left" w:pos="284"/>
        </w:tabs>
        <w:spacing w:before="100" w:line="360" w:lineRule="auto"/>
        <w:jc w:val="center"/>
        <w:rPr>
          <w:rFonts w:ascii="Times New Roman" w:hAnsi="Times New Roman"/>
          <w:sz w:val="28"/>
        </w:rPr>
      </w:pPr>
      <w:r>
        <w:rPr>
          <w:rFonts w:ascii="Times New Roman" w:hAnsi="Times New Roman"/>
          <w:sz w:val="28"/>
        </w:rPr>
        <w:t>March 2021</w:t>
      </w:r>
    </w:p>
    <w:p w:rsidR="00AE73E2" w:rsidRPr="00AE73E2" w:rsidRDefault="00AE73E2" w:rsidP="00AE73E2">
      <w:pPr>
        <w:spacing w:after="0" w:line="276" w:lineRule="auto"/>
        <w:jc w:val="center"/>
        <w:rPr>
          <w:b/>
          <w:bCs/>
        </w:rPr>
      </w:pPr>
      <w:r>
        <w:rPr>
          <w:sz w:val="32"/>
          <w:szCs w:val="32"/>
        </w:rPr>
        <w:br/>
      </w:r>
      <w:r w:rsidRPr="00AE73E2">
        <w:rPr>
          <w:b/>
          <w:bCs/>
        </w:rPr>
        <w:t>Chao Li</w:t>
      </w:r>
    </w:p>
    <w:p w:rsidR="00AE73E2" w:rsidRDefault="00AE73E2" w:rsidP="00AE73E2">
      <w:pPr>
        <w:spacing w:after="0" w:line="276" w:lineRule="auto"/>
        <w:jc w:val="center"/>
      </w:pPr>
      <w:r>
        <w:t>University of Auckland</w:t>
      </w:r>
    </w:p>
    <w:p w:rsidR="00AE73E2" w:rsidRDefault="00AE73E2" w:rsidP="00AE73E2">
      <w:pPr>
        <w:spacing w:after="0" w:line="276" w:lineRule="auto"/>
        <w:jc w:val="center"/>
      </w:pPr>
    </w:p>
    <w:p w:rsidR="00AE73E2" w:rsidRPr="0076045F" w:rsidRDefault="00AE73E2" w:rsidP="00AE73E2">
      <w:pPr>
        <w:pStyle w:val="CM4"/>
        <w:spacing w:line="240" w:lineRule="auto"/>
        <w:jc w:val="center"/>
        <w:rPr>
          <w:bCs/>
          <w:i/>
        </w:rPr>
      </w:pPr>
      <w:r w:rsidRPr="0076045F">
        <w:rPr>
          <w:bCs/>
          <w:i/>
        </w:rPr>
        <w:t>Corresponding Author</w:t>
      </w:r>
    </w:p>
    <w:p w:rsidR="00AE73E2" w:rsidRPr="005B2FFB" w:rsidRDefault="00AE73E2" w:rsidP="00AE73E2">
      <w:pPr>
        <w:pStyle w:val="CM4"/>
        <w:spacing w:line="240" w:lineRule="auto"/>
        <w:jc w:val="center"/>
        <w:rPr>
          <w:b/>
          <w:bCs/>
          <w:sz w:val="12"/>
          <w:szCs w:val="12"/>
        </w:rPr>
      </w:pPr>
    </w:p>
    <w:p w:rsidR="00AE73E2" w:rsidRPr="0076045F" w:rsidRDefault="00AE73E2" w:rsidP="00AE73E2">
      <w:pPr>
        <w:pStyle w:val="CM4"/>
        <w:spacing w:before="60" w:line="240" w:lineRule="auto"/>
        <w:jc w:val="center"/>
      </w:pPr>
      <w:r w:rsidRPr="0076045F">
        <w:rPr>
          <w:b/>
          <w:bCs/>
        </w:rPr>
        <w:t>John Gibson</w:t>
      </w:r>
    </w:p>
    <w:p w:rsidR="00AE73E2" w:rsidRDefault="00AE73E2" w:rsidP="00AE73E2">
      <w:pPr>
        <w:pStyle w:val="CM23"/>
        <w:spacing w:after="0"/>
        <w:jc w:val="center"/>
      </w:pPr>
      <w:r w:rsidRPr="0076045F">
        <w:t xml:space="preserve">School of Accounting, Finance </w:t>
      </w:r>
    </w:p>
    <w:p w:rsidR="00AE73E2" w:rsidRPr="0076045F" w:rsidRDefault="00AE73E2" w:rsidP="00AE73E2">
      <w:pPr>
        <w:pStyle w:val="CM23"/>
        <w:spacing w:after="0"/>
        <w:jc w:val="center"/>
      </w:pPr>
      <w:r>
        <w:t xml:space="preserve">and </w:t>
      </w:r>
      <w:r w:rsidRPr="0076045F">
        <w:t>Economics</w:t>
      </w:r>
    </w:p>
    <w:p w:rsidR="00AE73E2" w:rsidRPr="0076045F" w:rsidRDefault="00AE73E2" w:rsidP="00AE73E2">
      <w:pPr>
        <w:pStyle w:val="CM23"/>
        <w:spacing w:after="0"/>
        <w:jc w:val="center"/>
      </w:pPr>
      <w:r w:rsidRPr="0076045F">
        <w:t>University of Waikato</w:t>
      </w:r>
    </w:p>
    <w:p w:rsidR="00AE73E2" w:rsidRPr="0076045F" w:rsidRDefault="00AE73E2" w:rsidP="00AE73E2">
      <w:pPr>
        <w:pStyle w:val="CM23"/>
        <w:spacing w:after="0"/>
        <w:jc w:val="center"/>
      </w:pPr>
      <w:r w:rsidRPr="0076045F">
        <w:t>Private Bag 3105</w:t>
      </w:r>
    </w:p>
    <w:p w:rsidR="00AE73E2" w:rsidRPr="0076045F" w:rsidRDefault="00AE73E2" w:rsidP="00AE73E2">
      <w:pPr>
        <w:pStyle w:val="CM23"/>
        <w:spacing w:after="0"/>
        <w:jc w:val="center"/>
      </w:pPr>
      <w:r w:rsidRPr="0076045F">
        <w:t>Hamilton, 3240</w:t>
      </w:r>
    </w:p>
    <w:p w:rsidR="00AE73E2" w:rsidRPr="0076045F" w:rsidRDefault="00AE73E2" w:rsidP="00AE73E2">
      <w:pPr>
        <w:pStyle w:val="CM23"/>
        <w:spacing w:after="0"/>
        <w:jc w:val="center"/>
      </w:pPr>
      <w:r w:rsidRPr="0076045F">
        <w:t xml:space="preserve">New Zealand </w:t>
      </w:r>
    </w:p>
    <w:p w:rsidR="00AE73E2" w:rsidRPr="00CD094B" w:rsidRDefault="00AE73E2" w:rsidP="00AE73E2">
      <w:pPr>
        <w:pStyle w:val="Default"/>
        <w:rPr>
          <w:sz w:val="12"/>
          <w:szCs w:val="12"/>
        </w:rPr>
      </w:pPr>
    </w:p>
    <w:p w:rsidR="00AE73E2" w:rsidRPr="0076045F" w:rsidRDefault="00AE73E2" w:rsidP="00AE73E2">
      <w:pPr>
        <w:pStyle w:val="Default"/>
        <w:jc w:val="center"/>
      </w:pPr>
      <w:r w:rsidRPr="0076045F">
        <w:t>Tel: +64 (7) 838 4289</w:t>
      </w:r>
    </w:p>
    <w:p w:rsidR="00AE73E2" w:rsidRPr="0076045F" w:rsidRDefault="00AE73E2" w:rsidP="00AE73E2">
      <w:pPr>
        <w:pStyle w:val="CM3"/>
        <w:jc w:val="center"/>
        <w:rPr>
          <w:bCs/>
        </w:rPr>
      </w:pPr>
      <w:r w:rsidRPr="0076045F">
        <w:rPr>
          <w:bCs/>
        </w:rPr>
        <w:t>Email: jkgibson@waikato.ac.nz</w:t>
      </w:r>
    </w:p>
    <w:p w:rsidR="00AE73E2" w:rsidRPr="00AE73E2" w:rsidRDefault="00AE73E2" w:rsidP="00AE73E2">
      <w:pPr>
        <w:spacing w:after="0" w:line="276" w:lineRule="auto"/>
        <w:jc w:val="center"/>
        <w:rPr>
          <w:lang w:val="en-US"/>
        </w:rPr>
      </w:pPr>
    </w:p>
    <w:p w:rsidR="00AE73E2" w:rsidRPr="0076045F" w:rsidRDefault="00AE73E2" w:rsidP="00AE73E2">
      <w:pPr>
        <w:pStyle w:val="CM23"/>
        <w:spacing w:after="0"/>
        <w:jc w:val="center"/>
        <w:rPr>
          <w:b/>
        </w:rPr>
      </w:pPr>
      <w:r>
        <w:rPr>
          <w:b/>
        </w:rPr>
        <w:t>Geua Boe-Gibson</w:t>
      </w:r>
    </w:p>
    <w:p w:rsidR="00AE73E2" w:rsidRDefault="00AE73E2" w:rsidP="00AE73E2">
      <w:pPr>
        <w:pStyle w:val="CM23"/>
        <w:spacing w:after="0"/>
        <w:jc w:val="center"/>
      </w:pPr>
      <w:r w:rsidRPr="0076045F">
        <w:t>School of Accounting, Finance</w:t>
      </w:r>
    </w:p>
    <w:p w:rsidR="00AE73E2" w:rsidRPr="0076045F" w:rsidRDefault="00AE73E2" w:rsidP="00AE73E2">
      <w:pPr>
        <w:pStyle w:val="CM23"/>
        <w:spacing w:after="0"/>
        <w:jc w:val="center"/>
      </w:pPr>
      <w:r>
        <w:t>and</w:t>
      </w:r>
      <w:r w:rsidRPr="0076045F">
        <w:t xml:space="preserve"> Economics</w:t>
      </w:r>
    </w:p>
    <w:p w:rsidR="00AE73E2" w:rsidRPr="0076045F" w:rsidRDefault="00AE73E2" w:rsidP="00AF547A">
      <w:pPr>
        <w:pStyle w:val="CM23"/>
        <w:spacing w:after="0"/>
        <w:jc w:val="center"/>
      </w:pPr>
      <w:r w:rsidRPr="0076045F">
        <w:t xml:space="preserve">University of Waikato </w:t>
      </w:r>
    </w:p>
    <w:p w:rsidR="005D3F48" w:rsidRDefault="005D3F48" w:rsidP="005D3F48">
      <w:pPr>
        <w:spacing w:line="240" w:lineRule="auto"/>
        <w:jc w:val="center"/>
        <w:rPr>
          <w:b/>
          <w:bCs/>
        </w:rPr>
      </w:pPr>
    </w:p>
    <w:p w:rsidR="005D3F48" w:rsidRDefault="005D3F48" w:rsidP="005D3F48">
      <w:pPr>
        <w:spacing w:line="240" w:lineRule="auto"/>
        <w:jc w:val="center"/>
        <w:rPr>
          <w:b/>
          <w:bCs/>
        </w:rPr>
      </w:pPr>
    </w:p>
    <w:p w:rsidR="00C637EE" w:rsidRDefault="00C637EE" w:rsidP="005D3F48">
      <w:pPr>
        <w:spacing w:line="240" w:lineRule="auto"/>
        <w:jc w:val="center"/>
        <w:rPr>
          <w:b/>
          <w:bCs/>
        </w:rPr>
        <w:sectPr w:rsidR="00C637EE" w:rsidSect="00735A9C">
          <w:footerReference w:type="default" r:id="rId8"/>
          <w:pgSz w:w="11906" w:h="16838"/>
          <w:pgMar w:top="1440" w:right="1440" w:bottom="1440" w:left="1440" w:header="708" w:footer="708" w:gutter="0"/>
          <w:pgNumType w:start="0"/>
          <w:cols w:space="708"/>
          <w:titlePg/>
          <w:docGrid w:linePitch="360"/>
        </w:sectPr>
      </w:pPr>
    </w:p>
    <w:p w:rsidR="005D3F48" w:rsidRDefault="005D3F48" w:rsidP="005D3F48">
      <w:pPr>
        <w:spacing w:line="240" w:lineRule="auto"/>
        <w:jc w:val="center"/>
        <w:rPr>
          <w:b/>
          <w:bCs/>
        </w:rPr>
      </w:pPr>
    </w:p>
    <w:p w:rsidR="00E67C79" w:rsidRDefault="00E67C79" w:rsidP="005D3F48">
      <w:pPr>
        <w:spacing w:line="240" w:lineRule="auto"/>
        <w:jc w:val="center"/>
        <w:rPr>
          <w:b/>
        </w:rPr>
      </w:pPr>
      <w:r w:rsidRPr="00AF7EC2">
        <w:rPr>
          <w:b/>
        </w:rPr>
        <w:t>Abstract</w:t>
      </w:r>
    </w:p>
    <w:p w:rsidR="005D3F48" w:rsidRPr="00AF7EC2" w:rsidRDefault="005D3F48" w:rsidP="005D3F48">
      <w:pPr>
        <w:spacing w:line="240" w:lineRule="auto"/>
        <w:jc w:val="center"/>
        <w:rPr>
          <w:b/>
        </w:rPr>
      </w:pPr>
    </w:p>
    <w:p w:rsidR="00E67C79" w:rsidRPr="00B37EA9" w:rsidRDefault="00AE73E2" w:rsidP="00B668C8">
      <w:pPr>
        <w:spacing w:after="0" w:line="360" w:lineRule="auto"/>
        <w:jc w:val="both"/>
        <w:rPr>
          <w:rFonts w:eastAsia="Times New Roman"/>
        </w:rPr>
      </w:pPr>
      <w:r w:rsidRPr="00133C61">
        <w:rPr>
          <w:bCs/>
          <w:lang w:val="en-US"/>
        </w:rPr>
        <w:t xml:space="preserve">In the last two decades the foreign-born </w:t>
      </w:r>
      <w:r>
        <w:rPr>
          <w:bCs/>
          <w:lang w:val="en-US"/>
        </w:rPr>
        <w:t>share of</w:t>
      </w:r>
      <w:r w:rsidRPr="00133C61">
        <w:rPr>
          <w:bCs/>
          <w:lang w:val="en-US"/>
        </w:rPr>
        <w:t xml:space="preserve"> New Zealand</w:t>
      </w:r>
      <w:r>
        <w:rPr>
          <w:bCs/>
          <w:lang w:val="en-US"/>
        </w:rPr>
        <w:t>’s</w:t>
      </w:r>
      <w:r w:rsidRPr="00133C61">
        <w:rPr>
          <w:bCs/>
          <w:lang w:val="en-US"/>
        </w:rPr>
        <w:t xml:space="preserve"> population has </w:t>
      </w:r>
      <w:r>
        <w:rPr>
          <w:bCs/>
          <w:lang w:val="en-US"/>
        </w:rPr>
        <w:t xml:space="preserve">risen far </w:t>
      </w:r>
      <w:r w:rsidRPr="00133C61">
        <w:rPr>
          <w:bCs/>
          <w:lang w:val="en-US"/>
        </w:rPr>
        <w:t>faster than in other rich countries</w:t>
      </w:r>
      <w:r>
        <w:rPr>
          <w:bCs/>
          <w:lang w:val="en-US"/>
        </w:rPr>
        <w:t>, raising questions about impacts on the native-born population. We apply spatial econometric models to a three-wave panel of 1851 census area units to examine impacts of higher foreign-born population shares on home ownership rates for the native-born.  A standard deviation higher foreign-born share is associated with a one-sixth of a standard deviation lower ownership rate for the native-born. Much of the impact is indirect, with higher foreign-born shares in one area spilling over into lower native-born ownership rates elsewhere.</w:t>
      </w:r>
    </w:p>
    <w:p w:rsidR="00E67C79" w:rsidRDefault="00E67C79" w:rsidP="00E67C79">
      <w:pPr>
        <w:tabs>
          <w:tab w:val="left" w:pos="426"/>
        </w:tabs>
        <w:spacing w:line="300" w:lineRule="auto"/>
      </w:pPr>
    </w:p>
    <w:p w:rsidR="00FE5311" w:rsidRDefault="00FE5311" w:rsidP="00E67C79">
      <w:pPr>
        <w:tabs>
          <w:tab w:val="left" w:pos="426"/>
        </w:tabs>
        <w:spacing w:line="300" w:lineRule="auto"/>
      </w:pPr>
    </w:p>
    <w:p w:rsidR="00E67C79" w:rsidRPr="00CC12E6" w:rsidRDefault="00E67C79" w:rsidP="00E67C79">
      <w:pPr>
        <w:spacing w:after="0" w:line="300" w:lineRule="auto"/>
        <w:jc w:val="center"/>
        <w:rPr>
          <w:rFonts w:eastAsia="Times New Roman"/>
          <w:b/>
          <w:lang w:val="en-US"/>
        </w:rPr>
      </w:pPr>
      <w:r w:rsidRPr="00CC12E6">
        <w:rPr>
          <w:rFonts w:eastAsia="Times New Roman"/>
          <w:b/>
          <w:lang w:val="en-US"/>
        </w:rPr>
        <w:t>Keywords</w:t>
      </w:r>
    </w:p>
    <w:p w:rsidR="00E67C79" w:rsidRDefault="005D3F48" w:rsidP="00B668C8">
      <w:pPr>
        <w:spacing w:after="0" w:line="360" w:lineRule="auto"/>
        <w:jc w:val="center"/>
        <w:rPr>
          <w:rFonts w:eastAsia="Times New Roman"/>
          <w:bCs/>
          <w:lang w:val="en-US"/>
        </w:rPr>
      </w:pPr>
      <w:r>
        <w:rPr>
          <w:rFonts w:eastAsia="Batang"/>
          <w:lang w:val="en-US" w:eastAsia="ko-KR"/>
        </w:rPr>
        <w:t>immigration</w:t>
      </w:r>
    </w:p>
    <w:p w:rsidR="00E67C79" w:rsidRDefault="005D3F48" w:rsidP="00B668C8">
      <w:pPr>
        <w:spacing w:after="0" w:line="360" w:lineRule="auto"/>
        <w:jc w:val="center"/>
        <w:rPr>
          <w:rFonts w:eastAsia="Times New Roman"/>
          <w:bCs/>
          <w:lang w:val="en-US"/>
        </w:rPr>
      </w:pPr>
      <w:r>
        <w:rPr>
          <w:rFonts w:eastAsia="Batang"/>
          <w:lang w:val="en-US" w:eastAsia="ko-KR"/>
        </w:rPr>
        <w:t>home ownership</w:t>
      </w:r>
    </w:p>
    <w:p w:rsidR="00E67C79" w:rsidRDefault="005D3F48" w:rsidP="00B668C8">
      <w:pPr>
        <w:spacing w:after="0" w:line="360" w:lineRule="auto"/>
        <w:jc w:val="center"/>
        <w:rPr>
          <w:rFonts w:eastAsia="Times New Roman"/>
          <w:bCs/>
          <w:lang w:val="en-US"/>
        </w:rPr>
      </w:pPr>
      <w:r>
        <w:rPr>
          <w:rFonts w:eastAsia="Times New Roman"/>
          <w:bCs/>
          <w:lang w:val="en-US"/>
        </w:rPr>
        <w:t>spatial spillovers</w:t>
      </w:r>
    </w:p>
    <w:p w:rsidR="00E67C79" w:rsidRPr="00CC12E6" w:rsidRDefault="005D3F48" w:rsidP="00B668C8">
      <w:pPr>
        <w:spacing w:after="0" w:line="360" w:lineRule="auto"/>
        <w:jc w:val="center"/>
        <w:rPr>
          <w:rFonts w:eastAsia="Times New Roman"/>
          <w:bCs/>
          <w:lang w:val="en-US"/>
        </w:rPr>
      </w:pPr>
      <w:r>
        <w:rPr>
          <w:rFonts w:eastAsia="Times New Roman"/>
          <w:bCs/>
          <w:lang w:val="en-US"/>
        </w:rPr>
        <w:t>New Zealand</w:t>
      </w:r>
      <w:r>
        <w:rPr>
          <w:rFonts w:eastAsia="Times New Roman"/>
          <w:bCs/>
          <w:lang w:val="en-US"/>
        </w:rPr>
        <w:br/>
      </w:r>
    </w:p>
    <w:p w:rsidR="00E67C79" w:rsidRPr="00CC12E6" w:rsidRDefault="00E67C79" w:rsidP="00E67C79">
      <w:pPr>
        <w:spacing w:after="0" w:line="300" w:lineRule="auto"/>
        <w:jc w:val="center"/>
        <w:rPr>
          <w:rFonts w:eastAsia="Times New Roman"/>
          <w:b/>
          <w:lang w:val="en-US"/>
        </w:rPr>
      </w:pPr>
      <w:r w:rsidRPr="00CC12E6">
        <w:rPr>
          <w:rFonts w:eastAsia="Times New Roman"/>
          <w:b/>
          <w:lang w:val="en-US"/>
        </w:rPr>
        <w:t>JEL Classification</w:t>
      </w:r>
    </w:p>
    <w:p w:rsidR="005D3F48" w:rsidRDefault="00AE73E2" w:rsidP="00AE73E2">
      <w:pPr>
        <w:spacing w:after="0" w:line="300" w:lineRule="auto"/>
        <w:jc w:val="center"/>
        <w:rPr>
          <w:rFonts w:eastAsia="Batang"/>
          <w:lang w:val="en-US" w:eastAsia="ko-KR"/>
        </w:rPr>
      </w:pPr>
      <w:r>
        <w:rPr>
          <w:rFonts w:eastAsia="Batang"/>
          <w:lang w:val="en-US" w:eastAsia="ko-KR"/>
        </w:rPr>
        <w:t>J61</w:t>
      </w:r>
    </w:p>
    <w:p w:rsidR="00E67C79" w:rsidRPr="00E67C79" w:rsidRDefault="00AE73E2" w:rsidP="00AE73E2">
      <w:pPr>
        <w:spacing w:after="0" w:line="300" w:lineRule="auto"/>
        <w:jc w:val="center"/>
        <w:rPr>
          <w:rFonts w:eastAsia="Times New Roman"/>
          <w:bCs/>
        </w:rPr>
      </w:pPr>
      <w:r>
        <w:rPr>
          <w:rFonts w:eastAsia="Batang"/>
          <w:lang w:val="en-US" w:eastAsia="ko-KR"/>
        </w:rPr>
        <w:t>R31</w:t>
      </w:r>
    </w:p>
    <w:p w:rsidR="00E67C79" w:rsidRPr="00E67C79" w:rsidRDefault="00E67C79" w:rsidP="00E67C79">
      <w:pPr>
        <w:spacing w:after="0" w:line="300" w:lineRule="auto"/>
        <w:rPr>
          <w:rFonts w:eastAsia="Times New Roman"/>
          <w:bCs/>
        </w:rPr>
      </w:pPr>
    </w:p>
    <w:p w:rsidR="00E67C79" w:rsidRDefault="00E67C79" w:rsidP="00E67C79">
      <w:pPr>
        <w:spacing w:after="0" w:line="300" w:lineRule="auto"/>
        <w:rPr>
          <w:rFonts w:eastAsia="Times New Roman"/>
          <w:bCs/>
        </w:rPr>
      </w:pPr>
    </w:p>
    <w:p w:rsidR="00B668C8" w:rsidRDefault="00B668C8" w:rsidP="00E67C79">
      <w:pPr>
        <w:spacing w:after="0" w:line="300" w:lineRule="auto"/>
        <w:rPr>
          <w:rFonts w:eastAsia="Times New Roman"/>
          <w:bCs/>
        </w:rPr>
      </w:pPr>
    </w:p>
    <w:p w:rsidR="00B668C8" w:rsidRDefault="00B668C8" w:rsidP="00E67C79">
      <w:pPr>
        <w:spacing w:after="0" w:line="300" w:lineRule="auto"/>
        <w:rPr>
          <w:rFonts w:eastAsia="Times New Roman"/>
          <w:bCs/>
        </w:rPr>
      </w:pPr>
    </w:p>
    <w:p w:rsidR="00B668C8" w:rsidRPr="00E67C79" w:rsidRDefault="00B668C8" w:rsidP="00E67C79">
      <w:pPr>
        <w:spacing w:after="0" w:line="300" w:lineRule="auto"/>
        <w:rPr>
          <w:rFonts w:eastAsia="Times New Roman"/>
          <w:bCs/>
        </w:rPr>
      </w:pPr>
    </w:p>
    <w:p w:rsidR="00E67C79" w:rsidRPr="005B6573" w:rsidRDefault="00E67C79" w:rsidP="00E67C79">
      <w:pPr>
        <w:spacing w:after="0" w:line="300" w:lineRule="auto"/>
        <w:jc w:val="center"/>
        <w:rPr>
          <w:rFonts w:eastAsia="Times New Roman"/>
          <w:b/>
        </w:rPr>
      </w:pPr>
      <w:r w:rsidRPr="005B6573">
        <w:rPr>
          <w:rFonts w:eastAsia="Times New Roman"/>
          <w:b/>
        </w:rPr>
        <w:t>Acknowledgements</w:t>
      </w:r>
    </w:p>
    <w:p w:rsidR="00E67C79" w:rsidRPr="005D3F48" w:rsidRDefault="005D3F48" w:rsidP="005D3F48">
      <w:pPr>
        <w:tabs>
          <w:tab w:val="left" w:pos="426"/>
        </w:tabs>
        <w:spacing w:line="300" w:lineRule="auto"/>
        <w:jc w:val="both"/>
        <w:rPr>
          <w:bCs/>
        </w:rPr>
      </w:pPr>
      <w:r w:rsidRPr="005D3F48">
        <w:t>Access to the data used in this study was provided by Statistics New Zealand under conditions designed to give effect to the security and confidentiality provisions of the Statistics Act 1975. The results presented in this study are the work of the authors, not Statistics New Zealand or individual data suppliers.</w:t>
      </w:r>
    </w:p>
    <w:p w:rsidR="005D3F48" w:rsidRDefault="005D3F48">
      <w:pPr>
        <w:rPr>
          <w:rFonts w:cs="Arial"/>
          <w:b/>
          <w:bCs/>
          <w:sz w:val="28"/>
          <w:szCs w:val="28"/>
        </w:rPr>
      </w:pPr>
      <w:r>
        <w:rPr>
          <w:rFonts w:cs="Arial"/>
          <w:b/>
          <w:bCs/>
          <w:sz w:val="28"/>
          <w:szCs w:val="28"/>
        </w:rPr>
        <w:br w:type="page"/>
      </w:r>
    </w:p>
    <w:p w:rsidR="002C5B8B" w:rsidRPr="008A622D" w:rsidRDefault="004327EE" w:rsidP="00675115">
      <w:pPr>
        <w:spacing w:after="0" w:line="360" w:lineRule="auto"/>
        <w:rPr>
          <w:rFonts w:asciiTheme="majorBidi" w:hAnsiTheme="majorBidi" w:cstheme="majorBidi"/>
          <w:bCs/>
          <w:lang w:val="en-AU"/>
        </w:rPr>
      </w:pPr>
      <w:r w:rsidRPr="008A622D">
        <w:rPr>
          <w:rFonts w:asciiTheme="majorBidi" w:hAnsiTheme="majorBidi" w:cstheme="majorBidi"/>
          <w:b/>
          <w:bCs/>
        </w:rPr>
        <w:lastRenderedPageBreak/>
        <w:t>I.</w:t>
      </w:r>
      <w:r w:rsidRPr="008A622D">
        <w:rPr>
          <w:rFonts w:asciiTheme="majorBidi" w:hAnsiTheme="majorBidi" w:cstheme="majorBidi"/>
          <w:b/>
          <w:bCs/>
        </w:rPr>
        <w:tab/>
        <w:t>Introduction</w:t>
      </w:r>
      <w:r w:rsidRPr="008A622D">
        <w:rPr>
          <w:rFonts w:asciiTheme="majorBidi" w:hAnsiTheme="majorBidi" w:cstheme="majorBidi"/>
          <w:bCs/>
          <w:lang w:val="en-AU"/>
        </w:rPr>
        <w:t xml:space="preserve"> </w:t>
      </w:r>
    </w:p>
    <w:p w:rsidR="00133C61" w:rsidRPr="008A622D" w:rsidRDefault="00133C61" w:rsidP="009E3CD4">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In the last two decades the foreign-born share of New Zealand’s population has risen faster than in other rich countries. Figure 1 shows foreign-born shares from New Zealand’s four most recent census years: 2001, 2006, 2013 and 2018. Over this period, the foreign-born share went from 18% to 26%</w:t>
      </w:r>
      <w:r w:rsidRPr="008A622D">
        <w:rPr>
          <w:rStyle w:val="hgkelc"/>
          <w:rFonts w:asciiTheme="majorBidi" w:hAnsiTheme="majorBidi" w:cstheme="majorBidi"/>
        </w:rPr>
        <w:t>—</w:t>
      </w:r>
      <w:r w:rsidRPr="008A622D">
        <w:rPr>
          <w:rFonts w:asciiTheme="majorBidi" w:hAnsiTheme="majorBidi" w:cstheme="majorBidi"/>
          <w:bCs/>
          <w:lang w:val="en-US"/>
        </w:rPr>
        <w:t xml:space="preserve">a proportionate increase of 44%. In contrast, the proportionate increase in the foreign-born share in Australia was only 26%, with the gap between Australia and New Zealand in the foreign-born share almost halving over these 17 years. </w:t>
      </w:r>
      <w:r w:rsidR="00C61245" w:rsidRPr="008A622D">
        <w:rPr>
          <w:rFonts w:asciiTheme="majorBidi" w:hAnsiTheme="majorBidi" w:cstheme="majorBidi"/>
          <w:bCs/>
          <w:lang w:val="en-US"/>
        </w:rPr>
        <w:t>In</w:t>
      </w:r>
      <w:r w:rsidRPr="008A622D">
        <w:rPr>
          <w:rFonts w:asciiTheme="majorBidi" w:hAnsiTheme="majorBidi" w:cstheme="majorBidi"/>
          <w:bCs/>
          <w:lang w:val="en-US"/>
        </w:rPr>
        <w:t xml:space="preserve"> </w:t>
      </w:r>
      <w:r w:rsidR="00C61245" w:rsidRPr="008A622D">
        <w:rPr>
          <w:rFonts w:asciiTheme="majorBidi" w:hAnsiTheme="majorBidi" w:cstheme="majorBidi"/>
          <w:bCs/>
          <w:lang w:val="en-US"/>
        </w:rPr>
        <w:t>other small OECD countries</w:t>
      </w:r>
      <w:r w:rsidRPr="008A622D">
        <w:rPr>
          <w:rFonts w:asciiTheme="majorBidi" w:hAnsiTheme="majorBidi" w:cstheme="majorBidi"/>
          <w:bCs/>
          <w:lang w:val="en-US"/>
        </w:rPr>
        <w:t xml:space="preserve"> there is no rise in the foreign-born share if one restricts attention to those with less than four million population, or else there are </w:t>
      </w:r>
      <w:r w:rsidR="00EA4D34" w:rsidRPr="008A622D">
        <w:rPr>
          <w:rFonts w:asciiTheme="majorBidi" w:hAnsiTheme="majorBidi" w:cstheme="majorBidi"/>
          <w:bCs/>
          <w:lang w:val="en-US"/>
        </w:rPr>
        <w:t xml:space="preserve">rises </w:t>
      </w:r>
      <w:r w:rsidRPr="008A622D">
        <w:rPr>
          <w:rFonts w:asciiTheme="majorBidi" w:hAnsiTheme="majorBidi" w:cstheme="majorBidi"/>
          <w:bCs/>
          <w:lang w:val="en-US"/>
        </w:rPr>
        <w:t xml:space="preserve">of </w:t>
      </w:r>
      <w:r w:rsidR="00EA4D34" w:rsidRPr="008A622D">
        <w:rPr>
          <w:rFonts w:asciiTheme="majorBidi" w:hAnsiTheme="majorBidi" w:cstheme="majorBidi"/>
          <w:bCs/>
          <w:lang w:val="en-US"/>
        </w:rPr>
        <w:t>just one-fifth (one-eighth) i</w:t>
      </w:r>
      <w:r w:rsidRPr="008A622D">
        <w:rPr>
          <w:rFonts w:asciiTheme="majorBidi" w:hAnsiTheme="majorBidi" w:cstheme="majorBidi"/>
          <w:bCs/>
          <w:lang w:val="en-US"/>
        </w:rPr>
        <w:t>f considering countries with less than six million (ten million) population.</w:t>
      </w:r>
      <w:r w:rsidR="00C61245" w:rsidRPr="008A622D">
        <w:rPr>
          <w:rStyle w:val="FootnoteReference"/>
          <w:rFonts w:asciiTheme="majorBidi" w:hAnsiTheme="majorBidi" w:cstheme="majorBidi"/>
          <w:bCs/>
          <w:lang w:val="en-US"/>
        </w:rPr>
        <w:footnoteReference w:id="1"/>
      </w:r>
      <w:r w:rsidRPr="008A622D">
        <w:rPr>
          <w:rFonts w:asciiTheme="majorBidi" w:hAnsiTheme="majorBidi" w:cstheme="majorBidi"/>
          <w:bCs/>
          <w:lang w:val="en-US"/>
        </w:rPr>
        <w:t xml:space="preserve"> </w:t>
      </w:r>
      <w:r w:rsidR="00C61245" w:rsidRPr="008A622D">
        <w:rPr>
          <w:rFonts w:asciiTheme="majorBidi" w:hAnsiTheme="majorBidi" w:cstheme="majorBidi"/>
          <w:bCs/>
          <w:lang w:val="en-US"/>
        </w:rPr>
        <w:t xml:space="preserve">Across </w:t>
      </w:r>
      <w:r w:rsidRPr="008A622D">
        <w:rPr>
          <w:rFonts w:asciiTheme="majorBidi" w:hAnsiTheme="majorBidi" w:cstheme="majorBidi"/>
          <w:bCs/>
          <w:lang w:val="en-US"/>
        </w:rPr>
        <w:t xml:space="preserve">all three definitions of small OECD countries, by 2018 New Zealand had double or more </w:t>
      </w:r>
      <w:r w:rsidR="00C61245" w:rsidRPr="008A622D">
        <w:rPr>
          <w:rFonts w:asciiTheme="majorBidi" w:hAnsiTheme="majorBidi" w:cstheme="majorBidi"/>
          <w:bCs/>
          <w:lang w:val="en-US"/>
        </w:rPr>
        <w:t xml:space="preserve">than double </w:t>
      </w:r>
      <w:r w:rsidRPr="008A622D">
        <w:rPr>
          <w:rFonts w:asciiTheme="majorBidi" w:hAnsiTheme="majorBidi" w:cstheme="majorBidi"/>
          <w:bCs/>
          <w:lang w:val="en-US"/>
        </w:rPr>
        <w:t xml:space="preserve">the share of foreign-born population than </w:t>
      </w:r>
      <w:r w:rsidR="00BA791D" w:rsidRPr="008A622D">
        <w:rPr>
          <w:rFonts w:asciiTheme="majorBidi" w:hAnsiTheme="majorBidi" w:cstheme="majorBidi"/>
          <w:bCs/>
          <w:lang w:val="en-US"/>
        </w:rPr>
        <w:t xml:space="preserve">is </w:t>
      </w:r>
      <w:r w:rsidRPr="008A622D">
        <w:rPr>
          <w:rFonts w:asciiTheme="majorBidi" w:hAnsiTheme="majorBidi" w:cstheme="majorBidi"/>
          <w:bCs/>
          <w:lang w:val="en-US"/>
        </w:rPr>
        <w:t>found in the typical small OECD country.</w:t>
      </w:r>
    </w:p>
    <w:p w:rsidR="004C344C" w:rsidRPr="008A622D" w:rsidRDefault="004C344C" w:rsidP="009E3CD4">
      <w:pPr>
        <w:widowControl w:val="0"/>
        <w:spacing w:after="0" w:line="240" w:lineRule="auto"/>
        <w:jc w:val="center"/>
        <w:rPr>
          <w:rFonts w:asciiTheme="majorBidi" w:hAnsiTheme="majorBidi" w:cstheme="majorBidi"/>
          <w:bCs/>
          <w:lang w:val="en-US"/>
        </w:rPr>
      </w:pPr>
      <w:r w:rsidRPr="008A622D">
        <w:rPr>
          <w:rFonts w:asciiTheme="majorBidi" w:hAnsiTheme="majorBidi" w:cstheme="majorBidi"/>
          <w:bCs/>
          <w:noProof/>
          <w:lang w:eastAsia="zh-CN"/>
        </w:rPr>
        <w:drawing>
          <wp:inline distT="0" distB="0" distL="0" distR="0">
            <wp:extent cx="5547360" cy="322326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2E59" w:rsidRDefault="00A1606E" w:rsidP="009E3CD4">
      <w:pPr>
        <w:widowControl w:val="0"/>
        <w:spacing w:after="0" w:line="288" w:lineRule="auto"/>
        <w:ind w:firstLine="720"/>
        <w:jc w:val="both"/>
        <w:rPr>
          <w:rFonts w:asciiTheme="majorBidi" w:hAnsiTheme="majorBidi" w:cstheme="majorBidi"/>
          <w:bCs/>
          <w:lang w:val="en-US"/>
        </w:rPr>
        <w:sectPr w:rsidR="005C2E59" w:rsidSect="00C637EE">
          <w:pgSz w:w="11906" w:h="16838"/>
          <w:pgMar w:top="1440" w:right="1440" w:bottom="1440" w:left="1440" w:header="708" w:footer="708" w:gutter="0"/>
          <w:pgNumType w:start="0"/>
          <w:cols w:space="708"/>
          <w:titlePg/>
          <w:docGrid w:linePitch="360"/>
        </w:sectPr>
      </w:pPr>
      <w:r w:rsidRPr="008A622D">
        <w:rPr>
          <w:rFonts w:asciiTheme="majorBidi" w:hAnsiTheme="majorBidi" w:cstheme="majorBidi"/>
          <w:bCs/>
          <w:lang w:val="en-US"/>
        </w:rPr>
        <w:t>This</w:t>
      </w:r>
      <w:r w:rsidR="001E7DBB" w:rsidRPr="008A622D">
        <w:rPr>
          <w:rFonts w:asciiTheme="majorBidi" w:hAnsiTheme="majorBidi" w:cstheme="majorBidi"/>
          <w:bCs/>
          <w:lang w:val="en-US"/>
        </w:rPr>
        <w:t xml:space="preserve"> </w:t>
      </w:r>
      <w:r w:rsidR="00E61E6D" w:rsidRPr="008A622D">
        <w:rPr>
          <w:rFonts w:asciiTheme="majorBidi" w:hAnsiTheme="majorBidi" w:cstheme="majorBidi"/>
          <w:bCs/>
          <w:lang w:val="en-US"/>
        </w:rPr>
        <w:t xml:space="preserve">rise </w:t>
      </w:r>
      <w:r w:rsidR="00A046B0" w:rsidRPr="008A622D">
        <w:rPr>
          <w:rFonts w:asciiTheme="majorBidi" w:hAnsiTheme="majorBidi" w:cstheme="majorBidi"/>
          <w:bCs/>
          <w:lang w:val="en-US"/>
        </w:rPr>
        <w:t>in</w:t>
      </w:r>
      <w:r w:rsidRPr="008A622D">
        <w:rPr>
          <w:rFonts w:asciiTheme="majorBidi" w:hAnsiTheme="majorBidi" w:cstheme="majorBidi"/>
          <w:bCs/>
          <w:lang w:val="en-US"/>
        </w:rPr>
        <w:t xml:space="preserve"> immigration </w:t>
      </w:r>
      <w:r w:rsidR="00A046B0" w:rsidRPr="008A622D">
        <w:rPr>
          <w:rFonts w:asciiTheme="majorBidi" w:hAnsiTheme="majorBidi" w:cstheme="majorBidi"/>
          <w:bCs/>
          <w:lang w:val="en-US"/>
        </w:rPr>
        <w:t xml:space="preserve">shows up in </w:t>
      </w:r>
      <w:r w:rsidRPr="008A622D">
        <w:rPr>
          <w:rFonts w:asciiTheme="majorBidi" w:hAnsiTheme="majorBidi" w:cstheme="majorBidi"/>
          <w:bCs/>
          <w:lang w:val="en-US"/>
        </w:rPr>
        <w:t xml:space="preserve">uneven </w:t>
      </w:r>
      <w:r w:rsidR="00A046B0" w:rsidRPr="008A622D">
        <w:rPr>
          <w:rFonts w:asciiTheme="majorBidi" w:hAnsiTheme="majorBidi" w:cstheme="majorBidi"/>
          <w:bCs/>
          <w:lang w:val="en-US"/>
        </w:rPr>
        <w:t xml:space="preserve">ways </w:t>
      </w:r>
      <w:r w:rsidRPr="008A622D">
        <w:rPr>
          <w:rFonts w:asciiTheme="majorBidi" w:hAnsiTheme="majorBidi" w:cstheme="majorBidi"/>
          <w:bCs/>
          <w:lang w:val="en-US"/>
        </w:rPr>
        <w:t>within New Zealand</w:t>
      </w:r>
      <w:r w:rsidR="00E61E6D" w:rsidRPr="008A622D">
        <w:rPr>
          <w:rFonts w:asciiTheme="majorBidi" w:hAnsiTheme="majorBidi" w:cstheme="majorBidi"/>
          <w:bCs/>
          <w:lang w:val="en-US"/>
        </w:rPr>
        <w:t>, as</w:t>
      </w:r>
      <w:r w:rsidRPr="008A622D">
        <w:rPr>
          <w:rFonts w:asciiTheme="majorBidi" w:hAnsiTheme="majorBidi" w:cstheme="majorBidi"/>
          <w:bCs/>
          <w:lang w:val="en-US"/>
        </w:rPr>
        <w:t xml:space="preserve"> so</w:t>
      </w:r>
      <w:r w:rsidR="00A046B0" w:rsidRPr="008A622D">
        <w:rPr>
          <w:rFonts w:asciiTheme="majorBidi" w:hAnsiTheme="majorBidi" w:cstheme="majorBidi"/>
          <w:bCs/>
          <w:lang w:val="en-US"/>
        </w:rPr>
        <w:t xml:space="preserve">me areas </w:t>
      </w:r>
      <w:r w:rsidR="00E61E6D" w:rsidRPr="008A622D">
        <w:rPr>
          <w:rFonts w:asciiTheme="majorBidi" w:hAnsiTheme="majorBidi" w:cstheme="majorBidi"/>
          <w:bCs/>
          <w:lang w:val="en-US"/>
        </w:rPr>
        <w:t>saw</w:t>
      </w:r>
      <w:r w:rsidR="00A046B0" w:rsidRPr="008A622D">
        <w:rPr>
          <w:rFonts w:asciiTheme="majorBidi" w:hAnsiTheme="majorBidi" w:cstheme="majorBidi"/>
          <w:bCs/>
          <w:lang w:val="en-US"/>
        </w:rPr>
        <w:t xml:space="preserve"> far bigg</w:t>
      </w:r>
      <w:r w:rsidR="000C21D9" w:rsidRPr="008A622D">
        <w:rPr>
          <w:rFonts w:asciiTheme="majorBidi" w:hAnsiTheme="majorBidi" w:cstheme="majorBidi"/>
          <w:bCs/>
          <w:lang w:val="en-US"/>
        </w:rPr>
        <w:t xml:space="preserve">er </w:t>
      </w:r>
      <w:r w:rsidR="00E61E6D" w:rsidRPr="008A622D">
        <w:rPr>
          <w:rFonts w:asciiTheme="majorBidi" w:hAnsiTheme="majorBidi" w:cstheme="majorBidi"/>
          <w:bCs/>
          <w:lang w:val="en-US"/>
        </w:rPr>
        <w:t>rise</w:t>
      </w:r>
      <w:r w:rsidR="000C21D9" w:rsidRPr="008A622D">
        <w:rPr>
          <w:rFonts w:asciiTheme="majorBidi" w:hAnsiTheme="majorBidi" w:cstheme="majorBidi"/>
          <w:bCs/>
          <w:lang w:val="en-US"/>
        </w:rPr>
        <w:t xml:space="preserve">s in </w:t>
      </w:r>
      <w:r w:rsidR="00E61E6D" w:rsidRPr="008A622D">
        <w:rPr>
          <w:rFonts w:asciiTheme="majorBidi" w:hAnsiTheme="majorBidi" w:cstheme="majorBidi"/>
          <w:bCs/>
          <w:lang w:val="en-US"/>
        </w:rPr>
        <w:t xml:space="preserve">the </w:t>
      </w:r>
      <w:r w:rsidRPr="008A622D">
        <w:rPr>
          <w:rFonts w:asciiTheme="majorBidi" w:hAnsiTheme="majorBidi" w:cstheme="majorBidi"/>
          <w:bCs/>
          <w:lang w:val="en-US"/>
        </w:rPr>
        <w:t>foreign-born share than others. For example,</w:t>
      </w:r>
      <w:r w:rsidR="0047304A" w:rsidRPr="008A622D">
        <w:rPr>
          <w:rFonts w:asciiTheme="majorBidi" w:hAnsiTheme="majorBidi" w:cstheme="majorBidi"/>
          <w:bCs/>
          <w:lang w:val="en-US"/>
        </w:rPr>
        <w:t xml:space="preserve"> </w:t>
      </w:r>
      <w:r w:rsidR="00E61E6D" w:rsidRPr="008A622D">
        <w:rPr>
          <w:rFonts w:asciiTheme="majorBidi" w:hAnsiTheme="majorBidi" w:cstheme="majorBidi"/>
          <w:bCs/>
          <w:lang w:val="en-US"/>
        </w:rPr>
        <w:t xml:space="preserve">in </w:t>
      </w:r>
      <w:r w:rsidR="0047304A" w:rsidRPr="008A622D">
        <w:rPr>
          <w:rFonts w:asciiTheme="majorBidi" w:hAnsiTheme="majorBidi" w:cstheme="majorBidi"/>
          <w:bCs/>
          <w:lang w:val="en-US"/>
        </w:rPr>
        <w:t>South</w:t>
      </w:r>
      <w:r w:rsidRPr="008A622D">
        <w:rPr>
          <w:rFonts w:asciiTheme="majorBidi" w:hAnsiTheme="majorBidi" w:cstheme="majorBidi"/>
          <w:bCs/>
          <w:lang w:val="en-US"/>
        </w:rPr>
        <w:t xml:space="preserve"> </w:t>
      </w:r>
      <w:r w:rsidR="0047304A" w:rsidRPr="008A622D">
        <w:rPr>
          <w:rFonts w:asciiTheme="majorBidi" w:hAnsiTheme="majorBidi" w:cstheme="majorBidi"/>
          <w:bCs/>
          <w:lang w:val="en-US"/>
        </w:rPr>
        <w:t xml:space="preserve">Waikato </w:t>
      </w:r>
      <w:r w:rsidR="00E61E6D" w:rsidRPr="008A622D">
        <w:rPr>
          <w:rFonts w:asciiTheme="majorBidi" w:hAnsiTheme="majorBidi" w:cstheme="majorBidi"/>
          <w:bCs/>
          <w:lang w:val="en-US"/>
        </w:rPr>
        <w:t>the share rose</w:t>
      </w:r>
      <w:r w:rsidR="0047304A" w:rsidRPr="008A622D">
        <w:rPr>
          <w:rFonts w:asciiTheme="majorBidi" w:hAnsiTheme="majorBidi" w:cstheme="majorBidi"/>
          <w:bCs/>
          <w:lang w:val="en-US"/>
        </w:rPr>
        <w:t xml:space="preserve"> only 5% (from 0.125 to 0.131) </w:t>
      </w:r>
      <w:r w:rsidR="00E61E6D" w:rsidRPr="008A622D">
        <w:rPr>
          <w:rFonts w:asciiTheme="majorBidi" w:hAnsiTheme="majorBidi" w:cstheme="majorBidi"/>
          <w:bCs/>
          <w:lang w:val="en-US"/>
        </w:rPr>
        <w:t>between 2001 and 2013</w:t>
      </w:r>
      <w:r w:rsidR="002428BD" w:rsidRPr="008A622D">
        <w:rPr>
          <w:rFonts w:asciiTheme="majorBidi" w:hAnsiTheme="majorBidi" w:cstheme="majorBidi"/>
          <w:bCs/>
          <w:lang w:val="en-US"/>
        </w:rPr>
        <w:t xml:space="preserve"> </w:t>
      </w:r>
      <w:r w:rsidR="0047304A" w:rsidRPr="008A622D">
        <w:rPr>
          <w:rFonts w:asciiTheme="majorBidi" w:hAnsiTheme="majorBidi" w:cstheme="majorBidi"/>
          <w:bCs/>
          <w:lang w:val="en-US"/>
        </w:rPr>
        <w:t xml:space="preserve">while </w:t>
      </w:r>
      <w:r w:rsidR="002428BD" w:rsidRPr="008A622D">
        <w:rPr>
          <w:rFonts w:asciiTheme="majorBidi" w:hAnsiTheme="majorBidi" w:cstheme="majorBidi"/>
          <w:bCs/>
          <w:lang w:val="en-US"/>
        </w:rPr>
        <w:t xml:space="preserve">in the </w:t>
      </w:r>
      <w:r w:rsidR="00E61E6D" w:rsidRPr="008A622D">
        <w:rPr>
          <w:rFonts w:asciiTheme="majorBidi" w:hAnsiTheme="majorBidi" w:cstheme="majorBidi"/>
          <w:bCs/>
          <w:lang w:val="en-US"/>
        </w:rPr>
        <w:t xml:space="preserve">similarly </w:t>
      </w:r>
      <w:r w:rsidR="0047304A" w:rsidRPr="008A622D">
        <w:rPr>
          <w:rFonts w:asciiTheme="majorBidi" w:hAnsiTheme="majorBidi" w:cstheme="majorBidi"/>
          <w:bCs/>
          <w:lang w:val="en-US"/>
        </w:rPr>
        <w:t xml:space="preserve">rural </w:t>
      </w:r>
      <w:r w:rsidR="00547BE5" w:rsidRPr="008A622D">
        <w:rPr>
          <w:rFonts w:asciiTheme="majorBidi" w:hAnsiTheme="majorBidi" w:cstheme="majorBidi"/>
          <w:bCs/>
          <w:lang w:val="en-US"/>
        </w:rPr>
        <w:t xml:space="preserve">Ashburton District </w:t>
      </w:r>
      <w:r w:rsidR="0047304A" w:rsidRPr="008A622D">
        <w:rPr>
          <w:rFonts w:asciiTheme="majorBidi" w:hAnsiTheme="majorBidi" w:cstheme="majorBidi"/>
          <w:bCs/>
          <w:lang w:val="en-US"/>
        </w:rPr>
        <w:t>the foreign-born share more than double</w:t>
      </w:r>
      <w:r w:rsidR="002428BD" w:rsidRPr="008A622D">
        <w:rPr>
          <w:rFonts w:asciiTheme="majorBidi" w:hAnsiTheme="majorBidi" w:cstheme="majorBidi"/>
          <w:bCs/>
          <w:lang w:val="en-US"/>
        </w:rPr>
        <w:t>d</w:t>
      </w:r>
      <w:r w:rsidR="00547BE5" w:rsidRPr="008A622D">
        <w:rPr>
          <w:rFonts w:asciiTheme="majorBidi" w:hAnsiTheme="majorBidi" w:cstheme="majorBidi"/>
          <w:bCs/>
          <w:lang w:val="en-US"/>
        </w:rPr>
        <w:t xml:space="preserve">. </w:t>
      </w:r>
      <w:r w:rsidR="00A046B0" w:rsidRPr="008A622D">
        <w:rPr>
          <w:rFonts w:asciiTheme="majorBidi" w:hAnsiTheme="majorBidi" w:cstheme="majorBidi"/>
          <w:bCs/>
          <w:lang w:val="en-US"/>
        </w:rPr>
        <w:t xml:space="preserve">In absolute terms, </w:t>
      </w:r>
      <w:r w:rsidR="00217731" w:rsidRPr="008A622D">
        <w:rPr>
          <w:rFonts w:asciiTheme="majorBidi" w:hAnsiTheme="majorBidi" w:cstheme="majorBidi"/>
          <w:bCs/>
          <w:lang w:val="en-US"/>
        </w:rPr>
        <w:t xml:space="preserve">in parts of Auckland </w:t>
      </w:r>
      <w:r w:rsidR="00A046B0" w:rsidRPr="008A622D">
        <w:rPr>
          <w:rFonts w:asciiTheme="majorBidi" w:hAnsiTheme="majorBidi" w:cstheme="majorBidi"/>
          <w:bCs/>
          <w:lang w:val="en-US"/>
        </w:rPr>
        <w:t xml:space="preserve">the foreign-born share </w:t>
      </w:r>
      <w:r w:rsidR="002428BD" w:rsidRPr="008A622D">
        <w:rPr>
          <w:rFonts w:asciiTheme="majorBidi" w:hAnsiTheme="majorBidi" w:cstheme="majorBidi"/>
          <w:bCs/>
          <w:lang w:val="en-US"/>
        </w:rPr>
        <w:t xml:space="preserve">rose </w:t>
      </w:r>
      <w:r w:rsidR="002619E2" w:rsidRPr="008A622D">
        <w:rPr>
          <w:rFonts w:asciiTheme="majorBidi" w:hAnsiTheme="majorBidi" w:cstheme="majorBidi"/>
          <w:bCs/>
          <w:lang w:val="en-US"/>
        </w:rPr>
        <w:t>by 12 percentage points or more from 2001 to 2013 but in 15 Territorial Authorities outside of Auckland it rose by two percentage points or less. The change in foreign-born share</w:t>
      </w:r>
      <w:r w:rsidR="00EA66F3" w:rsidRPr="008A622D">
        <w:rPr>
          <w:rFonts w:asciiTheme="majorBidi" w:hAnsiTheme="majorBidi" w:cstheme="majorBidi"/>
          <w:bCs/>
          <w:lang w:val="en-US"/>
        </w:rPr>
        <w:t>s</w:t>
      </w:r>
      <w:r w:rsidR="002619E2" w:rsidRPr="008A622D">
        <w:rPr>
          <w:rFonts w:asciiTheme="majorBidi" w:hAnsiTheme="majorBidi" w:cstheme="majorBidi"/>
          <w:bCs/>
          <w:lang w:val="en-US"/>
        </w:rPr>
        <w:t xml:space="preserve"> </w:t>
      </w:r>
      <w:r w:rsidR="00274AE9" w:rsidRPr="008A622D">
        <w:rPr>
          <w:rFonts w:asciiTheme="majorBidi" w:hAnsiTheme="majorBidi" w:cstheme="majorBidi"/>
          <w:bCs/>
          <w:lang w:val="en-US"/>
        </w:rPr>
        <w:t xml:space="preserve">from </w:t>
      </w:r>
      <w:r w:rsidR="002619E2" w:rsidRPr="008A622D">
        <w:rPr>
          <w:rFonts w:asciiTheme="majorBidi" w:hAnsiTheme="majorBidi" w:cstheme="majorBidi"/>
          <w:bCs/>
          <w:lang w:val="en-US"/>
        </w:rPr>
        <w:t xml:space="preserve">the 2001 </w:t>
      </w:r>
      <w:r w:rsidR="00274AE9" w:rsidRPr="008A622D">
        <w:rPr>
          <w:rFonts w:asciiTheme="majorBidi" w:hAnsiTheme="majorBidi" w:cstheme="majorBidi"/>
          <w:bCs/>
          <w:lang w:val="en-US"/>
        </w:rPr>
        <w:t xml:space="preserve">to </w:t>
      </w:r>
      <w:r w:rsidR="002619E2" w:rsidRPr="008A622D">
        <w:rPr>
          <w:rFonts w:asciiTheme="majorBidi" w:hAnsiTheme="majorBidi" w:cstheme="majorBidi"/>
          <w:bCs/>
          <w:lang w:val="en-US"/>
        </w:rPr>
        <w:t>2013 censuses, and resulting share</w:t>
      </w:r>
      <w:r w:rsidR="00274AE9" w:rsidRPr="008A622D">
        <w:rPr>
          <w:rFonts w:asciiTheme="majorBidi" w:hAnsiTheme="majorBidi" w:cstheme="majorBidi"/>
          <w:bCs/>
          <w:lang w:val="en-US"/>
        </w:rPr>
        <w:t>s</w:t>
      </w:r>
      <w:r w:rsidR="002619E2" w:rsidRPr="008A622D">
        <w:rPr>
          <w:rFonts w:asciiTheme="majorBidi" w:hAnsiTheme="majorBidi" w:cstheme="majorBidi"/>
          <w:bCs/>
          <w:lang w:val="en-US"/>
        </w:rPr>
        <w:t xml:space="preserve"> in 2013, are mapped in Figure 2. For </w:t>
      </w:r>
      <w:r w:rsidR="00217731" w:rsidRPr="008A622D">
        <w:rPr>
          <w:rFonts w:asciiTheme="majorBidi" w:hAnsiTheme="majorBidi" w:cstheme="majorBidi"/>
          <w:bCs/>
          <w:lang w:val="en-US"/>
        </w:rPr>
        <w:t>clearer</w:t>
      </w:r>
      <w:r w:rsidR="00075759" w:rsidRPr="008A622D">
        <w:rPr>
          <w:rFonts w:asciiTheme="majorBidi" w:hAnsiTheme="majorBidi" w:cstheme="majorBidi"/>
          <w:bCs/>
          <w:lang w:val="en-US"/>
        </w:rPr>
        <w:t xml:space="preserve"> </w:t>
      </w:r>
      <w:r w:rsidR="002619E2" w:rsidRPr="008A622D">
        <w:rPr>
          <w:rFonts w:asciiTheme="majorBidi" w:hAnsiTheme="majorBidi" w:cstheme="majorBidi"/>
          <w:bCs/>
          <w:lang w:val="en-US"/>
        </w:rPr>
        <w:t xml:space="preserve">display </w:t>
      </w:r>
      <w:r w:rsidR="00075759" w:rsidRPr="008A622D">
        <w:rPr>
          <w:rFonts w:asciiTheme="majorBidi" w:hAnsiTheme="majorBidi" w:cstheme="majorBidi"/>
          <w:bCs/>
          <w:lang w:val="en-US"/>
        </w:rPr>
        <w:t xml:space="preserve">the maps use data at Territorial Authority (TA) </w:t>
      </w:r>
      <w:r w:rsidR="00075759" w:rsidRPr="000F3FBA">
        <w:rPr>
          <w:rFonts w:asciiTheme="majorBidi" w:hAnsiTheme="majorBidi" w:cstheme="majorBidi"/>
          <w:bCs/>
          <w:lang w:val="en-US"/>
        </w:rPr>
        <w:t xml:space="preserve">level </w:t>
      </w:r>
      <w:r w:rsidR="002C0CBB" w:rsidRPr="000F3FBA">
        <w:rPr>
          <w:rFonts w:asciiTheme="majorBidi" w:hAnsiTheme="majorBidi" w:cstheme="majorBidi"/>
          <w:bCs/>
          <w:lang w:val="en-US"/>
        </w:rPr>
        <w:t xml:space="preserve">(and local boards for Auckland) </w:t>
      </w:r>
      <w:r w:rsidR="00075759" w:rsidRPr="000F3FBA">
        <w:rPr>
          <w:rFonts w:asciiTheme="majorBidi" w:hAnsiTheme="majorBidi" w:cstheme="majorBidi"/>
          <w:bCs/>
          <w:lang w:val="en-US"/>
        </w:rPr>
        <w:t>but</w:t>
      </w:r>
      <w:r w:rsidR="00075759" w:rsidRPr="008A622D">
        <w:rPr>
          <w:rFonts w:asciiTheme="majorBidi" w:hAnsiTheme="majorBidi" w:cstheme="majorBidi"/>
          <w:bCs/>
          <w:lang w:val="en-US"/>
        </w:rPr>
        <w:t xml:space="preserve"> there is also considerable variation in foreign-born share</w:t>
      </w:r>
      <w:r w:rsidR="00274AE9" w:rsidRPr="008A622D">
        <w:rPr>
          <w:rFonts w:asciiTheme="majorBidi" w:hAnsiTheme="majorBidi" w:cstheme="majorBidi"/>
          <w:bCs/>
          <w:lang w:val="en-US"/>
        </w:rPr>
        <w:t>s</w:t>
      </w:r>
      <w:r w:rsidR="00075759" w:rsidRPr="008A622D">
        <w:rPr>
          <w:rFonts w:asciiTheme="majorBidi" w:hAnsiTheme="majorBidi" w:cstheme="majorBidi"/>
          <w:bCs/>
          <w:lang w:val="en-US"/>
        </w:rPr>
        <w:t xml:space="preserve"> below that level; </w:t>
      </w:r>
      <w:r w:rsidR="00274AE9" w:rsidRPr="008A622D">
        <w:rPr>
          <w:rFonts w:asciiTheme="majorBidi" w:hAnsiTheme="majorBidi" w:cstheme="majorBidi"/>
          <w:bCs/>
          <w:lang w:val="en-US"/>
        </w:rPr>
        <w:t xml:space="preserve">in </w:t>
      </w:r>
      <w:r w:rsidR="00FE317D" w:rsidRPr="008A622D">
        <w:rPr>
          <w:rFonts w:asciiTheme="majorBidi" w:hAnsiTheme="majorBidi" w:cstheme="majorBidi"/>
          <w:bCs/>
          <w:lang w:val="en-US"/>
        </w:rPr>
        <w:t xml:space="preserve">area </w:t>
      </w:r>
      <w:r w:rsidR="00075759" w:rsidRPr="008A622D">
        <w:rPr>
          <w:rFonts w:asciiTheme="majorBidi" w:hAnsiTheme="majorBidi" w:cstheme="majorBidi"/>
          <w:bCs/>
          <w:lang w:val="en-US"/>
        </w:rPr>
        <w:t xml:space="preserve">unit data </w:t>
      </w:r>
      <w:r w:rsidR="00274AE9" w:rsidRPr="008A622D">
        <w:rPr>
          <w:rFonts w:asciiTheme="majorBidi" w:hAnsiTheme="majorBidi" w:cstheme="majorBidi"/>
          <w:bCs/>
          <w:lang w:val="en-US"/>
        </w:rPr>
        <w:t xml:space="preserve">the </w:t>
      </w:r>
      <w:r w:rsidR="00075759" w:rsidRPr="008A622D">
        <w:rPr>
          <w:rFonts w:asciiTheme="majorBidi" w:hAnsiTheme="majorBidi" w:cstheme="majorBidi"/>
          <w:bCs/>
          <w:lang w:val="en-US"/>
        </w:rPr>
        <w:t xml:space="preserve">within-TA variation is almost four-fifths </w:t>
      </w:r>
      <w:r w:rsidR="002C0CBB" w:rsidRPr="008A622D">
        <w:rPr>
          <w:rFonts w:asciiTheme="majorBidi" w:hAnsiTheme="majorBidi" w:cstheme="majorBidi"/>
          <w:bCs/>
          <w:lang w:val="en-US"/>
        </w:rPr>
        <w:t xml:space="preserve">of </w:t>
      </w:r>
      <w:r w:rsidR="00274AE9" w:rsidRPr="008A622D">
        <w:rPr>
          <w:rFonts w:asciiTheme="majorBidi" w:hAnsiTheme="majorBidi" w:cstheme="majorBidi"/>
          <w:bCs/>
          <w:lang w:val="en-US"/>
        </w:rPr>
        <w:t xml:space="preserve">the </w:t>
      </w:r>
      <w:r w:rsidR="00075759" w:rsidRPr="008A622D">
        <w:rPr>
          <w:rFonts w:asciiTheme="majorBidi" w:hAnsiTheme="majorBidi" w:cstheme="majorBidi"/>
          <w:bCs/>
          <w:lang w:val="en-US"/>
        </w:rPr>
        <w:t xml:space="preserve">between-TA variation in 2013, </w:t>
      </w:r>
      <w:r w:rsidR="002C0CBB" w:rsidRPr="008A622D">
        <w:rPr>
          <w:rFonts w:asciiTheme="majorBidi" w:hAnsiTheme="majorBidi" w:cstheme="majorBidi"/>
          <w:bCs/>
          <w:lang w:val="en-US"/>
        </w:rPr>
        <w:t xml:space="preserve">with </w:t>
      </w:r>
      <w:r w:rsidR="00217731" w:rsidRPr="008A622D">
        <w:rPr>
          <w:rFonts w:asciiTheme="majorBidi" w:hAnsiTheme="majorBidi" w:cstheme="majorBidi"/>
          <w:bCs/>
          <w:lang w:val="en-US"/>
        </w:rPr>
        <w:t xml:space="preserve">the </w:t>
      </w:r>
      <w:r w:rsidR="00075759" w:rsidRPr="008A622D">
        <w:rPr>
          <w:rFonts w:asciiTheme="majorBidi" w:hAnsiTheme="majorBidi" w:cstheme="majorBidi"/>
          <w:bCs/>
          <w:lang w:val="en-US"/>
        </w:rPr>
        <w:t xml:space="preserve">within-share </w:t>
      </w:r>
      <w:r w:rsidR="002C0CBB" w:rsidRPr="008A622D">
        <w:rPr>
          <w:rFonts w:asciiTheme="majorBidi" w:hAnsiTheme="majorBidi" w:cstheme="majorBidi"/>
          <w:bCs/>
          <w:lang w:val="en-US"/>
        </w:rPr>
        <w:t>rising since</w:t>
      </w:r>
      <w:r w:rsidR="00075759" w:rsidRPr="008A622D">
        <w:rPr>
          <w:rFonts w:asciiTheme="majorBidi" w:hAnsiTheme="majorBidi" w:cstheme="majorBidi"/>
          <w:bCs/>
          <w:lang w:val="en-US"/>
        </w:rPr>
        <w:t xml:space="preserve"> 2001.</w:t>
      </w: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6917"/>
        <w:gridCol w:w="6917"/>
      </w:tblGrid>
      <w:tr w:rsidR="005C2E59" w:rsidTr="005C323B">
        <w:trPr>
          <w:trHeight w:val="454"/>
          <w:jc w:val="center"/>
        </w:trPr>
        <w:tc>
          <w:tcPr>
            <w:tcW w:w="13834" w:type="dxa"/>
            <w:gridSpan w:val="2"/>
            <w:tcBorders>
              <w:top w:val="nil"/>
              <w:left w:val="nil"/>
              <w:bottom w:val="nil"/>
              <w:right w:val="nil"/>
            </w:tcBorders>
            <w:vAlign w:val="center"/>
          </w:tcPr>
          <w:p w:rsidR="005C2E59" w:rsidRPr="00A0065E" w:rsidRDefault="005C2E59" w:rsidP="00C23239">
            <w:pPr>
              <w:jc w:val="center"/>
              <w:rPr>
                <w:noProof/>
                <w:sz w:val="22"/>
                <w:szCs w:val="22"/>
              </w:rPr>
            </w:pPr>
            <w:r w:rsidRPr="00A0065E">
              <w:rPr>
                <w:noProof/>
                <w:sz w:val="22"/>
                <w:szCs w:val="22"/>
              </w:rPr>
              <w:lastRenderedPageBreak/>
              <w:t xml:space="preserve">Figure 2: </w:t>
            </w:r>
            <w:r w:rsidR="00C23239">
              <w:rPr>
                <w:noProof/>
                <w:sz w:val="22"/>
                <w:szCs w:val="22"/>
              </w:rPr>
              <w:t>Changes in (a), and l</w:t>
            </w:r>
            <w:r w:rsidRPr="00A0065E">
              <w:rPr>
                <w:noProof/>
                <w:sz w:val="22"/>
                <w:szCs w:val="22"/>
              </w:rPr>
              <w:t xml:space="preserve">evels of </w:t>
            </w:r>
            <w:r w:rsidR="00C23239">
              <w:rPr>
                <w:noProof/>
                <w:sz w:val="22"/>
                <w:szCs w:val="22"/>
              </w:rPr>
              <w:t xml:space="preserve">(b), </w:t>
            </w:r>
            <w:r w:rsidRPr="00A0065E">
              <w:rPr>
                <w:noProof/>
                <w:sz w:val="22"/>
                <w:szCs w:val="22"/>
              </w:rPr>
              <w:t>foreign-born shares</w:t>
            </w:r>
            <w:r w:rsidR="00D66673">
              <w:rPr>
                <w:noProof/>
                <w:sz w:val="22"/>
                <w:szCs w:val="22"/>
              </w:rPr>
              <w:t xml:space="preserve"> of the population</w:t>
            </w:r>
            <w:r w:rsidRPr="00A0065E">
              <w:rPr>
                <w:noProof/>
                <w:sz w:val="22"/>
                <w:szCs w:val="22"/>
              </w:rPr>
              <w:t xml:space="preserve">, by Territorial Authority and Local Board </w:t>
            </w:r>
          </w:p>
        </w:tc>
      </w:tr>
      <w:tr w:rsidR="005C2E59" w:rsidTr="005C323B">
        <w:trPr>
          <w:jc w:val="center"/>
        </w:trPr>
        <w:tc>
          <w:tcPr>
            <w:tcW w:w="6917" w:type="dxa"/>
            <w:tcBorders>
              <w:top w:val="nil"/>
              <w:left w:val="nil"/>
              <w:bottom w:val="nil"/>
              <w:right w:val="nil"/>
            </w:tcBorders>
          </w:tcPr>
          <w:p w:rsidR="005C2E59" w:rsidRDefault="00C23239" w:rsidP="00C23239">
            <w:pPr>
              <w:jc w:val="center"/>
            </w:pPr>
            <w:r w:rsidRPr="00C23239">
              <w:rPr>
                <w:rFonts w:asciiTheme="majorBidi" w:hAnsiTheme="majorBidi" w:cstheme="majorBidi"/>
                <w:bCs/>
                <w:noProof/>
                <w:lang w:eastAsia="zh-CN"/>
              </w:rPr>
              <mc:AlternateContent>
                <mc:Choice Requires="wps">
                  <w:drawing>
                    <wp:anchor distT="45720" distB="45720" distL="114300" distR="114300" simplePos="0" relativeHeight="251659264" behindDoc="0" locked="0" layoutInCell="1" allowOverlap="1">
                      <wp:simplePos x="0" y="0"/>
                      <wp:positionH relativeFrom="column">
                        <wp:posOffset>3618230</wp:posOffset>
                      </wp:positionH>
                      <wp:positionV relativeFrom="page">
                        <wp:posOffset>138430</wp:posOffset>
                      </wp:positionV>
                      <wp:extent cx="198120" cy="2362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36220"/>
                              </a:xfrm>
                              <a:prstGeom prst="rect">
                                <a:avLst/>
                              </a:prstGeom>
                              <a:solidFill>
                                <a:srgbClr val="FFFFFF"/>
                              </a:solidFill>
                              <a:ln w="9525">
                                <a:noFill/>
                                <a:miter lim="800000"/>
                                <a:headEnd/>
                                <a:tailEnd/>
                              </a:ln>
                            </wps:spPr>
                            <wps:txbx>
                              <w:txbxContent>
                                <w:p w:rsidR="00C23239" w:rsidRPr="00C23239" w:rsidRDefault="00C23239" w:rsidP="00C23239">
                                  <w:pPr>
                                    <w:rPr>
                                      <w:b/>
                                      <w:bCs/>
                                    </w:rPr>
                                  </w:pPr>
                                  <w:r w:rsidRPr="00C23239">
                                    <w:rPr>
                                      <w:b/>
                                      <w:bCs/>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9pt;margin-top:10.9pt;width:15.6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" stroked="f">
                      <v:textbox inset="0,0,0,0">
                        <w:txbxContent>
                          <w:p w:rsidR="00C23239" w:rsidRPr="00C23239" w:rsidRDefault="00C23239" w:rsidP="00C23239">
                            <w:pPr>
                              <w:rPr>
                                <w:b/>
                                <w:bCs/>
                              </w:rPr>
                            </w:pPr>
                            <w:r w:rsidRPr="00C23239">
                              <w:rPr>
                                <w:b/>
                                <w:bCs/>
                              </w:rPr>
                              <w:t>(a)</w:t>
                            </w:r>
                          </w:p>
                        </w:txbxContent>
                      </v:textbox>
                      <w10:wrap anchory="page"/>
                    </v:shape>
                  </w:pict>
                </mc:Fallback>
              </mc:AlternateContent>
            </w:r>
            <w:r w:rsidR="005C2E59">
              <w:rPr>
                <w:noProof/>
                <w:lang w:eastAsia="zh-CN"/>
              </w:rPr>
              <w:drawing>
                <wp:inline distT="0" distB="0" distL="0" distR="0" wp14:anchorId="5FE97A7C" wp14:editId="1B0CE0BC">
                  <wp:extent cx="3703320" cy="52334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ZURpop_ForeignBornShare_AbsoluteChange_2001to2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3320" cy="5233469"/>
                          </a:xfrm>
                          <a:prstGeom prst="rect">
                            <a:avLst/>
                          </a:prstGeom>
                        </pic:spPr>
                      </pic:pic>
                    </a:graphicData>
                  </a:graphic>
                </wp:inline>
              </w:drawing>
            </w:r>
          </w:p>
        </w:tc>
        <w:tc>
          <w:tcPr>
            <w:tcW w:w="6917" w:type="dxa"/>
            <w:tcBorders>
              <w:top w:val="nil"/>
              <w:left w:val="nil"/>
              <w:bottom w:val="nil"/>
              <w:right w:val="nil"/>
            </w:tcBorders>
          </w:tcPr>
          <w:p w:rsidR="005C2E59" w:rsidRDefault="005C2E59" w:rsidP="00C23239">
            <w:pPr>
              <w:jc w:val="center"/>
            </w:pPr>
            <w:r>
              <w:rPr>
                <w:noProof/>
                <w:lang w:eastAsia="zh-CN"/>
              </w:rPr>
              <w:drawing>
                <wp:inline distT="0" distB="0" distL="0" distR="0" wp14:anchorId="58163F2C" wp14:editId="688261A2">
                  <wp:extent cx="3702264" cy="52330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2436" cy="5247412"/>
                          </a:xfrm>
                          <a:prstGeom prst="rect">
                            <a:avLst/>
                          </a:prstGeom>
                          <a:noFill/>
                        </pic:spPr>
                      </pic:pic>
                    </a:graphicData>
                  </a:graphic>
                </wp:inline>
              </w:drawing>
            </w:r>
          </w:p>
        </w:tc>
      </w:tr>
    </w:tbl>
    <w:p w:rsidR="007D4330" w:rsidRDefault="00C23239" w:rsidP="005C2E59">
      <w:pPr>
        <w:widowControl w:val="0"/>
        <w:spacing w:after="0" w:line="240" w:lineRule="auto"/>
        <w:ind w:firstLine="720"/>
        <w:jc w:val="both"/>
        <w:rPr>
          <w:rFonts w:asciiTheme="majorBidi" w:hAnsiTheme="majorBidi" w:cstheme="majorBidi"/>
          <w:bCs/>
          <w:sz w:val="4"/>
          <w:szCs w:val="4"/>
          <w:lang w:val="en-US"/>
        </w:rPr>
      </w:pPr>
      <w:r w:rsidRPr="00C23239">
        <w:rPr>
          <w:rFonts w:asciiTheme="majorBidi" w:hAnsiTheme="majorBidi" w:cstheme="majorBidi"/>
          <w:bCs/>
          <w:noProof/>
          <w:lang w:eastAsia="zh-CN"/>
        </w:rPr>
        <mc:AlternateContent>
          <mc:Choice Requires="wps">
            <w:drawing>
              <wp:anchor distT="45720" distB="45720" distL="114300" distR="114300" simplePos="0" relativeHeight="251661312" behindDoc="0" locked="0" layoutInCell="1" allowOverlap="1" wp14:anchorId="6F9B41FD" wp14:editId="323F6B2A">
                <wp:simplePos x="0" y="0"/>
                <wp:positionH relativeFrom="margin">
                  <wp:posOffset>8145780</wp:posOffset>
                </wp:positionH>
                <wp:positionV relativeFrom="paragraph">
                  <wp:posOffset>-5092700</wp:posOffset>
                </wp:positionV>
                <wp:extent cx="205740" cy="21336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13360"/>
                        </a:xfrm>
                        <a:prstGeom prst="rect">
                          <a:avLst/>
                        </a:prstGeom>
                        <a:solidFill>
                          <a:srgbClr val="FFFFFF"/>
                        </a:solidFill>
                        <a:ln w="9525">
                          <a:noFill/>
                          <a:miter lim="800000"/>
                          <a:headEnd/>
                          <a:tailEnd/>
                        </a:ln>
                      </wps:spPr>
                      <wps:txbx>
                        <w:txbxContent>
                          <w:p w:rsidR="00C23239" w:rsidRPr="00C23239" w:rsidRDefault="00C23239" w:rsidP="00C23239">
                            <w:pPr>
                              <w:rPr>
                                <w:b/>
                                <w:bCs/>
                              </w:rPr>
                            </w:pPr>
                            <w:r w:rsidRPr="00C23239">
                              <w:rPr>
                                <w:b/>
                                <w:bCs/>
                              </w:rPr>
                              <w:t>(</w:t>
                            </w:r>
                            <w:r>
                              <w:rPr>
                                <w:b/>
                                <w:bCs/>
                              </w:rPr>
                              <w:t>b</w:t>
                            </w:r>
                            <w:r w:rsidRPr="00C23239">
                              <w:rPr>
                                <w:b/>
                                <w:bCs/>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B41FD" id="_x0000_s1027" type="#_x0000_t202" style="position:absolute;left:0;text-align:left;margin-left:641.4pt;margin-top:-401pt;width:16.2pt;height:1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" stroked="f">
                <v:textbox inset="0,0,0,0">
                  <w:txbxContent>
                    <w:p w:rsidR="00C23239" w:rsidRPr="00C23239" w:rsidRDefault="00C23239" w:rsidP="00C23239">
                      <w:pPr>
                        <w:rPr>
                          <w:b/>
                          <w:bCs/>
                        </w:rPr>
                      </w:pPr>
                      <w:r w:rsidRPr="00C23239">
                        <w:rPr>
                          <w:b/>
                          <w:bCs/>
                        </w:rPr>
                        <w:t>(</w:t>
                      </w:r>
                      <w:r>
                        <w:rPr>
                          <w:b/>
                          <w:bCs/>
                        </w:rPr>
                        <w:t>b</w:t>
                      </w:r>
                      <w:r w:rsidRPr="00C23239">
                        <w:rPr>
                          <w:b/>
                          <w:bCs/>
                        </w:rPr>
                        <w:t>)</w:t>
                      </w:r>
                    </w:p>
                  </w:txbxContent>
                </v:textbox>
                <w10:wrap anchorx="margin"/>
              </v:shape>
            </w:pict>
          </mc:Fallback>
        </mc:AlternateContent>
      </w:r>
    </w:p>
    <w:p w:rsidR="005C2E59" w:rsidRDefault="005C2E59" w:rsidP="005C2E59">
      <w:pPr>
        <w:widowControl w:val="0"/>
        <w:spacing w:after="0" w:line="240" w:lineRule="auto"/>
        <w:ind w:firstLine="720"/>
        <w:jc w:val="both"/>
        <w:rPr>
          <w:rFonts w:asciiTheme="majorBidi" w:hAnsiTheme="majorBidi" w:cstheme="majorBidi"/>
          <w:bCs/>
          <w:sz w:val="4"/>
          <w:szCs w:val="4"/>
          <w:lang w:val="en-US"/>
        </w:rPr>
        <w:sectPr w:rsidR="005C2E59" w:rsidSect="00C637EE">
          <w:pgSz w:w="16838" w:h="11906" w:orient="landscape"/>
          <w:pgMar w:top="1440" w:right="1440" w:bottom="1440" w:left="1440" w:header="708" w:footer="708" w:gutter="0"/>
          <w:cols w:space="708"/>
          <w:docGrid w:linePitch="360"/>
        </w:sectPr>
      </w:pPr>
    </w:p>
    <w:p w:rsidR="005C2E59" w:rsidRPr="005C2E59" w:rsidRDefault="005C2E59" w:rsidP="005C2E59">
      <w:pPr>
        <w:widowControl w:val="0"/>
        <w:spacing w:after="0" w:line="240" w:lineRule="auto"/>
        <w:ind w:firstLine="720"/>
        <w:jc w:val="both"/>
        <w:rPr>
          <w:rFonts w:asciiTheme="majorBidi" w:hAnsiTheme="majorBidi" w:cstheme="majorBidi"/>
          <w:bCs/>
          <w:sz w:val="4"/>
          <w:szCs w:val="4"/>
          <w:lang w:val="en-US"/>
        </w:rPr>
      </w:pPr>
    </w:p>
    <w:p w:rsidR="0047304A" w:rsidRDefault="0047304A" w:rsidP="005C2E59">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 xml:space="preserve">This variation provides an opportunity to estimate some impacts of the foreign-born on </w:t>
      </w:r>
      <w:r w:rsidR="00217731" w:rsidRPr="008A622D">
        <w:rPr>
          <w:rFonts w:asciiTheme="majorBidi" w:hAnsiTheme="majorBidi" w:cstheme="majorBidi"/>
          <w:bCs/>
          <w:lang w:val="en-US"/>
        </w:rPr>
        <w:t xml:space="preserve">outcomes for the native-born. If changes in the foreign-born share were uniform it would be harder to disentangle impacts from other (aggregate) changes over time. The outcome we focus on is the </w:t>
      </w:r>
      <w:r w:rsidR="00EA4D34" w:rsidRPr="008A622D">
        <w:rPr>
          <w:rFonts w:asciiTheme="majorBidi" w:hAnsiTheme="majorBidi" w:cstheme="majorBidi"/>
          <w:bCs/>
          <w:lang w:val="en-US"/>
        </w:rPr>
        <w:t xml:space="preserve">native-born </w:t>
      </w:r>
      <w:r w:rsidR="00217731" w:rsidRPr="008A622D">
        <w:rPr>
          <w:rFonts w:asciiTheme="majorBidi" w:hAnsiTheme="majorBidi" w:cstheme="majorBidi"/>
          <w:bCs/>
          <w:lang w:val="en-US"/>
        </w:rPr>
        <w:t xml:space="preserve">home ownership rate, which </w:t>
      </w:r>
      <w:r w:rsidR="00274AE9" w:rsidRPr="008A622D">
        <w:rPr>
          <w:rFonts w:asciiTheme="majorBidi" w:hAnsiTheme="majorBidi" w:cstheme="majorBidi"/>
          <w:bCs/>
          <w:lang w:val="en-US"/>
        </w:rPr>
        <w:t xml:space="preserve">fell </w:t>
      </w:r>
      <w:r w:rsidR="002C0CBB" w:rsidRPr="008A622D">
        <w:rPr>
          <w:rFonts w:asciiTheme="majorBidi" w:hAnsiTheme="majorBidi" w:cstheme="majorBidi"/>
          <w:bCs/>
          <w:lang w:val="en-US"/>
        </w:rPr>
        <w:t xml:space="preserve">as </w:t>
      </w:r>
      <w:r w:rsidR="00217731" w:rsidRPr="008A622D">
        <w:rPr>
          <w:rFonts w:asciiTheme="majorBidi" w:hAnsiTheme="majorBidi" w:cstheme="majorBidi"/>
          <w:bCs/>
          <w:lang w:val="en-US"/>
        </w:rPr>
        <w:t>the foreign-born share</w:t>
      </w:r>
      <w:r w:rsidR="00274AE9" w:rsidRPr="008A622D">
        <w:rPr>
          <w:rFonts w:asciiTheme="majorBidi" w:hAnsiTheme="majorBidi" w:cstheme="majorBidi"/>
          <w:bCs/>
          <w:lang w:val="en-US"/>
        </w:rPr>
        <w:t xml:space="preserve"> rose</w:t>
      </w:r>
      <w:r w:rsidR="00217731" w:rsidRPr="008A622D">
        <w:rPr>
          <w:rFonts w:asciiTheme="majorBidi" w:hAnsiTheme="majorBidi" w:cstheme="majorBidi"/>
          <w:bCs/>
          <w:lang w:val="en-US"/>
        </w:rPr>
        <w:t>.</w:t>
      </w:r>
      <w:r w:rsidR="002C0CBB" w:rsidRPr="008A622D">
        <w:rPr>
          <w:rFonts w:asciiTheme="majorBidi" w:hAnsiTheme="majorBidi" w:cstheme="majorBidi"/>
          <w:bCs/>
          <w:lang w:val="en-US"/>
        </w:rPr>
        <w:t xml:space="preserve"> A feature of our analysis is use of spatial econometric models, </w:t>
      </w:r>
      <w:r w:rsidR="00EA4D34" w:rsidRPr="008A622D">
        <w:rPr>
          <w:rFonts w:asciiTheme="majorBidi" w:hAnsiTheme="majorBidi" w:cstheme="majorBidi"/>
          <w:bCs/>
          <w:lang w:val="en-US"/>
        </w:rPr>
        <w:t xml:space="preserve">to allow </w:t>
      </w:r>
      <w:r w:rsidR="002C0CBB" w:rsidRPr="008A622D">
        <w:rPr>
          <w:rFonts w:asciiTheme="majorBidi" w:hAnsiTheme="majorBidi" w:cstheme="majorBidi"/>
          <w:bCs/>
          <w:lang w:val="en-US"/>
        </w:rPr>
        <w:t xml:space="preserve">for any spillovers where </w:t>
      </w:r>
      <w:r w:rsidR="00274AE9" w:rsidRPr="008A622D">
        <w:rPr>
          <w:rFonts w:asciiTheme="majorBidi" w:hAnsiTheme="majorBidi" w:cstheme="majorBidi"/>
          <w:bCs/>
          <w:lang w:val="en-US"/>
        </w:rPr>
        <w:t>effe</w:t>
      </w:r>
      <w:r w:rsidR="002C0CBB" w:rsidRPr="008A622D">
        <w:rPr>
          <w:rFonts w:asciiTheme="majorBidi" w:hAnsiTheme="majorBidi" w:cstheme="majorBidi"/>
          <w:bCs/>
          <w:lang w:val="en-US"/>
        </w:rPr>
        <w:t xml:space="preserve">cts of a higher foreign-born share </w:t>
      </w:r>
      <w:r w:rsidR="00BA791D" w:rsidRPr="008A622D">
        <w:rPr>
          <w:rFonts w:asciiTheme="majorBidi" w:hAnsiTheme="majorBidi" w:cstheme="majorBidi"/>
          <w:bCs/>
          <w:lang w:val="en-US"/>
        </w:rPr>
        <w:t xml:space="preserve">in one place </w:t>
      </w:r>
      <w:r w:rsidR="002C0CBB" w:rsidRPr="008A622D">
        <w:rPr>
          <w:rFonts w:asciiTheme="majorBidi" w:hAnsiTheme="majorBidi" w:cstheme="majorBidi"/>
          <w:bCs/>
          <w:lang w:val="en-US"/>
        </w:rPr>
        <w:t>spread into neighbouring areas.</w:t>
      </w:r>
    </w:p>
    <w:p w:rsidR="00A0065E" w:rsidRPr="00D0365F" w:rsidRDefault="00A0065E" w:rsidP="005C2E59">
      <w:pPr>
        <w:widowControl w:val="0"/>
        <w:spacing w:after="0" w:line="288" w:lineRule="auto"/>
        <w:ind w:firstLine="720"/>
        <w:jc w:val="both"/>
        <w:rPr>
          <w:rFonts w:asciiTheme="majorBidi" w:hAnsiTheme="majorBidi" w:cstheme="majorBidi"/>
          <w:bCs/>
          <w:sz w:val="12"/>
          <w:szCs w:val="12"/>
          <w:lang w:val="en-US"/>
        </w:rPr>
      </w:pPr>
    </w:p>
    <w:p w:rsidR="002A30C8" w:rsidRDefault="002C0CBB" w:rsidP="005C2E59">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In contrast t</w:t>
      </w:r>
      <w:r w:rsidR="005D4F7F" w:rsidRPr="008A622D">
        <w:rPr>
          <w:rFonts w:asciiTheme="majorBidi" w:hAnsiTheme="majorBidi" w:cstheme="majorBidi"/>
          <w:bCs/>
          <w:lang w:val="en-US"/>
        </w:rPr>
        <w:t xml:space="preserve">o our </w:t>
      </w:r>
      <w:r w:rsidR="00F35108" w:rsidRPr="008A622D">
        <w:rPr>
          <w:rFonts w:asciiTheme="majorBidi" w:hAnsiTheme="majorBidi" w:cstheme="majorBidi"/>
          <w:bCs/>
          <w:lang w:val="en-US"/>
        </w:rPr>
        <w:t>study</w:t>
      </w:r>
      <w:r w:rsidR="005D4F7F" w:rsidRPr="008A622D">
        <w:rPr>
          <w:rFonts w:asciiTheme="majorBidi" w:hAnsiTheme="majorBidi" w:cstheme="majorBidi"/>
          <w:bCs/>
          <w:lang w:val="en-US"/>
        </w:rPr>
        <w:t>, prior studies</w:t>
      </w:r>
      <w:r w:rsidRPr="008A622D">
        <w:rPr>
          <w:rFonts w:asciiTheme="majorBidi" w:hAnsiTheme="majorBidi" w:cstheme="majorBidi"/>
          <w:bCs/>
          <w:lang w:val="en-US"/>
        </w:rPr>
        <w:t xml:space="preserve"> in New Zealand </w:t>
      </w:r>
      <w:r w:rsidR="005D4F7F" w:rsidRPr="008A622D">
        <w:rPr>
          <w:rFonts w:asciiTheme="majorBidi" w:hAnsiTheme="majorBidi" w:cstheme="majorBidi"/>
          <w:bCs/>
          <w:lang w:val="en-US"/>
        </w:rPr>
        <w:t xml:space="preserve">look </w:t>
      </w:r>
      <w:r w:rsidRPr="008A622D">
        <w:rPr>
          <w:rFonts w:asciiTheme="majorBidi" w:hAnsiTheme="majorBidi" w:cstheme="majorBidi"/>
          <w:bCs/>
          <w:lang w:val="en-US"/>
        </w:rPr>
        <w:t xml:space="preserve">especially </w:t>
      </w:r>
      <w:r w:rsidR="005D4F7F" w:rsidRPr="008A622D">
        <w:rPr>
          <w:rFonts w:asciiTheme="majorBidi" w:hAnsiTheme="majorBidi" w:cstheme="majorBidi"/>
          <w:bCs/>
          <w:lang w:val="en-US"/>
        </w:rPr>
        <w:t xml:space="preserve">at </w:t>
      </w:r>
      <w:r w:rsidRPr="008A622D">
        <w:rPr>
          <w:rFonts w:asciiTheme="majorBidi" w:hAnsiTheme="majorBidi" w:cstheme="majorBidi"/>
          <w:bCs/>
          <w:lang w:val="en-US"/>
        </w:rPr>
        <w:t xml:space="preserve">immigration </w:t>
      </w:r>
      <w:r w:rsidR="00F35108" w:rsidRPr="008A622D">
        <w:rPr>
          <w:rFonts w:asciiTheme="majorBidi" w:hAnsiTheme="majorBidi" w:cstheme="majorBidi"/>
          <w:bCs/>
          <w:lang w:val="en-US"/>
        </w:rPr>
        <w:t xml:space="preserve">effects </w:t>
      </w:r>
      <w:r w:rsidRPr="008A622D">
        <w:rPr>
          <w:rFonts w:asciiTheme="majorBidi" w:hAnsiTheme="majorBidi" w:cstheme="majorBidi"/>
          <w:bCs/>
          <w:lang w:val="en-US"/>
        </w:rPr>
        <w:t xml:space="preserve">on house prices. For example, </w:t>
      </w:r>
      <w:proofErr w:type="spellStart"/>
      <w:r w:rsidRPr="008A622D">
        <w:rPr>
          <w:rFonts w:asciiTheme="majorBidi" w:hAnsiTheme="majorBidi" w:cstheme="majorBidi"/>
          <w:bCs/>
          <w:lang w:val="en-US"/>
        </w:rPr>
        <w:t>Hyslop</w:t>
      </w:r>
      <w:proofErr w:type="spellEnd"/>
      <w:r w:rsidRPr="008A622D">
        <w:rPr>
          <w:rFonts w:asciiTheme="majorBidi" w:hAnsiTheme="majorBidi" w:cstheme="majorBidi"/>
          <w:bCs/>
          <w:lang w:val="en-US"/>
        </w:rPr>
        <w:t xml:space="preserve"> et al (2019)</w:t>
      </w:r>
      <w:r w:rsidR="005D4F7F" w:rsidRPr="008A622D">
        <w:rPr>
          <w:rFonts w:asciiTheme="majorBidi" w:hAnsiTheme="majorBidi" w:cstheme="majorBidi"/>
          <w:bCs/>
          <w:lang w:val="en-US"/>
        </w:rPr>
        <w:t xml:space="preserve"> link </w:t>
      </w:r>
      <w:r w:rsidR="00F35108" w:rsidRPr="008A622D">
        <w:rPr>
          <w:rFonts w:asciiTheme="majorBidi" w:hAnsiTheme="majorBidi" w:cstheme="majorBidi"/>
          <w:bCs/>
          <w:lang w:val="en-US"/>
        </w:rPr>
        <w:t xml:space="preserve">census </w:t>
      </w:r>
      <w:r w:rsidR="005D4F7F" w:rsidRPr="008A622D">
        <w:rPr>
          <w:rFonts w:asciiTheme="majorBidi" w:hAnsiTheme="majorBidi" w:cstheme="majorBidi"/>
          <w:bCs/>
          <w:lang w:val="en-US"/>
        </w:rPr>
        <w:t>data from 1986</w:t>
      </w:r>
      <w:r w:rsidR="00F35108" w:rsidRPr="008A622D">
        <w:rPr>
          <w:rFonts w:asciiTheme="majorBidi" w:hAnsiTheme="majorBidi" w:cstheme="majorBidi"/>
          <w:bCs/>
          <w:lang w:val="en-US"/>
        </w:rPr>
        <w:t>, 2001, 2006</w:t>
      </w:r>
      <w:r w:rsidR="005D4F7F" w:rsidRPr="008A622D">
        <w:rPr>
          <w:rFonts w:asciiTheme="majorBidi" w:hAnsiTheme="majorBidi" w:cstheme="majorBidi"/>
          <w:bCs/>
          <w:lang w:val="en-US"/>
        </w:rPr>
        <w:t xml:space="preserve"> and 2013 to house price data (and rents and buildin</w:t>
      </w:r>
      <w:r w:rsidR="00F35108" w:rsidRPr="008A622D">
        <w:rPr>
          <w:rFonts w:asciiTheme="majorBidi" w:hAnsiTheme="majorBidi" w:cstheme="majorBidi"/>
          <w:bCs/>
          <w:lang w:val="en-US"/>
        </w:rPr>
        <w:t xml:space="preserve">g consents) and find </w:t>
      </w:r>
      <w:r w:rsidR="005D4F7F" w:rsidRPr="008A622D">
        <w:rPr>
          <w:rFonts w:asciiTheme="majorBidi" w:hAnsiTheme="majorBidi" w:cstheme="majorBidi"/>
          <w:bCs/>
          <w:lang w:val="en-US"/>
        </w:rPr>
        <w:t>the immigrant share of the local (usually TA or ward level) population</w:t>
      </w:r>
      <w:r w:rsidR="00F35108" w:rsidRPr="008A622D">
        <w:rPr>
          <w:rFonts w:asciiTheme="majorBidi" w:hAnsiTheme="majorBidi" w:cstheme="majorBidi"/>
          <w:bCs/>
          <w:lang w:val="en-US"/>
        </w:rPr>
        <w:t xml:space="preserve"> un</w:t>
      </w:r>
      <w:r w:rsidR="005D4F7F" w:rsidRPr="008A622D">
        <w:rPr>
          <w:rFonts w:asciiTheme="majorBidi" w:hAnsiTheme="majorBidi" w:cstheme="majorBidi"/>
          <w:bCs/>
          <w:lang w:val="en-US"/>
        </w:rPr>
        <w:t>related to house p</w:t>
      </w:r>
      <w:r w:rsidR="00F35108" w:rsidRPr="008A622D">
        <w:rPr>
          <w:rFonts w:asciiTheme="majorBidi" w:hAnsiTheme="majorBidi" w:cstheme="majorBidi"/>
          <w:bCs/>
          <w:lang w:val="en-US"/>
        </w:rPr>
        <w:t xml:space="preserve">rices. An earlier review of </w:t>
      </w:r>
      <w:r w:rsidR="005D4F7F" w:rsidRPr="008A622D">
        <w:rPr>
          <w:rFonts w:asciiTheme="majorBidi" w:hAnsiTheme="majorBidi" w:cstheme="majorBidi"/>
          <w:bCs/>
          <w:lang w:val="en-US"/>
        </w:rPr>
        <w:t>impact</w:t>
      </w:r>
      <w:r w:rsidR="00F35108" w:rsidRPr="008A622D">
        <w:rPr>
          <w:rFonts w:asciiTheme="majorBidi" w:hAnsiTheme="majorBidi" w:cstheme="majorBidi"/>
          <w:bCs/>
          <w:lang w:val="en-US"/>
        </w:rPr>
        <w:t>s</w:t>
      </w:r>
      <w:r w:rsidR="005D4F7F" w:rsidRPr="008A622D">
        <w:rPr>
          <w:rFonts w:asciiTheme="majorBidi" w:hAnsiTheme="majorBidi" w:cstheme="majorBidi"/>
          <w:bCs/>
          <w:lang w:val="en-US"/>
        </w:rPr>
        <w:t xml:space="preserve"> of net international migrat</w:t>
      </w:r>
      <w:r w:rsidR="00F35108" w:rsidRPr="008A622D">
        <w:rPr>
          <w:rFonts w:asciiTheme="majorBidi" w:hAnsiTheme="majorBidi" w:cstheme="majorBidi"/>
          <w:bCs/>
          <w:lang w:val="en-US"/>
        </w:rPr>
        <w:t xml:space="preserve">ion on </w:t>
      </w:r>
      <w:r w:rsidR="005D4F7F" w:rsidRPr="008A622D">
        <w:rPr>
          <w:rFonts w:asciiTheme="majorBidi" w:hAnsiTheme="majorBidi" w:cstheme="majorBidi"/>
          <w:bCs/>
          <w:lang w:val="en-US"/>
        </w:rPr>
        <w:t>housing market</w:t>
      </w:r>
      <w:r w:rsidR="00F35108" w:rsidRPr="008A622D">
        <w:rPr>
          <w:rFonts w:asciiTheme="majorBidi" w:hAnsiTheme="majorBidi" w:cstheme="majorBidi"/>
          <w:bCs/>
          <w:lang w:val="en-US"/>
        </w:rPr>
        <w:t>s</w:t>
      </w:r>
      <w:r w:rsidR="005D4F7F" w:rsidRPr="008A622D">
        <w:rPr>
          <w:rFonts w:asciiTheme="majorBidi" w:hAnsiTheme="majorBidi" w:cstheme="majorBidi"/>
          <w:bCs/>
          <w:lang w:val="en-US"/>
        </w:rPr>
        <w:t xml:space="preserve"> has similar conclusions (Cochrane and </w:t>
      </w:r>
      <w:proofErr w:type="spellStart"/>
      <w:r w:rsidR="005D4F7F" w:rsidRPr="008A622D">
        <w:rPr>
          <w:rFonts w:asciiTheme="majorBidi" w:hAnsiTheme="majorBidi" w:cstheme="majorBidi"/>
          <w:bCs/>
          <w:lang w:val="en-US"/>
        </w:rPr>
        <w:t>Poot</w:t>
      </w:r>
      <w:proofErr w:type="spellEnd"/>
      <w:r w:rsidR="005D4F7F" w:rsidRPr="008A622D">
        <w:rPr>
          <w:rFonts w:asciiTheme="majorBidi" w:hAnsiTheme="majorBidi" w:cstheme="majorBidi"/>
          <w:bCs/>
          <w:lang w:val="en-US"/>
        </w:rPr>
        <w:t xml:space="preserve">, 2016). </w:t>
      </w:r>
      <w:r w:rsidR="002A30C8" w:rsidRPr="008A622D">
        <w:rPr>
          <w:rFonts w:asciiTheme="majorBidi" w:hAnsiTheme="majorBidi" w:cstheme="majorBidi"/>
          <w:bCs/>
          <w:lang w:val="en-US"/>
        </w:rPr>
        <w:t xml:space="preserve">There are </w:t>
      </w:r>
      <w:r w:rsidR="003F6D59" w:rsidRPr="008A622D">
        <w:rPr>
          <w:rFonts w:asciiTheme="majorBidi" w:hAnsiTheme="majorBidi" w:cstheme="majorBidi"/>
          <w:bCs/>
          <w:lang w:val="en-US"/>
        </w:rPr>
        <w:t xml:space="preserve">good </w:t>
      </w:r>
      <w:r w:rsidR="002A30C8" w:rsidRPr="008A622D">
        <w:rPr>
          <w:rFonts w:asciiTheme="majorBidi" w:hAnsiTheme="majorBidi" w:cstheme="majorBidi"/>
          <w:bCs/>
          <w:lang w:val="en-US"/>
        </w:rPr>
        <w:t xml:space="preserve">reasons </w:t>
      </w:r>
      <w:r w:rsidR="00C23239">
        <w:rPr>
          <w:rFonts w:asciiTheme="majorBidi" w:hAnsiTheme="majorBidi" w:cstheme="majorBidi"/>
          <w:bCs/>
          <w:lang w:val="en-US"/>
        </w:rPr>
        <w:t>for</w:t>
      </w:r>
      <w:r w:rsidR="005D4F7F" w:rsidRPr="008A622D">
        <w:rPr>
          <w:rFonts w:asciiTheme="majorBidi" w:hAnsiTheme="majorBidi" w:cstheme="majorBidi"/>
          <w:bCs/>
          <w:lang w:val="en-US"/>
        </w:rPr>
        <w:t xml:space="preserve"> prior studies </w:t>
      </w:r>
      <w:r w:rsidR="00C23239">
        <w:rPr>
          <w:rFonts w:asciiTheme="majorBidi" w:hAnsiTheme="majorBidi" w:cstheme="majorBidi"/>
          <w:bCs/>
          <w:lang w:val="en-US"/>
        </w:rPr>
        <w:t xml:space="preserve">to </w:t>
      </w:r>
      <w:r w:rsidR="00912F6D" w:rsidRPr="008A622D">
        <w:rPr>
          <w:rFonts w:asciiTheme="majorBidi" w:hAnsiTheme="majorBidi" w:cstheme="majorBidi"/>
          <w:bCs/>
          <w:lang w:val="en-US"/>
        </w:rPr>
        <w:t>look</w:t>
      </w:r>
      <w:r w:rsidR="00F35108" w:rsidRPr="008A622D">
        <w:rPr>
          <w:rFonts w:asciiTheme="majorBidi" w:hAnsiTheme="majorBidi" w:cstheme="majorBidi"/>
          <w:bCs/>
          <w:lang w:val="en-US"/>
        </w:rPr>
        <w:t xml:space="preserve"> at</w:t>
      </w:r>
      <w:r w:rsidR="005D4F7F" w:rsidRPr="008A622D">
        <w:rPr>
          <w:rFonts w:asciiTheme="majorBidi" w:hAnsiTheme="majorBidi" w:cstheme="majorBidi"/>
          <w:bCs/>
          <w:lang w:val="en-US"/>
        </w:rPr>
        <w:t xml:space="preserve"> </w:t>
      </w:r>
      <w:r w:rsidR="002A30C8" w:rsidRPr="008A622D">
        <w:rPr>
          <w:rFonts w:asciiTheme="majorBidi" w:hAnsiTheme="majorBidi" w:cstheme="majorBidi"/>
          <w:bCs/>
          <w:lang w:val="en-US"/>
        </w:rPr>
        <w:t xml:space="preserve">house prices, </w:t>
      </w:r>
      <w:r w:rsidR="005D4F7F" w:rsidRPr="008A622D">
        <w:rPr>
          <w:rFonts w:asciiTheme="majorBidi" w:hAnsiTheme="majorBidi" w:cstheme="majorBidi"/>
          <w:bCs/>
          <w:lang w:val="en-US"/>
        </w:rPr>
        <w:t xml:space="preserve">as there are </w:t>
      </w:r>
      <w:r w:rsidR="002A30C8" w:rsidRPr="008A622D">
        <w:rPr>
          <w:rFonts w:asciiTheme="majorBidi" w:hAnsiTheme="majorBidi" w:cstheme="majorBidi"/>
          <w:bCs/>
          <w:lang w:val="en-US"/>
        </w:rPr>
        <w:t>concern</w:t>
      </w:r>
      <w:r w:rsidR="003F6D59" w:rsidRPr="008A622D">
        <w:rPr>
          <w:rFonts w:asciiTheme="majorBidi" w:hAnsiTheme="majorBidi" w:cstheme="majorBidi"/>
          <w:bCs/>
          <w:lang w:val="en-US"/>
        </w:rPr>
        <w:t>s</w:t>
      </w:r>
      <w:r w:rsidR="002A30C8" w:rsidRPr="008A622D">
        <w:rPr>
          <w:rFonts w:asciiTheme="majorBidi" w:hAnsiTheme="majorBidi" w:cstheme="majorBidi"/>
          <w:bCs/>
          <w:lang w:val="en-US"/>
        </w:rPr>
        <w:t xml:space="preserve"> that price rises due to exuberance may </w:t>
      </w:r>
      <w:r w:rsidR="005D4F7F" w:rsidRPr="008A622D">
        <w:rPr>
          <w:rFonts w:asciiTheme="majorBidi" w:hAnsiTheme="majorBidi" w:cstheme="majorBidi"/>
          <w:bCs/>
          <w:lang w:val="en-US"/>
        </w:rPr>
        <w:t>add</w:t>
      </w:r>
      <w:r w:rsidR="003F6D59" w:rsidRPr="008A622D">
        <w:rPr>
          <w:rFonts w:asciiTheme="majorBidi" w:hAnsiTheme="majorBidi" w:cstheme="majorBidi"/>
          <w:bCs/>
          <w:lang w:val="en-US"/>
        </w:rPr>
        <w:t xml:space="preserve"> </w:t>
      </w:r>
      <w:r w:rsidR="005D4F7F" w:rsidRPr="008A622D">
        <w:rPr>
          <w:rFonts w:asciiTheme="majorBidi" w:hAnsiTheme="majorBidi" w:cstheme="majorBidi"/>
          <w:bCs/>
          <w:lang w:val="en-US"/>
        </w:rPr>
        <w:t>systemic risk to</w:t>
      </w:r>
      <w:r w:rsidR="002A30C8" w:rsidRPr="008A622D">
        <w:rPr>
          <w:rFonts w:asciiTheme="majorBidi" w:hAnsiTheme="majorBidi" w:cstheme="majorBidi"/>
          <w:bCs/>
          <w:lang w:val="en-US"/>
        </w:rPr>
        <w:t xml:space="preserve"> the financial sector (</w:t>
      </w:r>
      <w:proofErr w:type="spellStart"/>
      <w:r w:rsidR="002A30C8" w:rsidRPr="008A622D">
        <w:rPr>
          <w:rFonts w:asciiTheme="majorBidi" w:hAnsiTheme="majorBidi" w:cstheme="majorBidi"/>
          <w:bCs/>
          <w:lang w:val="en-US"/>
        </w:rPr>
        <w:t>Pavlidis</w:t>
      </w:r>
      <w:proofErr w:type="spellEnd"/>
      <w:r w:rsidR="002A30C8" w:rsidRPr="008A622D">
        <w:rPr>
          <w:rFonts w:asciiTheme="majorBidi" w:hAnsiTheme="majorBidi" w:cstheme="majorBidi"/>
          <w:bCs/>
          <w:lang w:val="en-US"/>
        </w:rPr>
        <w:t xml:space="preserve"> et al, 2021)</w:t>
      </w:r>
      <w:r w:rsidR="003F6D59" w:rsidRPr="008A622D">
        <w:rPr>
          <w:rFonts w:asciiTheme="majorBidi" w:hAnsiTheme="majorBidi" w:cstheme="majorBidi"/>
          <w:bCs/>
          <w:lang w:val="en-US"/>
        </w:rPr>
        <w:t xml:space="preserve"> while at the micro level reduced affordability hinder</w:t>
      </w:r>
      <w:r w:rsidR="00F35108" w:rsidRPr="008A622D">
        <w:rPr>
          <w:rFonts w:asciiTheme="majorBidi" w:hAnsiTheme="majorBidi" w:cstheme="majorBidi"/>
          <w:bCs/>
          <w:lang w:val="en-US"/>
        </w:rPr>
        <w:t>s</w:t>
      </w:r>
      <w:r w:rsidR="003F6D59" w:rsidRPr="008A622D">
        <w:rPr>
          <w:rFonts w:asciiTheme="majorBidi" w:hAnsiTheme="majorBidi" w:cstheme="majorBidi"/>
          <w:bCs/>
          <w:lang w:val="en-US"/>
        </w:rPr>
        <w:t xml:space="preserve"> reallocation of workers into more productive areas (</w:t>
      </w:r>
      <w:proofErr w:type="spellStart"/>
      <w:r w:rsidR="003F6D59" w:rsidRPr="008A622D">
        <w:rPr>
          <w:rFonts w:asciiTheme="majorBidi" w:hAnsiTheme="majorBidi" w:cstheme="majorBidi"/>
          <w:bCs/>
          <w:lang w:val="en-US"/>
        </w:rPr>
        <w:t>Nunns</w:t>
      </w:r>
      <w:proofErr w:type="spellEnd"/>
      <w:r w:rsidR="003F6D59" w:rsidRPr="008A622D">
        <w:rPr>
          <w:rFonts w:asciiTheme="majorBidi" w:hAnsiTheme="majorBidi" w:cstheme="majorBidi"/>
          <w:bCs/>
          <w:lang w:val="en-US"/>
        </w:rPr>
        <w:t xml:space="preserve">, 2021). </w:t>
      </w:r>
      <w:r w:rsidR="000C6F48" w:rsidRPr="008A622D">
        <w:rPr>
          <w:rFonts w:asciiTheme="majorBidi" w:hAnsiTheme="majorBidi" w:cstheme="majorBidi"/>
          <w:bCs/>
          <w:lang w:val="en-US"/>
        </w:rPr>
        <w:t>Yet</w:t>
      </w:r>
      <w:r w:rsidR="005D4F7F" w:rsidRPr="008A622D">
        <w:rPr>
          <w:rFonts w:asciiTheme="majorBidi" w:hAnsiTheme="majorBidi" w:cstheme="majorBidi"/>
          <w:bCs/>
          <w:lang w:val="en-US"/>
        </w:rPr>
        <w:t xml:space="preserve"> some public</w:t>
      </w:r>
      <w:r w:rsidR="000C6F48" w:rsidRPr="008A622D">
        <w:rPr>
          <w:rFonts w:asciiTheme="majorBidi" w:hAnsiTheme="majorBidi" w:cstheme="majorBidi"/>
          <w:bCs/>
          <w:lang w:val="en-US"/>
        </w:rPr>
        <w:t xml:space="preserve"> concern about house prices likely </w:t>
      </w:r>
      <w:r w:rsidR="005D4F7F" w:rsidRPr="008A622D">
        <w:rPr>
          <w:rFonts w:asciiTheme="majorBidi" w:hAnsiTheme="majorBidi" w:cstheme="majorBidi"/>
          <w:bCs/>
          <w:lang w:val="en-US"/>
        </w:rPr>
        <w:t>is from feared effect</w:t>
      </w:r>
      <w:r w:rsidR="000C6F48" w:rsidRPr="008A622D">
        <w:rPr>
          <w:rFonts w:asciiTheme="majorBidi" w:hAnsiTheme="majorBidi" w:cstheme="majorBidi"/>
          <w:bCs/>
          <w:lang w:val="en-US"/>
        </w:rPr>
        <w:t xml:space="preserve">s on home ownership and so it is useful to directly examine immigration </w:t>
      </w:r>
      <w:r w:rsidR="005D4F7F" w:rsidRPr="008A622D">
        <w:rPr>
          <w:rFonts w:asciiTheme="majorBidi" w:hAnsiTheme="majorBidi" w:cstheme="majorBidi"/>
          <w:bCs/>
          <w:lang w:val="en-US"/>
        </w:rPr>
        <w:t xml:space="preserve">impacts </w:t>
      </w:r>
      <w:r w:rsidR="000C6F48" w:rsidRPr="008A622D">
        <w:rPr>
          <w:rFonts w:asciiTheme="majorBidi" w:hAnsiTheme="majorBidi" w:cstheme="majorBidi"/>
          <w:bCs/>
          <w:lang w:val="en-US"/>
        </w:rPr>
        <w:t>on home ownership</w:t>
      </w:r>
      <w:r w:rsidR="00F35108" w:rsidRPr="008A622D">
        <w:rPr>
          <w:rFonts w:asciiTheme="majorBidi" w:hAnsiTheme="majorBidi" w:cstheme="majorBidi"/>
          <w:bCs/>
          <w:lang w:val="en-US"/>
        </w:rPr>
        <w:t>. Also</w:t>
      </w:r>
      <w:r w:rsidR="005D4F7F" w:rsidRPr="008A622D">
        <w:rPr>
          <w:rFonts w:asciiTheme="majorBidi" w:hAnsiTheme="majorBidi" w:cstheme="majorBidi"/>
          <w:bCs/>
          <w:lang w:val="en-US"/>
        </w:rPr>
        <w:t>, politicians are clear</w:t>
      </w:r>
      <w:r w:rsidR="000C6F48" w:rsidRPr="008A622D">
        <w:rPr>
          <w:rFonts w:asciiTheme="majorBidi" w:hAnsiTheme="majorBidi" w:cstheme="majorBidi"/>
          <w:bCs/>
          <w:lang w:val="en-US"/>
        </w:rPr>
        <w:t xml:space="preserve"> in espousing for home ownership while </w:t>
      </w:r>
      <w:r w:rsidR="005D4F7F" w:rsidRPr="008A622D">
        <w:rPr>
          <w:rFonts w:asciiTheme="majorBidi" w:hAnsiTheme="majorBidi" w:cstheme="majorBidi"/>
          <w:bCs/>
          <w:lang w:val="en-US"/>
        </w:rPr>
        <w:t xml:space="preserve">shrouding </w:t>
      </w:r>
      <w:r w:rsidR="000C6F48" w:rsidRPr="008A622D">
        <w:rPr>
          <w:rFonts w:asciiTheme="majorBidi" w:hAnsiTheme="majorBidi" w:cstheme="majorBidi"/>
          <w:bCs/>
          <w:lang w:val="en-US"/>
        </w:rPr>
        <w:t xml:space="preserve">comments about house </w:t>
      </w:r>
      <w:r w:rsidR="005D4F7F" w:rsidRPr="008A622D">
        <w:rPr>
          <w:rFonts w:asciiTheme="majorBidi" w:hAnsiTheme="majorBidi" w:cstheme="majorBidi"/>
          <w:bCs/>
          <w:lang w:val="en-US"/>
        </w:rPr>
        <w:t xml:space="preserve">prices in ambiguity, as supporting higher prices seems callous to the plight of first-home buyers but </w:t>
      </w:r>
      <w:r w:rsidR="000C6F48" w:rsidRPr="008A622D">
        <w:rPr>
          <w:rFonts w:asciiTheme="majorBidi" w:hAnsiTheme="majorBidi" w:cstheme="majorBidi"/>
          <w:bCs/>
          <w:lang w:val="en-US"/>
        </w:rPr>
        <w:t xml:space="preserve">calling for prices </w:t>
      </w:r>
      <w:r w:rsidR="005D4F7F" w:rsidRPr="008A622D">
        <w:rPr>
          <w:rFonts w:asciiTheme="majorBidi" w:hAnsiTheme="majorBidi" w:cstheme="majorBidi"/>
          <w:bCs/>
          <w:lang w:val="en-US"/>
        </w:rPr>
        <w:t xml:space="preserve">to fall </w:t>
      </w:r>
      <w:r w:rsidR="000C6F48" w:rsidRPr="008A622D">
        <w:rPr>
          <w:rFonts w:asciiTheme="majorBidi" w:hAnsiTheme="majorBidi" w:cstheme="majorBidi"/>
          <w:bCs/>
          <w:lang w:val="en-US"/>
        </w:rPr>
        <w:t>may upset owner-occupiers</w:t>
      </w:r>
      <w:r w:rsidR="005D4F7F" w:rsidRPr="008A622D">
        <w:rPr>
          <w:rFonts w:asciiTheme="majorBidi" w:hAnsiTheme="majorBidi" w:cstheme="majorBidi"/>
          <w:bCs/>
          <w:lang w:val="en-US"/>
        </w:rPr>
        <w:t>.</w:t>
      </w:r>
      <w:r w:rsidR="00F35108" w:rsidRPr="00C23239">
        <w:rPr>
          <w:rFonts w:asciiTheme="majorBidi" w:hAnsiTheme="majorBidi" w:cstheme="majorBidi"/>
          <w:bCs/>
          <w:vertAlign w:val="superscript"/>
          <w:lang w:val="en-US"/>
        </w:rPr>
        <w:footnoteReference w:id="2"/>
      </w:r>
      <w:r w:rsidR="000C6F48" w:rsidRPr="008A622D">
        <w:rPr>
          <w:rFonts w:asciiTheme="majorBidi" w:hAnsiTheme="majorBidi" w:cstheme="majorBidi"/>
          <w:bCs/>
          <w:lang w:val="en-US"/>
        </w:rPr>
        <w:t xml:space="preserve"> If New Zealand </w:t>
      </w:r>
      <w:r w:rsidR="005D4F7F" w:rsidRPr="008A622D">
        <w:rPr>
          <w:rFonts w:asciiTheme="majorBidi" w:hAnsiTheme="majorBidi" w:cstheme="majorBidi"/>
          <w:bCs/>
          <w:lang w:val="en-US"/>
        </w:rPr>
        <w:t xml:space="preserve">has </w:t>
      </w:r>
      <w:r w:rsidR="000C6F48" w:rsidRPr="008A622D">
        <w:rPr>
          <w:rFonts w:asciiTheme="majorBidi" w:hAnsiTheme="majorBidi" w:cstheme="majorBidi"/>
          <w:bCs/>
          <w:lang w:val="en-US"/>
        </w:rPr>
        <w:t>pursued a</w:t>
      </w:r>
      <w:r w:rsidR="00F35108" w:rsidRPr="008A622D">
        <w:rPr>
          <w:rFonts w:asciiTheme="majorBidi" w:hAnsiTheme="majorBidi" w:cstheme="majorBidi"/>
          <w:bCs/>
          <w:lang w:val="en-US"/>
        </w:rPr>
        <w:t>n</w:t>
      </w:r>
      <w:r w:rsidR="000C6F48" w:rsidRPr="008A622D">
        <w:rPr>
          <w:rFonts w:asciiTheme="majorBidi" w:hAnsiTheme="majorBidi" w:cstheme="majorBidi"/>
          <w:bCs/>
          <w:lang w:val="en-US"/>
        </w:rPr>
        <w:t xml:space="preserve"> expa</w:t>
      </w:r>
      <w:r w:rsidR="005D4F7F" w:rsidRPr="008A622D">
        <w:rPr>
          <w:rFonts w:asciiTheme="majorBidi" w:hAnsiTheme="majorBidi" w:cstheme="majorBidi"/>
          <w:bCs/>
          <w:lang w:val="en-US"/>
        </w:rPr>
        <w:t>nded immigration program that proves</w:t>
      </w:r>
      <w:r w:rsidR="000C6F48" w:rsidRPr="008A622D">
        <w:rPr>
          <w:rFonts w:asciiTheme="majorBidi" w:hAnsiTheme="majorBidi" w:cstheme="majorBidi"/>
          <w:bCs/>
          <w:lang w:val="en-US"/>
        </w:rPr>
        <w:t xml:space="preserve"> incompatible with higher home ownership rates it is helpful to </w:t>
      </w:r>
      <w:r w:rsidR="008A795D" w:rsidRPr="008A622D">
        <w:rPr>
          <w:rFonts w:asciiTheme="majorBidi" w:hAnsiTheme="majorBidi" w:cstheme="majorBidi"/>
          <w:bCs/>
          <w:lang w:val="en-US"/>
        </w:rPr>
        <w:t xml:space="preserve">point out this </w:t>
      </w:r>
      <w:r w:rsidR="000C6F48" w:rsidRPr="008A622D">
        <w:rPr>
          <w:rFonts w:asciiTheme="majorBidi" w:hAnsiTheme="majorBidi" w:cstheme="majorBidi"/>
          <w:bCs/>
          <w:lang w:val="en-US"/>
        </w:rPr>
        <w:t>contradiction.</w:t>
      </w:r>
    </w:p>
    <w:p w:rsidR="00694592" w:rsidRPr="00694592" w:rsidRDefault="00694592" w:rsidP="005C2E59">
      <w:pPr>
        <w:widowControl w:val="0"/>
        <w:spacing w:after="0" w:line="288" w:lineRule="auto"/>
        <w:ind w:firstLine="720"/>
        <w:jc w:val="both"/>
        <w:rPr>
          <w:rFonts w:asciiTheme="majorBidi" w:hAnsiTheme="majorBidi" w:cstheme="majorBidi"/>
          <w:bCs/>
          <w:sz w:val="12"/>
          <w:szCs w:val="12"/>
          <w:lang w:val="en-US"/>
        </w:rPr>
      </w:pPr>
    </w:p>
    <w:p w:rsidR="008961C1" w:rsidRPr="008A622D" w:rsidRDefault="00EE7128" w:rsidP="00133C61">
      <w:pPr>
        <w:widowControl w:val="0"/>
        <w:spacing w:before="120" w:after="0" w:line="360" w:lineRule="auto"/>
        <w:rPr>
          <w:rFonts w:asciiTheme="majorBidi" w:hAnsiTheme="majorBidi" w:cstheme="majorBidi"/>
          <w:b/>
          <w:lang w:val="en-US"/>
        </w:rPr>
      </w:pPr>
      <w:r w:rsidRPr="008A622D">
        <w:rPr>
          <w:rFonts w:asciiTheme="majorBidi" w:hAnsiTheme="majorBidi" w:cstheme="majorBidi"/>
          <w:b/>
          <w:lang w:val="en-US"/>
        </w:rPr>
        <w:t>II.</w:t>
      </w:r>
      <w:r w:rsidRPr="008A622D">
        <w:rPr>
          <w:rFonts w:asciiTheme="majorBidi" w:hAnsiTheme="majorBidi" w:cstheme="majorBidi"/>
          <w:b/>
          <w:lang w:val="en-US"/>
        </w:rPr>
        <w:tab/>
      </w:r>
      <w:r w:rsidR="007A722F" w:rsidRPr="008A622D">
        <w:rPr>
          <w:rFonts w:asciiTheme="majorBidi" w:hAnsiTheme="majorBidi" w:cstheme="majorBidi"/>
          <w:b/>
          <w:lang w:val="en-US"/>
        </w:rPr>
        <w:t>Data and Methods</w:t>
      </w:r>
    </w:p>
    <w:p w:rsidR="003461E2" w:rsidRPr="008A622D" w:rsidRDefault="007A722F" w:rsidP="005C2E59">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 xml:space="preserve">We </w:t>
      </w:r>
      <w:r w:rsidR="00274AE9" w:rsidRPr="008A622D">
        <w:rPr>
          <w:rFonts w:asciiTheme="majorBidi" w:hAnsiTheme="majorBidi" w:cstheme="majorBidi"/>
          <w:bCs/>
          <w:lang w:val="en-US"/>
        </w:rPr>
        <w:t xml:space="preserve">used </w:t>
      </w:r>
      <w:r w:rsidRPr="008A622D">
        <w:rPr>
          <w:rFonts w:asciiTheme="majorBidi" w:hAnsiTheme="majorBidi" w:cstheme="majorBidi"/>
          <w:bCs/>
          <w:lang w:val="en-US"/>
        </w:rPr>
        <w:t xml:space="preserve">unit record data from </w:t>
      </w:r>
      <w:r w:rsidR="00274AE9" w:rsidRPr="008A622D">
        <w:rPr>
          <w:rFonts w:asciiTheme="majorBidi" w:hAnsiTheme="majorBidi" w:cstheme="majorBidi"/>
          <w:bCs/>
          <w:lang w:val="en-US"/>
        </w:rPr>
        <w:t>the 2001, 2006 and 2013 Census</w:t>
      </w:r>
      <w:r w:rsidRPr="008A622D">
        <w:rPr>
          <w:rFonts w:asciiTheme="majorBidi" w:hAnsiTheme="majorBidi" w:cstheme="majorBidi"/>
          <w:bCs/>
          <w:lang w:val="en-US"/>
        </w:rPr>
        <w:t xml:space="preserve"> in the Statistics New Zealand </w:t>
      </w:r>
      <w:proofErr w:type="spellStart"/>
      <w:r w:rsidRPr="008A622D">
        <w:rPr>
          <w:rFonts w:asciiTheme="majorBidi" w:hAnsiTheme="majorBidi" w:cstheme="majorBidi"/>
          <w:bCs/>
          <w:lang w:val="en-US"/>
        </w:rPr>
        <w:t>Datalab</w:t>
      </w:r>
      <w:proofErr w:type="spellEnd"/>
      <w:r w:rsidRPr="008A622D">
        <w:rPr>
          <w:rFonts w:asciiTheme="majorBidi" w:hAnsiTheme="majorBidi" w:cstheme="majorBidi"/>
          <w:bCs/>
          <w:lang w:val="en-US"/>
        </w:rPr>
        <w:t xml:space="preserve"> </w:t>
      </w:r>
      <w:r w:rsidR="00274AE9" w:rsidRPr="008A622D">
        <w:rPr>
          <w:rFonts w:asciiTheme="majorBidi" w:hAnsiTheme="majorBidi" w:cstheme="majorBidi"/>
          <w:bCs/>
          <w:lang w:val="en-US"/>
        </w:rPr>
        <w:t>(</w:t>
      </w:r>
      <w:r w:rsidR="00AF399A" w:rsidRPr="008A622D">
        <w:rPr>
          <w:rFonts w:asciiTheme="majorBidi" w:hAnsiTheme="majorBidi" w:cstheme="majorBidi"/>
          <w:bCs/>
          <w:lang w:val="en-US"/>
        </w:rPr>
        <w:t xml:space="preserve">2018 Census data were not </w:t>
      </w:r>
      <w:r w:rsidRPr="008A622D">
        <w:rPr>
          <w:rFonts w:asciiTheme="majorBidi" w:hAnsiTheme="majorBidi" w:cstheme="majorBidi"/>
          <w:bCs/>
          <w:lang w:val="en-US"/>
        </w:rPr>
        <w:t xml:space="preserve">available when </w:t>
      </w:r>
      <w:r w:rsidR="00AF399A" w:rsidRPr="008A622D">
        <w:rPr>
          <w:rFonts w:asciiTheme="majorBidi" w:hAnsiTheme="majorBidi" w:cstheme="majorBidi"/>
          <w:bCs/>
          <w:lang w:val="en-US"/>
        </w:rPr>
        <w:t>the</w:t>
      </w:r>
      <w:r w:rsidRPr="008A622D">
        <w:rPr>
          <w:rFonts w:asciiTheme="majorBidi" w:hAnsiTheme="majorBidi" w:cstheme="majorBidi"/>
          <w:bCs/>
          <w:lang w:val="en-US"/>
        </w:rPr>
        <w:t xml:space="preserve"> project started). </w:t>
      </w:r>
      <w:r w:rsidR="00AF399A" w:rsidRPr="008A622D">
        <w:rPr>
          <w:rFonts w:asciiTheme="majorBidi" w:hAnsiTheme="majorBidi" w:cstheme="majorBidi"/>
          <w:bCs/>
          <w:lang w:val="en-US"/>
        </w:rPr>
        <w:t>Our interest is in the home owner</w:t>
      </w:r>
      <w:r w:rsidR="00287E18" w:rsidRPr="008A622D">
        <w:rPr>
          <w:rFonts w:asciiTheme="majorBidi" w:hAnsiTheme="majorBidi" w:cstheme="majorBidi"/>
          <w:bCs/>
          <w:lang w:val="en-US"/>
        </w:rPr>
        <w:t>ship rate of native-</w:t>
      </w:r>
      <w:r w:rsidR="00AF399A" w:rsidRPr="008A622D">
        <w:rPr>
          <w:rFonts w:asciiTheme="majorBidi" w:hAnsiTheme="majorBidi" w:cstheme="majorBidi"/>
          <w:bCs/>
          <w:lang w:val="en-US"/>
        </w:rPr>
        <w:t>born adults. A</w:t>
      </w:r>
      <w:r w:rsidR="00287E18" w:rsidRPr="008A622D">
        <w:rPr>
          <w:rFonts w:asciiTheme="majorBidi" w:hAnsiTheme="majorBidi" w:cstheme="majorBidi"/>
          <w:bCs/>
          <w:lang w:val="en-US"/>
        </w:rPr>
        <w:t xml:space="preserve"> household</w:t>
      </w:r>
      <w:r w:rsidR="00AF399A" w:rsidRPr="008A622D">
        <w:rPr>
          <w:rFonts w:asciiTheme="majorBidi" w:hAnsiTheme="majorBidi" w:cstheme="majorBidi"/>
          <w:bCs/>
          <w:lang w:val="en-US"/>
        </w:rPr>
        <w:t xml:space="preserve"> can be comprised of both native-born and foreign-born</w:t>
      </w:r>
      <w:r w:rsidR="00287E18" w:rsidRPr="008A622D">
        <w:rPr>
          <w:rFonts w:asciiTheme="majorBidi" w:hAnsiTheme="majorBidi" w:cstheme="majorBidi"/>
          <w:bCs/>
          <w:lang w:val="en-US"/>
        </w:rPr>
        <w:t xml:space="preserve"> individuals, so Dwelling Form question</w:t>
      </w:r>
      <w:r w:rsidR="00BA791D" w:rsidRPr="008A622D">
        <w:rPr>
          <w:rFonts w:asciiTheme="majorBidi" w:hAnsiTheme="majorBidi" w:cstheme="majorBidi"/>
          <w:bCs/>
          <w:lang w:val="en-US"/>
        </w:rPr>
        <w:t>s</w:t>
      </w:r>
      <w:r w:rsidR="00217731" w:rsidRPr="008A622D">
        <w:rPr>
          <w:rFonts w:asciiTheme="majorBidi" w:hAnsiTheme="majorBidi" w:cstheme="majorBidi"/>
          <w:bCs/>
          <w:lang w:val="en-US"/>
        </w:rPr>
        <w:t>,</w:t>
      </w:r>
      <w:r w:rsidR="00287E18" w:rsidRPr="008A622D">
        <w:rPr>
          <w:rFonts w:asciiTheme="majorBidi" w:hAnsiTheme="majorBidi" w:cstheme="majorBidi"/>
          <w:bCs/>
          <w:lang w:val="en-US"/>
        </w:rPr>
        <w:t xml:space="preserve"> where </w:t>
      </w:r>
      <w:proofErr w:type="gramStart"/>
      <w:r w:rsidR="00287E18" w:rsidRPr="008A622D">
        <w:rPr>
          <w:rFonts w:asciiTheme="majorBidi" w:hAnsiTheme="majorBidi" w:cstheme="majorBidi"/>
          <w:bCs/>
          <w:lang w:val="en-US"/>
        </w:rPr>
        <w:t>one person</w:t>
      </w:r>
      <w:proofErr w:type="gramEnd"/>
      <w:r w:rsidR="00287E18" w:rsidRPr="008A622D">
        <w:rPr>
          <w:rFonts w:asciiTheme="majorBidi" w:hAnsiTheme="majorBidi" w:cstheme="majorBidi"/>
          <w:bCs/>
          <w:lang w:val="en-US"/>
        </w:rPr>
        <w:t xml:space="preserve"> answers on behalf of the whole dwelling</w:t>
      </w:r>
      <w:r w:rsidR="00217731" w:rsidRPr="008A622D">
        <w:rPr>
          <w:rFonts w:asciiTheme="majorBidi" w:hAnsiTheme="majorBidi" w:cstheme="majorBidi"/>
          <w:bCs/>
          <w:lang w:val="en-US"/>
        </w:rPr>
        <w:t>,</w:t>
      </w:r>
      <w:r w:rsidR="00BA791D" w:rsidRPr="008A622D">
        <w:rPr>
          <w:rFonts w:asciiTheme="majorBidi" w:hAnsiTheme="majorBidi" w:cstheme="majorBidi"/>
          <w:bCs/>
          <w:lang w:val="en-US"/>
        </w:rPr>
        <w:t xml:space="preserve"> are</w:t>
      </w:r>
      <w:r w:rsidR="00287E18" w:rsidRPr="008A622D">
        <w:rPr>
          <w:rFonts w:asciiTheme="majorBidi" w:hAnsiTheme="majorBidi" w:cstheme="majorBidi"/>
          <w:bCs/>
          <w:lang w:val="en-US"/>
        </w:rPr>
        <w:t xml:space="preserve"> less suitable for our purposes.</w:t>
      </w:r>
      <w:r w:rsidR="00287E18" w:rsidRPr="00C23239">
        <w:rPr>
          <w:vertAlign w:val="superscript"/>
        </w:rPr>
        <w:footnoteReference w:id="3"/>
      </w:r>
      <w:r w:rsidR="00274AE9" w:rsidRPr="008A622D">
        <w:rPr>
          <w:rFonts w:asciiTheme="majorBidi" w:hAnsiTheme="majorBidi" w:cstheme="majorBidi"/>
          <w:bCs/>
          <w:lang w:val="en-US"/>
        </w:rPr>
        <w:t xml:space="preserve"> Also,</w:t>
      </w:r>
      <w:r w:rsidR="00287E18" w:rsidRPr="008A622D">
        <w:rPr>
          <w:rFonts w:asciiTheme="majorBidi" w:hAnsiTheme="majorBidi" w:cstheme="majorBidi"/>
          <w:bCs/>
          <w:lang w:val="en-US"/>
        </w:rPr>
        <w:t xml:space="preserve"> Dwelling Form question</w:t>
      </w:r>
      <w:r w:rsidR="00274AE9" w:rsidRPr="008A622D">
        <w:rPr>
          <w:rFonts w:asciiTheme="majorBidi" w:hAnsiTheme="majorBidi" w:cstheme="majorBidi"/>
          <w:bCs/>
          <w:lang w:val="en-US"/>
        </w:rPr>
        <w:t>s</w:t>
      </w:r>
      <w:r w:rsidR="00287E18" w:rsidRPr="008A622D">
        <w:rPr>
          <w:rFonts w:asciiTheme="majorBidi" w:hAnsiTheme="majorBidi" w:cstheme="majorBidi"/>
          <w:bCs/>
          <w:lang w:val="en-US"/>
        </w:rPr>
        <w:t xml:space="preserve"> </w:t>
      </w:r>
      <w:r w:rsidR="00274AE9" w:rsidRPr="008A622D">
        <w:rPr>
          <w:rFonts w:asciiTheme="majorBidi" w:hAnsiTheme="majorBidi" w:cstheme="majorBidi"/>
          <w:bCs/>
          <w:lang w:val="en-US"/>
        </w:rPr>
        <w:t>rely</w:t>
      </w:r>
      <w:r w:rsidR="00287E18" w:rsidRPr="008A622D">
        <w:rPr>
          <w:rFonts w:asciiTheme="majorBidi" w:hAnsiTheme="majorBidi" w:cstheme="majorBidi"/>
          <w:bCs/>
          <w:lang w:val="en-US"/>
        </w:rPr>
        <w:t xml:space="preserve"> on </w:t>
      </w:r>
      <w:r w:rsidR="003461E2" w:rsidRPr="008A622D">
        <w:rPr>
          <w:rFonts w:asciiTheme="majorBidi" w:hAnsiTheme="majorBidi" w:cstheme="majorBidi"/>
          <w:bCs/>
          <w:lang w:val="en-US"/>
        </w:rPr>
        <w:t xml:space="preserve">potentially less reliable </w:t>
      </w:r>
      <w:r w:rsidR="00287E18" w:rsidRPr="008A622D">
        <w:rPr>
          <w:rFonts w:asciiTheme="majorBidi" w:hAnsiTheme="majorBidi" w:cstheme="majorBidi"/>
          <w:bCs/>
          <w:lang w:val="en-US"/>
        </w:rPr>
        <w:t>proxy reporting</w:t>
      </w:r>
      <w:r w:rsidR="00274AE9" w:rsidRPr="008A622D">
        <w:rPr>
          <w:rFonts w:asciiTheme="majorBidi" w:hAnsiTheme="majorBidi" w:cstheme="majorBidi"/>
          <w:bCs/>
          <w:lang w:val="en-US"/>
        </w:rPr>
        <w:t>. In contrast,</w:t>
      </w:r>
      <w:r w:rsidR="00287E18" w:rsidRPr="008A622D">
        <w:rPr>
          <w:rFonts w:asciiTheme="majorBidi" w:hAnsiTheme="majorBidi" w:cstheme="majorBidi"/>
          <w:bCs/>
          <w:lang w:val="en-US"/>
        </w:rPr>
        <w:t xml:space="preserve"> the Individual Form </w:t>
      </w:r>
      <w:r w:rsidR="00274AE9" w:rsidRPr="008A622D">
        <w:rPr>
          <w:rFonts w:asciiTheme="majorBidi" w:hAnsiTheme="majorBidi" w:cstheme="majorBidi"/>
          <w:bCs/>
          <w:lang w:val="en-US"/>
        </w:rPr>
        <w:t xml:space="preserve">that we use </w:t>
      </w:r>
      <w:r w:rsidR="00EA4D34" w:rsidRPr="008A622D">
        <w:rPr>
          <w:rFonts w:asciiTheme="majorBidi" w:hAnsiTheme="majorBidi" w:cstheme="majorBidi"/>
          <w:bCs/>
          <w:lang w:val="en-US"/>
        </w:rPr>
        <w:t xml:space="preserve">links one-to-one to nativity status and </w:t>
      </w:r>
      <w:r w:rsidR="00287E18" w:rsidRPr="008A622D">
        <w:rPr>
          <w:rFonts w:asciiTheme="majorBidi" w:hAnsiTheme="majorBidi" w:cstheme="majorBidi"/>
          <w:bCs/>
          <w:lang w:val="en-US"/>
        </w:rPr>
        <w:t xml:space="preserve">has a direct answer (from everyone aged 15 and above) to the question: “do you yourself own, or partly own, the dwelling that you usually live in” with wording of this question </w:t>
      </w:r>
      <w:r w:rsidR="00274AE9" w:rsidRPr="008A622D">
        <w:rPr>
          <w:rFonts w:asciiTheme="majorBidi" w:hAnsiTheme="majorBidi" w:cstheme="majorBidi"/>
          <w:bCs/>
          <w:lang w:val="en-US"/>
        </w:rPr>
        <w:t xml:space="preserve">unchanged </w:t>
      </w:r>
      <w:r w:rsidR="00287E18" w:rsidRPr="008A622D">
        <w:rPr>
          <w:rFonts w:asciiTheme="majorBidi" w:hAnsiTheme="majorBidi" w:cstheme="majorBidi"/>
          <w:bCs/>
          <w:lang w:val="en-US"/>
        </w:rPr>
        <w:t>across the three censuses.</w:t>
      </w:r>
    </w:p>
    <w:p w:rsidR="00A0065E" w:rsidRPr="00694592" w:rsidRDefault="00A0065E" w:rsidP="005C2E59">
      <w:pPr>
        <w:widowControl w:val="0"/>
        <w:spacing w:after="0" w:line="288" w:lineRule="auto"/>
        <w:ind w:firstLine="720"/>
        <w:jc w:val="both"/>
        <w:rPr>
          <w:rFonts w:asciiTheme="majorBidi" w:hAnsiTheme="majorBidi" w:cstheme="majorBidi"/>
          <w:bCs/>
          <w:sz w:val="12"/>
          <w:szCs w:val="12"/>
          <w:lang w:val="en-US"/>
        </w:rPr>
      </w:pPr>
    </w:p>
    <w:p w:rsidR="00D10542" w:rsidRPr="008A622D" w:rsidRDefault="003461E2" w:rsidP="0011643E">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 xml:space="preserve">We aggregated the individual ownership </w:t>
      </w:r>
      <w:r w:rsidR="00912F6D" w:rsidRPr="008A622D">
        <w:rPr>
          <w:rFonts w:asciiTheme="majorBidi" w:hAnsiTheme="majorBidi" w:cstheme="majorBidi"/>
          <w:bCs/>
          <w:lang w:val="en-US"/>
        </w:rPr>
        <w:t>reports</w:t>
      </w:r>
      <w:r w:rsidRPr="008A622D">
        <w:rPr>
          <w:rFonts w:asciiTheme="majorBidi" w:hAnsiTheme="majorBidi" w:cstheme="majorBidi"/>
          <w:bCs/>
          <w:lang w:val="en-US"/>
        </w:rPr>
        <w:t xml:space="preserve"> to </w:t>
      </w:r>
      <w:r w:rsidR="002C127F" w:rsidRPr="008A622D">
        <w:rPr>
          <w:rFonts w:asciiTheme="majorBidi" w:hAnsiTheme="majorBidi" w:cstheme="majorBidi"/>
          <w:bCs/>
          <w:lang w:val="en-US"/>
        </w:rPr>
        <w:t xml:space="preserve">rates at </w:t>
      </w:r>
      <w:r w:rsidR="00CF11DF" w:rsidRPr="008A622D">
        <w:rPr>
          <w:rFonts w:asciiTheme="majorBidi" w:hAnsiTheme="majorBidi" w:cstheme="majorBidi"/>
          <w:bCs/>
          <w:lang w:val="en-US"/>
        </w:rPr>
        <w:t>the area u</w:t>
      </w:r>
      <w:r w:rsidRPr="008A622D">
        <w:rPr>
          <w:rFonts w:asciiTheme="majorBidi" w:hAnsiTheme="majorBidi" w:cstheme="majorBidi"/>
          <w:bCs/>
          <w:lang w:val="en-US"/>
        </w:rPr>
        <w:t>nit level, for a balanced panel of 1851 area units</w:t>
      </w:r>
      <w:r w:rsidR="000F3FBA">
        <w:rPr>
          <w:rFonts w:asciiTheme="majorBidi" w:hAnsiTheme="majorBidi" w:cstheme="majorBidi"/>
          <w:bCs/>
          <w:lang w:val="en-US"/>
        </w:rPr>
        <w:t>. These</w:t>
      </w:r>
      <w:r w:rsidR="00CF11DF" w:rsidRPr="008A622D">
        <w:rPr>
          <w:rFonts w:asciiTheme="majorBidi" w:hAnsiTheme="majorBidi" w:cstheme="majorBidi"/>
          <w:bCs/>
          <w:lang w:val="en-US"/>
        </w:rPr>
        <w:t xml:space="preserve"> met </w:t>
      </w:r>
      <w:r w:rsidR="002C127F" w:rsidRPr="008A622D">
        <w:rPr>
          <w:rFonts w:asciiTheme="majorBidi" w:hAnsiTheme="majorBidi" w:cstheme="majorBidi"/>
          <w:bCs/>
          <w:lang w:val="en-US"/>
        </w:rPr>
        <w:t xml:space="preserve">a </w:t>
      </w:r>
      <w:proofErr w:type="gramStart"/>
      <w:r w:rsidR="002C127F" w:rsidRPr="008A622D">
        <w:rPr>
          <w:rFonts w:asciiTheme="majorBidi" w:hAnsiTheme="majorBidi" w:cstheme="majorBidi"/>
          <w:bCs/>
          <w:lang w:val="en-US"/>
        </w:rPr>
        <w:t>criteria</w:t>
      </w:r>
      <w:proofErr w:type="gramEnd"/>
      <w:r w:rsidR="002C127F" w:rsidRPr="008A622D">
        <w:rPr>
          <w:rFonts w:asciiTheme="majorBidi" w:hAnsiTheme="majorBidi" w:cstheme="majorBidi"/>
          <w:bCs/>
          <w:lang w:val="en-US"/>
        </w:rPr>
        <w:t xml:space="preserve"> of having</w:t>
      </w:r>
      <w:r w:rsidRPr="008A622D">
        <w:rPr>
          <w:rFonts w:asciiTheme="majorBidi" w:hAnsiTheme="majorBidi" w:cstheme="majorBidi"/>
          <w:bCs/>
          <w:lang w:val="en-US"/>
        </w:rPr>
        <w:t xml:space="preserve"> </w:t>
      </w:r>
      <w:r w:rsidR="00CF11DF" w:rsidRPr="008A622D">
        <w:rPr>
          <w:rFonts w:asciiTheme="majorBidi" w:hAnsiTheme="majorBidi" w:cstheme="majorBidi"/>
          <w:bCs/>
          <w:lang w:val="en-US"/>
        </w:rPr>
        <w:t xml:space="preserve">a </w:t>
      </w:r>
      <w:r w:rsidR="002C127F" w:rsidRPr="008A622D">
        <w:rPr>
          <w:rFonts w:asciiTheme="majorBidi" w:hAnsiTheme="majorBidi" w:cstheme="majorBidi"/>
          <w:bCs/>
          <w:lang w:val="en-US"/>
        </w:rPr>
        <w:t xml:space="preserve">population of </w:t>
      </w:r>
      <w:r w:rsidRPr="008A622D">
        <w:rPr>
          <w:rFonts w:asciiTheme="majorBidi" w:hAnsiTheme="majorBidi" w:cstheme="majorBidi"/>
          <w:bCs/>
          <w:lang w:val="en-US"/>
        </w:rPr>
        <w:t xml:space="preserve">at least 30 in </w:t>
      </w:r>
      <w:r w:rsidRPr="008A622D">
        <w:rPr>
          <w:rFonts w:asciiTheme="majorBidi" w:hAnsiTheme="majorBidi" w:cstheme="majorBidi"/>
          <w:bCs/>
          <w:lang w:val="en-US"/>
        </w:rPr>
        <w:lastRenderedPageBreak/>
        <w:t>each of the three censuses.</w:t>
      </w:r>
      <w:r w:rsidR="002C127F" w:rsidRPr="00C23239">
        <w:rPr>
          <w:vertAlign w:val="superscript"/>
        </w:rPr>
        <w:footnoteReference w:id="4"/>
      </w:r>
      <w:r w:rsidRPr="008A622D">
        <w:rPr>
          <w:rFonts w:asciiTheme="majorBidi" w:hAnsiTheme="majorBidi" w:cstheme="majorBidi"/>
          <w:bCs/>
          <w:lang w:val="en-US"/>
        </w:rPr>
        <w:t xml:space="preserve"> This was to ensure that rates </w:t>
      </w:r>
      <w:r w:rsidR="002C127F" w:rsidRPr="008A622D">
        <w:rPr>
          <w:rFonts w:asciiTheme="majorBidi" w:hAnsiTheme="majorBidi" w:cstheme="majorBidi"/>
          <w:bCs/>
          <w:lang w:val="en-US"/>
        </w:rPr>
        <w:t xml:space="preserve">were not calculated </w:t>
      </w:r>
      <w:r w:rsidRPr="008A622D">
        <w:rPr>
          <w:rFonts w:asciiTheme="majorBidi" w:hAnsiTheme="majorBidi" w:cstheme="majorBidi"/>
          <w:bCs/>
          <w:lang w:val="en-US"/>
        </w:rPr>
        <w:t xml:space="preserve">from very small denominators. We </w:t>
      </w:r>
      <w:r w:rsidR="00CF11DF" w:rsidRPr="008A622D">
        <w:rPr>
          <w:rFonts w:asciiTheme="majorBidi" w:hAnsiTheme="majorBidi" w:cstheme="majorBidi"/>
          <w:bCs/>
          <w:lang w:val="en-US"/>
        </w:rPr>
        <w:t>use area u</w:t>
      </w:r>
      <w:r w:rsidR="002C127F" w:rsidRPr="008A622D">
        <w:rPr>
          <w:rFonts w:asciiTheme="majorBidi" w:hAnsiTheme="majorBidi" w:cstheme="majorBidi"/>
          <w:bCs/>
          <w:lang w:val="en-US"/>
        </w:rPr>
        <w:t xml:space="preserve">nits rather than the far more aggregated Territorial Authority level to allow a full range of spatial </w:t>
      </w:r>
      <w:r w:rsidR="00274AE9" w:rsidRPr="008A622D">
        <w:rPr>
          <w:rFonts w:asciiTheme="majorBidi" w:hAnsiTheme="majorBidi" w:cstheme="majorBidi"/>
          <w:bCs/>
          <w:lang w:val="en-US"/>
        </w:rPr>
        <w:t xml:space="preserve">effects </w:t>
      </w:r>
      <w:r w:rsidR="002C127F" w:rsidRPr="008A622D">
        <w:rPr>
          <w:rFonts w:asciiTheme="majorBidi" w:hAnsiTheme="majorBidi" w:cstheme="majorBidi"/>
          <w:bCs/>
          <w:lang w:val="en-US"/>
        </w:rPr>
        <w:t>to be</w:t>
      </w:r>
      <w:r w:rsidR="000851F0" w:rsidRPr="008A622D">
        <w:rPr>
          <w:rFonts w:asciiTheme="majorBidi" w:hAnsiTheme="majorBidi" w:cstheme="majorBidi"/>
          <w:bCs/>
          <w:lang w:val="en-US"/>
        </w:rPr>
        <w:t xml:space="preserve"> observed</w:t>
      </w:r>
      <w:r w:rsidR="007835D8" w:rsidRPr="008A622D">
        <w:rPr>
          <w:rFonts w:asciiTheme="majorBidi" w:hAnsiTheme="majorBidi" w:cstheme="majorBidi"/>
          <w:bCs/>
          <w:lang w:val="en-US"/>
        </w:rPr>
        <w:t>.</w:t>
      </w:r>
      <w:r w:rsidR="0011643E" w:rsidRPr="00C23239">
        <w:rPr>
          <w:vertAlign w:val="superscript"/>
        </w:rPr>
        <w:footnoteReference w:id="5"/>
      </w:r>
      <w:r w:rsidR="007835D8" w:rsidRPr="008A622D">
        <w:rPr>
          <w:rFonts w:asciiTheme="majorBidi" w:hAnsiTheme="majorBidi" w:cstheme="majorBidi"/>
          <w:bCs/>
          <w:lang w:val="en-US"/>
        </w:rPr>
        <w:t xml:space="preserve"> Furthermore, if spatial data are </w:t>
      </w:r>
      <w:r w:rsidR="000851F0" w:rsidRPr="008A622D">
        <w:rPr>
          <w:rFonts w:asciiTheme="majorBidi" w:hAnsiTheme="majorBidi" w:cstheme="majorBidi"/>
          <w:bCs/>
          <w:lang w:val="en-US"/>
        </w:rPr>
        <w:t>overly aggreg</w:t>
      </w:r>
      <w:r w:rsidR="007835D8" w:rsidRPr="008A622D">
        <w:rPr>
          <w:rFonts w:asciiTheme="majorBidi" w:hAnsiTheme="majorBidi" w:cstheme="majorBidi"/>
          <w:bCs/>
          <w:lang w:val="en-US"/>
        </w:rPr>
        <w:t>ated it</w:t>
      </w:r>
      <w:r w:rsidR="000851F0" w:rsidRPr="008A622D">
        <w:rPr>
          <w:rFonts w:asciiTheme="majorBidi" w:hAnsiTheme="majorBidi" w:cstheme="majorBidi"/>
          <w:bCs/>
          <w:lang w:val="en-US"/>
        </w:rPr>
        <w:t xml:space="preserve"> can cause mean-reverting errors (Sharma and Gibson, 2020).</w:t>
      </w:r>
    </w:p>
    <w:p w:rsidR="00A0065E" w:rsidRPr="00694592" w:rsidRDefault="00A0065E" w:rsidP="005C2E59">
      <w:pPr>
        <w:widowControl w:val="0"/>
        <w:spacing w:after="0" w:line="288" w:lineRule="auto"/>
        <w:ind w:firstLine="720"/>
        <w:jc w:val="both"/>
        <w:rPr>
          <w:rFonts w:asciiTheme="majorBidi" w:hAnsiTheme="majorBidi" w:cstheme="majorBidi"/>
          <w:bCs/>
          <w:sz w:val="12"/>
          <w:szCs w:val="12"/>
          <w:lang w:val="en-US"/>
        </w:rPr>
      </w:pPr>
    </w:p>
    <w:p w:rsidR="00775A95" w:rsidRPr="008A622D" w:rsidRDefault="00775A95" w:rsidP="005C2E59">
      <w:pPr>
        <w:widowControl w:val="0"/>
        <w:spacing w:after="0" w:line="288" w:lineRule="auto"/>
        <w:ind w:firstLine="720"/>
        <w:jc w:val="both"/>
        <w:rPr>
          <w:rFonts w:asciiTheme="majorBidi" w:hAnsiTheme="majorBidi" w:cstheme="majorBidi"/>
          <w:bCs/>
          <w:lang w:val="en-US"/>
        </w:rPr>
      </w:pPr>
      <w:r w:rsidRPr="005C2E59">
        <w:rPr>
          <w:rFonts w:asciiTheme="majorBidi" w:hAnsiTheme="majorBidi" w:cstheme="majorBidi"/>
          <w:bCs/>
          <w:lang w:val="en-US"/>
        </w:rPr>
        <w:t xml:space="preserve">We begin with an aspatial panel model, with fixed effects for area units and years, and observations </w:t>
      </w:r>
      <w:r w:rsidR="000E7A10" w:rsidRPr="005C2E59">
        <w:rPr>
          <w:rFonts w:asciiTheme="majorBidi" w:hAnsiTheme="majorBidi" w:cstheme="majorBidi"/>
          <w:bCs/>
          <w:lang w:val="en-US"/>
        </w:rPr>
        <w:t xml:space="preserve">initially </w:t>
      </w:r>
      <w:r w:rsidRPr="005C2E59">
        <w:rPr>
          <w:rFonts w:asciiTheme="majorBidi" w:hAnsiTheme="majorBidi" w:cstheme="majorBidi"/>
          <w:bCs/>
          <w:lang w:val="en-US"/>
        </w:rPr>
        <w:t xml:space="preserve">treated as independent. The native-born home ownership rate and the share of the foreign-born in </w:t>
      </w:r>
      <w:r w:rsidR="000E7A10" w:rsidRPr="005C2E59">
        <w:rPr>
          <w:rFonts w:asciiTheme="majorBidi" w:hAnsiTheme="majorBidi" w:cstheme="majorBidi"/>
          <w:bCs/>
          <w:lang w:val="en-US"/>
        </w:rPr>
        <w:t xml:space="preserve">the </w:t>
      </w:r>
      <w:r w:rsidRPr="005C2E59">
        <w:rPr>
          <w:rFonts w:asciiTheme="majorBidi" w:hAnsiTheme="majorBidi" w:cstheme="majorBidi"/>
          <w:bCs/>
          <w:lang w:val="en-US"/>
        </w:rPr>
        <w:t>population of an area unit are both standardized so regression co</w:t>
      </w:r>
      <w:r w:rsidR="00797832" w:rsidRPr="005C2E59">
        <w:rPr>
          <w:rFonts w:asciiTheme="majorBidi" w:hAnsiTheme="majorBidi" w:cstheme="majorBidi"/>
          <w:bCs/>
          <w:lang w:val="en-US"/>
        </w:rPr>
        <w:t>efficients can be interpreted as</w:t>
      </w:r>
      <w:r w:rsidRPr="005C2E59">
        <w:rPr>
          <w:rFonts w:asciiTheme="majorBidi" w:hAnsiTheme="majorBidi" w:cstheme="majorBidi"/>
          <w:bCs/>
          <w:lang w:val="en-US"/>
        </w:rPr>
        <w:t xml:space="preserve"> standard deviation </w:t>
      </w:r>
      <w:r w:rsidR="00797832" w:rsidRPr="005C2E59">
        <w:rPr>
          <w:rFonts w:asciiTheme="majorBidi" w:hAnsiTheme="majorBidi" w:cstheme="majorBidi"/>
          <w:bCs/>
          <w:lang w:val="en-US"/>
        </w:rPr>
        <w:t>changes</w:t>
      </w:r>
      <w:r w:rsidRPr="005C2E59">
        <w:rPr>
          <w:rFonts w:asciiTheme="majorBidi" w:hAnsiTheme="majorBidi" w:cstheme="majorBidi"/>
          <w:bCs/>
          <w:lang w:val="en-US"/>
        </w:rPr>
        <w:t xml:space="preserve">. The native-born ownership rate in area </w:t>
      </w:r>
      <w:proofErr w:type="spellStart"/>
      <w:r w:rsidRPr="00C23239">
        <w:rPr>
          <w:rFonts w:asciiTheme="majorBidi" w:hAnsiTheme="majorBidi" w:cstheme="majorBidi"/>
          <w:bCs/>
          <w:i/>
          <w:iCs/>
          <w:lang w:val="en-US"/>
        </w:rPr>
        <w:t>i</w:t>
      </w:r>
      <w:proofErr w:type="spellEnd"/>
      <w:r w:rsidRPr="005C2E59">
        <w:rPr>
          <w:rFonts w:asciiTheme="majorBidi" w:hAnsiTheme="majorBidi" w:cstheme="majorBidi"/>
          <w:bCs/>
          <w:lang w:val="en-US"/>
        </w:rPr>
        <w:t xml:space="preserve"> in year </w:t>
      </w:r>
      <w:r w:rsidRPr="00C23239">
        <w:rPr>
          <w:rFonts w:asciiTheme="majorBidi" w:hAnsiTheme="majorBidi" w:cstheme="majorBidi"/>
          <w:bCs/>
          <w:i/>
          <w:iCs/>
          <w:lang w:val="en-US"/>
        </w:rPr>
        <w:t>t</w:t>
      </w:r>
      <w:r w:rsidRPr="005C2E59">
        <w:rPr>
          <w:rFonts w:asciiTheme="majorBidi" w:hAnsiTheme="majorBidi" w:cstheme="majorBidi"/>
          <w:bCs/>
          <w:lang w:val="en-US"/>
        </w:rPr>
        <w:t xml:space="preserve"> is </w:t>
      </w:r>
      <m:oMath>
        <m:sSub>
          <m:sSubPr>
            <m:ctrlPr>
              <w:rPr>
                <w:rFonts w:ascii="Cambria Math" w:hAnsi="Cambria Math" w:cstheme="majorBidi"/>
                <w:bCs/>
                <w:lang w:val="en-US"/>
              </w:rPr>
            </m:ctrlPr>
          </m:sSubPr>
          <m:e>
            <m:r>
              <w:rPr>
                <w:rFonts w:ascii="Cambria Math" w:hAnsi="Cambria Math" w:cstheme="majorBidi"/>
                <w:lang w:val="en-US"/>
              </w:rPr>
              <m:t>NHO</m:t>
            </m:r>
          </m:e>
          <m:sub>
            <m:r>
              <w:rPr>
                <w:rFonts w:ascii="Cambria Math" w:hAnsi="Cambria Math" w:cstheme="majorBidi"/>
                <w:lang w:val="en-US"/>
              </w:rPr>
              <m:t>it</m:t>
            </m:r>
          </m:sub>
        </m:sSub>
      </m:oMath>
      <w:r w:rsidRPr="005C2E59">
        <w:rPr>
          <w:rFonts w:asciiTheme="majorBidi" w:hAnsiTheme="majorBidi" w:cstheme="majorBidi"/>
          <w:bCs/>
          <w:lang w:val="en-US"/>
        </w:rPr>
        <w:t xml:space="preserve">, the foreign-born share is </w:t>
      </w:r>
      <m:oMath>
        <m:sSub>
          <m:sSubPr>
            <m:ctrlPr>
              <w:rPr>
                <w:rFonts w:ascii="Cambria Math" w:hAnsi="Cambria Math" w:cstheme="majorBidi"/>
                <w:bCs/>
                <w:lang w:val="en-US"/>
              </w:rPr>
            </m:ctrlPr>
          </m:sSubPr>
          <m:e>
            <m:r>
              <w:rPr>
                <w:rFonts w:ascii="Cambria Math" w:hAnsi="Cambria Math" w:cstheme="majorBidi"/>
                <w:lang w:val="en-US"/>
              </w:rPr>
              <m:t>FB</m:t>
            </m:r>
          </m:e>
          <m:sub>
            <m:r>
              <w:rPr>
                <w:rFonts w:ascii="Cambria Math" w:hAnsi="Cambria Math" w:cstheme="majorBidi"/>
                <w:lang w:val="en-US"/>
              </w:rPr>
              <m:t>it</m:t>
            </m:r>
          </m:sub>
        </m:sSub>
      </m:oMath>
      <w:r w:rsidRPr="005C2E59">
        <w:rPr>
          <w:rFonts w:asciiTheme="majorBidi" w:hAnsiTheme="majorBidi" w:cstheme="majorBidi"/>
          <w:bCs/>
          <w:lang w:val="en-US"/>
        </w:rPr>
        <w:t xml:space="preserve"> the </w:t>
      </w:r>
      <m:oMath>
        <m:sSub>
          <m:sSubPr>
            <m:ctrlPr>
              <w:rPr>
                <w:rFonts w:ascii="Cambria Math" w:hAnsi="Cambria Math" w:cstheme="majorBidi"/>
                <w:bCs/>
                <w:lang w:val="en-US"/>
              </w:rPr>
            </m:ctrlPr>
          </m:sSubPr>
          <m:e>
            <m:r>
              <w:rPr>
                <w:rFonts w:ascii="Cambria Math" w:hAnsi="Cambria Math" w:cstheme="majorBidi"/>
                <w:lang w:val="en-US"/>
              </w:rPr>
              <m:t>μ</m:t>
            </m:r>
          </m:e>
          <m:sub>
            <m:r>
              <w:rPr>
                <w:rFonts w:ascii="Cambria Math" w:hAnsi="Cambria Math" w:cstheme="majorBidi"/>
                <w:lang w:val="en-US"/>
              </w:rPr>
              <m:t>i</m:t>
            </m:r>
          </m:sub>
        </m:sSub>
      </m:oMath>
      <w:r w:rsidRPr="005C2E59">
        <w:rPr>
          <w:rFonts w:asciiTheme="majorBidi" w:hAnsiTheme="majorBidi" w:cstheme="majorBidi"/>
          <w:bCs/>
          <w:lang w:val="en-US"/>
        </w:rPr>
        <w:t xml:space="preserve"> are time-invariant fixed effects</w:t>
      </w:r>
      <w:r w:rsidR="00EA4D34" w:rsidRPr="005C2E59">
        <w:rPr>
          <w:rFonts w:asciiTheme="majorBidi" w:hAnsiTheme="majorBidi" w:cstheme="majorBidi"/>
          <w:bCs/>
          <w:lang w:val="en-US"/>
        </w:rPr>
        <w:t xml:space="preserve"> for each area unit</w:t>
      </w:r>
      <w:r w:rsidRPr="005C2E59">
        <w:rPr>
          <w:rFonts w:asciiTheme="majorBidi" w:hAnsiTheme="majorBidi" w:cstheme="majorBidi"/>
          <w:bCs/>
          <w:lang w:val="en-US"/>
        </w:rPr>
        <w:t xml:space="preserve">, the </w:t>
      </w:r>
      <m:oMath>
        <m:sSub>
          <m:sSubPr>
            <m:ctrlPr>
              <w:rPr>
                <w:rFonts w:ascii="Cambria Math" w:hAnsi="Cambria Math" w:cstheme="majorBidi"/>
                <w:bCs/>
                <w:lang w:val="en-US"/>
              </w:rPr>
            </m:ctrlPr>
          </m:sSubPr>
          <m:e>
            <m:r>
              <w:rPr>
                <w:rFonts w:ascii="Cambria Math" w:hAnsi="Cambria Math" w:cstheme="majorBidi"/>
                <w:lang w:val="en-US"/>
              </w:rPr>
              <m:t>ϑ</m:t>
            </m:r>
          </m:e>
          <m:sub>
            <m:r>
              <w:rPr>
                <w:rFonts w:ascii="Cambria Math" w:hAnsi="Cambria Math" w:cstheme="majorBidi"/>
                <w:lang w:val="en-US"/>
              </w:rPr>
              <m:t>t</m:t>
            </m:r>
          </m:sub>
        </m:sSub>
      </m:oMath>
      <w:r w:rsidRPr="005C2E59">
        <w:rPr>
          <w:rFonts w:asciiTheme="majorBidi" w:hAnsiTheme="majorBidi" w:cstheme="majorBidi"/>
          <w:bCs/>
          <w:lang w:val="en-US"/>
        </w:rPr>
        <w:t xml:space="preserve"> are year fixed effects, and </w:t>
      </w:r>
      <m:oMath>
        <m:sSub>
          <m:sSubPr>
            <m:ctrlPr>
              <w:rPr>
                <w:rFonts w:ascii="Cambria Math" w:hAnsi="Cambria Math" w:cstheme="majorBidi"/>
                <w:bCs/>
                <w:lang w:val="en-US"/>
              </w:rPr>
            </m:ctrlPr>
          </m:sSubPr>
          <m:e>
            <m:r>
              <w:rPr>
                <w:rFonts w:ascii="Cambria Math" w:hAnsi="Cambria Math" w:cstheme="majorBidi"/>
                <w:lang w:val="en-US"/>
              </w:rPr>
              <m:t>e</m:t>
            </m:r>
          </m:e>
          <m:sub>
            <m:r>
              <w:rPr>
                <w:rFonts w:ascii="Cambria Math" w:hAnsi="Cambria Math" w:cstheme="majorBidi"/>
                <w:lang w:val="en-US"/>
              </w:rPr>
              <m:t>it</m:t>
            </m:r>
          </m:sub>
        </m:sSub>
      </m:oMath>
      <w:r w:rsidRPr="005C2E59">
        <w:rPr>
          <w:rFonts w:asciiTheme="majorBidi" w:hAnsiTheme="majorBidi" w:cstheme="majorBidi"/>
          <w:bCs/>
          <w:lang w:val="en-US"/>
        </w:rPr>
        <w:t xml:space="preserve"> is a random error:</w:t>
      </w:r>
    </w:p>
    <w:p w:rsidR="00775A95" w:rsidRPr="005C2E59" w:rsidRDefault="008952F5" w:rsidP="00694592">
      <w:pPr>
        <w:widowControl w:val="0"/>
        <w:spacing w:before="120" w:after="120" w:line="288" w:lineRule="auto"/>
        <w:ind w:firstLine="720"/>
        <w:jc w:val="right"/>
        <w:rPr>
          <w:rFonts w:asciiTheme="majorBidi" w:hAnsiTheme="majorBidi" w:cstheme="majorBidi"/>
          <w:bCs/>
          <w:lang w:val="en-US"/>
        </w:rPr>
      </w:pPr>
      <m:oMath>
        <m:sSub>
          <m:sSubPr>
            <m:ctrlPr>
              <w:rPr>
                <w:rFonts w:ascii="Cambria Math" w:hAnsi="Cambria Math" w:cstheme="majorBidi"/>
                <w:bCs/>
                <w:lang w:val="en-US"/>
              </w:rPr>
            </m:ctrlPr>
          </m:sSubPr>
          <m:e>
            <m:r>
              <w:rPr>
                <w:rFonts w:ascii="Cambria Math" w:hAnsi="Cambria Math" w:cstheme="majorBidi"/>
                <w:lang w:val="en-US"/>
              </w:rPr>
              <m:t>NHO</m:t>
            </m:r>
          </m:e>
          <m:sub>
            <m:r>
              <w:rPr>
                <w:rFonts w:ascii="Cambria Math" w:hAnsi="Cambria Math" w:cstheme="majorBidi"/>
                <w:lang w:val="en-US"/>
              </w:rPr>
              <m:t>it</m:t>
            </m:r>
          </m:sub>
        </m:sSub>
        <m:r>
          <m:rPr>
            <m:sty m:val="p"/>
          </m:rPr>
          <w:rPr>
            <w:rFonts w:ascii="Cambria Math" w:hAnsi="Cambria Math" w:cstheme="majorBidi"/>
            <w:lang w:val="en-US"/>
          </w:rPr>
          <m:t>=</m:t>
        </m:r>
        <m:sSub>
          <m:sSubPr>
            <m:ctrlPr>
              <w:rPr>
                <w:rFonts w:ascii="Cambria Math" w:hAnsi="Cambria Math" w:cstheme="majorBidi"/>
                <w:bCs/>
                <w:lang w:val="en-US"/>
              </w:rPr>
            </m:ctrlPr>
          </m:sSubPr>
          <m:e>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1</m:t>
                </m:r>
              </m:sub>
            </m:sSub>
            <m:r>
              <w:rPr>
                <w:rFonts w:ascii="Cambria Math" w:hAnsi="Cambria Math" w:cstheme="majorBidi"/>
                <w:lang w:val="en-US"/>
              </w:rPr>
              <m:t>FB</m:t>
            </m:r>
          </m:e>
          <m:sub>
            <m:r>
              <w:rPr>
                <w:rFonts w:ascii="Cambria Math" w:hAnsi="Cambria Math" w:cstheme="majorBidi"/>
                <w:lang w:val="en-US"/>
              </w:rPr>
              <m:t>it</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μ</m:t>
            </m:r>
          </m:e>
          <m:sub>
            <m:r>
              <w:rPr>
                <w:rFonts w:ascii="Cambria Math" w:hAnsi="Cambria Math" w:cstheme="majorBidi"/>
                <w:lang w:val="en-US"/>
              </w:rPr>
              <m:t>i</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ϑ</m:t>
            </m:r>
          </m:e>
          <m:sub>
            <m:r>
              <w:rPr>
                <w:rFonts w:ascii="Cambria Math" w:hAnsi="Cambria Math" w:cstheme="majorBidi"/>
                <w:lang w:val="en-US"/>
              </w:rPr>
              <m:t>t</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e</m:t>
            </m:r>
          </m:e>
          <m:sub>
            <m:r>
              <w:rPr>
                <w:rFonts w:ascii="Cambria Math" w:hAnsi="Cambria Math" w:cstheme="majorBidi"/>
                <w:lang w:val="en-US"/>
              </w:rPr>
              <m:t>it</m:t>
            </m:r>
          </m:sub>
        </m:sSub>
      </m:oMath>
      <w:r w:rsidR="00775A95" w:rsidRPr="005C2E59">
        <w:rPr>
          <w:rFonts w:asciiTheme="majorBidi" w:hAnsiTheme="majorBidi" w:cstheme="majorBidi"/>
          <w:bCs/>
          <w:lang w:val="en-US"/>
        </w:rPr>
        <w:tab/>
      </w:r>
      <w:r w:rsidR="00775A95" w:rsidRPr="005C2E59">
        <w:rPr>
          <w:rFonts w:asciiTheme="majorBidi" w:hAnsiTheme="majorBidi" w:cstheme="majorBidi"/>
          <w:bCs/>
          <w:lang w:val="en-US"/>
        </w:rPr>
        <w:tab/>
      </w:r>
      <w:r w:rsidR="00775A95" w:rsidRPr="005C2E59">
        <w:rPr>
          <w:rFonts w:asciiTheme="majorBidi" w:hAnsiTheme="majorBidi" w:cstheme="majorBidi"/>
          <w:bCs/>
          <w:lang w:val="en-US"/>
        </w:rPr>
        <w:tab/>
      </w:r>
      <w:r w:rsidR="00775A95" w:rsidRPr="005C2E59">
        <w:rPr>
          <w:rFonts w:asciiTheme="majorBidi" w:hAnsiTheme="majorBidi" w:cstheme="majorBidi"/>
          <w:bCs/>
          <w:lang w:val="en-US"/>
        </w:rPr>
        <w:tab/>
        <w:t>(1)</w:t>
      </w:r>
    </w:p>
    <w:p w:rsidR="00981A1A" w:rsidRPr="005C2E59" w:rsidRDefault="00217731" w:rsidP="00694592">
      <w:pPr>
        <w:widowControl w:val="0"/>
        <w:spacing w:after="0" w:line="288" w:lineRule="auto"/>
        <w:jc w:val="both"/>
        <w:rPr>
          <w:rFonts w:asciiTheme="majorBidi" w:hAnsiTheme="majorBidi" w:cstheme="majorBidi"/>
          <w:bCs/>
          <w:lang w:val="en-US"/>
        </w:rPr>
      </w:pPr>
      <w:r w:rsidRPr="005C2E59">
        <w:rPr>
          <w:rFonts w:asciiTheme="majorBidi" w:hAnsiTheme="majorBidi" w:cstheme="majorBidi"/>
          <w:bCs/>
          <w:lang w:val="en-US"/>
        </w:rPr>
        <w:t>P</w:t>
      </w:r>
      <w:r w:rsidR="00775A95" w:rsidRPr="005C2E59">
        <w:rPr>
          <w:rFonts w:asciiTheme="majorBidi" w:hAnsiTheme="majorBidi" w:cstheme="majorBidi"/>
          <w:bCs/>
          <w:lang w:val="en-US"/>
        </w:rPr>
        <w:t>anel models such as equation (1) are typically used to</w:t>
      </w:r>
      <w:r w:rsidR="007835D8" w:rsidRPr="005C2E59">
        <w:rPr>
          <w:rFonts w:asciiTheme="majorBidi" w:hAnsiTheme="majorBidi" w:cstheme="majorBidi"/>
          <w:bCs/>
          <w:lang w:val="en-US"/>
        </w:rPr>
        <w:t xml:space="preserve"> deal with omitted heterogeneity</w:t>
      </w:r>
      <w:r w:rsidR="00BA791D" w:rsidRPr="005C2E59">
        <w:rPr>
          <w:rFonts w:asciiTheme="majorBidi" w:hAnsiTheme="majorBidi" w:cstheme="majorBidi"/>
          <w:bCs/>
          <w:lang w:val="en-US"/>
        </w:rPr>
        <w:t>; here</w:t>
      </w:r>
      <w:r w:rsidR="007835D8" w:rsidRPr="005C2E59">
        <w:rPr>
          <w:rFonts w:asciiTheme="majorBidi" w:hAnsiTheme="majorBidi" w:cstheme="majorBidi"/>
          <w:bCs/>
          <w:lang w:val="en-US"/>
        </w:rPr>
        <w:t xml:space="preserve"> </w:t>
      </w:r>
      <w:r w:rsidRPr="005C2E59">
        <w:rPr>
          <w:rFonts w:asciiTheme="majorBidi" w:hAnsiTheme="majorBidi" w:cstheme="majorBidi"/>
          <w:bCs/>
          <w:lang w:val="en-US"/>
        </w:rPr>
        <w:t>affect</w:t>
      </w:r>
      <w:r w:rsidR="00BA791D" w:rsidRPr="005C2E59">
        <w:rPr>
          <w:rFonts w:asciiTheme="majorBidi" w:hAnsiTheme="majorBidi" w:cstheme="majorBidi"/>
          <w:bCs/>
          <w:lang w:val="en-US"/>
        </w:rPr>
        <w:t>ing</w:t>
      </w:r>
      <w:r w:rsidRPr="005C2E59">
        <w:rPr>
          <w:rFonts w:asciiTheme="majorBidi" w:hAnsiTheme="majorBidi" w:cstheme="majorBidi"/>
          <w:bCs/>
          <w:lang w:val="en-US"/>
        </w:rPr>
        <w:t xml:space="preserve"> both </w:t>
      </w:r>
      <w:r w:rsidR="007835D8" w:rsidRPr="005C2E59">
        <w:rPr>
          <w:rFonts w:asciiTheme="majorBidi" w:hAnsiTheme="majorBidi" w:cstheme="majorBidi"/>
          <w:bCs/>
          <w:lang w:val="en-US"/>
        </w:rPr>
        <w:t xml:space="preserve">ownership rates </w:t>
      </w:r>
      <w:r w:rsidRPr="005C2E59">
        <w:rPr>
          <w:rFonts w:asciiTheme="majorBidi" w:hAnsiTheme="majorBidi" w:cstheme="majorBidi"/>
          <w:bCs/>
          <w:lang w:val="en-US"/>
        </w:rPr>
        <w:t xml:space="preserve">and the foreign-born share. For example, if migrants settle in densely populated areas due to perceived productivity advantages and if the native-born tend to rent in such areas because security of tenure </w:t>
      </w:r>
      <w:r w:rsidR="000E7A10" w:rsidRPr="005C2E59">
        <w:rPr>
          <w:rFonts w:asciiTheme="majorBidi" w:hAnsiTheme="majorBidi" w:cstheme="majorBidi"/>
          <w:bCs/>
          <w:lang w:val="en-US"/>
        </w:rPr>
        <w:t xml:space="preserve">from </w:t>
      </w:r>
      <w:r w:rsidRPr="005C2E59">
        <w:rPr>
          <w:rFonts w:asciiTheme="majorBidi" w:hAnsiTheme="majorBidi" w:cstheme="majorBidi"/>
          <w:bCs/>
          <w:lang w:val="en-US"/>
        </w:rPr>
        <w:t xml:space="preserve">ownership </w:t>
      </w:r>
      <w:r w:rsidR="000E7A10" w:rsidRPr="005C2E59">
        <w:rPr>
          <w:rFonts w:asciiTheme="majorBidi" w:hAnsiTheme="majorBidi" w:cstheme="majorBidi"/>
          <w:bCs/>
          <w:lang w:val="en-US"/>
        </w:rPr>
        <w:t>may</w:t>
      </w:r>
      <w:r w:rsidRPr="005C2E59">
        <w:rPr>
          <w:rFonts w:asciiTheme="majorBidi" w:hAnsiTheme="majorBidi" w:cstheme="majorBidi"/>
          <w:bCs/>
          <w:lang w:val="en-US"/>
        </w:rPr>
        <w:t xml:space="preserve"> matter less </w:t>
      </w:r>
      <w:r w:rsidR="002C0CBB" w:rsidRPr="005C2E59">
        <w:rPr>
          <w:rFonts w:asciiTheme="majorBidi" w:hAnsiTheme="majorBidi" w:cstheme="majorBidi"/>
          <w:bCs/>
          <w:lang w:val="en-US"/>
        </w:rPr>
        <w:t xml:space="preserve">where </w:t>
      </w:r>
      <w:r w:rsidRPr="005C2E59">
        <w:rPr>
          <w:rFonts w:asciiTheme="majorBidi" w:hAnsiTheme="majorBidi" w:cstheme="majorBidi"/>
          <w:bCs/>
          <w:lang w:val="en-US"/>
        </w:rPr>
        <w:t xml:space="preserve">many alternative dwellings </w:t>
      </w:r>
      <w:r w:rsidR="002C0CBB" w:rsidRPr="005C2E59">
        <w:rPr>
          <w:rFonts w:asciiTheme="majorBidi" w:hAnsiTheme="majorBidi" w:cstheme="majorBidi"/>
          <w:bCs/>
          <w:lang w:val="en-US"/>
        </w:rPr>
        <w:t xml:space="preserve">are </w:t>
      </w:r>
      <w:r w:rsidRPr="005C2E59">
        <w:rPr>
          <w:rFonts w:asciiTheme="majorBidi" w:hAnsiTheme="majorBidi" w:cstheme="majorBidi"/>
          <w:bCs/>
          <w:lang w:val="en-US"/>
        </w:rPr>
        <w:t>nearby,</w:t>
      </w:r>
      <w:r w:rsidR="000E7A10" w:rsidRPr="005C2E59">
        <w:rPr>
          <w:rFonts w:asciiTheme="majorBidi" w:hAnsiTheme="majorBidi" w:cstheme="majorBidi"/>
          <w:bCs/>
          <w:lang w:val="en-US"/>
        </w:rPr>
        <w:t xml:space="preserve"> then </w:t>
      </w:r>
      <w:r w:rsidR="00596E37" w:rsidRPr="005C2E59">
        <w:rPr>
          <w:rFonts w:asciiTheme="majorBidi" w:hAnsiTheme="majorBidi" w:cstheme="majorBidi"/>
          <w:bCs/>
          <w:lang w:val="en-US"/>
        </w:rPr>
        <w:t xml:space="preserve">omitting density could bias </w:t>
      </w:r>
      <m:oMath>
        <m:sSub>
          <m:sSubPr>
            <m:ctrlPr>
              <w:rPr>
                <w:rFonts w:ascii="Cambria Math" w:hAnsi="Cambria Math" w:cstheme="majorBidi"/>
                <w:bCs/>
                <w:lang w:val="en-US"/>
              </w:rPr>
            </m:ctrlPr>
          </m:sSubPr>
          <m:e>
            <m:acc>
              <m:accPr>
                <m:ctrlPr>
                  <w:rPr>
                    <w:rFonts w:ascii="Cambria Math" w:hAnsi="Cambria Math" w:cstheme="majorBidi"/>
                    <w:bCs/>
                    <w:lang w:val="en-US"/>
                  </w:rPr>
                </m:ctrlPr>
              </m:accPr>
              <m:e>
                <m:r>
                  <w:rPr>
                    <w:rFonts w:ascii="Cambria Math" w:hAnsi="Cambria Math" w:cstheme="majorBidi"/>
                    <w:lang w:val="en-US"/>
                  </w:rPr>
                  <m:t>β</m:t>
                </m:r>
              </m:e>
            </m:acc>
          </m:e>
          <m:sub>
            <m:r>
              <w:rPr>
                <w:rFonts w:ascii="Cambria Math" w:hAnsi="Cambria Math" w:cstheme="majorBidi"/>
                <w:lang w:val="en-US"/>
              </w:rPr>
              <m:t>OLS</m:t>
            </m:r>
          </m:sub>
        </m:sSub>
      </m:oMath>
      <w:r w:rsidR="00596E37" w:rsidRPr="005C2E59">
        <w:rPr>
          <w:rFonts w:asciiTheme="majorBidi" w:hAnsiTheme="majorBidi" w:cstheme="majorBidi"/>
          <w:bCs/>
          <w:lang w:val="en-US"/>
        </w:rPr>
        <w:t xml:space="preserve"> as an estimator of the causal effect. However, to</w:t>
      </w:r>
      <w:r w:rsidR="000E7A10" w:rsidRPr="005C2E59">
        <w:rPr>
          <w:rFonts w:asciiTheme="majorBidi" w:hAnsiTheme="majorBidi" w:cstheme="majorBidi"/>
          <w:bCs/>
          <w:lang w:val="en-US"/>
        </w:rPr>
        <w:t xml:space="preserve"> the extent that </w:t>
      </w:r>
      <w:r w:rsidR="00BA791D" w:rsidRPr="005C2E59">
        <w:rPr>
          <w:rFonts w:asciiTheme="majorBidi" w:hAnsiTheme="majorBidi" w:cstheme="majorBidi"/>
          <w:bCs/>
          <w:lang w:val="en-US"/>
        </w:rPr>
        <w:t xml:space="preserve">density </w:t>
      </w:r>
      <w:r w:rsidR="000E7A10" w:rsidRPr="005C2E59">
        <w:rPr>
          <w:rFonts w:asciiTheme="majorBidi" w:hAnsiTheme="majorBidi" w:cstheme="majorBidi"/>
          <w:bCs/>
          <w:lang w:val="en-US"/>
        </w:rPr>
        <w:t xml:space="preserve">variation </w:t>
      </w:r>
      <w:r w:rsidR="00BA791D" w:rsidRPr="005C2E59">
        <w:rPr>
          <w:rFonts w:asciiTheme="majorBidi" w:hAnsiTheme="majorBidi" w:cstheme="majorBidi"/>
          <w:bCs/>
          <w:lang w:val="en-US"/>
        </w:rPr>
        <w:t xml:space="preserve">across space hardly </w:t>
      </w:r>
      <w:r w:rsidR="000E7A10" w:rsidRPr="005C2E59">
        <w:rPr>
          <w:rFonts w:asciiTheme="majorBidi" w:hAnsiTheme="majorBidi" w:cstheme="majorBidi"/>
          <w:bCs/>
          <w:lang w:val="en-US"/>
        </w:rPr>
        <w:t>change</w:t>
      </w:r>
      <w:r w:rsidR="00BA791D" w:rsidRPr="005C2E59">
        <w:rPr>
          <w:rFonts w:asciiTheme="majorBidi" w:hAnsiTheme="majorBidi" w:cstheme="majorBidi"/>
          <w:bCs/>
          <w:lang w:val="en-US"/>
        </w:rPr>
        <w:t>s</w:t>
      </w:r>
      <w:r w:rsidR="000E7A10" w:rsidRPr="005C2E59">
        <w:rPr>
          <w:rFonts w:asciiTheme="majorBidi" w:hAnsiTheme="majorBidi" w:cstheme="majorBidi"/>
          <w:bCs/>
          <w:lang w:val="en-US"/>
        </w:rPr>
        <w:t xml:space="preserve"> in the short-run, </w:t>
      </w:r>
      <w:r w:rsidR="00596E37" w:rsidRPr="005C2E59">
        <w:rPr>
          <w:rFonts w:asciiTheme="majorBidi" w:hAnsiTheme="majorBidi" w:cstheme="majorBidi"/>
          <w:bCs/>
          <w:lang w:val="en-US"/>
        </w:rPr>
        <w:t xml:space="preserve">as </w:t>
      </w:r>
      <w:r w:rsidR="000E7A10" w:rsidRPr="005C2E59">
        <w:rPr>
          <w:rFonts w:asciiTheme="majorBidi" w:hAnsiTheme="majorBidi" w:cstheme="majorBidi"/>
          <w:bCs/>
          <w:lang w:val="en-US"/>
        </w:rPr>
        <w:t>it is due to geology, topography and the his</w:t>
      </w:r>
      <w:r w:rsidR="00596E37" w:rsidRPr="005C2E59">
        <w:rPr>
          <w:rFonts w:asciiTheme="majorBidi" w:hAnsiTheme="majorBidi" w:cstheme="majorBidi"/>
          <w:bCs/>
          <w:lang w:val="en-US"/>
        </w:rPr>
        <w:t xml:space="preserve">tory of a particular area, </w:t>
      </w:r>
      <w:r w:rsidR="000E7A10" w:rsidRPr="005C2E59">
        <w:rPr>
          <w:rFonts w:asciiTheme="majorBidi" w:hAnsiTheme="majorBidi" w:cstheme="majorBidi"/>
          <w:bCs/>
          <w:lang w:val="en-US"/>
        </w:rPr>
        <w:t>the</w:t>
      </w:r>
      <w:r w:rsidR="00BA791D" w:rsidRPr="005C2E59">
        <w:rPr>
          <w:rFonts w:asciiTheme="majorBidi" w:hAnsiTheme="majorBidi" w:cstheme="majorBidi"/>
          <w:bCs/>
          <w:lang w:val="en-US"/>
        </w:rPr>
        <w:t>n</w:t>
      </w:r>
      <w:r w:rsidR="000E7A10" w:rsidRPr="005C2E59">
        <w:rPr>
          <w:rFonts w:asciiTheme="majorBidi" w:hAnsiTheme="majorBidi" w:cstheme="majorBidi"/>
          <w:bCs/>
          <w:lang w:val="en-US"/>
        </w:rPr>
        <w:t xml:space="preserve"> </w:t>
      </w:r>
      <m:oMath>
        <m:sSub>
          <m:sSubPr>
            <m:ctrlPr>
              <w:rPr>
                <w:rFonts w:ascii="Cambria Math" w:hAnsi="Cambria Math" w:cstheme="majorBidi"/>
                <w:bCs/>
                <w:lang w:val="en-US"/>
              </w:rPr>
            </m:ctrlPr>
          </m:sSubPr>
          <m:e>
            <m:r>
              <w:rPr>
                <w:rFonts w:ascii="Cambria Math" w:hAnsi="Cambria Math" w:cstheme="majorBidi"/>
                <w:lang w:val="en-US"/>
              </w:rPr>
              <m:t>μ</m:t>
            </m:r>
          </m:e>
          <m:sub>
            <m:r>
              <w:rPr>
                <w:rFonts w:ascii="Cambria Math" w:hAnsi="Cambria Math" w:cstheme="majorBidi"/>
                <w:lang w:val="en-US"/>
              </w:rPr>
              <m:t>i</m:t>
            </m:r>
          </m:sub>
        </m:sSub>
      </m:oMath>
      <w:r w:rsidR="000E7A10" w:rsidRPr="005C2E59">
        <w:rPr>
          <w:rFonts w:asciiTheme="majorBidi" w:hAnsiTheme="majorBidi" w:cstheme="majorBidi"/>
          <w:bCs/>
          <w:lang w:val="en-US"/>
        </w:rPr>
        <w:t xml:space="preserve"> fixed effects can mitigate this omitted variable bias. Likewise, time fixed effects </w:t>
      </w:r>
      <w:r w:rsidR="00981A1A" w:rsidRPr="005C2E59">
        <w:rPr>
          <w:rFonts w:asciiTheme="majorBidi" w:hAnsiTheme="majorBidi" w:cstheme="majorBidi"/>
          <w:bCs/>
          <w:lang w:val="en-US"/>
        </w:rPr>
        <w:t xml:space="preserve">can </w:t>
      </w:r>
      <w:r w:rsidR="000E7A10" w:rsidRPr="005C2E59">
        <w:rPr>
          <w:rFonts w:asciiTheme="majorBidi" w:hAnsiTheme="majorBidi" w:cstheme="majorBidi"/>
          <w:bCs/>
          <w:lang w:val="en-US"/>
        </w:rPr>
        <w:t xml:space="preserve">control for </w:t>
      </w:r>
      <w:r w:rsidR="00BA791D" w:rsidRPr="005C2E59">
        <w:rPr>
          <w:rFonts w:asciiTheme="majorBidi" w:hAnsiTheme="majorBidi" w:cstheme="majorBidi"/>
          <w:bCs/>
          <w:lang w:val="en-US"/>
        </w:rPr>
        <w:t xml:space="preserve">any </w:t>
      </w:r>
      <w:r w:rsidR="000E7A10" w:rsidRPr="005C2E59">
        <w:rPr>
          <w:rFonts w:asciiTheme="majorBidi" w:hAnsiTheme="majorBidi" w:cstheme="majorBidi"/>
          <w:bCs/>
          <w:lang w:val="en-US"/>
        </w:rPr>
        <w:t>temporal factors that may correlate with ownership rates</w:t>
      </w:r>
      <w:r w:rsidR="007835D8" w:rsidRPr="005C2E59">
        <w:rPr>
          <w:rFonts w:asciiTheme="majorBidi" w:hAnsiTheme="majorBidi" w:cstheme="majorBidi"/>
          <w:bCs/>
          <w:lang w:val="en-US"/>
        </w:rPr>
        <w:t xml:space="preserve"> (including </w:t>
      </w:r>
      <w:r w:rsidR="00596E37" w:rsidRPr="005C2E59">
        <w:rPr>
          <w:rFonts w:asciiTheme="majorBidi" w:hAnsiTheme="majorBidi" w:cstheme="majorBidi"/>
          <w:bCs/>
          <w:lang w:val="en-US"/>
        </w:rPr>
        <w:t xml:space="preserve">any </w:t>
      </w:r>
      <w:r w:rsidR="007835D8" w:rsidRPr="005C2E59">
        <w:rPr>
          <w:rFonts w:asciiTheme="majorBidi" w:hAnsiTheme="majorBidi" w:cstheme="majorBidi"/>
          <w:bCs/>
          <w:lang w:val="en-US"/>
        </w:rPr>
        <w:t xml:space="preserve">reporting effects </w:t>
      </w:r>
      <w:r w:rsidR="00596E37" w:rsidRPr="005C2E59">
        <w:rPr>
          <w:rFonts w:asciiTheme="majorBidi" w:hAnsiTheme="majorBidi" w:cstheme="majorBidi"/>
          <w:bCs/>
          <w:lang w:val="en-US"/>
        </w:rPr>
        <w:t xml:space="preserve">from </w:t>
      </w:r>
      <w:r w:rsidR="00BA791D" w:rsidRPr="005C2E59">
        <w:rPr>
          <w:rFonts w:asciiTheme="majorBidi" w:hAnsiTheme="majorBidi" w:cstheme="majorBidi"/>
          <w:bCs/>
          <w:lang w:val="en-US"/>
        </w:rPr>
        <w:t xml:space="preserve">changes in </w:t>
      </w:r>
      <w:r w:rsidR="00596E37" w:rsidRPr="005C2E59">
        <w:rPr>
          <w:rFonts w:asciiTheme="majorBidi" w:hAnsiTheme="majorBidi" w:cstheme="majorBidi"/>
          <w:bCs/>
          <w:lang w:val="en-US"/>
        </w:rPr>
        <w:t xml:space="preserve">how </w:t>
      </w:r>
      <w:r w:rsidR="007835D8" w:rsidRPr="005C2E59">
        <w:rPr>
          <w:rFonts w:asciiTheme="majorBidi" w:hAnsiTheme="majorBidi" w:cstheme="majorBidi"/>
          <w:bCs/>
          <w:lang w:val="en-US"/>
        </w:rPr>
        <w:t>census questions</w:t>
      </w:r>
      <w:r w:rsidR="00596E37" w:rsidRPr="005C2E59">
        <w:rPr>
          <w:rFonts w:asciiTheme="majorBidi" w:hAnsiTheme="majorBidi" w:cstheme="majorBidi"/>
          <w:bCs/>
          <w:lang w:val="en-US"/>
        </w:rPr>
        <w:t xml:space="preserve"> are interpreted</w:t>
      </w:r>
      <w:r w:rsidR="007835D8" w:rsidRPr="005C2E59">
        <w:rPr>
          <w:rFonts w:asciiTheme="majorBidi" w:hAnsiTheme="majorBidi" w:cstheme="majorBidi"/>
          <w:bCs/>
          <w:lang w:val="en-US"/>
        </w:rPr>
        <w:t xml:space="preserve">) </w:t>
      </w:r>
      <w:r w:rsidR="000E7A10" w:rsidRPr="005C2E59">
        <w:rPr>
          <w:rFonts w:asciiTheme="majorBidi" w:hAnsiTheme="majorBidi" w:cstheme="majorBidi"/>
          <w:bCs/>
          <w:lang w:val="en-US"/>
        </w:rPr>
        <w:t xml:space="preserve">and </w:t>
      </w:r>
      <w:r w:rsidR="00596E37" w:rsidRPr="005C2E59">
        <w:rPr>
          <w:rFonts w:asciiTheme="majorBidi" w:hAnsiTheme="majorBidi" w:cstheme="majorBidi"/>
          <w:bCs/>
          <w:lang w:val="en-US"/>
        </w:rPr>
        <w:t xml:space="preserve">with </w:t>
      </w:r>
      <w:r w:rsidR="000E7A10" w:rsidRPr="005C2E59">
        <w:rPr>
          <w:rFonts w:asciiTheme="majorBidi" w:hAnsiTheme="majorBidi" w:cstheme="majorBidi"/>
          <w:bCs/>
          <w:lang w:val="en-US"/>
        </w:rPr>
        <w:t>immigration.</w:t>
      </w:r>
    </w:p>
    <w:p w:rsidR="00A0065E" w:rsidRPr="00694592" w:rsidRDefault="00A0065E" w:rsidP="005C2E59">
      <w:pPr>
        <w:widowControl w:val="0"/>
        <w:spacing w:after="0" w:line="288" w:lineRule="auto"/>
        <w:ind w:firstLine="720"/>
        <w:jc w:val="both"/>
        <w:rPr>
          <w:rFonts w:asciiTheme="majorBidi" w:hAnsiTheme="majorBidi" w:cstheme="majorBidi"/>
          <w:bCs/>
          <w:sz w:val="12"/>
          <w:szCs w:val="12"/>
          <w:lang w:val="en-US"/>
        </w:rPr>
      </w:pPr>
    </w:p>
    <w:p w:rsidR="006577A8" w:rsidRPr="005C2E59" w:rsidRDefault="000C6960" w:rsidP="005C2E59">
      <w:pPr>
        <w:widowControl w:val="0"/>
        <w:spacing w:after="0" w:line="288" w:lineRule="auto"/>
        <w:ind w:firstLine="720"/>
        <w:jc w:val="both"/>
        <w:rPr>
          <w:rFonts w:asciiTheme="majorBidi" w:hAnsiTheme="majorBidi" w:cstheme="majorBidi"/>
          <w:bCs/>
          <w:lang w:val="en-US"/>
        </w:rPr>
      </w:pPr>
      <w:r w:rsidRPr="005C2E59">
        <w:rPr>
          <w:rFonts w:asciiTheme="majorBidi" w:hAnsiTheme="majorBidi" w:cstheme="majorBidi"/>
          <w:bCs/>
          <w:lang w:val="en-US"/>
        </w:rPr>
        <w:t>However</w:t>
      </w:r>
      <w:r w:rsidR="00FE317D" w:rsidRPr="005C2E59">
        <w:rPr>
          <w:rFonts w:asciiTheme="majorBidi" w:hAnsiTheme="majorBidi" w:cstheme="majorBidi"/>
          <w:bCs/>
          <w:lang w:val="en-US"/>
        </w:rPr>
        <w:t>,</w:t>
      </w:r>
      <w:r w:rsidRPr="005C2E59">
        <w:rPr>
          <w:rFonts w:asciiTheme="majorBidi" w:hAnsiTheme="majorBidi" w:cstheme="majorBidi"/>
          <w:bCs/>
          <w:lang w:val="en-US"/>
        </w:rPr>
        <w:t xml:space="preserve"> for</w:t>
      </w:r>
      <w:r w:rsidR="00FE317D" w:rsidRPr="005C2E59">
        <w:rPr>
          <w:rFonts w:asciiTheme="majorBidi" w:hAnsiTheme="majorBidi" w:cstheme="majorBidi"/>
          <w:bCs/>
          <w:lang w:val="en-US"/>
        </w:rPr>
        <w:t xml:space="preserve"> housing studies</w:t>
      </w:r>
      <w:r w:rsidRPr="005C2E59">
        <w:rPr>
          <w:rFonts w:asciiTheme="majorBidi" w:hAnsiTheme="majorBidi" w:cstheme="majorBidi"/>
          <w:bCs/>
          <w:lang w:val="en-US"/>
        </w:rPr>
        <w:t xml:space="preserve"> there are reasons to doubt </w:t>
      </w:r>
      <w:r w:rsidR="007835D8" w:rsidRPr="005C2E59">
        <w:rPr>
          <w:rFonts w:asciiTheme="majorBidi" w:hAnsiTheme="majorBidi" w:cstheme="majorBidi"/>
          <w:bCs/>
          <w:lang w:val="en-US"/>
        </w:rPr>
        <w:t xml:space="preserve">the </w:t>
      </w:r>
      <w:r w:rsidRPr="005C2E59">
        <w:rPr>
          <w:rFonts w:asciiTheme="majorBidi" w:hAnsiTheme="majorBidi" w:cstheme="majorBidi"/>
          <w:bCs/>
          <w:lang w:val="en-US"/>
        </w:rPr>
        <w:t xml:space="preserve">independence </w:t>
      </w:r>
      <w:r w:rsidR="007835D8" w:rsidRPr="005C2E59">
        <w:rPr>
          <w:rFonts w:asciiTheme="majorBidi" w:hAnsiTheme="majorBidi" w:cstheme="majorBidi"/>
          <w:bCs/>
          <w:lang w:val="en-US"/>
        </w:rPr>
        <w:t xml:space="preserve">assumption </w:t>
      </w:r>
      <w:r w:rsidR="00596E37" w:rsidRPr="005C2E59">
        <w:rPr>
          <w:rFonts w:asciiTheme="majorBidi" w:hAnsiTheme="majorBidi" w:cstheme="majorBidi"/>
          <w:bCs/>
          <w:lang w:val="en-US"/>
        </w:rPr>
        <w:t>in equation (1), where</w:t>
      </w:r>
      <w:r w:rsidR="007835D8" w:rsidRPr="005C2E59">
        <w:rPr>
          <w:rFonts w:asciiTheme="majorBidi" w:hAnsiTheme="majorBidi" w:cstheme="majorBidi"/>
          <w:bCs/>
          <w:lang w:val="en-US"/>
        </w:rPr>
        <w:t xml:space="preserve"> changes in the foreign-born share in the </w:t>
      </w:r>
      <w:proofErr w:type="spellStart"/>
      <w:r w:rsidR="007835D8" w:rsidRPr="005C2E59">
        <w:rPr>
          <w:rFonts w:asciiTheme="majorBidi" w:hAnsiTheme="majorBidi" w:cstheme="majorBidi"/>
          <w:bCs/>
          <w:lang w:val="en-US"/>
        </w:rPr>
        <w:t>i</w:t>
      </w:r>
      <w:r w:rsidRPr="005C2E59">
        <w:rPr>
          <w:rFonts w:asciiTheme="majorBidi" w:hAnsiTheme="majorBidi" w:cstheme="majorBidi"/>
          <w:bCs/>
          <w:lang w:val="en-US"/>
        </w:rPr>
        <w:t>th</w:t>
      </w:r>
      <w:proofErr w:type="spellEnd"/>
      <w:r w:rsidRPr="005C2E59">
        <w:rPr>
          <w:rFonts w:asciiTheme="majorBidi" w:hAnsiTheme="majorBidi" w:cstheme="majorBidi"/>
          <w:bCs/>
          <w:lang w:val="en-US"/>
        </w:rPr>
        <w:t xml:space="preserve"> area unit only </w:t>
      </w:r>
      <w:r w:rsidR="00596E37" w:rsidRPr="005C2E59">
        <w:rPr>
          <w:rFonts w:asciiTheme="majorBidi" w:hAnsiTheme="majorBidi" w:cstheme="majorBidi"/>
          <w:bCs/>
          <w:lang w:val="en-US"/>
        </w:rPr>
        <w:t xml:space="preserve">affect </w:t>
      </w:r>
      <w:r w:rsidR="007835D8" w:rsidRPr="00C23239">
        <w:rPr>
          <w:rFonts w:asciiTheme="majorBidi" w:hAnsiTheme="majorBidi" w:cstheme="majorBidi"/>
          <w:bCs/>
          <w:i/>
          <w:iCs/>
          <w:lang w:val="en-US"/>
        </w:rPr>
        <w:t>NHO</w:t>
      </w:r>
      <w:r w:rsidR="00BA791D" w:rsidRPr="005C2E59">
        <w:rPr>
          <w:rFonts w:asciiTheme="majorBidi" w:hAnsiTheme="majorBidi" w:cstheme="majorBidi"/>
          <w:bCs/>
          <w:lang w:val="en-US"/>
        </w:rPr>
        <w:t xml:space="preserve"> there</w:t>
      </w:r>
      <w:r w:rsidR="00906556" w:rsidRPr="005C2E59">
        <w:rPr>
          <w:rFonts w:asciiTheme="majorBidi" w:hAnsiTheme="majorBidi" w:cstheme="majorBidi"/>
          <w:bCs/>
          <w:lang w:val="en-US"/>
        </w:rPr>
        <w:t>. Instead, shocks in</w:t>
      </w:r>
      <w:r w:rsidR="007835D8" w:rsidRPr="005C2E59">
        <w:rPr>
          <w:rFonts w:asciiTheme="majorBidi" w:hAnsiTheme="majorBidi" w:cstheme="majorBidi"/>
          <w:bCs/>
          <w:lang w:val="en-US"/>
        </w:rPr>
        <w:t xml:space="preserve"> one area </w:t>
      </w:r>
      <w:r w:rsidRPr="005C2E59">
        <w:rPr>
          <w:rFonts w:asciiTheme="majorBidi" w:hAnsiTheme="majorBidi" w:cstheme="majorBidi"/>
          <w:bCs/>
          <w:lang w:val="en-US"/>
        </w:rPr>
        <w:t>may spill</w:t>
      </w:r>
      <w:r w:rsidR="007835D8" w:rsidRPr="005C2E59">
        <w:rPr>
          <w:rFonts w:asciiTheme="majorBidi" w:hAnsiTheme="majorBidi" w:cstheme="majorBidi"/>
          <w:bCs/>
          <w:lang w:val="en-US"/>
        </w:rPr>
        <w:t xml:space="preserve"> into other areas</w:t>
      </w:r>
      <w:r w:rsidRPr="005C2E59">
        <w:rPr>
          <w:rFonts w:asciiTheme="majorBidi" w:hAnsiTheme="majorBidi" w:cstheme="majorBidi"/>
          <w:bCs/>
          <w:lang w:val="en-US"/>
        </w:rPr>
        <w:t xml:space="preserve">. For example, </w:t>
      </w:r>
      <w:r w:rsidR="00BA791D" w:rsidRPr="005C2E59">
        <w:rPr>
          <w:rFonts w:asciiTheme="majorBidi" w:hAnsiTheme="majorBidi" w:cstheme="majorBidi"/>
          <w:bCs/>
          <w:lang w:val="en-US"/>
        </w:rPr>
        <w:t xml:space="preserve">investor </w:t>
      </w:r>
      <w:r w:rsidR="00596E37" w:rsidRPr="005C2E59">
        <w:rPr>
          <w:rFonts w:asciiTheme="majorBidi" w:hAnsiTheme="majorBidi" w:cstheme="majorBidi"/>
          <w:bCs/>
          <w:lang w:val="en-US"/>
        </w:rPr>
        <w:t xml:space="preserve">demand for houses </w:t>
      </w:r>
      <w:r w:rsidR="00C0661B" w:rsidRPr="005C2E59">
        <w:rPr>
          <w:rFonts w:asciiTheme="majorBidi" w:hAnsiTheme="majorBidi" w:cstheme="majorBidi"/>
          <w:bCs/>
          <w:lang w:val="en-US"/>
        </w:rPr>
        <w:t>may be high</w:t>
      </w:r>
      <w:r w:rsidR="00596E37" w:rsidRPr="005C2E59">
        <w:rPr>
          <w:rFonts w:asciiTheme="majorBidi" w:hAnsiTheme="majorBidi" w:cstheme="majorBidi"/>
          <w:bCs/>
          <w:lang w:val="en-US"/>
        </w:rPr>
        <w:t xml:space="preserve">er not only with more </w:t>
      </w:r>
      <w:r w:rsidRPr="005C2E59">
        <w:rPr>
          <w:rFonts w:asciiTheme="majorBidi" w:hAnsiTheme="majorBidi" w:cstheme="majorBidi"/>
          <w:bCs/>
          <w:lang w:val="en-US"/>
        </w:rPr>
        <w:t xml:space="preserve">renters in a </w:t>
      </w:r>
      <w:r w:rsidR="00596E37" w:rsidRPr="005C2E59">
        <w:rPr>
          <w:rFonts w:asciiTheme="majorBidi" w:hAnsiTheme="majorBidi" w:cstheme="majorBidi"/>
          <w:bCs/>
          <w:lang w:val="en-US"/>
        </w:rPr>
        <w:t xml:space="preserve">certain </w:t>
      </w:r>
      <w:r w:rsidRPr="005C2E59">
        <w:rPr>
          <w:rFonts w:asciiTheme="majorBidi" w:hAnsiTheme="majorBidi" w:cstheme="majorBidi"/>
          <w:bCs/>
          <w:lang w:val="en-US"/>
        </w:rPr>
        <w:t xml:space="preserve">area </w:t>
      </w:r>
      <w:r w:rsidR="00BA791D" w:rsidRPr="005C2E59">
        <w:rPr>
          <w:rFonts w:asciiTheme="majorBidi" w:hAnsiTheme="majorBidi" w:cstheme="majorBidi"/>
          <w:bCs/>
          <w:lang w:val="en-US"/>
        </w:rPr>
        <w:t xml:space="preserve">unit </w:t>
      </w:r>
      <w:r w:rsidR="00596E37" w:rsidRPr="005C2E59">
        <w:rPr>
          <w:rFonts w:asciiTheme="majorBidi" w:hAnsiTheme="majorBidi" w:cstheme="majorBidi"/>
          <w:bCs/>
          <w:lang w:val="en-US"/>
        </w:rPr>
        <w:t>but also i</w:t>
      </w:r>
      <w:r w:rsidR="00906556" w:rsidRPr="005C2E59">
        <w:rPr>
          <w:rFonts w:asciiTheme="majorBidi" w:hAnsiTheme="majorBidi" w:cstheme="majorBidi"/>
          <w:bCs/>
          <w:lang w:val="en-US"/>
        </w:rPr>
        <w:t>n</w:t>
      </w:r>
      <w:r w:rsidRPr="005C2E59">
        <w:rPr>
          <w:rFonts w:asciiTheme="majorBidi" w:hAnsiTheme="majorBidi" w:cstheme="majorBidi"/>
          <w:bCs/>
          <w:lang w:val="en-US"/>
        </w:rPr>
        <w:t xml:space="preserve"> </w:t>
      </w:r>
      <w:r w:rsidR="00596E37" w:rsidRPr="005C2E59">
        <w:rPr>
          <w:rFonts w:asciiTheme="majorBidi" w:hAnsiTheme="majorBidi" w:cstheme="majorBidi"/>
          <w:bCs/>
          <w:lang w:val="en-US"/>
        </w:rPr>
        <w:t>nearby areas</w:t>
      </w:r>
      <w:r w:rsidRPr="005C2E59">
        <w:rPr>
          <w:rFonts w:asciiTheme="majorBidi" w:hAnsiTheme="majorBidi" w:cstheme="majorBidi"/>
          <w:bCs/>
          <w:lang w:val="en-US"/>
        </w:rPr>
        <w:t xml:space="preserve">, </w:t>
      </w:r>
      <w:r w:rsidR="00BA791D" w:rsidRPr="005C2E59">
        <w:rPr>
          <w:rFonts w:asciiTheme="majorBidi" w:hAnsiTheme="majorBidi" w:cstheme="majorBidi"/>
          <w:bCs/>
          <w:lang w:val="en-US"/>
        </w:rPr>
        <w:t xml:space="preserve">as </w:t>
      </w:r>
      <w:r w:rsidRPr="005C2E59">
        <w:rPr>
          <w:rFonts w:asciiTheme="majorBidi" w:hAnsiTheme="majorBidi" w:cstheme="majorBidi"/>
          <w:bCs/>
          <w:lang w:val="en-US"/>
        </w:rPr>
        <w:t xml:space="preserve">commuting </w:t>
      </w:r>
      <w:r w:rsidR="00596E37" w:rsidRPr="005C2E59">
        <w:rPr>
          <w:rFonts w:asciiTheme="majorBidi" w:hAnsiTheme="majorBidi" w:cstheme="majorBidi"/>
          <w:bCs/>
          <w:lang w:val="en-US"/>
        </w:rPr>
        <w:t xml:space="preserve">hardly changes </w:t>
      </w:r>
      <w:r w:rsidRPr="005C2E59">
        <w:rPr>
          <w:rFonts w:asciiTheme="majorBidi" w:hAnsiTheme="majorBidi" w:cstheme="majorBidi"/>
          <w:bCs/>
          <w:lang w:val="en-US"/>
        </w:rPr>
        <w:t xml:space="preserve">for a renter moving </w:t>
      </w:r>
      <w:r w:rsidR="00FE317D" w:rsidRPr="005C2E59">
        <w:rPr>
          <w:rFonts w:asciiTheme="majorBidi" w:hAnsiTheme="majorBidi" w:cstheme="majorBidi"/>
          <w:bCs/>
          <w:lang w:val="en-US"/>
        </w:rPr>
        <w:t xml:space="preserve">from </w:t>
      </w:r>
      <w:r w:rsidR="00BA791D" w:rsidRPr="005C2E59">
        <w:rPr>
          <w:rFonts w:asciiTheme="majorBidi" w:hAnsiTheme="majorBidi" w:cstheme="majorBidi"/>
          <w:bCs/>
          <w:lang w:val="en-US"/>
        </w:rPr>
        <w:t>nearby area unit</w:t>
      </w:r>
      <w:r w:rsidR="00FE317D" w:rsidRPr="005C2E59">
        <w:rPr>
          <w:rFonts w:asciiTheme="majorBidi" w:hAnsiTheme="majorBidi" w:cstheme="majorBidi"/>
          <w:bCs/>
          <w:lang w:val="en-US"/>
        </w:rPr>
        <w:t>s</w:t>
      </w:r>
      <w:r w:rsidRPr="005C2E59">
        <w:rPr>
          <w:rFonts w:asciiTheme="majorBidi" w:hAnsiTheme="majorBidi" w:cstheme="majorBidi"/>
          <w:bCs/>
          <w:lang w:val="en-US"/>
        </w:rPr>
        <w:t xml:space="preserve">. In contrast, an area unit surrounded </w:t>
      </w:r>
      <w:r w:rsidR="00596E37" w:rsidRPr="005C2E59">
        <w:rPr>
          <w:rFonts w:asciiTheme="majorBidi" w:hAnsiTheme="majorBidi" w:cstheme="majorBidi"/>
          <w:bCs/>
          <w:lang w:val="en-US"/>
        </w:rPr>
        <w:t xml:space="preserve">mostly </w:t>
      </w:r>
      <w:r w:rsidRPr="005C2E59">
        <w:rPr>
          <w:rFonts w:asciiTheme="majorBidi" w:hAnsiTheme="majorBidi" w:cstheme="majorBidi"/>
          <w:bCs/>
          <w:lang w:val="en-US"/>
        </w:rPr>
        <w:t xml:space="preserve">by </w:t>
      </w:r>
      <w:r w:rsidR="00596E37" w:rsidRPr="005C2E59">
        <w:rPr>
          <w:rFonts w:asciiTheme="majorBidi" w:hAnsiTheme="majorBidi" w:cstheme="majorBidi"/>
          <w:bCs/>
          <w:lang w:val="en-US"/>
        </w:rPr>
        <w:t xml:space="preserve">owner-occupiers </w:t>
      </w:r>
      <w:r w:rsidRPr="005C2E59">
        <w:rPr>
          <w:rFonts w:asciiTheme="majorBidi" w:hAnsiTheme="majorBidi" w:cstheme="majorBidi"/>
          <w:bCs/>
          <w:lang w:val="en-US"/>
        </w:rPr>
        <w:t>may be less attractive to investor</w:t>
      </w:r>
      <w:r w:rsidR="00596E37" w:rsidRPr="005C2E59">
        <w:rPr>
          <w:rFonts w:asciiTheme="majorBidi" w:hAnsiTheme="majorBidi" w:cstheme="majorBidi"/>
          <w:bCs/>
          <w:lang w:val="en-US"/>
        </w:rPr>
        <w:t>s</w:t>
      </w:r>
      <w:r w:rsidRPr="005C2E59">
        <w:rPr>
          <w:rFonts w:asciiTheme="majorBidi" w:hAnsiTheme="majorBidi" w:cstheme="majorBidi"/>
          <w:bCs/>
          <w:lang w:val="en-US"/>
        </w:rPr>
        <w:t xml:space="preserve"> </w:t>
      </w:r>
      <w:r w:rsidR="00BA791D" w:rsidRPr="005C2E59">
        <w:rPr>
          <w:rFonts w:asciiTheme="majorBidi" w:hAnsiTheme="majorBidi" w:cstheme="majorBidi"/>
          <w:bCs/>
          <w:lang w:val="en-US"/>
        </w:rPr>
        <w:t>as</w:t>
      </w:r>
      <w:r w:rsidR="00596E37" w:rsidRPr="005C2E59">
        <w:rPr>
          <w:rFonts w:asciiTheme="majorBidi" w:hAnsiTheme="majorBidi" w:cstheme="majorBidi"/>
          <w:bCs/>
          <w:lang w:val="en-US"/>
        </w:rPr>
        <w:t xml:space="preserve"> the supply of </w:t>
      </w:r>
      <w:r w:rsidR="00C23239">
        <w:rPr>
          <w:rFonts w:asciiTheme="majorBidi" w:hAnsiTheme="majorBidi" w:cstheme="majorBidi"/>
          <w:bCs/>
          <w:lang w:val="en-US"/>
        </w:rPr>
        <w:t xml:space="preserve">nearby </w:t>
      </w:r>
      <w:r w:rsidR="00596E37" w:rsidRPr="005C2E59">
        <w:rPr>
          <w:rFonts w:asciiTheme="majorBidi" w:hAnsiTheme="majorBidi" w:cstheme="majorBidi"/>
          <w:bCs/>
          <w:lang w:val="en-US"/>
        </w:rPr>
        <w:t>potential tenants is lower</w:t>
      </w:r>
      <w:r w:rsidRPr="005C2E59">
        <w:rPr>
          <w:rFonts w:asciiTheme="majorBidi" w:hAnsiTheme="majorBidi" w:cstheme="majorBidi"/>
          <w:bCs/>
          <w:lang w:val="en-US"/>
        </w:rPr>
        <w:t>.</w:t>
      </w:r>
      <w:r w:rsidR="00596E37" w:rsidRPr="005C2E59">
        <w:rPr>
          <w:rFonts w:asciiTheme="majorBidi" w:hAnsiTheme="majorBidi" w:cstheme="majorBidi"/>
          <w:bCs/>
          <w:lang w:val="en-US"/>
        </w:rPr>
        <w:t xml:space="preserve"> </w:t>
      </w:r>
      <w:proofErr w:type="gramStart"/>
      <w:r w:rsidR="00596E37" w:rsidRPr="005C2E59">
        <w:rPr>
          <w:rFonts w:asciiTheme="majorBidi" w:hAnsiTheme="majorBidi" w:cstheme="majorBidi"/>
          <w:bCs/>
          <w:lang w:val="en-US"/>
        </w:rPr>
        <w:t>So</w:t>
      </w:r>
      <w:proofErr w:type="gramEnd"/>
      <w:r w:rsidR="00596E37" w:rsidRPr="005C2E59">
        <w:rPr>
          <w:rFonts w:asciiTheme="majorBidi" w:hAnsiTheme="majorBidi" w:cstheme="majorBidi"/>
          <w:bCs/>
          <w:lang w:val="en-US"/>
        </w:rPr>
        <w:t xml:space="preserve"> in this example a spillover is through the dependent variable. Alternatively, if immigrants establish a beachhead in a particular area and then spread out, there may be spillovers t</w:t>
      </w:r>
      <w:r w:rsidR="00BA791D" w:rsidRPr="005C2E59">
        <w:rPr>
          <w:rFonts w:asciiTheme="majorBidi" w:hAnsiTheme="majorBidi" w:cstheme="majorBidi"/>
          <w:bCs/>
          <w:lang w:val="en-US"/>
        </w:rPr>
        <w:t>hrough the independent variable</w:t>
      </w:r>
      <w:r w:rsidR="00596E37" w:rsidRPr="005C2E59">
        <w:rPr>
          <w:rFonts w:asciiTheme="majorBidi" w:hAnsiTheme="majorBidi" w:cstheme="majorBidi"/>
          <w:bCs/>
          <w:lang w:val="en-US"/>
        </w:rPr>
        <w:t xml:space="preserve">. </w:t>
      </w:r>
    </w:p>
    <w:p w:rsidR="00A0065E" w:rsidRPr="00694592" w:rsidRDefault="00A0065E" w:rsidP="005C2E59">
      <w:pPr>
        <w:widowControl w:val="0"/>
        <w:spacing w:after="0" w:line="288" w:lineRule="auto"/>
        <w:ind w:firstLine="720"/>
        <w:jc w:val="both"/>
        <w:rPr>
          <w:rFonts w:asciiTheme="majorBidi" w:hAnsiTheme="majorBidi" w:cstheme="majorBidi"/>
          <w:bCs/>
          <w:sz w:val="12"/>
          <w:szCs w:val="12"/>
          <w:lang w:val="en-US"/>
        </w:rPr>
      </w:pPr>
    </w:p>
    <w:p w:rsidR="006577A8" w:rsidRPr="005C2E59" w:rsidRDefault="00906556" w:rsidP="005C2E59">
      <w:pPr>
        <w:widowControl w:val="0"/>
        <w:spacing w:after="0" w:line="288" w:lineRule="auto"/>
        <w:ind w:firstLine="720"/>
        <w:jc w:val="both"/>
        <w:rPr>
          <w:rFonts w:asciiTheme="majorBidi" w:hAnsiTheme="majorBidi" w:cstheme="majorBidi"/>
          <w:bCs/>
          <w:lang w:val="en-US"/>
        </w:rPr>
      </w:pPr>
      <w:r w:rsidRPr="005C2E59">
        <w:rPr>
          <w:rFonts w:asciiTheme="majorBidi" w:hAnsiTheme="majorBidi" w:cstheme="majorBidi"/>
          <w:bCs/>
          <w:lang w:val="en-US"/>
        </w:rPr>
        <w:t>S</w:t>
      </w:r>
      <w:r w:rsidR="007835D8" w:rsidRPr="005C2E59">
        <w:rPr>
          <w:rFonts w:asciiTheme="majorBidi" w:hAnsiTheme="majorBidi" w:cstheme="majorBidi"/>
          <w:bCs/>
          <w:lang w:val="en-US"/>
        </w:rPr>
        <w:t xml:space="preserve">patial econometric methods </w:t>
      </w:r>
      <w:r w:rsidRPr="005C2E59">
        <w:rPr>
          <w:rFonts w:asciiTheme="majorBidi" w:hAnsiTheme="majorBidi" w:cstheme="majorBidi"/>
          <w:bCs/>
          <w:lang w:val="en-US"/>
        </w:rPr>
        <w:t xml:space="preserve">let </w:t>
      </w:r>
      <w:r w:rsidR="007835D8" w:rsidRPr="005C2E59">
        <w:rPr>
          <w:rFonts w:asciiTheme="majorBidi" w:hAnsiTheme="majorBidi" w:cstheme="majorBidi"/>
          <w:bCs/>
          <w:lang w:val="en-US"/>
        </w:rPr>
        <w:t xml:space="preserve">us </w:t>
      </w:r>
      <w:r w:rsidR="00D10542" w:rsidRPr="005C2E59">
        <w:rPr>
          <w:rFonts w:asciiTheme="majorBidi" w:hAnsiTheme="majorBidi" w:cstheme="majorBidi"/>
          <w:bCs/>
          <w:lang w:val="en-US"/>
        </w:rPr>
        <w:t>estimate the effects of these spillovers</w:t>
      </w:r>
      <w:r w:rsidRPr="005C2E59">
        <w:rPr>
          <w:rFonts w:asciiTheme="majorBidi" w:hAnsiTheme="majorBidi" w:cstheme="majorBidi"/>
          <w:bCs/>
          <w:lang w:val="en-US"/>
        </w:rPr>
        <w:t xml:space="preserve">, where all possible interactions between areas are summarized into a </w:t>
      </w:r>
      <m:oMath>
        <m:r>
          <w:rPr>
            <w:rFonts w:ascii="Cambria Math" w:hAnsi="Cambria Math" w:cstheme="majorBidi"/>
            <w:lang w:val="en-US"/>
          </w:rPr>
          <m:t>N</m:t>
        </m:r>
        <m:r>
          <m:rPr>
            <m:sty m:val="p"/>
          </m:rPr>
          <w:rPr>
            <w:rFonts w:ascii="Cambria Math" w:hAnsi="Cambria Math" w:cstheme="majorBidi"/>
            <w:lang w:val="en-US"/>
          </w:rPr>
          <m:t>×</m:t>
        </m:r>
        <m:r>
          <w:rPr>
            <w:rFonts w:ascii="Cambria Math" w:hAnsi="Cambria Math" w:cstheme="majorBidi"/>
            <w:lang w:val="en-US"/>
          </w:rPr>
          <m:t>N</m:t>
        </m:r>
        <m:r>
          <m:rPr>
            <m:sty m:val="p"/>
          </m:rPr>
          <w:rPr>
            <w:rFonts w:ascii="Cambria Math" w:hAnsi="Cambria Math" w:cstheme="majorBidi"/>
            <w:lang w:val="en-US"/>
          </w:rPr>
          <m:t xml:space="preserve"> </m:t>
        </m:r>
      </m:oMath>
      <w:r w:rsidR="00D10542" w:rsidRPr="005C2E59">
        <w:rPr>
          <w:rFonts w:asciiTheme="majorBidi" w:hAnsiTheme="majorBidi" w:cstheme="majorBidi"/>
          <w:bCs/>
          <w:lang w:val="en-US"/>
        </w:rPr>
        <w:t xml:space="preserve">spatial weights matrix, </w:t>
      </w:r>
      <w:r w:rsidR="00D10542" w:rsidRPr="00C23239">
        <w:rPr>
          <w:rFonts w:asciiTheme="majorBidi" w:hAnsiTheme="majorBidi" w:cstheme="majorBidi"/>
          <w:bCs/>
          <w:i/>
          <w:iCs/>
          <w:lang w:val="en-US"/>
        </w:rPr>
        <w:t>W</w:t>
      </w:r>
      <w:r w:rsidR="00BA791D" w:rsidRPr="005C2E59">
        <w:rPr>
          <w:rFonts w:asciiTheme="majorBidi" w:hAnsiTheme="majorBidi" w:cstheme="majorBidi"/>
          <w:bCs/>
          <w:lang w:val="en-US"/>
        </w:rPr>
        <w:t>.</w:t>
      </w:r>
      <w:r w:rsidR="00D10542" w:rsidRPr="005C2E59">
        <w:rPr>
          <w:rFonts w:asciiTheme="majorBidi" w:hAnsiTheme="majorBidi" w:cstheme="majorBidi"/>
          <w:bCs/>
          <w:lang w:val="en-US"/>
        </w:rPr>
        <w:t xml:space="preserve"> </w:t>
      </w:r>
      <w:r w:rsidR="00BA791D" w:rsidRPr="005C2E59">
        <w:rPr>
          <w:rFonts w:asciiTheme="majorBidi" w:hAnsiTheme="majorBidi" w:cstheme="majorBidi"/>
          <w:bCs/>
          <w:lang w:val="en-US"/>
        </w:rPr>
        <w:t xml:space="preserve">Our contiguity matrix has </w:t>
      </w:r>
      <w:r w:rsidR="00D10542" w:rsidRPr="005C2E59">
        <w:rPr>
          <w:rFonts w:asciiTheme="majorBidi" w:hAnsiTheme="majorBidi" w:cstheme="majorBidi"/>
          <w:bCs/>
          <w:lang w:val="en-US"/>
        </w:rPr>
        <w:t>value</w:t>
      </w:r>
      <w:r w:rsidR="00BA791D" w:rsidRPr="005C2E59">
        <w:rPr>
          <w:rFonts w:asciiTheme="majorBidi" w:hAnsiTheme="majorBidi" w:cstheme="majorBidi"/>
          <w:bCs/>
          <w:lang w:val="en-US"/>
        </w:rPr>
        <w:t>s</w:t>
      </w:r>
      <w:r w:rsidR="00D10542" w:rsidRPr="005C2E59">
        <w:rPr>
          <w:rFonts w:asciiTheme="majorBidi" w:hAnsiTheme="majorBidi" w:cstheme="majorBidi"/>
          <w:bCs/>
          <w:lang w:val="en-US"/>
        </w:rPr>
        <w:t xml:space="preserve"> of one for </w:t>
      </w:r>
      <w:proofErr w:type="spellStart"/>
      <w:r w:rsidR="00D10542" w:rsidRPr="005C2E59">
        <w:rPr>
          <w:rFonts w:asciiTheme="majorBidi" w:hAnsiTheme="majorBidi" w:cstheme="majorBidi"/>
          <w:bCs/>
          <w:lang w:val="en-US"/>
        </w:rPr>
        <w:t>neighbo</w:t>
      </w:r>
      <w:r w:rsidRPr="005C2E59">
        <w:rPr>
          <w:rFonts w:asciiTheme="majorBidi" w:hAnsiTheme="majorBidi" w:cstheme="majorBidi"/>
          <w:bCs/>
          <w:lang w:val="en-US"/>
        </w:rPr>
        <w:t>u</w:t>
      </w:r>
      <w:r w:rsidR="00D10542" w:rsidRPr="005C2E59">
        <w:rPr>
          <w:rFonts w:asciiTheme="majorBidi" w:hAnsiTheme="majorBidi" w:cstheme="majorBidi"/>
          <w:bCs/>
          <w:lang w:val="en-US"/>
        </w:rPr>
        <w:t>rs</w:t>
      </w:r>
      <w:proofErr w:type="spellEnd"/>
      <w:r w:rsidR="00D10542" w:rsidRPr="005C2E59">
        <w:rPr>
          <w:rFonts w:asciiTheme="majorBidi" w:hAnsiTheme="majorBidi" w:cstheme="majorBidi"/>
          <w:bCs/>
          <w:lang w:val="en-US"/>
        </w:rPr>
        <w:t xml:space="preserve"> and zero otherwise</w:t>
      </w:r>
      <w:r w:rsidR="00BA791D" w:rsidRPr="005C2E59">
        <w:rPr>
          <w:rFonts w:asciiTheme="majorBidi" w:hAnsiTheme="majorBidi" w:cstheme="majorBidi"/>
          <w:bCs/>
          <w:lang w:val="en-US"/>
        </w:rPr>
        <w:t>, with</w:t>
      </w:r>
      <w:r w:rsidR="00D10542" w:rsidRPr="005C2E59">
        <w:rPr>
          <w:rFonts w:asciiTheme="majorBidi" w:hAnsiTheme="majorBidi" w:cstheme="majorBidi"/>
          <w:bCs/>
          <w:lang w:val="en-US"/>
        </w:rPr>
        <w:t xml:space="preserve"> </w:t>
      </w:r>
      <w:r w:rsidR="00BA791D" w:rsidRPr="005C2E59">
        <w:rPr>
          <w:rFonts w:asciiTheme="majorBidi" w:hAnsiTheme="majorBidi" w:cstheme="majorBidi"/>
          <w:bCs/>
          <w:lang w:val="en-US"/>
        </w:rPr>
        <w:t>a diagonal</w:t>
      </w:r>
      <w:r w:rsidR="00D10542" w:rsidRPr="005C2E59">
        <w:rPr>
          <w:rFonts w:asciiTheme="majorBidi" w:hAnsiTheme="majorBidi" w:cstheme="majorBidi"/>
          <w:bCs/>
          <w:lang w:val="en-US"/>
        </w:rPr>
        <w:t xml:space="preserve"> of zero</w:t>
      </w:r>
      <w:r w:rsidR="00BA791D" w:rsidRPr="005C2E59">
        <w:rPr>
          <w:rFonts w:asciiTheme="majorBidi" w:hAnsiTheme="majorBidi" w:cstheme="majorBidi"/>
          <w:bCs/>
          <w:lang w:val="en-US"/>
        </w:rPr>
        <w:t>s</w:t>
      </w:r>
      <w:r w:rsidRPr="005C2E59">
        <w:rPr>
          <w:rFonts w:asciiTheme="majorBidi" w:hAnsiTheme="majorBidi" w:cstheme="majorBidi"/>
          <w:bCs/>
          <w:lang w:val="en-US"/>
        </w:rPr>
        <w:t xml:space="preserve"> </w:t>
      </w:r>
      <w:r w:rsidR="00BA791D" w:rsidRPr="005C2E59">
        <w:rPr>
          <w:rFonts w:asciiTheme="majorBidi" w:hAnsiTheme="majorBidi" w:cstheme="majorBidi"/>
          <w:bCs/>
          <w:lang w:val="en-US"/>
        </w:rPr>
        <w:t xml:space="preserve">as </w:t>
      </w:r>
      <w:r w:rsidRPr="005C2E59">
        <w:rPr>
          <w:rFonts w:asciiTheme="majorBidi" w:hAnsiTheme="majorBidi" w:cstheme="majorBidi"/>
          <w:bCs/>
          <w:lang w:val="en-US"/>
        </w:rPr>
        <w:t xml:space="preserve">an area unit </w:t>
      </w:r>
      <w:r w:rsidR="00D10542" w:rsidRPr="005C2E59">
        <w:rPr>
          <w:rFonts w:asciiTheme="majorBidi" w:hAnsiTheme="majorBidi" w:cstheme="majorBidi"/>
          <w:bCs/>
          <w:lang w:val="en-US"/>
        </w:rPr>
        <w:t>cannot neighbo</w:t>
      </w:r>
      <w:r w:rsidRPr="005C2E59">
        <w:rPr>
          <w:rFonts w:asciiTheme="majorBidi" w:hAnsiTheme="majorBidi" w:cstheme="majorBidi"/>
          <w:bCs/>
          <w:lang w:val="en-US"/>
        </w:rPr>
        <w:t>u</w:t>
      </w:r>
      <w:r w:rsidR="00D10542" w:rsidRPr="005C2E59">
        <w:rPr>
          <w:rFonts w:asciiTheme="majorBidi" w:hAnsiTheme="majorBidi" w:cstheme="majorBidi"/>
          <w:bCs/>
          <w:lang w:val="en-US"/>
        </w:rPr>
        <w:t xml:space="preserve">r itself. </w:t>
      </w:r>
      <w:r w:rsidRPr="005C2E59">
        <w:rPr>
          <w:rFonts w:asciiTheme="majorBidi" w:hAnsiTheme="majorBidi" w:cstheme="majorBidi"/>
          <w:bCs/>
          <w:lang w:val="en-US"/>
        </w:rPr>
        <w:t xml:space="preserve">The average area unit has five </w:t>
      </w:r>
      <w:proofErr w:type="spellStart"/>
      <w:r w:rsidRPr="005C2E59">
        <w:rPr>
          <w:rFonts w:asciiTheme="majorBidi" w:hAnsiTheme="majorBidi" w:cstheme="majorBidi"/>
          <w:bCs/>
          <w:lang w:val="en-US"/>
        </w:rPr>
        <w:t>neighbours</w:t>
      </w:r>
      <w:proofErr w:type="spellEnd"/>
      <w:r w:rsidRPr="005C2E59">
        <w:rPr>
          <w:rFonts w:asciiTheme="majorBidi" w:hAnsiTheme="majorBidi" w:cstheme="majorBidi"/>
          <w:bCs/>
          <w:lang w:val="en-US"/>
        </w:rPr>
        <w:t xml:space="preserve">. </w:t>
      </w:r>
      <w:r w:rsidR="00D10542" w:rsidRPr="005C2E59">
        <w:rPr>
          <w:rFonts w:asciiTheme="majorBidi" w:hAnsiTheme="majorBidi" w:cstheme="majorBidi"/>
          <w:bCs/>
          <w:lang w:val="en-US"/>
        </w:rPr>
        <w:t xml:space="preserve">The spatial weights matrix allows </w:t>
      </w:r>
      <w:r w:rsidR="006577A8" w:rsidRPr="005C2E59">
        <w:rPr>
          <w:rFonts w:asciiTheme="majorBidi" w:hAnsiTheme="majorBidi" w:cstheme="majorBidi"/>
          <w:bCs/>
          <w:lang w:val="en-US"/>
        </w:rPr>
        <w:t xml:space="preserve">for </w:t>
      </w:r>
      <w:r w:rsidR="00D10542" w:rsidRPr="005C2E59">
        <w:rPr>
          <w:rFonts w:asciiTheme="majorBidi" w:hAnsiTheme="majorBidi" w:cstheme="majorBidi"/>
          <w:bCs/>
          <w:lang w:val="en-US"/>
        </w:rPr>
        <w:t>spatial lags</w:t>
      </w:r>
      <w:r w:rsidR="006577A8" w:rsidRPr="005C2E59">
        <w:rPr>
          <w:rFonts w:asciiTheme="majorBidi" w:hAnsiTheme="majorBidi" w:cstheme="majorBidi"/>
          <w:bCs/>
          <w:lang w:val="en-US"/>
        </w:rPr>
        <w:t>, which</w:t>
      </w:r>
      <w:r w:rsidRPr="005C2E59">
        <w:rPr>
          <w:rFonts w:asciiTheme="majorBidi" w:hAnsiTheme="majorBidi" w:cstheme="majorBidi"/>
          <w:bCs/>
          <w:lang w:val="en-US"/>
        </w:rPr>
        <w:t xml:space="preserve"> </w:t>
      </w:r>
      <w:r w:rsidR="00D10542" w:rsidRPr="005C2E59">
        <w:rPr>
          <w:rFonts w:asciiTheme="majorBidi" w:hAnsiTheme="majorBidi" w:cstheme="majorBidi"/>
          <w:bCs/>
          <w:lang w:val="en-US"/>
        </w:rPr>
        <w:t>are averages</w:t>
      </w:r>
      <w:r w:rsidRPr="005C2E59">
        <w:rPr>
          <w:rFonts w:asciiTheme="majorBidi" w:hAnsiTheme="majorBidi" w:cstheme="majorBidi"/>
          <w:bCs/>
          <w:lang w:val="en-US"/>
        </w:rPr>
        <w:t xml:space="preserve"> over</w:t>
      </w:r>
      <w:r w:rsidR="00D10542" w:rsidRPr="005C2E59">
        <w:rPr>
          <w:rFonts w:asciiTheme="majorBidi" w:hAnsiTheme="majorBidi" w:cstheme="majorBidi"/>
          <w:bCs/>
          <w:lang w:val="en-US"/>
        </w:rPr>
        <w:t xml:space="preserve"> neighbo</w:t>
      </w:r>
      <w:r w:rsidRPr="005C2E59">
        <w:rPr>
          <w:rFonts w:asciiTheme="majorBidi" w:hAnsiTheme="majorBidi" w:cstheme="majorBidi"/>
          <w:bCs/>
          <w:lang w:val="en-US"/>
        </w:rPr>
        <w:t>u</w:t>
      </w:r>
      <w:r w:rsidR="00D10542" w:rsidRPr="005C2E59">
        <w:rPr>
          <w:rFonts w:asciiTheme="majorBidi" w:hAnsiTheme="majorBidi" w:cstheme="majorBidi"/>
          <w:bCs/>
          <w:lang w:val="en-US"/>
        </w:rPr>
        <w:t>ring</w:t>
      </w:r>
      <w:r w:rsidRPr="005C2E59">
        <w:rPr>
          <w:rFonts w:asciiTheme="majorBidi" w:hAnsiTheme="majorBidi" w:cstheme="majorBidi"/>
          <w:bCs/>
          <w:lang w:val="en-US"/>
        </w:rPr>
        <w:t xml:space="preserve"> units</w:t>
      </w:r>
      <w:r w:rsidR="00BA791D" w:rsidRPr="005C2E59">
        <w:rPr>
          <w:rFonts w:asciiTheme="majorBidi" w:hAnsiTheme="majorBidi" w:cstheme="majorBidi"/>
          <w:bCs/>
          <w:lang w:val="en-US"/>
        </w:rPr>
        <w:t>.</w:t>
      </w:r>
      <w:r w:rsidR="006577A8" w:rsidRPr="005C2E59">
        <w:rPr>
          <w:rFonts w:asciiTheme="majorBidi" w:hAnsiTheme="majorBidi" w:cstheme="majorBidi"/>
          <w:bCs/>
          <w:lang w:val="en-US"/>
        </w:rPr>
        <w:t xml:space="preserve"> The </w:t>
      </w:r>
      <w:r w:rsidR="006577A8" w:rsidRPr="005C2E59">
        <w:rPr>
          <w:rFonts w:asciiTheme="majorBidi" w:hAnsiTheme="majorBidi" w:cstheme="majorBidi"/>
          <w:bCs/>
          <w:lang w:val="en-US"/>
        </w:rPr>
        <w:lastRenderedPageBreak/>
        <w:t xml:space="preserve">most general model is a spatial autoregressive model with spatial autoregressive errors (SARAR), </w:t>
      </w:r>
      <w:r w:rsidR="00CF11DF" w:rsidRPr="005C2E59">
        <w:rPr>
          <w:rFonts w:asciiTheme="majorBidi" w:hAnsiTheme="majorBidi" w:cstheme="majorBidi"/>
          <w:bCs/>
          <w:lang w:val="en-US"/>
        </w:rPr>
        <w:t xml:space="preserve">allowing </w:t>
      </w:r>
      <w:r w:rsidR="006577A8" w:rsidRPr="005C2E59">
        <w:rPr>
          <w:rFonts w:asciiTheme="majorBidi" w:hAnsiTheme="majorBidi" w:cstheme="majorBidi"/>
          <w:bCs/>
          <w:lang w:val="en-US"/>
        </w:rPr>
        <w:t>spatially lagged dependent variable</w:t>
      </w:r>
      <w:r w:rsidR="00CF11DF" w:rsidRPr="005C2E59">
        <w:rPr>
          <w:rFonts w:asciiTheme="majorBidi" w:hAnsiTheme="majorBidi" w:cstheme="majorBidi"/>
          <w:bCs/>
          <w:lang w:val="en-US"/>
        </w:rPr>
        <w:t>s</w:t>
      </w:r>
      <w:r w:rsidR="006577A8" w:rsidRPr="005C2E59">
        <w:rPr>
          <w:rFonts w:asciiTheme="majorBidi" w:hAnsiTheme="majorBidi" w:cstheme="majorBidi"/>
          <w:bCs/>
          <w:lang w:val="en-US"/>
        </w:rPr>
        <w:t>, independent variable</w:t>
      </w:r>
      <w:r w:rsidR="00CF11DF" w:rsidRPr="005C2E59">
        <w:rPr>
          <w:rFonts w:asciiTheme="majorBidi" w:hAnsiTheme="majorBidi" w:cstheme="majorBidi"/>
          <w:bCs/>
          <w:lang w:val="en-US"/>
        </w:rPr>
        <w:t>s</w:t>
      </w:r>
      <w:r w:rsidR="006577A8" w:rsidRPr="005C2E59">
        <w:rPr>
          <w:rFonts w:asciiTheme="majorBidi" w:hAnsiTheme="majorBidi" w:cstheme="majorBidi"/>
          <w:bCs/>
          <w:lang w:val="en-US"/>
        </w:rPr>
        <w:t xml:space="preserve"> and errors.</w:t>
      </w:r>
      <w:r w:rsidR="006577A8" w:rsidRPr="00C23239">
        <w:rPr>
          <w:rFonts w:asciiTheme="majorBidi" w:hAnsiTheme="majorBidi" w:cstheme="majorBidi"/>
          <w:bCs/>
          <w:vertAlign w:val="superscript"/>
          <w:lang w:val="en-US"/>
        </w:rPr>
        <w:footnoteReference w:id="6"/>
      </w:r>
    </w:p>
    <w:p w:rsidR="006577A8" w:rsidRPr="005C2E59" w:rsidRDefault="008952F5" w:rsidP="00694592">
      <w:pPr>
        <w:widowControl w:val="0"/>
        <w:spacing w:before="120" w:after="120" w:line="288" w:lineRule="auto"/>
        <w:ind w:firstLine="720"/>
        <w:jc w:val="right"/>
        <w:rPr>
          <w:rFonts w:asciiTheme="majorBidi" w:hAnsiTheme="majorBidi" w:cstheme="majorBidi"/>
          <w:bCs/>
          <w:lang w:val="en-US"/>
        </w:rPr>
      </w:pPr>
      <m:oMath>
        <m:sSub>
          <m:sSubPr>
            <m:ctrlPr>
              <w:rPr>
                <w:rFonts w:ascii="Cambria Math" w:hAnsi="Cambria Math" w:cstheme="majorBidi"/>
                <w:bCs/>
                <w:lang w:val="en-US"/>
              </w:rPr>
            </m:ctrlPr>
          </m:sSubPr>
          <m:e>
            <m:r>
              <w:rPr>
                <w:rFonts w:ascii="Cambria Math" w:hAnsi="Cambria Math" w:cstheme="majorBidi"/>
                <w:lang w:val="en-US"/>
              </w:rPr>
              <m:t>NHO</m:t>
            </m:r>
          </m:e>
          <m:sub>
            <m:r>
              <w:rPr>
                <w:rFonts w:ascii="Cambria Math" w:hAnsi="Cambria Math" w:cstheme="majorBidi"/>
                <w:lang w:val="en-US"/>
              </w:rPr>
              <m:t>it</m:t>
            </m:r>
          </m:sub>
        </m:sSub>
        <m:r>
          <m:rPr>
            <m:sty m:val="p"/>
          </m:rPr>
          <w:rPr>
            <w:rFonts w:ascii="Cambria Math" w:hAnsi="Cambria Math" w:cstheme="majorBidi"/>
            <w:lang w:val="en-US"/>
          </w:rPr>
          <m:t>=</m:t>
        </m:r>
        <m:r>
          <m:rPr>
            <m:sty m:val="p"/>
          </m:rPr>
          <w:rPr>
            <w:rFonts w:ascii="Cambria Math" w:hAnsi="Cambria Math" w:cstheme="majorBidi"/>
            <w:bCs/>
            <w:lang w:val="en-US"/>
          </w:rPr>
          <w:sym w:font="Symbol" w:char="F06C"/>
        </m:r>
        <m:sSub>
          <m:sSubPr>
            <m:ctrlPr>
              <w:rPr>
                <w:rFonts w:ascii="Cambria Math" w:hAnsi="Cambria Math" w:cstheme="majorBidi"/>
                <w:bCs/>
                <w:lang w:val="en-US"/>
              </w:rPr>
            </m:ctrlPr>
          </m:sSubPr>
          <m:e>
            <m:r>
              <w:rPr>
                <w:rFonts w:ascii="Cambria Math" w:hAnsi="Cambria Math" w:cstheme="majorBidi"/>
                <w:lang w:val="en-US"/>
              </w:rPr>
              <m:t>WNHO</m:t>
            </m:r>
          </m:e>
          <m:sub>
            <m:r>
              <w:rPr>
                <w:rFonts w:ascii="Cambria Math" w:hAnsi="Cambria Math" w:cstheme="majorBidi"/>
                <w:lang w:val="en-US"/>
              </w:rPr>
              <m:t>it</m:t>
            </m:r>
          </m:sub>
        </m:sSub>
        <m:r>
          <m:rPr>
            <m:sty m:val="p"/>
          </m:rPr>
          <w:rPr>
            <w:rFonts w:ascii="Cambria Math" w:hAnsi="Cambria Math" w:cstheme="majorBidi"/>
            <w:lang w:val="en-US"/>
          </w:rPr>
          <m:t>+</m:t>
        </m:r>
        <m:sSub>
          <m:sSubPr>
            <m:ctrlPr>
              <w:rPr>
                <w:rFonts w:ascii="Cambria Math" w:hAnsi="Cambria Math" w:cstheme="majorBidi"/>
                <w:bCs/>
                <w:lang w:val="en-US"/>
              </w:rPr>
            </m:ctrlPr>
          </m:sSubPr>
          <m:e>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1</m:t>
                </m:r>
              </m:sub>
            </m:sSub>
            <m:r>
              <w:rPr>
                <w:rFonts w:ascii="Cambria Math" w:hAnsi="Cambria Math" w:cstheme="majorBidi"/>
                <w:lang w:val="en-US"/>
              </w:rPr>
              <m:t>FB</m:t>
            </m:r>
          </m:e>
          <m:sub>
            <m:r>
              <w:rPr>
                <w:rFonts w:ascii="Cambria Math" w:hAnsi="Cambria Math" w:cstheme="majorBidi"/>
                <w:lang w:val="en-US"/>
              </w:rPr>
              <m:t>it</m:t>
            </m:r>
          </m:sub>
        </m:sSub>
        <m:r>
          <m:rPr>
            <m:sty m:val="p"/>
          </m:rPr>
          <w:rPr>
            <w:rFonts w:ascii="Cambria Math" w:hAnsi="Cambria Math" w:cstheme="majorBidi"/>
            <w:lang w:val="en-US"/>
          </w:rPr>
          <m:t>+</m:t>
        </m:r>
        <m:sSub>
          <m:sSubPr>
            <m:ctrlPr>
              <w:rPr>
                <w:rFonts w:ascii="Cambria Math" w:hAnsi="Cambria Math" w:cstheme="majorBidi"/>
                <w:bCs/>
                <w:lang w:val="en-US"/>
              </w:rPr>
            </m:ctrlPr>
          </m:sSubPr>
          <m:e>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r>
              <w:rPr>
                <w:rFonts w:ascii="Cambria Math" w:hAnsi="Cambria Math" w:cstheme="majorBidi"/>
                <w:lang w:val="en-US"/>
              </w:rPr>
              <m:t>WFB</m:t>
            </m:r>
          </m:e>
          <m:sub>
            <m:r>
              <w:rPr>
                <w:rFonts w:ascii="Cambria Math" w:hAnsi="Cambria Math" w:cstheme="majorBidi"/>
                <w:lang w:val="en-US"/>
              </w:rPr>
              <m:t>it</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μ</m:t>
            </m:r>
          </m:e>
          <m:sub>
            <m:r>
              <w:rPr>
                <w:rFonts w:ascii="Cambria Math" w:hAnsi="Cambria Math" w:cstheme="majorBidi"/>
                <w:lang w:val="en-US"/>
              </w:rPr>
              <m:t>i</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ϑ</m:t>
            </m:r>
          </m:e>
          <m:sub>
            <m:r>
              <w:rPr>
                <w:rFonts w:ascii="Cambria Math" w:hAnsi="Cambria Math" w:cstheme="majorBidi"/>
                <w:lang w:val="en-US"/>
              </w:rPr>
              <m:t>t</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ρWu</m:t>
            </m:r>
          </m:e>
          <m:sub>
            <m:r>
              <w:rPr>
                <w:rFonts w:ascii="Cambria Math" w:hAnsi="Cambria Math" w:cstheme="majorBidi"/>
                <w:lang w:val="en-US"/>
              </w:rPr>
              <m:t>it</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e</m:t>
            </m:r>
          </m:e>
          <m:sub>
            <m:r>
              <w:rPr>
                <w:rFonts w:ascii="Cambria Math" w:hAnsi="Cambria Math" w:cstheme="majorBidi"/>
                <w:lang w:val="en-US"/>
              </w:rPr>
              <m:t>it</m:t>
            </m:r>
          </m:sub>
        </m:sSub>
      </m:oMath>
      <w:r w:rsidR="006577A8" w:rsidRPr="005C2E59">
        <w:rPr>
          <w:rFonts w:asciiTheme="majorBidi" w:hAnsiTheme="majorBidi" w:cstheme="majorBidi"/>
          <w:bCs/>
          <w:lang w:val="en-US"/>
        </w:rPr>
        <w:tab/>
      </w:r>
      <w:r w:rsidR="006577A8" w:rsidRPr="005C2E59">
        <w:rPr>
          <w:rFonts w:asciiTheme="majorBidi" w:hAnsiTheme="majorBidi" w:cstheme="majorBidi"/>
          <w:bCs/>
          <w:lang w:val="en-US"/>
        </w:rPr>
        <w:tab/>
        <w:t>(2)</w:t>
      </w:r>
    </w:p>
    <w:p w:rsidR="0056551B" w:rsidRPr="005C2E59" w:rsidRDefault="00D10542" w:rsidP="007F268F">
      <w:pPr>
        <w:widowControl w:val="0"/>
        <w:spacing w:after="0" w:line="288" w:lineRule="auto"/>
        <w:jc w:val="both"/>
        <w:rPr>
          <w:rFonts w:asciiTheme="majorBidi" w:hAnsiTheme="majorBidi" w:cstheme="majorBidi"/>
          <w:bCs/>
          <w:lang w:val="en-US"/>
        </w:rPr>
      </w:pPr>
      <w:r w:rsidRPr="005C2E59">
        <w:rPr>
          <w:rFonts w:asciiTheme="majorBidi" w:hAnsiTheme="majorBidi" w:cstheme="majorBidi"/>
          <w:bCs/>
          <w:lang w:val="en-US"/>
        </w:rPr>
        <w:t xml:space="preserve">This </w:t>
      </w:r>
      <w:r w:rsidR="006577A8" w:rsidRPr="005C2E59">
        <w:rPr>
          <w:rFonts w:asciiTheme="majorBidi" w:hAnsiTheme="majorBidi" w:cstheme="majorBidi"/>
          <w:bCs/>
          <w:lang w:val="en-US"/>
        </w:rPr>
        <w:t xml:space="preserve">model lets </w:t>
      </w:r>
      <w:r w:rsidR="0056551B" w:rsidRPr="005C2E59">
        <w:rPr>
          <w:rFonts w:asciiTheme="majorBidi" w:hAnsiTheme="majorBidi" w:cstheme="majorBidi"/>
          <w:bCs/>
          <w:lang w:val="en-US"/>
        </w:rPr>
        <w:t>outcome changes</w:t>
      </w:r>
      <w:r w:rsidRPr="005C2E59">
        <w:rPr>
          <w:rFonts w:asciiTheme="majorBidi" w:hAnsiTheme="majorBidi" w:cstheme="majorBidi"/>
          <w:bCs/>
          <w:lang w:val="en-US"/>
        </w:rPr>
        <w:t xml:space="preserve"> in a </w:t>
      </w:r>
      <w:r w:rsidR="0056551B" w:rsidRPr="005C2E59">
        <w:rPr>
          <w:rFonts w:asciiTheme="majorBidi" w:hAnsiTheme="majorBidi" w:cstheme="majorBidi"/>
          <w:bCs/>
          <w:lang w:val="en-US"/>
        </w:rPr>
        <w:t>given</w:t>
      </w:r>
      <w:r w:rsidRPr="005C2E59">
        <w:rPr>
          <w:rFonts w:asciiTheme="majorBidi" w:hAnsiTheme="majorBidi" w:cstheme="majorBidi"/>
          <w:bCs/>
          <w:lang w:val="en-US"/>
        </w:rPr>
        <w:t xml:space="preserve"> </w:t>
      </w:r>
      <w:r w:rsidR="0056551B" w:rsidRPr="005C2E59">
        <w:rPr>
          <w:rFonts w:asciiTheme="majorBidi" w:hAnsiTheme="majorBidi" w:cstheme="majorBidi"/>
          <w:bCs/>
          <w:lang w:val="en-US"/>
        </w:rPr>
        <w:t>area</w:t>
      </w:r>
      <w:r w:rsidRPr="005C2E59">
        <w:rPr>
          <w:rFonts w:asciiTheme="majorBidi" w:hAnsiTheme="majorBidi" w:cstheme="majorBidi"/>
          <w:bCs/>
          <w:lang w:val="en-US"/>
        </w:rPr>
        <w:t xml:space="preserve"> affect contemporaneous outcomes in </w:t>
      </w:r>
      <w:r w:rsidR="0056551B" w:rsidRPr="005C2E59">
        <w:rPr>
          <w:rFonts w:asciiTheme="majorBidi" w:hAnsiTheme="majorBidi" w:cstheme="majorBidi"/>
          <w:bCs/>
          <w:lang w:val="en-US"/>
        </w:rPr>
        <w:t xml:space="preserve">other </w:t>
      </w:r>
      <w:r w:rsidRPr="005C2E59">
        <w:rPr>
          <w:rFonts w:asciiTheme="majorBidi" w:hAnsiTheme="majorBidi" w:cstheme="majorBidi"/>
          <w:bCs/>
          <w:lang w:val="en-US"/>
        </w:rPr>
        <w:t xml:space="preserve">areas (via the autoregressive spatial lag of the dependent variable, if </w:t>
      </w:r>
      <m:oMath>
        <m:r>
          <m:rPr>
            <m:sty m:val="p"/>
          </m:rPr>
          <w:rPr>
            <w:rFonts w:ascii="Cambria Math" w:hAnsi="Cambria Math" w:cstheme="majorBidi"/>
            <w:bCs/>
            <w:lang w:val="en-US"/>
          </w:rPr>
          <w:sym w:font="Symbol" w:char="F06C"/>
        </m:r>
        <m:r>
          <m:rPr>
            <m:sty m:val="p"/>
          </m:rPr>
          <w:rPr>
            <w:rFonts w:ascii="Cambria Math" w:hAnsi="Cambria Math" w:cstheme="majorBidi"/>
            <w:lang w:val="en-US"/>
          </w:rPr>
          <m:t>≠0</m:t>
        </m:r>
      </m:oMath>
      <w:r w:rsidRPr="005C2E59">
        <w:rPr>
          <w:rFonts w:asciiTheme="majorBidi" w:hAnsiTheme="majorBidi" w:cstheme="majorBidi"/>
          <w:bCs/>
          <w:lang w:val="en-US"/>
        </w:rPr>
        <w:t>). It lets changes in independent variables affect not only own-</w:t>
      </w:r>
      <w:r w:rsidR="0056551B" w:rsidRPr="005C2E59">
        <w:rPr>
          <w:rFonts w:asciiTheme="majorBidi" w:hAnsiTheme="majorBidi" w:cstheme="majorBidi"/>
          <w:bCs/>
          <w:lang w:val="en-US"/>
        </w:rPr>
        <w:t xml:space="preserve">area outcomes </w:t>
      </w:r>
      <w:r w:rsidRPr="005C2E59">
        <w:rPr>
          <w:rFonts w:asciiTheme="majorBidi" w:hAnsiTheme="majorBidi" w:cstheme="majorBidi"/>
          <w:bCs/>
          <w:lang w:val="en-US"/>
        </w:rPr>
        <w:t xml:space="preserve">but also </w:t>
      </w:r>
      <w:r w:rsidR="0056551B" w:rsidRPr="005C2E59">
        <w:rPr>
          <w:rFonts w:asciiTheme="majorBidi" w:hAnsiTheme="majorBidi" w:cstheme="majorBidi"/>
          <w:bCs/>
          <w:lang w:val="en-US"/>
        </w:rPr>
        <w:t xml:space="preserve">outcomes </w:t>
      </w:r>
      <w:r w:rsidRPr="005C2E59">
        <w:rPr>
          <w:rFonts w:asciiTheme="majorBidi" w:hAnsiTheme="majorBidi" w:cstheme="majorBidi"/>
          <w:bCs/>
          <w:lang w:val="en-US"/>
        </w:rPr>
        <w:t xml:space="preserve">in neighbouring </w:t>
      </w:r>
      <w:r w:rsidR="0056551B" w:rsidRPr="005C2E59">
        <w:rPr>
          <w:rFonts w:asciiTheme="majorBidi" w:hAnsiTheme="majorBidi" w:cstheme="majorBidi"/>
          <w:bCs/>
          <w:lang w:val="en-US"/>
        </w:rPr>
        <w:t xml:space="preserve">areas </w:t>
      </w:r>
      <w:r w:rsidRPr="005C2E59">
        <w:rPr>
          <w:rFonts w:asciiTheme="majorBidi" w:hAnsiTheme="majorBidi" w:cstheme="majorBidi"/>
          <w:bCs/>
          <w:lang w:val="en-US"/>
        </w:rPr>
        <w:t xml:space="preserve">(if </w:t>
      </w:r>
      <m:oMath>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r>
          <m:rPr>
            <m:sty m:val="p"/>
          </m:rPr>
          <w:rPr>
            <w:rFonts w:ascii="Cambria Math" w:hAnsi="Cambria Math" w:cstheme="majorBidi"/>
            <w:lang w:val="en-US"/>
          </w:rPr>
          <m:t>≠0)</m:t>
        </m:r>
      </m:oMath>
      <w:r w:rsidRPr="005C2E59">
        <w:rPr>
          <w:rFonts w:asciiTheme="majorBidi" w:hAnsiTheme="majorBidi" w:cstheme="majorBidi"/>
          <w:bCs/>
          <w:lang w:val="en-US"/>
        </w:rPr>
        <w:t>.</w:t>
      </w:r>
      <w:r w:rsidR="0056551B" w:rsidRPr="005C2E59">
        <w:rPr>
          <w:rFonts w:asciiTheme="majorBidi" w:hAnsiTheme="majorBidi" w:cstheme="majorBidi"/>
          <w:bCs/>
          <w:lang w:val="en-US"/>
        </w:rPr>
        <w:t xml:space="preserve"> </w:t>
      </w:r>
      <w:r w:rsidRPr="005C2E59">
        <w:rPr>
          <w:rFonts w:asciiTheme="majorBidi" w:hAnsiTheme="majorBidi" w:cstheme="majorBidi"/>
          <w:bCs/>
          <w:lang w:val="en-US"/>
        </w:rPr>
        <w:t xml:space="preserve">The </w:t>
      </w:r>
      <m:oMath>
        <m:sSub>
          <m:sSubPr>
            <m:ctrlPr>
              <w:rPr>
                <w:rFonts w:ascii="Cambria Math" w:hAnsi="Cambria Math" w:cstheme="majorBidi"/>
                <w:bCs/>
                <w:lang w:val="en-US"/>
              </w:rPr>
            </m:ctrlPr>
          </m:sSubPr>
          <m:e>
            <m:r>
              <w:rPr>
                <w:rFonts w:ascii="Cambria Math" w:hAnsi="Cambria Math" w:cstheme="majorBidi"/>
                <w:lang w:val="en-US"/>
              </w:rPr>
              <m:t>ρWu</m:t>
            </m:r>
          </m:e>
          <m:sub>
            <m:r>
              <w:rPr>
                <w:rFonts w:ascii="Cambria Math" w:hAnsi="Cambria Math" w:cstheme="majorBidi"/>
                <w:lang w:val="en-US"/>
              </w:rPr>
              <m:t>it</m:t>
            </m:r>
          </m:sub>
        </m:sSub>
      </m:oMath>
      <w:r w:rsidRPr="005C2E59">
        <w:rPr>
          <w:rFonts w:asciiTheme="majorBidi" w:hAnsiTheme="majorBidi" w:cstheme="majorBidi"/>
          <w:bCs/>
          <w:lang w:val="en-US"/>
        </w:rPr>
        <w:t xml:space="preserve"> </w:t>
      </w:r>
      <w:r w:rsidR="0056551B" w:rsidRPr="005C2E59">
        <w:rPr>
          <w:rFonts w:asciiTheme="majorBidi" w:hAnsiTheme="majorBidi" w:cstheme="majorBidi"/>
          <w:bCs/>
          <w:lang w:val="en-US"/>
        </w:rPr>
        <w:t xml:space="preserve">term allows for </w:t>
      </w:r>
      <w:r w:rsidRPr="005C2E59">
        <w:rPr>
          <w:rFonts w:asciiTheme="majorBidi" w:hAnsiTheme="majorBidi" w:cstheme="majorBidi"/>
          <w:bCs/>
          <w:lang w:val="en-US"/>
        </w:rPr>
        <w:t>spatial autocorrelation, where the errors for a</w:t>
      </w:r>
      <w:r w:rsidR="0056551B" w:rsidRPr="005C2E59">
        <w:rPr>
          <w:rFonts w:asciiTheme="majorBidi" w:hAnsiTheme="majorBidi" w:cstheme="majorBidi"/>
          <w:bCs/>
          <w:lang w:val="en-US"/>
        </w:rPr>
        <w:t>n area unit</w:t>
      </w:r>
      <w:r w:rsidRPr="005C2E59">
        <w:rPr>
          <w:rFonts w:asciiTheme="majorBidi" w:hAnsiTheme="majorBidi" w:cstheme="majorBidi"/>
          <w:bCs/>
          <w:lang w:val="en-US"/>
        </w:rPr>
        <w:t xml:space="preserve"> are correlated (</w:t>
      </w:r>
      <w:r w:rsidRPr="00C23239">
        <w:rPr>
          <w:rFonts w:asciiTheme="majorBidi" w:hAnsiTheme="majorBidi" w:cstheme="majorBidi"/>
          <w:bCs/>
          <w:i/>
          <w:iCs/>
          <w:lang w:val="en-US"/>
        </w:rPr>
        <w:sym w:font="Symbol" w:char="F072"/>
      </w:r>
      <w:r w:rsidRPr="005C2E59">
        <w:rPr>
          <w:rFonts w:asciiTheme="majorBidi" w:hAnsiTheme="majorBidi" w:cstheme="majorBidi"/>
          <w:bCs/>
          <w:lang w:val="en-US"/>
        </w:rPr>
        <w:t>) with a w</w:t>
      </w:r>
      <w:r w:rsidR="00FE317D" w:rsidRPr="005C2E59">
        <w:rPr>
          <w:rFonts w:asciiTheme="majorBidi" w:hAnsiTheme="majorBidi" w:cstheme="majorBidi"/>
          <w:bCs/>
          <w:lang w:val="en-US"/>
        </w:rPr>
        <w:t>eighted average of the errors from</w:t>
      </w:r>
      <w:r w:rsidRPr="005C2E59">
        <w:rPr>
          <w:rFonts w:asciiTheme="majorBidi" w:hAnsiTheme="majorBidi" w:cstheme="majorBidi"/>
          <w:bCs/>
          <w:lang w:val="en-US"/>
        </w:rPr>
        <w:t xml:space="preserve"> surrounding </w:t>
      </w:r>
      <w:r w:rsidR="0056551B" w:rsidRPr="005C2E59">
        <w:rPr>
          <w:rFonts w:asciiTheme="majorBidi" w:hAnsiTheme="majorBidi" w:cstheme="majorBidi"/>
          <w:bCs/>
          <w:lang w:val="en-US"/>
        </w:rPr>
        <w:t>area units</w:t>
      </w:r>
      <w:r w:rsidRPr="005C2E59">
        <w:rPr>
          <w:rFonts w:asciiTheme="majorBidi" w:hAnsiTheme="majorBidi" w:cstheme="majorBidi"/>
          <w:bCs/>
          <w:lang w:val="en-US"/>
        </w:rPr>
        <w:t xml:space="preserve">. </w:t>
      </w:r>
      <w:r w:rsidR="0056551B" w:rsidRPr="005C2E59">
        <w:rPr>
          <w:rFonts w:asciiTheme="majorBidi" w:hAnsiTheme="majorBidi" w:cstheme="majorBidi"/>
          <w:bCs/>
          <w:lang w:val="en-US"/>
        </w:rPr>
        <w:t>Equation (2) nests a</w:t>
      </w:r>
      <w:r w:rsidRPr="005C2E59">
        <w:rPr>
          <w:rFonts w:asciiTheme="majorBidi" w:hAnsiTheme="majorBidi" w:cstheme="majorBidi"/>
          <w:bCs/>
          <w:lang w:val="en-US"/>
        </w:rPr>
        <w:t xml:space="preserve"> spatial Durbin model if </w:t>
      </w:r>
      <m:oMath>
        <m:r>
          <w:rPr>
            <w:rFonts w:ascii="Cambria Math" w:hAnsi="Cambria Math" w:cstheme="majorBidi"/>
            <w:lang w:val="en-US"/>
          </w:rPr>
          <m:t>ρ</m:t>
        </m:r>
        <m:r>
          <m:rPr>
            <m:sty m:val="p"/>
          </m:rPr>
          <w:rPr>
            <w:rFonts w:ascii="Cambria Math" w:hAnsi="Cambria Math" w:cstheme="majorBidi"/>
            <w:lang w:val="en-US"/>
          </w:rPr>
          <m:t>=0,</m:t>
        </m:r>
      </m:oMath>
      <w:r w:rsidR="0056551B" w:rsidRPr="005C2E59">
        <w:rPr>
          <w:rFonts w:asciiTheme="majorBidi" w:hAnsiTheme="majorBidi" w:cstheme="majorBidi"/>
          <w:bCs/>
          <w:lang w:val="en-US"/>
        </w:rPr>
        <w:t xml:space="preserve"> a</w:t>
      </w:r>
      <w:r w:rsidRPr="005C2E59">
        <w:rPr>
          <w:rFonts w:asciiTheme="majorBidi" w:hAnsiTheme="majorBidi" w:cstheme="majorBidi"/>
          <w:bCs/>
          <w:lang w:val="en-US"/>
        </w:rPr>
        <w:t xml:space="preserve"> spatial auto-regressive model (</w:t>
      </w:r>
      <w:r w:rsidRPr="00C23239">
        <w:rPr>
          <w:rFonts w:asciiTheme="majorBidi" w:hAnsiTheme="majorBidi" w:cstheme="majorBidi"/>
          <w:bCs/>
          <w:i/>
          <w:iCs/>
          <w:lang w:val="en-US"/>
        </w:rPr>
        <w:t>aka</w:t>
      </w:r>
      <w:r w:rsidR="0056551B" w:rsidRPr="005C2E59">
        <w:rPr>
          <w:rFonts w:asciiTheme="majorBidi" w:hAnsiTheme="majorBidi" w:cstheme="majorBidi"/>
          <w:bCs/>
          <w:lang w:val="en-US"/>
        </w:rPr>
        <w:t xml:space="preserve"> </w:t>
      </w:r>
      <w:r w:rsidRPr="005C2E59">
        <w:rPr>
          <w:rFonts w:asciiTheme="majorBidi" w:hAnsiTheme="majorBidi" w:cstheme="majorBidi"/>
          <w:bCs/>
          <w:lang w:val="en-US"/>
        </w:rPr>
        <w:t xml:space="preserve">spatial lag model) </w:t>
      </w:r>
      <w:r w:rsidR="003220E4" w:rsidRPr="005C2E59">
        <w:rPr>
          <w:rFonts w:asciiTheme="majorBidi" w:hAnsiTheme="majorBidi" w:cstheme="majorBidi"/>
          <w:bCs/>
          <w:lang w:val="en-US"/>
        </w:rPr>
        <w:t xml:space="preserve">where only the dependent variable is spatially lagged </w:t>
      </w:r>
      <w:r w:rsidRPr="005C2E59">
        <w:rPr>
          <w:rFonts w:asciiTheme="majorBidi" w:hAnsiTheme="majorBidi" w:cstheme="majorBidi"/>
          <w:bCs/>
          <w:lang w:val="en-US"/>
        </w:rPr>
        <w:t xml:space="preserve">if </w:t>
      </w:r>
      <m:oMath>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r>
          <m:rPr>
            <m:sty m:val="p"/>
          </m:rPr>
          <w:rPr>
            <w:rFonts w:ascii="Cambria Math" w:hAnsi="Cambria Math" w:cstheme="majorBidi"/>
            <w:lang w:val="en-US"/>
          </w:rPr>
          <m:t>=</m:t>
        </m:r>
        <m:r>
          <w:rPr>
            <w:rFonts w:ascii="Cambria Math" w:hAnsi="Cambria Math" w:cstheme="majorBidi"/>
            <w:lang w:val="en-US"/>
          </w:rPr>
          <m:t>ρ</m:t>
        </m:r>
        <m:r>
          <m:rPr>
            <m:sty m:val="p"/>
          </m:rPr>
          <w:rPr>
            <w:rFonts w:ascii="Cambria Math" w:hAnsi="Cambria Math" w:cstheme="majorBidi"/>
            <w:lang w:val="en-US"/>
          </w:rPr>
          <m:t>=0</m:t>
        </m:r>
      </m:oMath>
      <w:r w:rsidRPr="005C2E59">
        <w:rPr>
          <w:rFonts w:asciiTheme="majorBidi" w:hAnsiTheme="majorBidi" w:cstheme="majorBidi"/>
          <w:bCs/>
          <w:lang w:val="en-US"/>
        </w:rPr>
        <w:t xml:space="preserve">, </w:t>
      </w:r>
      <w:r w:rsidR="0056551B" w:rsidRPr="005C2E59">
        <w:rPr>
          <w:rFonts w:asciiTheme="majorBidi" w:hAnsiTheme="majorBidi" w:cstheme="majorBidi"/>
          <w:bCs/>
          <w:lang w:val="en-US"/>
        </w:rPr>
        <w:t>a</w:t>
      </w:r>
      <w:r w:rsidR="003220E4" w:rsidRPr="005C2E59">
        <w:rPr>
          <w:rFonts w:asciiTheme="majorBidi" w:hAnsiTheme="majorBidi" w:cstheme="majorBidi"/>
          <w:bCs/>
          <w:lang w:val="en-US"/>
        </w:rPr>
        <w:t xml:space="preserve"> spatial error model</w:t>
      </w:r>
      <w:r w:rsidRPr="005C2E59">
        <w:rPr>
          <w:rFonts w:asciiTheme="majorBidi" w:hAnsiTheme="majorBidi" w:cstheme="majorBidi"/>
          <w:bCs/>
          <w:lang w:val="en-US"/>
        </w:rPr>
        <w:t xml:space="preserve"> where only the errors are spatially lagged (if </w:t>
      </w:r>
      <w:r w:rsidRPr="005C2E59">
        <w:rPr>
          <w:rFonts w:asciiTheme="majorBidi" w:hAnsiTheme="majorBidi" w:cstheme="majorBidi"/>
          <w:bCs/>
          <w:lang w:val="en-US"/>
        </w:rPr>
        <w:sym w:font="Symbol" w:char="F06C"/>
      </w:r>
      <m:oMath>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r>
          <m:rPr>
            <m:sty m:val="p"/>
          </m:rPr>
          <w:rPr>
            <w:rFonts w:ascii="Cambria Math" w:hAnsi="Cambria Math" w:cstheme="majorBidi"/>
            <w:lang w:val="en-US"/>
          </w:rPr>
          <m:t>=0)</m:t>
        </m:r>
      </m:oMath>
      <w:r w:rsidRPr="005C2E59">
        <w:rPr>
          <w:rFonts w:asciiTheme="majorBidi" w:hAnsiTheme="majorBidi" w:cstheme="majorBidi"/>
          <w:bCs/>
          <w:lang w:val="en-US"/>
        </w:rPr>
        <w:t xml:space="preserve">, and aspatial models, such as </w:t>
      </w:r>
      <w:r w:rsidR="0056551B" w:rsidRPr="005C2E59">
        <w:rPr>
          <w:rFonts w:asciiTheme="majorBidi" w:hAnsiTheme="majorBidi" w:cstheme="majorBidi"/>
          <w:bCs/>
          <w:lang w:val="en-US"/>
        </w:rPr>
        <w:t>equation (1)</w:t>
      </w:r>
      <w:r w:rsidR="003220E4" w:rsidRPr="005C2E59">
        <w:rPr>
          <w:rFonts w:asciiTheme="majorBidi" w:hAnsiTheme="majorBidi" w:cstheme="majorBidi"/>
          <w:bCs/>
          <w:lang w:val="en-US"/>
        </w:rPr>
        <w:t>,</w:t>
      </w:r>
      <w:r w:rsidR="0056551B" w:rsidRPr="005C2E59">
        <w:rPr>
          <w:rFonts w:asciiTheme="majorBidi" w:hAnsiTheme="majorBidi" w:cstheme="majorBidi"/>
          <w:bCs/>
          <w:lang w:val="en-US"/>
        </w:rPr>
        <w:t xml:space="preserve"> that have no </w:t>
      </w:r>
      <w:r w:rsidRPr="005C2E59">
        <w:rPr>
          <w:rFonts w:asciiTheme="majorBidi" w:hAnsiTheme="majorBidi" w:cstheme="majorBidi"/>
          <w:bCs/>
          <w:lang w:val="en-US"/>
        </w:rPr>
        <w:t xml:space="preserve">spatial lags (if </w:t>
      </w:r>
      <m:oMath>
        <m:sSub>
          <m:sSubPr>
            <m:ctrlPr>
              <w:rPr>
                <w:rFonts w:ascii="Cambria Math" w:hAnsi="Cambria Math" w:cstheme="majorBidi"/>
                <w:bCs/>
                <w:lang w:val="en-US"/>
              </w:rPr>
            </m:ctrlPr>
          </m:sSubPr>
          <m:e>
            <m:r>
              <m:rPr>
                <m:sty m:val="p"/>
              </m:rPr>
              <w:rPr>
                <w:rFonts w:ascii="Cambria Math" w:hAnsi="Cambria Math" w:cstheme="majorBidi"/>
                <w:bCs/>
                <w:lang w:val="en-US"/>
              </w:rPr>
              <w:sym w:font="Symbol" w:char="F06C"/>
            </m:r>
            <m:r>
              <m:rPr>
                <m:sty m:val="p"/>
              </m:rPr>
              <w:rPr>
                <w:rFonts w:ascii="Cambria Math" w:hAnsi="Cambria Math" w:cstheme="majorBidi"/>
                <w:lang w:val="en-US"/>
              </w:rPr>
              <m:t>=</m:t>
            </m:r>
            <m:r>
              <w:rPr>
                <w:rFonts w:ascii="Cambria Math" w:hAnsi="Cambria Math" w:cstheme="majorBidi"/>
                <w:lang w:val="en-US"/>
              </w:rPr>
              <m:t>β</m:t>
            </m:r>
          </m:e>
          <m:sub>
            <m:r>
              <m:rPr>
                <m:sty m:val="p"/>
              </m:rPr>
              <w:rPr>
                <w:rFonts w:ascii="Cambria Math" w:hAnsi="Cambria Math" w:cstheme="majorBidi"/>
                <w:lang w:val="en-US"/>
              </w:rPr>
              <m:t>2</m:t>
            </m:r>
          </m:sub>
        </m:sSub>
        <m:r>
          <m:rPr>
            <m:sty m:val="p"/>
          </m:rPr>
          <w:rPr>
            <w:rFonts w:ascii="Cambria Math" w:hAnsi="Cambria Math" w:cstheme="majorBidi"/>
            <w:lang w:val="en-US"/>
          </w:rPr>
          <m:t>=</m:t>
        </m:r>
        <m:r>
          <w:rPr>
            <w:rFonts w:ascii="Cambria Math" w:hAnsi="Cambria Math" w:cstheme="majorBidi"/>
            <w:lang w:val="en-US"/>
          </w:rPr>
          <m:t>ρ</m:t>
        </m:r>
        <m:r>
          <m:rPr>
            <m:sty m:val="p"/>
          </m:rPr>
          <w:rPr>
            <w:rFonts w:ascii="Cambria Math" w:hAnsi="Cambria Math" w:cstheme="majorBidi"/>
            <w:lang w:val="en-US"/>
          </w:rPr>
          <m:t>=0)</m:t>
        </m:r>
      </m:oMath>
      <w:r w:rsidRPr="005C2E59">
        <w:rPr>
          <w:rFonts w:asciiTheme="majorBidi" w:hAnsiTheme="majorBidi" w:cstheme="majorBidi"/>
          <w:bCs/>
          <w:lang w:val="en-US"/>
        </w:rPr>
        <w:t xml:space="preserve">. </w:t>
      </w:r>
    </w:p>
    <w:p w:rsidR="00A0065E" w:rsidRPr="00694592" w:rsidRDefault="00A0065E" w:rsidP="005C2E59">
      <w:pPr>
        <w:widowControl w:val="0"/>
        <w:spacing w:after="0" w:line="288" w:lineRule="auto"/>
        <w:ind w:firstLine="720"/>
        <w:jc w:val="both"/>
        <w:rPr>
          <w:rFonts w:asciiTheme="majorBidi" w:hAnsiTheme="majorBidi" w:cstheme="majorBidi"/>
          <w:bCs/>
          <w:sz w:val="12"/>
          <w:szCs w:val="12"/>
          <w:lang w:val="en-US"/>
        </w:rPr>
      </w:pPr>
    </w:p>
    <w:p w:rsidR="000C63F5" w:rsidRPr="005C2E59" w:rsidRDefault="000C63F5" w:rsidP="005C2E59">
      <w:pPr>
        <w:widowControl w:val="0"/>
        <w:spacing w:after="0" w:line="288" w:lineRule="auto"/>
        <w:ind w:firstLine="720"/>
        <w:jc w:val="both"/>
        <w:rPr>
          <w:rFonts w:asciiTheme="majorBidi" w:hAnsiTheme="majorBidi" w:cstheme="majorBidi"/>
          <w:bCs/>
          <w:lang w:val="en-US"/>
        </w:rPr>
      </w:pPr>
      <w:r w:rsidRPr="005C2E59">
        <w:rPr>
          <w:rFonts w:asciiTheme="majorBidi" w:hAnsiTheme="majorBidi" w:cstheme="majorBidi"/>
          <w:bCs/>
          <w:lang w:val="en-US"/>
        </w:rPr>
        <w:t>An important feature of spatial econometric models is that lags of either the outcome variable or the independent variable</w:t>
      </w:r>
      <w:r w:rsidR="00B5301F" w:rsidRPr="005C2E59">
        <w:rPr>
          <w:rFonts w:asciiTheme="majorBidi" w:hAnsiTheme="majorBidi" w:cstheme="majorBidi"/>
          <w:bCs/>
          <w:lang w:val="en-US"/>
        </w:rPr>
        <w:t xml:space="preserve"> (but not </w:t>
      </w:r>
      <w:r w:rsidRPr="005C2E59">
        <w:rPr>
          <w:rFonts w:asciiTheme="majorBidi" w:hAnsiTheme="majorBidi" w:cstheme="majorBidi"/>
          <w:bCs/>
          <w:lang w:val="en-US"/>
        </w:rPr>
        <w:t>the errors) mean that total effect</w:t>
      </w:r>
      <w:r w:rsidR="00B5301F" w:rsidRPr="005C2E59">
        <w:rPr>
          <w:rFonts w:asciiTheme="majorBidi" w:hAnsiTheme="majorBidi" w:cstheme="majorBidi"/>
          <w:bCs/>
          <w:lang w:val="en-US"/>
        </w:rPr>
        <w:t>s</w:t>
      </w:r>
      <w:r w:rsidRPr="005C2E59">
        <w:rPr>
          <w:rFonts w:asciiTheme="majorBidi" w:hAnsiTheme="majorBidi" w:cstheme="majorBidi"/>
          <w:bCs/>
          <w:lang w:val="en-US"/>
        </w:rPr>
        <w:t xml:space="preserve"> of changes in an independent variable—</w:t>
      </w:r>
      <w:r w:rsidR="00B5301F" w:rsidRPr="005C2E59">
        <w:rPr>
          <w:rFonts w:asciiTheme="majorBidi" w:hAnsiTheme="majorBidi" w:cstheme="majorBidi"/>
          <w:bCs/>
          <w:lang w:val="en-US"/>
        </w:rPr>
        <w:t>e.g.</w:t>
      </w:r>
      <w:r w:rsidRPr="005C2E59">
        <w:rPr>
          <w:rFonts w:asciiTheme="majorBidi" w:hAnsiTheme="majorBidi" w:cstheme="majorBidi"/>
          <w:bCs/>
          <w:lang w:val="en-US"/>
        </w:rPr>
        <w:t xml:space="preserve"> a higher foreign-born share—may be quite different to what the regression coefficient shows.</w:t>
      </w:r>
      <w:r w:rsidR="00B5301F" w:rsidRPr="005C2E59">
        <w:rPr>
          <w:rFonts w:asciiTheme="majorBidi" w:hAnsiTheme="majorBidi" w:cstheme="majorBidi"/>
          <w:bCs/>
          <w:lang w:val="en-US"/>
        </w:rPr>
        <w:t xml:space="preserve"> Thus</w:t>
      </w:r>
      <w:r w:rsidRPr="005C2E59">
        <w:rPr>
          <w:rFonts w:asciiTheme="majorBidi" w:hAnsiTheme="majorBidi" w:cstheme="majorBidi"/>
          <w:bCs/>
          <w:lang w:val="en-US"/>
        </w:rPr>
        <w:t xml:space="preserve">, while </w:t>
      </w:r>
      <m:oMath>
        <m:sSub>
          <m:sSubPr>
            <m:ctrlPr>
              <w:rPr>
                <w:rFonts w:ascii="Cambria Math" w:hAnsi="Cambria Math" w:cstheme="majorBidi"/>
                <w:bCs/>
                <w:lang w:val="en-US"/>
              </w:rPr>
            </m:ctrlPr>
          </m:sSubPr>
          <m:e>
            <m:acc>
              <m:accPr>
                <m:ctrlPr>
                  <w:rPr>
                    <w:rFonts w:ascii="Cambria Math" w:hAnsi="Cambria Math" w:cstheme="majorBidi"/>
                    <w:bCs/>
                    <w:lang w:val="en-US"/>
                  </w:rPr>
                </m:ctrlPr>
              </m:accPr>
              <m:e>
                <m:r>
                  <w:rPr>
                    <w:rFonts w:ascii="Cambria Math" w:hAnsi="Cambria Math" w:cstheme="majorBidi"/>
                    <w:lang w:val="en-US"/>
                  </w:rPr>
                  <m:t>β</m:t>
                </m:r>
              </m:e>
            </m:acc>
          </m:e>
          <m:sub>
            <m:r>
              <m:rPr>
                <m:sty m:val="p"/>
              </m:rPr>
              <w:rPr>
                <w:rFonts w:ascii="Cambria Math" w:hAnsi="Cambria Math" w:cstheme="majorBidi"/>
                <w:lang w:val="en-US"/>
              </w:rPr>
              <m:t>1</m:t>
            </m:r>
          </m:sub>
        </m:sSub>
      </m:oMath>
      <w:r w:rsidRPr="005C2E59">
        <w:rPr>
          <w:rFonts w:asciiTheme="majorBidi" w:hAnsiTheme="majorBidi" w:cstheme="majorBidi"/>
          <w:bCs/>
          <w:lang w:val="en-US"/>
        </w:rPr>
        <w:t xml:space="preserve"> is the object of i</w:t>
      </w:r>
      <w:r w:rsidR="00B5301F" w:rsidRPr="005C2E59">
        <w:rPr>
          <w:rFonts w:asciiTheme="majorBidi" w:hAnsiTheme="majorBidi" w:cstheme="majorBidi"/>
          <w:bCs/>
          <w:lang w:val="en-US"/>
        </w:rPr>
        <w:t xml:space="preserve">nterest in </w:t>
      </w:r>
      <w:proofErr w:type="spellStart"/>
      <w:r w:rsidR="00B5301F" w:rsidRPr="005C2E59">
        <w:rPr>
          <w:rFonts w:asciiTheme="majorBidi" w:hAnsiTheme="majorBidi" w:cstheme="majorBidi"/>
          <w:bCs/>
          <w:lang w:val="en-US"/>
        </w:rPr>
        <w:t>a</w:t>
      </w:r>
      <w:r w:rsidRPr="005C2E59">
        <w:rPr>
          <w:rFonts w:asciiTheme="majorBidi" w:hAnsiTheme="majorBidi" w:cstheme="majorBidi"/>
          <w:bCs/>
          <w:lang w:val="en-US"/>
        </w:rPr>
        <w:t>spatial</w:t>
      </w:r>
      <w:proofErr w:type="spellEnd"/>
      <w:r w:rsidRPr="005C2E59">
        <w:rPr>
          <w:rFonts w:asciiTheme="majorBidi" w:hAnsiTheme="majorBidi" w:cstheme="majorBidi"/>
          <w:bCs/>
          <w:lang w:val="en-US"/>
        </w:rPr>
        <w:t xml:space="preserve"> models like equation (1), </w:t>
      </w:r>
      <w:r w:rsidR="00EA4D34" w:rsidRPr="005C2E59">
        <w:rPr>
          <w:rFonts w:asciiTheme="majorBidi" w:hAnsiTheme="majorBidi" w:cstheme="majorBidi"/>
          <w:bCs/>
          <w:lang w:val="en-US"/>
        </w:rPr>
        <w:t xml:space="preserve">with spatial models </w:t>
      </w:r>
      <m:oMath>
        <m:sSub>
          <m:sSubPr>
            <m:ctrlPr>
              <w:rPr>
                <w:rFonts w:ascii="Cambria Math" w:hAnsi="Cambria Math" w:cstheme="majorBidi"/>
                <w:bCs/>
                <w:lang w:val="en-US"/>
              </w:rPr>
            </m:ctrlPr>
          </m:sSubPr>
          <m:e>
            <m:acc>
              <m:accPr>
                <m:ctrlPr>
                  <w:rPr>
                    <w:rFonts w:ascii="Cambria Math" w:hAnsi="Cambria Math" w:cstheme="majorBidi"/>
                    <w:bCs/>
                    <w:lang w:val="en-US"/>
                  </w:rPr>
                </m:ctrlPr>
              </m:accPr>
              <m:e>
                <m:r>
                  <w:rPr>
                    <w:rFonts w:ascii="Cambria Math" w:hAnsi="Cambria Math" w:cstheme="majorBidi"/>
                    <w:lang w:val="en-US"/>
                  </w:rPr>
                  <m:t>β</m:t>
                </m:r>
              </m:e>
            </m:acc>
          </m:e>
          <m:sub>
            <m:r>
              <m:rPr>
                <m:sty m:val="p"/>
              </m:rPr>
              <w:rPr>
                <w:rFonts w:ascii="Cambria Math" w:hAnsi="Cambria Math" w:cstheme="majorBidi"/>
                <w:lang w:val="en-US"/>
              </w:rPr>
              <m:t>1</m:t>
            </m:r>
          </m:sub>
        </m:sSub>
      </m:oMath>
      <w:r w:rsidR="00EA4D34" w:rsidRPr="005C2E59">
        <w:rPr>
          <w:rFonts w:asciiTheme="majorBidi" w:hAnsiTheme="majorBidi" w:cstheme="majorBidi"/>
          <w:bCs/>
          <w:lang w:val="en-US"/>
        </w:rPr>
        <w:t xml:space="preserve"> </w:t>
      </w:r>
      <w:r w:rsidRPr="005C2E59">
        <w:rPr>
          <w:rFonts w:asciiTheme="majorBidi" w:hAnsiTheme="majorBidi" w:cstheme="majorBidi"/>
          <w:bCs/>
          <w:lang w:val="en-US"/>
        </w:rPr>
        <w:t>does not capture the tota</w:t>
      </w:r>
      <w:r w:rsidR="00EA4D34" w:rsidRPr="005C2E59">
        <w:rPr>
          <w:rFonts w:asciiTheme="majorBidi" w:hAnsiTheme="majorBidi" w:cstheme="majorBidi"/>
          <w:bCs/>
          <w:lang w:val="en-US"/>
        </w:rPr>
        <w:t xml:space="preserve">l effect of </w:t>
      </w:r>
      <w:r w:rsidRPr="005C2E59">
        <w:rPr>
          <w:rFonts w:asciiTheme="majorBidi" w:hAnsiTheme="majorBidi" w:cstheme="majorBidi"/>
          <w:bCs/>
          <w:lang w:val="en-US"/>
        </w:rPr>
        <w:t>change</w:t>
      </w:r>
      <w:r w:rsidR="00EA4D34" w:rsidRPr="005C2E59">
        <w:rPr>
          <w:rFonts w:asciiTheme="majorBidi" w:hAnsiTheme="majorBidi" w:cstheme="majorBidi"/>
          <w:bCs/>
          <w:lang w:val="en-US"/>
        </w:rPr>
        <w:t>s</w:t>
      </w:r>
      <w:r w:rsidRPr="005C2E59">
        <w:rPr>
          <w:rFonts w:asciiTheme="majorBidi" w:hAnsiTheme="majorBidi" w:cstheme="majorBidi"/>
          <w:bCs/>
          <w:lang w:val="en-US"/>
        </w:rPr>
        <w:t xml:space="preserve"> in the foreign-born share </w:t>
      </w:r>
      <w:r w:rsidR="00B5301F" w:rsidRPr="005C2E59">
        <w:rPr>
          <w:rFonts w:asciiTheme="majorBidi" w:hAnsiTheme="majorBidi" w:cstheme="majorBidi"/>
          <w:bCs/>
          <w:lang w:val="en-US"/>
        </w:rPr>
        <w:t>if</w:t>
      </w:r>
      <w:r w:rsidRPr="005C2E59">
        <w:rPr>
          <w:rFonts w:asciiTheme="majorBidi" w:hAnsiTheme="majorBidi" w:cstheme="majorBidi"/>
          <w:bCs/>
          <w:lang w:val="en-US"/>
        </w:rPr>
        <w:t xml:space="preserve"> there are </w:t>
      </w:r>
      <w:r w:rsidR="00EA4D34" w:rsidRPr="005C2E59">
        <w:rPr>
          <w:rFonts w:asciiTheme="majorBidi" w:hAnsiTheme="majorBidi" w:cstheme="majorBidi"/>
          <w:bCs/>
          <w:lang w:val="en-US"/>
        </w:rPr>
        <w:t xml:space="preserve">any </w:t>
      </w:r>
      <w:r w:rsidRPr="005C2E59">
        <w:rPr>
          <w:rFonts w:asciiTheme="majorBidi" w:hAnsiTheme="majorBidi" w:cstheme="majorBidi"/>
          <w:bCs/>
          <w:lang w:val="en-US"/>
        </w:rPr>
        <w:t>spillovers. A useful decomposition relies on rewriting equation (2) in matrix notation (for simplicity</w:t>
      </w:r>
      <w:r w:rsidR="00B5301F" w:rsidRPr="005C2E59">
        <w:rPr>
          <w:rFonts w:asciiTheme="majorBidi" w:hAnsiTheme="majorBidi" w:cstheme="majorBidi"/>
          <w:bCs/>
          <w:lang w:val="en-US"/>
        </w:rPr>
        <w:t>,</w:t>
      </w:r>
      <w:r w:rsidRPr="005C2E59">
        <w:rPr>
          <w:rFonts w:asciiTheme="majorBidi" w:hAnsiTheme="majorBidi" w:cstheme="majorBidi"/>
          <w:bCs/>
          <w:lang w:val="en-US"/>
        </w:rPr>
        <w:t xml:space="preserve"> subscripts are dropped and fixed effects and error terms </w:t>
      </w:r>
      <w:r w:rsidR="00B5301F" w:rsidRPr="005C2E59">
        <w:rPr>
          <w:rFonts w:asciiTheme="majorBidi" w:hAnsiTheme="majorBidi" w:cstheme="majorBidi"/>
          <w:bCs/>
          <w:lang w:val="en-US"/>
        </w:rPr>
        <w:t>combine</w:t>
      </w:r>
      <w:r w:rsidRPr="005C2E59">
        <w:rPr>
          <w:rFonts w:asciiTheme="majorBidi" w:hAnsiTheme="majorBidi" w:cstheme="majorBidi"/>
          <w:bCs/>
          <w:lang w:val="en-US"/>
        </w:rPr>
        <w:t xml:space="preserve"> in </w:t>
      </w:r>
      <w:r w:rsidRPr="00C23239">
        <w:rPr>
          <w:rFonts w:asciiTheme="majorBidi" w:hAnsiTheme="majorBidi" w:cstheme="majorBidi"/>
          <w:bCs/>
          <w:i/>
          <w:iCs/>
          <w:lang w:val="en-US"/>
        </w:rPr>
        <w:t>v</w:t>
      </w:r>
      <w:r w:rsidRPr="005C2E59">
        <w:rPr>
          <w:rFonts w:asciiTheme="majorBidi" w:hAnsiTheme="majorBidi" w:cstheme="majorBidi"/>
          <w:bCs/>
          <w:lang w:val="en-US"/>
        </w:rPr>
        <w:t xml:space="preserve"> because the errors do not affect this decomposition) as:</w:t>
      </w:r>
    </w:p>
    <w:p w:rsidR="000C63F5" w:rsidRPr="005C2E59" w:rsidRDefault="00B5301F" w:rsidP="00694592">
      <w:pPr>
        <w:widowControl w:val="0"/>
        <w:spacing w:before="120" w:after="120" w:line="288" w:lineRule="auto"/>
        <w:ind w:firstLine="720"/>
        <w:jc w:val="right"/>
        <w:rPr>
          <w:rFonts w:asciiTheme="majorBidi" w:hAnsiTheme="majorBidi" w:cstheme="majorBidi"/>
          <w:bCs/>
          <w:lang w:val="en-US"/>
        </w:rPr>
      </w:pPr>
      <m:oMath>
        <m:r>
          <w:rPr>
            <w:rFonts w:ascii="Cambria Math" w:hAnsi="Cambria Math" w:cstheme="majorBidi"/>
            <w:lang w:val="en-US"/>
          </w:rPr>
          <m:t>NHO</m:t>
        </m:r>
        <m:r>
          <m:rPr>
            <m:sty m:val="p"/>
          </m:rPr>
          <w:rPr>
            <w:rFonts w:ascii="Cambria Math" w:hAnsi="Cambria Math" w:cstheme="majorBidi"/>
            <w:lang w:val="en-US"/>
          </w:rPr>
          <m:t>=</m:t>
        </m:r>
        <m:sSup>
          <m:sSupPr>
            <m:ctrlPr>
              <w:rPr>
                <w:rFonts w:ascii="Cambria Math" w:hAnsi="Cambria Math" w:cstheme="majorBidi"/>
                <w:bCs/>
                <w:lang w:val="en-US"/>
              </w:rPr>
            </m:ctrlPr>
          </m:sSupPr>
          <m:e>
            <m:d>
              <m:dPr>
                <m:ctrlPr>
                  <w:rPr>
                    <w:rFonts w:ascii="Cambria Math" w:hAnsi="Cambria Math" w:cstheme="majorBidi"/>
                    <w:bCs/>
                    <w:lang w:val="en-US"/>
                  </w:rPr>
                </m:ctrlPr>
              </m:dPr>
              <m:e>
                <m:r>
                  <w:rPr>
                    <w:rFonts w:ascii="Cambria Math" w:hAnsi="Cambria Math" w:cstheme="majorBidi"/>
                    <w:lang w:val="en-US"/>
                  </w:rPr>
                  <m:t>I</m:t>
                </m:r>
                <m:r>
                  <m:rPr>
                    <m:sty m:val="p"/>
                  </m:rPr>
                  <w:rPr>
                    <w:rFonts w:ascii="Cambria Math" w:hAnsi="Cambria Math" w:cstheme="majorBidi"/>
                    <w:lang w:val="en-US"/>
                  </w:rPr>
                  <m:t>-</m:t>
                </m:r>
                <m:r>
                  <m:rPr>
                    <m:sty m:val="p"/>
                  </m:rPr>
                  <w:rPr>
                    <w:rFonts w:ascii="Cambria Math" w:hAnsi="Cambria Math" w:cstheme="majorBidi"/>
                    <w:bCs/>
                    <w:lang w:val="en-US"/>
                  </w:rPr>
                  <w:sym w:font="Symbol" w:char="F06C"/>
                </m:r>
                <m:r>
                  <w:rPr>
                    <w:rFonts w:ascii="Cambria Math" w:hAnsi="Cambria Math" w:cstheme="majorBidi"/>
                    <w:lang w:val="en-US"/>
                  </w:rPr>
                  <m:t>W</m:t>
                </m:r>
              </m:e>
            </m:d>
          </m:e>
          <m:sup>
            <m:r>
              <m:rPr>
                <m:sty m:val="p"/>
              </m:rPr>
              <w:rPr>
                <w:rFonts w:ascii="Cambria Math" w:hAnsi="Cambria Math" w:cstheme="majorBidi"/>
                <w:lang w:val="en-US"/>
              </w:rPr>
              <m:t>-1</m:t>
            </m:r>
          </m:sup>
        </m:sSup>
        <m:d>
          <m:dPr>
            <m:ctrlPr>
              <w:rPr>
                <w:rFonts w:ascii="Cambria Math" w:hAnsi="Cambria Math" w:cstheme="majorBidi"/>
                <w:bCs/>
                <w:lang w:val="en-US"/>
              </w:rPr>
            </m:ctrlPr>
          </m:dPr>
          <m:e>
            <m:r>
              <w:rPr>
                <w:rFonts w:ascii="Cambria Math" w:hAnsi="Cambria Math" w:cstheme="majorBidi"/>
                <w:lang w:val="en-US"/>
              </w:rPr>
              <m:t>FB</m:t>
            </m:r>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1</m:t>
                </m:r>
              </m:sub>
            </m:sSub>
            <m:r>
              <m:rPr>
                <m:sty m:val="p"/>
              </m:rPr>
              <w:rPr>
                <w:rFonts w:ascii="Cambria Math" w:hAnsi="Cambria Math" w:cstheme="majorBidi"/>
                <w:lang w:val="en-US"/>
              </w:rPr>
              <m:t>+</m:t>
            </m:r>
            <m:r>
              <w:rPr>
                <w:rFonts w:ascii="Cambria Math" w:hAnsi="Cambria Math" w:cstheme="majorBidi"/>
                <w:lang w:val="en-US"/>
              </w:rPr>
              <m:t>WFB</m:t>
            </m:r>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e>
        </m:d>
        <m:r>
          <m:rPr>
            <m:sty m:val="p"/>
          </m:rPr>
          <w:rPr>
            <w:rFonts w:ascii="Cambria Math" w:hAnsi="Cambria Math" w:cstheme="majorBidi"/>
            <w:lang w:val="en-US"/>
          </w:rPr>
          <m:t>+</m:t>
        </m:r>
        <m:sSup>
          <m:sSupPr>
            <m:ctrlPr>
              <w:rPr>
                <w:rFonts w:ascii="Cambria Math" w:hAnsi="Cambria Math" w:cstheme="majorBidi"/>
                <w:bCs/>
                <w:lang w:val="en-US"/>
              </w:rPr>
            </m:ctrlPr>
          </m:sSupPr>
          <m:e>
            <m:d>
              <m:dPr>
                <m:ctrlPr>
                  <w:rPr>
                    <w:rFonts w:ascii="Cambria Math" w:hAnsi="Cambria Math" w:cstheme="majorBidi"/>
                    <w:bCs/>
                    <w:lang w:val="en-US"/>
                  </w:rPr>
                </m:ctrlPr>
              </m:dPr>
              <m:e>
                <m:r>
                  <w:rPr>
                    <w:rFonts w:ascii="Cambria Math" w:hAnsi="Cambria Math" w:cstheme="majorBidi"/>
                    <w:lang w:val="en-US"/>
                  </w:rPr>
                  <m:t>I</m:t>
                </m:r>
                <m:r>
                  <m:rPr>
                    <m:sty m:val="p"/>
                  </m:rPr>
                  <w:rPr>
                    <w:rFonts w:ascii="Cambria Math" w:hAnsi="Cambria Math" w:cstheme="majorBidi"/>
                    <w:lang w:val="en-US"/>
                  </w:rPr>
                  <m:t>-</m:t>
                </m:r>
                <m:r>
                  <m:rPr>
                    <m:sty m:val="p"/>
                  </m:rPr>
                  <w:rPr>
                    <w:rFonts w:ascii="Cambria Math" w:hAnsi="Cambria Math" w:cstheme="majorBidi"/>
                    <w:bCs/>
                    <w:lang w:val="en-US"/>
                  </w:rPr>
                  <w:sym w:font="Symbol" w:char="F06C"/>
                </m:r>
                <m:r>
                  <w:rPr>
                    <w:rFonts w:ascii="Cambria Math" w:hAnsi="Cambria Math" w:cstheme="majorBidi"/>
                    <w:lang w:val="en-US"/>
                  </w:rPr>
                  <m:t>W</m:t>
                </m:r>
              </m:e>
            </m:d>
          </m:e>
          <m:sup>
            <m:r>
              <m:rPr>
                <m:sty m:val="p"/>
              </m:rPr>
              <w:rPr>
                <w:rFonts w:ascii="Cambria Math" w:hAnsi="Cambria Math" w:cstheme="majorBidi"/>
                <w:lang w:val="en-US"/>
              </w:rPr>
              <m:t>-1</m:t>
            </m:r>
          </m:sup>
        </m:sSup>
        <m:r>
          <w:rPr>
            <w:rFonts w:ascii="Cambria Math" w:hAnsi="Cambria Math" w:cstheme="majorBidi"/>
            <w:lang w:val="en-US"/>
          </w:rPr>
          <m:t>v</m:t>
        </m:r>
        <m:r>
          <m:rPr>
            <m:sty m:val="p"/>
          </m:rPr>
          <w:rPr>
            <w:rFonts w:ascii="Cambria Math" w:hAnsi="Cambria Math" w:cstheme="majorBidi"/>
            <w:lang w:val="en-US"/>
          </w:rPr>
          <m:t xml:space="preserve">        </m:t>
        </m:r>
      </m:oMath>
      <w:r w:rsidR="000C63F5" w:rsidRPr="005C2E59">
        <w:rPr>
          <w:rFonts w:asciiTheme="majorBidi" w:hAnsiTheme="majorBidi" w:cstheme="majorBidi"/>
          <w:bCs/>
          <w:lang w:val="en-US"/>
        </w:rPr>
        <w:tab/>
        <w:t xml:space="preserve"> </w:t>
      </w:r>
      <w:r w:rsidR="000C63F5" w:rsidRPr="005C2E59">
        <w:rPr>
          <w:rFonts w:asciiTheme="majorBidi" w:hAnsiTheme="majorBidi" w:cstheme="majorBidi"/>
          <w:bCs/>
          <w:lang w:val="en-US"/>
        </w:rPr>
        <w:tab/>
      </w:r>
      <w:r w:rsidRPr="005C2E59">
        <w:rPr>
          <w:rFonts w:asciiTheme="majorBidi" w:hAnsiTheme="majorBidi" w:cstheme="majorBidi"/>
          <w:bCs/>
          <w:lang w:val="en-US"/>
        </w:rPr>
        <w:t>(3</w:t>
      </w:r>
      <w:r w:rsidR="000C63F5" w:rsidRPr="005C2E59">
        <w:rPr>
          <w:rFonts w:asciiTheme="majorBidi" w:hAnsiTheme="majorBidi" w:cstheme="majorBidi"/>
          <w:bCs/>
          <w:lang w:val="en-US"/>
        </w:rPr>
        <w:t>)</w:t>
      </w:r>
    </w:p>
    <w:p w:rsidR="000C63F5" w:rsidRPr="005C2E59" w:rsidRDefault="000C63F5" w:rsidP="007F268F">
      <w:pPr>
        <w:widowControl w:val="0"/>
        <w:spacing w:after="0" w:line="288" w:lineRule="auto"/>
        <w:jc w:val="both"/>
        <w:rPr>
          <w:rFonts w:asciiTheme="majorBidi" w:hAnsiTheme="majorBidi" w:cstheme="majorBidi"/>
          <w:bCs/>
          <w:lang w:val="en-US"/>
        </w:rPr>
      </w:pPr>
      <w:r w:rsidRPr="005C2E59">
        <w:rPr>
          <w:rFonts w:asciiTheme="majorBidi" w:hAnsiTheme="majorBidi" w:cstheme="majorBidi"/>
          <w:bCs/>
          <w:lang w:val="en-US"/>
        </w:rPr>
        <w:t xml:space="preserve">Following </w:t>
      </w:r>
      <w:proofErr w:type="spellStart"/>
      <w:r w:rsidRPr="005C2E59">
        <w:rPr>
          <w:rFonts w:asciiTheme="majorBidi" w:hAnsiTheme="majorBidi" w:cstheme="majorBidi"/>
          <w:bCs/>
          <w:lang w:val="en-US"/>
        </w:rPr>
        <w:t>Elhorst</w:t>
      </w:r>
      <w:proofErr w:type="spellEnd"/>
      <w:r w:rsidRPr="005C2E59">
        <w:rPr>
          <w:rFonts w:asciiTheme="majorBidi" w:hAnsiTheme="majorBidi" w:cstheme="majorBidi"/>
          <w:bCs/>
          <w:lang w:val="en-US"/>
        </w:rPr>
        <w:t xml:space="preserve"> (2012), the</w:t>
      </w:r>
      <w:r w:rsidR="003220E4" w:rsidRPr="005C2E59">
        <w:rPr>
          <w:rFonts w:asciiTheme="majorBidi" w:hAnsiTheme="majorBidi" w:cstheme="majorBidi"/>
          <w:bCs/>
          <w:lang w:val="en-US"/>
        </w:rPr>
        <w:t xml:space="preserve"> </w:t>
      </w:r>
      <m:oMath>
        <m:r>
          <w:rPr>
            <w:rFonts w:ascii="Cambria Math" w:hAnsi="Cambria Math" w:cstheme="majorBidi"/>
            <w:lang w:val="en-US"/>
          </w:rPr>
          <m:t>N</m:t>
        </m:r>
        <m:r>
          <m:rPr>
            <m:sty m:val="p"/>
          </m:rPr>
          <w:rPr>
            <w:rFonts w:ascii="Cambria Math" w:hAnsi="Cambria Math" w:cstheme="majorBidi"/>
            <w:lang w:val="en-US"/>
          </w:rPr>
          <m:t>×</m:t>
        </m:r>
        <m:r>
          <w:rPr>
            <w:rFonts w:ascii="Cambria Math" w:hAnsi="Cambria Math" w:cstheme="majorBidi"/>
            <w:lang w:val="en-US"/>
          </w:rPr>
          <m:t>N</m:t>
        </m:r>
        <m:r>
          <m:rPr>
            <m:sty m:val="p"/>
          </m:rPr>
          <w:rPr>
            <w:rFonts w:ascii="Cambria Math" w:hAnsi="Cambria Math" w:cstheme="majorBidi"/>
            <w:lang w:val="en-US"/>
          </w:rPr>
          <m:t xml:space="preserve"> </m:t>
        </m:r>
      </m:oMath>
      <w:r w:rsidR="003220E4" w:rsidRPr="005C2E59">
        <w:rPr>
          <w:rFonts w:asciiTheme="majorBidi" w:hAnsiTheme="majorBidi" w:cstheme="majorBidi"/>
          <w:bCs/>
          <w:lang w:val="en-US"/>
        </w:rPr>
        <w:t xml:space="preserve">matrix of </w:t>
      </w:r>
      <w:r w:rsidRPr="005C2E59">
        <w:rPr>
          <w:rFonts w:asciiTheme="majorBidi" w:hAnsiTheme="majorBidi" w:cstheme="majorBidi"/>
          <w:bCs/>
          <w:lang w:val="en-US"/>
        </w:rPr>
        <w:t xml:space="preserve">partial derivatives </w:t>
      </w:r>
      <w:r w:rsidR="00912F6D" w:rsidRPr="005C2E59">
        <w:rPr>
          <w:rFonts w:asciiTheme="majorBidi" w:hAnsiTheme="majorBidi" w:cstheme="majorBidi"/>
          <w:bCs/>
          <w:lang w:val="en-US"/>
        </w:rPr>
        <w:t xml:space="preserve">can </w:t>
      </w:r>
      <w:r w:rsidR="00B5301F" w:rsidRPr="005C2E59">
        <w:rPr>
          <w:rFonts w:asciiTheme="majorBidi" w:hAnsiTheme="majorBidi" w:cstheme="majorBidi"/>
          <w:bCs/>
          <w:lang w:val="en-US"/>
        </w:rPr>
        <w:t xml:space="preserve">be written (noting that </w:t>
      </w:r>
      <w:r w:rsidRPr="005C2E59">
        <w:rPr>
          <w:rFonts w:asciiTheme="majorBidi" w:hAnsiTheme="majorBidi" w:cstheme="majorBidi"/>
          <w:bCs/>
          <w:lang w:val="en-US"/>
        </w:rPr>
        <w:t xml:space="preserve">diagonal elements of </w:t>
      </w:r>
      <w:r w:rsidRPr="00C23239">
        <w:rPr>
          <w:rFonts w:asciiTheme="majorBidi" w:hAnsiTheme="majorBidi" w:cstheme="majorBidi"/>
          <w:bCs/>
          <w:i/>
          <w:iCs/>
          <w:lang w:val="en-US"/>
        </w:rPr>
        <w:t>W</w:t>
      </w:r>
      <w:r w:rsidRPr="005C2E59">
        <w:rPr>
          <w:rFonts w:asciiTheme="majorBidi" w:hAnsiTheme="majorBidi" w:cstheme="majorBidi"/>
          <w:bCs/>
          <w:lang w:val="en-US"/>
        </w:rPr>
        <w:t xml:space="preserve"> are zero)</w:t>
      </w:r>
      <w:r w:rsidR="00B5301F" w:rsidRPr="005C2E59">
        <w:rPr>
          <w:rFonts w:asciiTheme="majorBidi" w:hAnsiTheme="majorBidi" w:cstheme="majorBidi"/>
          <w:bCs/>
          <w:lang w:val="en-US"/>
        </w:rPr>
        <w:t xml:space="preserve"> as</w:t>
      </w:r>
      <w:r w:rsidRPr="005C2E59">
        <w:rPr>
          <w:rFonts w:asciiTheme="majorBidi" w:hAnsiTheme="majorBidi" w:cstheme="majorBidi"/>
          <w:bCs/>
          <w:lang w:val="en-US"/>
        </w:rPr>
        <w:t xml:space="preserve">: </w:t>
      </w:r>
    </w:p>
    <w:p w:rsidR="000C63F5" w:rsidRPr="005C2E59" w:rsidRDefault="008952F5" w:rsidP="00694592">
      <w:pPr>
        <w:widowControl w:val="0"/>
        <w:spacing w:before="120" w:after="120" w:line="288" w:lineRule="auto"/>
        <w:ind w:firstLine="720"/>
        <w:jc w:val="both"/>
        <w:rPr>
          <w:rFonts w:asciiTheme="majorBidi" w:hAnsiTheme="majorBidi" w:cstheme="majorBidi"/>
          <w:bCs/>
          <w:lang w:val="en-US"/>
        </w:rPr>
      </w:pPr>
      <m:oMathPara>
        <m:oMathParaPr>
          <m:jc m:val="right"/>
        </m:oMathParaPr>
        <m:oMath>
          <m:f>
            <m:fPr>
              <m:ctrlPr>
                <w:rPr>
                  <w:rFonts w:ascii="Cambria Math" w:hAnsi="Cambria Math" w:cstheme="majorBidi"/>
                  <w:bCs/>
                  <w:lang w:val="en-US"/>
                </w:rPr>
              </m:ctrlPr>
            </m:fPr>
            <m:num>
              <m:r>
                <w:rPr>
                  <w:rFonts w:ascii="Cambria Math" w:hAnsi="Cambria Math" w:cstheme="majorBidi"/>
                  <w:lang w:val="en-US"/>
                </w:rPr>
                <m:t>∂NHO</m:t>
              </m:r>
            </m:num>
            <m:den>
              <m:sSub>
                <m:sSubPr>
                  <m:ctrlPr>
                    <w:rPr>
                      <w:rFonts w:ascii="Cambria Math" w:hAnsi="Cambria Math" w:cstheme="majorBidi"/>
                      <w:bCs/>
                      <w:lang w:val="en-US"/>
                    </w:rPr>
                  </m:ctrlPr>
                </m:sSubPr>
                <m:e>
                  <m:r>
                    <w:rPr>
                      <w:rFonts w:ascii="Cambria Math" w:hAnsi="Cambria Math" w:cstheme="majorBidi"/>
                      <w:lang w:val="en-US"/>
                    </w:rPr>
                    <m:t>∂FB</m:t>
                  </m:r>
                </m:e>
                <m:sub>
                  <m:r>
                    <w:rPr>
                      <w:rFonts w:ascii="Cambria Math" w:hAnsi="Cambria Math" w:cstheme="majorBidi"/>
                      <w:lang w:val="en-US"/>
                    </w:rPr>
                    <m:t>k</m:t>
                  </m:r>
                </m:sub>
              </m:sSub>
            </m:den>
          </m:f>
          <m:r>
            <m:rPr>
              <m:sty m:val="p"/>
            </m:rPr>
            <w:rPr>
              <w:rFonts w:ascii="Cambria Math" w:hAnsi="Cambria Math" w:cstheme="majorBidi"/>
              <w:lang w:val="en-US"/>
            </w:rPr>
            <m:t>=</m:t>
          </m:r>
          <m:sSup>
            <m:sSupPr>
              <m:ctrlPr>
                <w:rPr>
                  <w:rFonts w:ascii="Cambria Math" w:hAnsi="Cambria Math" w:cstheme="majorBidi"/>
                  <w:bCs/>
                  <w:lang w:val="en-US"/>
                </w:rPr>
              </m:ctrlPr>
            </m:sSupPr>
            <m:e>
              <m:d>
                <m:dPr>
                  <m:ctrlPr>
                    <w:rPr>
                      <w:rFonts w:ascii="Cambria Math" w:hAnsi="Cambria Math" w:cstheme="majorBidi"/>
                      <w:bCs/>
                      <w:lang w:val="en-US"/>
                    </w:rPr>
                  </m:ctrlPr>
                </m:dPr>
                <m:e>
                  <m:r>
                    <w:rPr>
                      <w:rFonts w:ascii="Cambria Math" w:hAnsi="Cambria Math" w:cstheme="majorBidi"/>
                      <w:lang w:val="en-US"/>
                    </w:rPr>
                    <m:t>I</m:t>
                  </m:r>
                  <m:r>
                    <m:rPr>
                      <m:sty m:val="p"/>
                    </m:rPr>
                    <w:rPr>
                      <w:rFonts w:ascii="Cambria Math" w:hAnsi="Cambria Math" w:cstheme="majorBidi"/>
                      <w:lang w:val="en-US"/>
                    </w:rPr>
                    <m:t>-</m:t>
                  </m:r>
                  <m:r>
                    <m:rPr>
                      <m:sty m:val="p"/>
                    </m:rPr>
                    <w:rPr>
                      <w:rFonts w:ascii="Cambria Math" w:hAnsi="Cambria Math" w:cstheme="majorBidi"/>
                      <w:bCs/>
                      <w:lang w:val="en-US"/>
                    </w:rPr>
                    <w:sym w:font="Symbol" w:char="F06C"/>
                  </m:r>
                  <m:r>
                    <w:rPr>
                      <w:rFonts w:ascii="Cambria Math" w:hAnsi="Cambria Math" w:cstheme="majorBidi"/>
                      <w:lang w:val="en-US"/>
                    </w:rPr>
                    <m:t>W</m:t>
                  </m:r>
                </m:e>
              </m:d>
            </m:e>
            <m:sup>
              <m:r>
                <m:rPr>
                  <m:sty m:val="p"/>
                </m:rPr>
                <w:rPr>
                  <w:rFonts w:ascii="Cambria Math" w:hAnsi="Cambria Math" w:cstheme="majorBidi"/>
                  <w:lang w:val="en-US"/>
                </w:rPr>
                <m:t>-1</m:t>
              </m:r>
            </m:sup>
          </m:sSup>
          <m:d>
            <m:dPr>
              <m:ctrlPr>
                <w:rPr>
                  <w:rFonts w:ascii="Cambria Math" w:hAnsi="Cambria Math" w:cstheme="majorBidi"/>
                  <w:bCs/>
                  <w:lang w:val="en-US"/>
                </w:rPr>
              </m:ctrlPr>
            </m:dPr>
            <m:e>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1</m:t>
                  </m:r>
                  <m:r>
                    <w:rPr>
                      <w:rFonts w:ascii="Cambria Math" w:hAnsi="Cambria Math" w:cstheme="majorBidi"/>
                      <w:lang w:val="en-US"/>
                    </w:rPr>
                    <m:t>k</m:t>
                  </m:r>
                </m:sub>
              </m:sSub>
              <m:sSub>
                <m:sSubPr>
                  <m:ctrlPr>
                    <w:rPr>
                      <w:rFonts w:ascii="Cambria Math" w:hAnsi="Cambria Math" w:cstheme="majorBidi"/>
                      <w:bCs/>
                      <w:lang w:val="en-US"/>
                    </w:rPr>
                  </m:ctrlPr>
                </m:sSubPr>
                <m:e>
                  <m:r>
                    <w:rPr>
                      <w:rFonts w:ascii="Cambria Math" w:hAnsi="Cambria Math" w:cstheme="majorBidi"/>
                      <w:lang w:val="en-US"/>
                    </w:rPr>
                    <m:t>I</m:t>
                  </m:r>
                </m:e>
                <m:sub>
                  <m:r>
                    <w:rPr>
                      <w:rFonts w:ascii="Cambria Math" w:hAnsi="Cambria Math" w:cstheme="majorBidi"/>
                      <w:lang w:val="en-US"/>
                    </w:rPr>
                    <m:t>N</m:t>
                  </m:r>
                </m:sub>
              </m:sSub>
              <m:r>
                <m:rPr>
                  <m:sty m:val="p"/>
                </m:rPr>
                <w:rPr>
                  <w:rFonts w:ascii="Cambria Math" w:hAnsi="Cambria Math" w:cstheme="majorBidi"/>
                  <w:lang w:val="en-US"/>
                </w:rPr>
                <m:t>+</m:t>
              </m:r>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r>
                    <w:rPr>
                      <w:rFonts w:ascii="Cambria Math" w:hAnsi="Cambria Math" w:cstheme="majorBidi"/>
                      <w:lang w:val="en-US"/>
                    </w:rPr>
                    <m:t>k</m:t>
                  </m:r>
                </m:sub>
              </m:sSub>
              <m:r>
                <w:rPr>
                  <w:rFonts w:ascii="Cambria Math" w:hAnsi="Cambria Math" w:cstheme="majorBidi"/>
                  <w:lang w:val="en-US"/>
                </w:rPr>
                <m:t>W</m:t>
              </m:r>
            </m:e>
          </m:d>
          <m:r>
            <m:rPr>
              <m:sty m:val="p"/>
            </m:rPr>
            <w:rPr>
              <w:rFonts w:ascii="Cambria Math" w:hAnsi="Cambria Math" w:cstheme="majorBidi"/>
              <w:lang w:val="en-US"/>
            </w:rPr>
            <m:t xml:space="preserve">                                              (4)</m:t>
          </m:r>
        </m:oMath>
      </m:oMathPara>
    </w:p>
    <w:p w:rsidR="00923A3D" w:rsidRPr="005C2E59" w:rsidRDefault="000C63F5" w:rsidP="007F268F">
      <w:pPr>
        <w:widowControl w:val="0"/>
        <w:spacing w:after="0" w:line="288" w:lineRule="auto"/>
        <w:jc w:val="both"/>
        <w:rPr>
          <w:rFonts w:asciiTheme="majorBidi" w:hAnsiTheme="majorBidi" w:cstheme="majorBidi"/>
          <w:bCs/>
          <w:lang w:val="en-US"/>
        </w:rPr>
      </w:pPr>
      <w:r w:rsidRPr="005C2E59">
        <w:rPr>
          <w:rFonts w:asciiTheme="majorBidi" w:hAnsiTheme="majorBidi" w:cstheme="majorBidi"/>
          <w:bCs/>
          <w:lang w:val="en-US"/>
        </w:rPr>
        <w:t xml:space="preserve">where </w:t>
      </w:r>
      <w:proofErr w:type="spellStart"/>
      <w:r w:rsidR="00B5301F" w:rsidRPr="007F268F">
        <w:rPr>
          <w:rFonts w:asciiTheme="majorBidi" w:hAnsiTheme="majorBidi" w:cstheme="majorBidi"/>
          <w:bCs/>
          <w:i/>
          <w:iCs/>
          <w:lang w:val="en-US"/>
        </w:rPr>
        <w:t>FB</w:t>
      </w:r>
      <w:r w:rsidRPr="007F268F">
        <w:rPr>
          <w:rFonts w:asciiTheme="majorBidi" w:hAnsiTheme="majorBidi" w:cstheme="majorBidi"/>
          <w:bCs/>
          <w:i/>
          <w:iCs/>
          <w:vertAlign w:val="subscript"/>
          <w:lang w:val="en-US"/>
        </w:rPr>
        <w:t>k</w:t>
      </w:r>
      <w:proofErr w:type="spellEnd"/>
      <w:r w:rsidRPr="005C2E59">
        <w:rPr>
          <w:rFonts w:asciiTheme="majorBidi" w:hAnsiTheme="majorBidi" w:cstheme="majorBidi"/>
          <w:bCs/>
          <w:lang w:val="en-US"/>
        </w:rPr>
        <w:t xml:space="preserve"> is the </w:t>
      </w:r>
      <w:r w:rsidR="00B5301F" w:rsidRPr="005C2E59">
        <w:rPr>
          <w:rFonts w:asciiTheme="majorBidi" w:hAnsiTheme="majorBidi" w:cstheme="majorBidi"/>
          <w:bCs/>
          <w:lang w:val="en-US"/>
        </w:rPr>
        <w:t xml:space="preserve">foreign-born share </w:t>
      </w:r>
      <w:r w:rsidRPr="005C2E59">
        <w:rPr>
          <w:rFonts w:asciiTheme="majorBidi" w:hAnsiTheme="majorBidi" w:cstheme="majorBidi"/>
          <w:bCs/>
          <w:lang w:val="en-US"/>
        </w:rPr>
        <w:t xml:space="preserve">in </w:t>
      </w:r>
      <w:r w:rsidR="00B5301F" w:rsidRPr="005C2E59">
        <w:rPr>
          <w:rFonts w:asciiTheme="majorBidi" w:hAnsiTheme="majorBidi" w:cstheme="majorBidi"/>
          <w:bCs/>
          <w:lang w:val="en-US"/>
        </w:rPr>
        <w:t xml:space="preserve">area unit </w:t>
      </w:r>
      <w:r w:rsidRPr="007F268F">
        <w:rPr>
          <w:rFonts w:asciiTheme="majorBidi" w:hAnsiTheme="majorBidi" w:cstheme="majorBidi"/>
          <w:bCs/>
          <w:i/>
          <w:iCs/>
          <w:lang w:val="en-US"/>
        </w:rPr>
        <w:t>k</w:t>
      </w:r>
      <w:r w:rsidRPr="005C2E59">
        <w:rPr>
          <w:rFonts w:asciiTheme="majorBidi" w:hAnsiTheme="majorBidi" w:cstheme="majorBidi"/>
          <w:bCs/>
          <w:lang w:val="en-US"/>
        </w:rPr>
        <w:t xml:space="preserve">. The total marginal effect of </w:t>
      </w:r>
      <w:r w:rsidR="00B5301F" w:rsidRPr="005C2E59">
        <w:rPr>
          <w:rFonts w:asciiTheme="majorBidi" w:hAnsiTheme="majorBidi" w:cstheme="majorBidi"/>
          <w:bCs/>
          <w:lang w:val="en-US"/>
        </w:rPr>
        <w:t xml:space="preserve">the foreign-born share </w:t>
      </w:r>
      <w:r w:rsidRPr="005C2E59">
        <w:rPr>
          <w:rFonts w:asciiTheme="majorBidi" w:hAnsiTheme="majorBidi" w:cstheme="majorBidi"/>
          <w:bCs/>
          <w:lang w:val="en-US"/>
        </w:rPr>
        <w:t xml:space="preserve">on </w:t>
      </w:r>
      <w:r w:rsidR="00B5301F" w:rsidRPr="005C2E59">
        <w:rPr>
          <w:rFonts w:asciiTheme="majorBidi" w:hAnsiTheme="majorBidi" w:cstheme="majorBidi"/>
          <w:bCs/>
          <w:lang w:val="en-US"/>
        </w:rPr>
        <w:t xml:space="preserve">the native-born ownership rate </w:t>
      </w:r>
      <w:r w:rsidRPr="005C2E59">
        <w:rPr>
          <w:rFonts w:asciiTheme="majorBidi" w:hAnsiTheme="majorBidi" w:cstheme="majorBidi"/>
          <w:bCs/>
          <w:lang w:val="en-US"/>
        </w:rPr>
        <w:t>has direct and indirect</w:t>
      </w:r>
      <w:r w:rsidR="003220E4" w:rsidRPr="005C2E59">
        <w:rPr>
          <w:rFonts w:asciiTheme="majorBidi" w:hAnsiTheme="majorBidi" w:cstheme="majorBidi"/>
          <w:bCs/>
          <w:lang w:val="en-US"/>
        </w:rPr>
        <w:t xml:space="preserve"> components that</w:t>
      </w:r>
      <w:r w:rsidRPr="005C2E59">
        <w:rPr>
          <w:rFonts w:asciiTheme="majorBidi" w:hAnsiTheme="majorBidi" w:cstheme="majorBidi"/>
          <w:bCs/>
          <w:lang w:val="en-US"/>
        </w:rPr>
        <w:t xml:space="preserve"> vary over space. The estimator that we use follows </w:t>
      </w:r>
      <w:proofErr w:type="spellStart"/>
      <w:r w:rsidRPr="005C2E59">
        <w:rPr>
          <w:rFonts w:asciiTheme="majorBidi" w:hAnsiTheme="majorBidi" w:cstheme="majorBidi"/>
          <w:bCs/>
          <w:lang w:val="en-US"/>
        </w:rPr>
        <w:t>LeSage</w:t>
      </w:r>
      <w:proofErr w:type="spellEnd"/>
      <w:r w:rsidRPr="005C2E59">
        <w:rPr>
          <w:rFonts w:asciiTheme="majorBidi" w:hAnsiTheme="majorBidi" w:cstheme="majorBidi"/>
          <w:bCs/>
          <w:lang w:val="en-US"/>
        </w:rPr>
        <w:t xml:space="preserve"> and Pace (2009) in reporting a single direct effect, that averages the diago</w:t>
      </w:r>
      <w:r w:rsidR="00B5301F" w:rsidRPr="005C2E59">
        <w:rPr>
          <w:rFonts w:asciiTheme="majorBidi" w:hAnsiTheme="majorBidi" w:cstheme="majorBidi"/>
          <w:bCs/>
          <w:lang w:val="en-US"/>
        </w:rPr>
        <w:t>nal elements of the matrix in (4</w:t>
      </w:r>
      <w:r w:rsidRPr="005C2E59">
        <w:rPr>
          <w:rFonts w:asciiTheme="majorBidi" w:hAnsiTheme="majorBidi" w:cstheme="majorBidi"/>
          <w:bCs/>
          <w:lang w:val="en-US"/>
        </w:rPr>
        <w:t>) and a single indirect effect that averages the row sums of the non-diagonal elements of that matrix. Indirect effects arise not just</w:t>
      </w:r>
      <w:r w:rsidR="00B5301F" w:rsidRPr="005C2E59">
        <w:rPr>
          <w:rFonts w:asciiTheme="majorBidi" w:hAnsiTheme="majorBidi" w:cstheme="majorBidi"/>
          <w:bCs/>
          <w:lang w:val="en-US"/>
        </w:rPr>
        <w:t xml:space="preserve"> from </w:t>
      </w:r>
      <w:r w:rsidR="00CF11DF" w:rsidRPr="005C2E59">
        <w:rPr>
          <w:rFonts w:asciiTheme="majorBidi" w:hAnsiTheme="majorBidi" w:cstheme="majorBidi"/>
          <w:bCs/>
          <w:lang w:val="en-US"/>
        </w:rPr>
        <w:t xml:space="preserve">adjacent </w:t>
      </w:r>
      <w:r w:rsidR="00B5301F" w:rsidRPr="005C2E59">
        <w:rPr>
          <w:rFonts w:asciiTheme="majorBidi" w:hAnsiTheme="majorBidi" w:cstheme="majorBidi"/>
          <w:bCs/>
          <w:lang w:val="en-US"/>
        </w:rPr>
        <w:t>area units</w:t>
      </w:r>
      <w:r w:rsidRPr="005C2E59">
        <w:rPr>
          <w:rFonts w:asciiTheme="majorBidi" w:hAnsiTheme="majorBidi" w:cstheme="majorBidi"/>
          <w:bCs/>
          <w:lang w:val="en-US"/>
        </w:rPr>
        <w:t xml:space="preserve">, </w:t>
      </w:r>
      <w:r w:rsidR="00CF11DF" w:rsidRPr="005C2E59">
        <w:rPr>
          <w:rFonts w:asciiTheme="majorBidi" w:hAnsiTheme="majorBidi" w:cstheme="majorBidi"/>
          <w:bCs/>
          <w:lang w:val="en-US"/>
        </w:rPr>
        <w:t>if</w:t>
      </w:r>
      <w:r w:rsidRPr="005C2E59">
        <w:rPr>
          <w:rFonts w:asciiTheme="majorBidi" w:hAnsiTheme="majorBidi" w:cstheme="majorBidi"/>
          <w:bCs/>
          <w:lang w:val="en-US"/>
        </w:rPr>
        <w:t xml:space="preserve"> </w:t>
      </w:r>
      <m:oMath>
        <m:sSub>
          <m:sSubPr>
            <m:ctrlPr>
              <w:rPr>
                <w:rFonts w:ascii="Cambria Math" w:hAnsiTheme="majorBidi" w:cstheme="majorBidi"/>
                <w:bCs/>
                <w:i/>
                <w:lang w:val="en-US"/>
              </w:rPr>
            </m:ctrlPr>
          </m:sSubPr>
          <m:e>
            <m:r>
              <w:rPr>
                <w:rFonts w:ascii="Cambria Math" w:hAnsiTheme="majorBidi" w:cstheme="majorBidi"/>
                <w:lang w:val="en-US"/>
              </w:rPr>
              <m:t>β</m:t>
            </m:r>
          </m:e>
          <m:sub>
            <m:r>
              <w:rPr>
                <w:rFonts w:ascii="Cambria Math" w:hAnsiTheme="majorBidi" w:cstheme="majorBidi"/>
                <w:lang w:val="en-US"/>
              </w:rPr>
              <m:t>2k</m:t>
            </m:r>
          </m:sub>
        </m:sSub>
        <m:r>
          <w:rPr>
            <w:rFonts w:ascii="Cambria Math" w:hAnsiTheme="majorBidi" w:cstheme="majorBidi"/>
            <w:lang w:val="en-US"/>
          </w:rPr>
          <m:t>≠</m:t>
        </m:r>
        <m:r>
          <w:rPr>
            <w:rFonts w:ascii="Cambria Math" w:hAnsiTheme="majorBidi" w:cstheme="majorBidi"/>
            <w:lang w:val="en-US"/>
          </w:rPr>
          <m:t>0,</m:t>
        </m:r>
      </m:oMath>
      <w:r w:rsidR="007F268F" w:rsidRPr="005C2E59">
        <w:rPr>
          <w:rFonts w:asciiTheme="majorBidi" w:hAnsiTheme="majorBidi" w:cstheme="majorBidi"/>
          <w:bCs/>
          <w:lang w:val="en-US"/>
        </w:rPr>
        <w:t xml:space="preserve"> </w:t>
      </w:r>
      <w:r w:rsidRPr="005C2E59">
        <w:rPr>
          <w:rFonts w:asciiTheme="majorBidi" w:hAnsiTheme="majorBidi" w:cstheme="majorBidi"/>
          <w:bCs/>
          <w:lang w:val="en-US"/>
        </w:rPr>
        <w:t xml:space="preserve">but also from (potentially) all areas through the spatial autoregressive effect </w:t>
      </w:r>
      <w:r w:rsidR="00CF11DF" w:rsidRPr="005C2E59">
        <w:rPr>
          <w:rFonts w:asciiTheme="majorBidi" w:hAnsiTheme="majorBidi" w:cstheme="majorBidi"/>
          <w:bCs/>
          <w:lang w:val="en-US"/>
        </w:rPr>
        <w:t>if</w:t>
      </w:r>
      <w:r w:rsidRPr="005C2E59">
        <w:rPr>
          <w:rFonts w:asciiTheme="majorBidi" w:hAnsiTheme="majorBidi" w:cstheme="majorBidi"/>
          <w:bCs/>
          <w:lang w:val="en-US"/>
        </w:rPr>
        <w:t xml:space="preserve"> </w:t>
      </w:r>
      <m:oMath>
        <m:r>
          <m:rPr>
            <m:sty m:val="p"/>
          </m:rPr>
          <w:rPr>
            <w:rFonts w:ascii="Cambria Math" w:hAnsi="Cambria Math" w:cstheme="majorBidi"/>
            <w:bCs/>
            <w:lang w:val="en-US"/>
          </w:rPr>
          <w:sym w:font="Symbol" w:char="F06C"/>
        </m:r>
        <m:r>
          <m:rPr>
            <m:sty m:val="p"/>
          </m:rPr>
          <w:rPr>
            <w:rFonts w:ascii="Cambria Math" w:hAnsi="Cambria Math" w:cstheme="majorBidi"/>
            <w:lang w:val="en-US"/>
          </w:rPr>
          <m:t>≠0</m:t>
        </m:r>
      </m:oMath>
      <w:r w:rsidRPr="005C2E59">
        <w:rPr>
          <w:rFonts w:asciiTheme="majorBidi" w:hAnsiTheme="majorBidi" w:cstheme="majorBidi"/>
          <w:bCs/>
          <w:lang w:val="en-US"/>
        </w:rPr>
        <w:t>. Thus, there can be both local and global spillovers and when these are accounted for</w:t>
      </w:r>
      <w:r w:rsidR="00CF11DF" w:rsidRPr="005C2E59">
        <w:rPr>
          <w:rFonts w:asciiTheme="majorBidi" w:hAnsiTheme="majorBidi" w:cstheme="majorBidi"/>
          <w:bCs/>
          <w:lang w:val="en-US"/>
        </w:rPr>
        <w:t>, averages from the matrix of derivatives</w:t>
      </w:r>
      <w:r w:rsidRPr="005C2E59">
        <w:rPr>
          <w:rFonts w:asciiTheme="majorBidi" w:hAnsiTheme="majorBidi" w:cstheme="majorBidi"/>
          <w:bCs/>
          <w:lang w:val="en-US"/>
        </w:rPr>
        <w:t xml:space="preserve"> </w:t>
      </w:r>
      <m:oMath>
        <m:f>
          <m:fPr>
            <m:type m:val="lin"/>
            <m:ctrlPr>
              <w:rPr>
                <w:rFonts w:ascii="Cambria Math" w:hAnsi="Cambria Math" w:cstheme="majorBidi"/>
                <w:bCs/>
                <w:lang w:val="en-US"/>
              </w:rPr>
            </m:ctrlPr>
          </m:fPr>
          <m:num>
            <m:r>
              <w:rPr>
                <w:rFonts w:ascii="Cambria Math" w:hAnsi="Cambria Math" w:cstheme="majorBidi"/>
                <w:lang w:val="en-US"/>
              </w:rPr>
              <m:t>∂NHO</m:t>
            </m:r>
          </m:num>
          <m:den>
            <m:sSub>
              <m:sSubPr>
                <m:ctrlPr>
                  <w:rPr>
                    <w:rFonts w:ascii="Cambria Math" w:hAnsi="Cambria Math" w:cstheme="majorBidi"/>
                    <w:bCs/>
                    <w:lang w:val="en-US"/>
                  </w:rPr>
                </m:ctrlPr>
              </m:sSubPr>
              <m:e>
                <m:r>
                  <w:rPr>
                    <w:rFonts w:ascii="Cambria Math" w:hAnsi="Cambria Math" w:cstheme="majorBidi"/>
                    <w:lang w:val="en-US"/>
                  </w:rPr>
                  <m:t>∂FB</m:t>
                </m:r>
              </m:e>
              <m:sub>
                <m:r>
                  <w:rPr>
                    <w:rFonts w:ascii="Cambria Math" w:hAnsi="Cambria Math" w:cstheme="majorBidi"/>
                    <w:lang w:val="en-US"/>
                  </w:rPr>
                  <m:t>k</m:t>
                </m:r>
              </m:sub>
            </m:sSub>
          </m:den>
        </m:f>
      </m:oMath>
      <w:r w:rsidRPr="005C2E59">
        <w:rPr>
          <w:rFonts w:asciiTheme="majorBidi" w:hAnsiTheme="majorBidi" w:cstheme="majorBidi"/>
          <w:bCs/>
          <w:lang w:val="en-US"/>
        </w:rPr>
        <w:t xml:space="preserve"> may be quite different to the direct impact effect, </w:t>
      </w:r>
      <m:oMath>
        <m:sSub>
          <m:sSubPr>
            <m:ctrlPr>
              <w:rPr>
                <w:rFonts w:ascii="Cambria Math" w:hAnsi="Cambria Math" w:cstheme="majorBidi"/>
                <w:bCs/>
                <w:lang w:val="en-US"/>
              </w:rPr>
            </m:ctrlPr>
          </m:sSubPr>
          <m:e>
            <m:acc>
              <m:accPr>
                <m:ctrlPr>
                  <w:rPr>
                    <w:rFonts w:ascii="Cambria Math" w:hAnsi="Cambria Math" w:cstheme="majorBidi"/>
                    <w:bCs/>
                    <w:lang w:val="en-US"/>
                  </w:rPr>
                </m:ctrlPr>
              </m:accPr>
              <m:e>
                <m:r>
                  <w:rPr>
                    <w:rFonts w:ascii="Cambria Math" w:hAnsi="Cambria Math" w:cstheme="majorBidi"/>
                    <w:lang w:val="en-US"/>
                  </w:rPr>
                  <m:t>β</m:t>
                </m:r>
              </m:e>
            </m:acc>
          </m:e>
          <m:sub>
            <m:r>
              <m:rPr>
                <m:sty m:val="p"/>
              </m:rPr>
              <w:rPr>
                <w:rFonts w:ascii="Cambria Math" w:hAnsi="Cambria Math" w:cstheme="majorBidi"/>
                <w:lang w:val="en-US"/>
              </w:rPr>
              <m:t>1</m:t>
            </m:r>
          </m:sub>
        </m:sSub>
      </m:oMath>
      <w:r w:rsidRPr="005C2E59">
        <w:rPr>
          <w:rFonts w:asciiTheme="majorBidi" w:hAnsiTheme="majorBidi" w:cstheme="majorBidi"/>
          <w:bCs/>
          <w:lang w:val="en-US"/>
        </w:rPr>
        <w:t>.</w:t>
      </w:r>
    </w:p>
    <w:p w:rsidR="002A6915" w:rsidRPr="008A622D" w:rsidRDefault="00C933A5" w:rsidP="00D00136">
      <w:pPr>
        <w:keepNext/>
        <w:spacing w:before="120" w:after="0" w:line="360" w:lineRule="auto"/>
        <w:rPr>
          <w:rFonts w:asciiTheme="majorBidi" w:hAnsiTheme="majorBidi" w:cstheme="majorBidi"/>
          <w:b/>
          <w:lang w:val="en-US"/>
        </w:rPr>
      </w:pPr>
      <w:r w:rsidRPr="008A622D">
        <w:rPr>
          <w:rFonts w:asciiTheme="majorBidi" w:hAnsiTheme="majorBidi" w:cstheme="majorBidi"/>
          <w:b/>
          <w:lang w:val="en-US"/>
        </w:rPr>
        <w:lastRenderedPageBreak/>
        <w:t>III.</w:t>
      </w:r>
      <w:r w:rsidR="0090187B" w:rsidRPr="008A622D">
        <w:rPr>
          <w:rFonts w:asciiTheme="majorBidi" w:hAnsiTheme="majorBidi" w:cstheme="majorBidi"/>
          <w:b/>
          <w:lang w:val="en-US"/>
        </w:rPr>
        <w:tab/>
      </w:r>
      <w:r w:rsidR="007A722F" w:rsidRPr="008A622D">
        <w:rPr>
          <w:rFonts w:asciiTheme="majorBidi" w:hAnsiTheme="majorBidi" w:cstheme="majorBidi"/>
          <w:b/>
          <w:lang w:val="en-US"/>
        </w:rPr>
        <w:t>Results</w:t>
      </w:r>
    </w:p>
    <w:p w:rsidR="00133C61" w:rsidRDefault="00271BB7" w:rsidP="007F268F">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 xml:space="preserve">The results from estimating equations (1) and (2) are reported in Table 1. </w:t>
      </w:r>
      <w:r w:rsidR="00EA4D34" w:rsidRPr="008A622D">
        <w:rPr>
          <w:rFonts w:asciiTheme="majorBidi" w:hAnsiTheme="majorBidi" w:cstheme="majorBidi"/>
          <w:bCs/>
          <w:lang w:val="en-US"/>
        </w:rPr>
        <w:t xml:space="preserve">For aspatial models, a standard deviation higher foreign-born share is associated with 0.12 of a standard deviation lower native-born home ownership rate. Controlling for time-varying attributes of the native-born, such as their age and employment, does not alter the size of the effect of the foreign-born share on the ownership rate (nor the statistical significance, which is </w:t>
      </w:r>
      <w:r w:rsidR="00EA4D34" w:rsidRPr="00C23239">
        <w:rPr>
          <w:rFonts w:asciiTheme="majorBidi" w:hAnsiTheme="majorBidi" w:cstheme="majorBidi"/>
          <w:bCs/>
          <w:i/>
          <w:iCs/>
          <w:lang w:val="en-US"/>
        </w:rPr>
        <w:t>p</w:t>
      </w:r>
      <w:r w:rsidR="00EA4D34" w:rsidRPr="008A622D">
        <w:rPr>
          <w:rFonts w:asciiTheme="majorBidi" w:hAnsiTheme="majorBidi" w:cstheme="majorBidi"/>
          <w:bCs/>
          <w:lang w:val="en-US"/>
        </w:rPr>
        <w:t xml:space="preserve">&lt;0.01 in all cases). </w:t>
      </w:r>
      <w:r w:rsidR="00C357CF" w:rsidRPr="008A622D">
        <w:rPr>
          <w:rFonts w:asciiTheme="majorBidi" w:hAnsiTheme="majorBidi" w:cstheme="majorBidi"/>
          <w:bCs/>
          <w:lang w:val="en-US"/>
        </w:rPr>
        <w:t>Notably, time-invariant features of each area unit and spatially-invariant features of each time period are controlled for in these results</w:t>
      </w:r>
      <w:r w:rsidR="00E85C83" w:rsidRPr="008A622D">
        <w:rPr>
          <w:rFonts w:asciiTheme="majorBidi" w:hAnsiTheme="majorBidi" w:cstheme="majorBidi"/>
          <w:bCs/>
          <w:lang w:val="en-US"/>
        </w:rPr>
        <w:t xml:space="preserve"> and so </w:t>
      </w:r>
      <w:r w:rsidR="0043256F" w:rsidRPr="008A622D">
        <w:rPr>
          <w:rFonts w:asciiTheme="majorBidi" w:hAnsiTheme="majorBidi" w:cstheme="majorBidi"/>
          <w:bCs/>
          <w:lang w:val="en-US"/>
        </w:rPr>
        <w:t xml:space="preserve">various </w:t>
      </w:r>
      <w:r w:rsidR="00E85C83" w:rsidRPr="008A622D">
        <w:rPr>
          <w:rFonts w:asciiTheme="majorBidi" w:hAnsiTheme="majorBidi" w:cstheme="majorBidi"/>
          <w:bCs/>
          <w:lang w:val="en-US"/>
        </w:rPr>
        <w:t>threats to interpreting the coefficients in causal terms can be</w:t>
      </w:r>
      <w:r w:rsidR="0043256F" w:rsidRPr="008A622D">
        <w:rPr>
          <w:rFonts w:asciiTheme="majorBidi" w:hAnsiTheme="majorBidi" w:cstheme="majorBidi"/>
          <w:bCs/>
          <w:lang w:val="en-US"/>
        </w:rPr>
        <w:t xml:space="preserve"> countered</w:t>
      </w:r>
      <w:r w:rsidR="00C357CF" w:rsidRPr="008A622D">
        <w:rPr>
          <w:rFonts w:asciiTheme="majorBidi" w:hAnsiTheme="majorBidi" w:cstheme="majorBidi"/>
          <w:bCs/>
          <w:lang w:val="en-US"/>
        </w:rPr>
        <w:t>.</w:t>
      </w:r>
    </w:p>
    <w:p w:rsidR="00A0065E" w:rsidRPr="00694592" w:rsidRDefault="00A0065E" w:rsidP="007F268F">
      <w:pPr>
        <w:widowControl w:val="0"/>
        <w:spacing w:after="0" w:line="288" w:lineRule="auto"/>
        <w:ind w:firstLine="720"/>
        <w:jc w:val="both"/>
        <w:rPr>
          <w:rFonts w:asciiTheme="majorBidi" w:hAnsiTheme="majorBidi" w:cstheme="majorBidi"/>
          <w:bCs/>
          <w:sz w:val="12"/>
          <w:szCs w:val="12"/>
          <w:lang w:val="en-US"/>
        </w:rPr>
      </w:pPr>
    </w:p>
    <w:p w:rsidR="003C6226" w:rsidRDefault="00E85C83" w:rsidP="007F268F">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The results in columns (1) and (5) of Table 1 follow usual practice of (implicitly if not explicitly) imposing an independence assumption. The results in the remaining columns relax this assumption in various ways: letting outcomes in one area just affect outcomes in other areas (in columns (2) and (6)); l</w:t>
      </w:r>
      <w:r w:rsidR="003965A5" w:rsidRPr="008A622D">
        <w:rPr>
          <w:rFonts w:asciiTheme="majorBidi" w:hAnsiTheme="majorBidi" w:cstheme="majorBidi"/>
          <w:bCs/>
          <w:lang w:val="en-US"/>
        </w:rPr>
        <w:t>etting changes in both outcomes</w:t>
      </w:r>
      <w:r w:rsidRPr="008A622D">
        <w:rPr>
          <w:rFonts w:asciiTheme="majorBidi" w:hAnsiTheme="majorBidi" w:cstheme="majorBidi"/>
          <w:bCs/>
          <w:lang w:val="en-US"/>
        </w:rPr>
        <w:t xml:space="preserve"> and in the foreign-born share in one area spill over into other areas (columns (3) and (7)); and most generally, </w:t>
      </w:r>
      <w:r w:rsidR="003965A5" w:rsidRPr="008A622D">
        <w:rPr>
          <w:rFonts w:asciiTheme="majorBidi" w:hAnsiTheme="majorBidi" w:cstheme="majorBidi"/>
          <w:bCs/>
          <w:lang w:val="en-US"/>
        </w:rPr>
        <w:t xml:space="preserve">allowing </w:t>
      </w:r>
      <w:r w:rsidRPr="008A622D">
        <w:rPr>
          <w:rFonts w:asciiTheme="majorBidi" w:hAnsiTheme="majorBidi" w:cstheme="majorBidi"/>
          <w:bCs/>
          <w:lang w:val="en-US"/>
        </w:rPr>
        <w:t xml:space="preserve">the </w:t>
      </w:r>
      <w:r w:rsidR="003965A5" w:rsidRPr="008A622D">
        <w:rPr>
          <w:rFonts w:asciiTheme="majorBidi" w:hAnsiTheme="majorBidi" w:cstheme="majorBidi"/>
          <w:bCs/>
          <w:lang w:val="en-US"/>
        </w:rPr>
        <w:t xml:space="preserve">outcomes, the covariates </w:t>
      </w:r>
      <w:r w:rsidRPr="008A622D">
        <w:rPr>
          <w:rFonts w:asciiTheme="majorBidi" w:hAnsiTheme="majorBidi" w:cstheme="majorBidi"/>
          <w:bCs/>
          <w:lang w:val="en-US"/>
        </w:rPr>
        <w:t xml:space="preserve">and the errors in each area </w:t>
      </w:r>
      <w:r w:rsidR="00CF11DF" w:rsidRPr="008A622D">
        <w:rPr>
          <w:rFonts w:asciiTheme="majorBidi" w:hAnsiTheme="majorBidi" w:cstheme="majorBidi"/>
          <w:bCs/>
          <w:lang w:val="en-US"/>
        </w:rPr>
        <w:t>to be affected by values of th</w:t>
      </w:r>
      <w:r w:rsidRPr="008A622D">
        <w:rPr>
          <w:rFonts w:asciiTheme="majorBidi" w:hAnsiTheme="majorBidi" w:cstheme="majorBidi"/>
          <w:bCs/>
          <w:lang w:val="en-US"/>
        </w:rPr>
        <w:t>e</w:t>
      </w:r>
      <w:r w:rsidR="00912F6D" w:rsidRPr="008A622D">
        <w:rPr>
          <w:rFonts w:asciiTheme="majorBidi" w:hAnsiTheme="majorBidi" w:cstheme="majorBidi"/>
          <w:bCs/>
          <w:lang w:val="en-US"/>
        </w:rPr>
        <w:t>se same</w:t>
      </w:r>
      <w:r w:rsidRPr="008A622D">
        <w:rPr>
          <w:rFonts w:asciiTheme="majorBidi" w:hAnsiTheme="majorBidi" w:cstheme="majorBidi"/>
          <w:bCs/>
          <w:lang w:val="en-US"/>
        </w:rPr>
        <w:t xml:space="preserve"> variables in </w:t>
      </w:r>
      <w:r w:rsidR="003965A5" w:rsidRPr="008A622D">
        <w:rPr>
          <w:rFonts w:asciiTheme="majorBidi" w:hAnsiTheme="majorBidi" w:cstheme="majorBidi"/>
          <w:bCs/>
          <w:lang w:val="en-US"/>
        </w:rPr>
        <w:t xml:space="preserve">other </w:t>
      </w:r>
      <w:r w:rsidRPr="008A622D">
        <w:rPr>
          <w:rFonts w:asciiTheme="majorBidi" w:hAnsiTheme="majorBidi" w:cstheme="majorBidi"/>
          <w:bCs/>
          <w:lang w:val="en-US"/>
        </w:rPr>
        <w:t>areas</w:t>
      </w:r>
      <w:r w:rsidR="003C6226" w:rsidRPr="008A622D">
        <w:rPr>
          <w:rFonts w:asciiTheme="majorBidi" w:hAnsiTheme="majorBidi" w:cstheme="majorBidi"/>
          <w:bCs/>
          <w:lang w:val="en-US"/>
        </w:rPr>
        <w:t xml:space="preserve"> (columns (4) and (8))</w:t>
      </w:r>
      <w:r w:rsidRPr="008A622D">
        <w:rPr>
          <w:rFonts w:asciiTheme="majorBidi" w:hAnsiTheme="majorBidi" w:cstheme="majorBidi"/>
          <w:bCs/>
          <w:lang w:val="en-US"/>
        </w:rPr>
        <w:t xml:space="preserve">. </w:t>
      </w:r>
      <w:r w:rsidR="003C6226" w:rsidRPr="008A622D">
        <w:rPr>
          <w:rFonts w:asciiTheme="majorBidi" w:hAnsiTheme="majorBidi" w:cstheme="majorBidi"/>
          <w:bCs/>
          <w:lang w:val="en-US"/>
        </w:rPr>
        <w:t>In all cases, spatial lags of the dependent variable have precisely estimated coefficients (</w:t>
      </w:r>
      <w:r w:rsidR="003C6226" w:rsidRPr="00C23239">
        <w:rPr>
          <w:rFonts w:asciiTheme="majorBidi" w:hAnsiTheme="majorBidi" w:cstheme="majorBidi"/>
          <w:bCs/>
          <w:i/>
          <w:iCs/>
          <w:lang w:val="en-US"/>
        </w:rPr>
        <w:t>p</w:t>
      </w:r>
      <w:r w:rsidR="003C6226" w:rsidRPr="008A622D">
        <w:rPr>
          <w:rFonts w:asciiTheme="majorBidi" w:hAnsiTheme="majorBidi" w:cstheme="majorBidi"/>
          <w:bCs/>
          <w:lang w:val="en-US"/>
        </w:rPr>
        <w:t>&lt;0.01), spatial lags of the foreign-born share have less precisely estimated coefficients in the spatial Durbin model but become highly precise once spatial lags of the errors are included in the SARAR model,</w:t>
      </w:r>
      <w:r w:rsidR="003965A5" w:rsidRPr="00C23239">
        <w:rPr>
          <w:vertAlign w:val="superscript"/>
        </w:rPr>
        <w:footnoteReference w:id="7"/>
      </w:r>
      <w:r w:rsidR="003C6226" w:rsidRPr="008A622D">
        <w:rPr>
          <w:rFonts w:asciiTheme="majorBidi" w:hAnsiTheme="majorBidi" w:cstheme="majorBidi"/>
          <w:bCs/>
          <w:lang w:val="en-US"/>
        </w:rPr>
        <w:t xml:space="preserve"> and the hypothesis that spatial effects can be excluded from the models is alw</w:t>
      </w:r>
      <w:r w:rsidR="003965A5" w:rsidRPr="008A622D">
        <w:rPr>
          <w:rFonts w:asciiTheme="majorBidi" w:hAnsiTheme="majorBidi" w:cstheme="majorBidi"/>
          <w:bCs/>
          <w:lang w:val="en-US"/>
        </w:rPr>
        <w:t>ays rejected. In other words, at least for studies of the</w:t>
      </w:r>
      <w:r w:rsidR="003C6226" w:rsidRPr="008A622D">
        <w:rPr>
          <w:rFonts w:asciiTheme="majorBidi" w:hAnsiTheme="majorBidi" w:cstheme="majorBidi"/>
          <w:bCs/>
          <w:lang w:val="en-US"/>
        </w:rPr>
        <w:t xml:space="preserve"> housing market </w:t>
      </w:r>
      <w:r w:rsidR="00CF11DF" w:rsidRPr="008A622D">
        <w:rPr>
          <w:rFonts w:asciiTheme="majorBidi" w:hAnsiTheme="majorBidi" w:cstheme="majorBidi"/>
          <w:bCs/>
          <w:lang w:val="en-US"/>
        </w:rPr>
        <w:t xml:space="preserve">conducted </w:t>
      </w:r>
      <w:r w:rsidR="003965A5" w:rsidRPr="008A622D">
        <w:rPr>
          <w:rFonts w:asciiTheme="majorBidi" w:hAnsiTheme="majorBidi" w:cstheme="majorBidi"/>
          <w:bCs/>
          <w:lang w:val="en-US"/>
        </w:rPr>
        <w:t xml:space="preserve">at </w:t>
      </w:r>
      <w:r w:rsidR="003C6226" w:rsidRPr="008A622D">
        <w:rPr>
          <w:rFonts w:asciiTheme="majorBidi" w:hAnsiTheme="majorBidi" w:cstheme="majorBidi"/>
          <w:bCs/>
          <w:lang w:val="en-US"/>
        </w:rPr>
        <w:t>the area unit level</w:t>
      </w:r>
      <w:r w:rsidR="00FE317D" w:rsidRPr="008A622D">
        <w:rPr>
          <w:rFonts w:asciiTheme="majorBidi" w:hAnsiTheme="majorBidi" w:cstheme="majorBidi"/>
          <w:bCs/>
          <w:lang w:val="en-US"/>
        </w:rPr>
        <w:t>,</w:t>
      </w:r>
      <w:r w:rsidR="003C6226" w:rsidRPr="008A622D">
        <w:rPr>
          <w:rFonts w:asciiTheme="majorBidi" w:hAnsiTheme="majorBidi" w:cstheme="majorBidi"/>
          <w:bCs/>
          <w:lang w:val="en-US"/>
        </w:rPr>
        <w:t xml:space="preserve"> it </w:t>
      </w:r>
      <w:r w:rsidR="0043256F" w:rsidRPr="008A622D">
        <w:rPr>
          <w:rFonts w:asciiTheme="majorBidi" w:hAnsiTheme="majorBidi" w:cstheme="majorBidi"/>
          <w:bCs/>
          <w:lang w:val="en-US"/>
        </w:rPr>
        <w:t xml:space="preserve">seems </w:t>
      </w:r>
      <w:r w:rsidR="003C6226" w:rsidRPr="008A622D">
        <w:rPr>
          <w:rFonts w:asciiTheme="majorBidi" w:hAnsiTheme="majorBidi" w:cstheme="majorBidi"/>
          <w:bCs/>
          <w:lang w:val="en-US"/>
        </w:rPr>
        <w:t>important to allow for spatial spillovers</w:t>
      </w:r>
      <w:r w:rsidR="0043256F" w:rsidRPr="008A622D">
        <w:rPr>
          <w:rFonts w:asciiTheme="majorBidi" w:hAnsiTheme="majorBidi" w:cstheme="majorBidi"/>
          <w:bCs/>
          <w:lang w:val="en-US"/>
        </w:rPr>
        <w:t>, even with</w:t>
      </w:r>
      <w:r w:rsidR="003C6226" w:rsidRPr="008A622D">
        <w:rPr>
          <w:rFonts w:asciiTheme="majorBidi" w:hAnsiTheme="majorBidi" w:cstheme="majorBidi"/>
          <w:bCs/>
          <w:lang w:val="en-US"/>
        </w:rPr>
        <w:t xml:space="preserve"> spatial fixed effects included.</w:t>
      </w:r>
    </w:p>
    <w:p w:rsidR="00A0065E" w:rsidRPr="00694592" w:rsidRDefault="00A0065E" w:rsidP="007F268F">
      <w:pPr>
        <w:widowControl w:val="0"/>
        <w:spacing w:after="0" w:line="288" w:lineRule="auto"/>
        <w:ind w:firstLine="720"/>
        <w:jc w:val="both"/>
        <w:rPr>
          <w:rFonts w:asciiTheme="majorBidi" w:hAnsiTheme="majorBidi" w:cstheme="majorBidi"/>
          <w:bCs/>
          <w:sz w:val="12"/>
          <w:szCs w:val="12"/>
          <w:lang w:val="en-US"/>
        </w:rPr>
      </w:pPr>
    </w:p>
    <w:p w:rsidR="0043256F" w:rsidRDefault="0043256F" w:rsidP="007F268F">
      <w:pPr>
        <w:widowControl w:val="0"/>
        <w:spacing w:after="0" w:line="288" w:lineRule="auto"/>
        <w:ind w:firstLine="720"/>
        <w:jc w:val="both"/>
        <w:rPr>
          <w:rFonts w:asciiTheme="majorBidi" w:eastAsiaTheme="minorEastAsia" w:hAnsiTheme="majorBidi" w:cstheme="majorBidi"/>
        </w:rPr>
      </w:pPr>
      <w:r w:rsidRPr="008A622D">
        <w:rPr>
          <w:rFonts w:asciiTheme="majorBidi" w:hAnsiTheme="majorBidi" w:cstheme="majorBidi"/>
          <w:bCs/>
          <w:lang w:val="en-US"/>
        </w:rPr>
        <w:t xml:space="preserve">The coefficients on the foreign-born share steadily diminish in magnitude as various spatial lags are added </w:t>
      </w:r>
      <w:r w:rsidR="00FE317D" w:rsidRPr="008A622D">
        <w:rPr>
          <w:rFonts w:asciiTheme="majorBidi" w:hAnsiTheme="majorBidi" w:cstheme="majorBidi"/>
          <w:bCs/>
          <w:lang w:val="en-US"/>
        </w:rPr>
        <w:t xml:space="preserve">in Table 1 </w:t>
      </w:r>
      <w:r w:rsidRPr="008A622D">
        <w:rPr>
          <w:rFonts w:asciiTheme="majorBidi" w:hAnsiTheme="majorBidi" w:cstheme="majorBidi"/>
          <w:bCs/>
          <w:lang w:val="en-US"/>
        </w:rPr>
        <w:t>but it would be incorrect to conclude that this variable is becoming less important</w:t>
      </w:r>
      <w:r w:rsidR="00FE317D" w:rsidRPr="008A622D">
        <w:rPr>
          <w:rFonts w:asciiTheme="majorBidi" w:hAnsiTheme="majorBidi" w:cstheme="majorBidi"/>
          <w:bCs/>
          <w:lang w:val="en-US"/>
        </w:rPr>
        <w:t xml:space="preserve"> as</w:t>
      </w:r>
      <w:r w:rsidR="00CB5C19" w:rsidRPr="008A622D">
        <w:rPr>
          <w:rFonts w:asciiTheme="majorBidi" w:hAnsiTheme="majorBidi" w:cstheme="majorBidi"/>
          <w:bCs/>
          <w:lang w:val="en-US"/>
        </w:rPr>
        <w:t xml:space="preserve"> specifications </w:t>
      </w:r>
      <w:r w:rsidR="00FE317D" w:rsidRPr="008A622D">
        <w:rPr>
          <w:rFonts w:asciiTheme="majorBidi" w:hAnsiTheme="majorBidi" w:cstheme="majorBidi"/>
          <w:bCs/>
          <w:lang w:val="en-US"/>
        </w:rPr>
        <w:t>imposing</w:t>
      </w:r>
      <w:r w:rsidR="00CB5C19" w:rsidRPr="008A622D">
        <w:rPr>
          <w:rFonts w:asciiTheme="majorBidi" w:hAnsiTheme="majorBidi" w:cstheme="majorBidi"/>
          <w:bCs/>
          <w:lang w:val="en-US"/>
        </w:rPr>
        <w:t xml:space="preserve"> fewer assumptions are used. Instead, for situations where either </w:t>
      </w:r>
      <m:oMath>
        <m:r>
          <m:rPr>
            <m:sty m:val="p"/>
          </m:rPr>
          <w:rPr>
            <w:rFonts w:ascii="Cambria Math" w:hAnsi="Cambria Math" w:cstheme="majorBidi"/>
            <w:bCs/>
            <w:lang w:val="en-US"/>
          </w:rPr>
          <w:sym w:font="Symbol" w:char="F06C"/>
        </m:r>
        <m:r>
          <m:rPr>
            <m:sty m:val="p"/>
          </m:rPr>
          <w:rPr>
            <w:rFonts w:ascii="Cambria Math" w:hAnsi="Cambria Math" w:cstheme="majorBidi"/>
            <w:lang w:val="en-US"/>
          </w:rPr>
          <m:t>≠0</m:t>
        </m:r>
      </m:oMath>
      <w:r w:rsidR="00CB5C19" w:rsidRPr="007F268F">
        <w:rPr>
          <w:rFonts w:asciiTheme="majorBidi" w:hAnsiTheme="majorBidi" w:cstheme="majorBidi"/>
          <w:bCs/>
          <w:lang w:val="en-US"/>
        </w:rPr>
        <w:t xml:space="preserve"> (so there are global spillovers) or </w:t>
      </w:r>
      <m:oMath>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r>
          <m:rPr>
            <m:sty m:val="p"/>
          </m:rPr>
          <w:rPr>
            <w:rFonts w:ascii="Cambria Math" w:hAnsi="Cambria Math" w:cstheme="majorBidi"/>
            <w:lang w:val="en-US"/>
          </w:rPr>
          <m:t>≠0</m:t>
        </m:r>
      </m:oMath>
      <w:r w:rsidR="00CB5C19" w:rsidRPr="007F268F">
        <w:rPr>
          <w:rFonts w:asciiTheme="majorBidi" w:hAnsiTheme="majorBidi" w:cstheme="majorBidi"/>
          <w:bCs/>
          <w:lang w:val="en-US"/>
        </w:rPr>
        <w:t xml:space="preserve"> (so there are local spillovers) the value of </w:t>
      </w:r>
      <m:oMath>
        <m:sSub>
          <m:sSubPr>
            <m:ctrlPr>
              <w:rPr>
                <w:rFonts w:ascii="Cambria Math" w:hAnsi="Cambria Math" w:cstheme="majorBidi"/>
                <w:bCs/>
                <w:lang w:val="en-US"/>
              </w:rPr>
            </m:ctrlPr>
          </m:sSubPr>
          <m:e>
            <m:acc>
              <m:accPr>
                <m:ctrlPr>
                  <w:rPr>
                    <w:rFonts w:ascii="Cambria Math" w:hAnsi="Cambria Math" w:cstheme="majorBidi"/>
                    <w:bCs/>
                    <w:lang w:val="en-US"/>
                  </w:rPr>
                </m:ctrlPr>
              </m:accPr>
              <m:e>
                <m:r>
                  <w:rPr>
                    <w:rFonts w:ascii="Cambria Math" w:hAnsi="Cambria Math" w:cstheme="majorBidi"/>
                    <w:lang w:val="en-US"/>
                  </w:rPr>
                  <m:t>β</m:t>
                </m:r>
              </m:e>
            </m:acc>
          </m:e>
          <m:sub>
            <m:r>
              <m:rPr>
                <m:sty m:val="p"/>
              </m:rPr>
              <w:rPr>
                <w:rFonts w:ascii="Cambria Math" w:hAnsi="Cambria Math" w:cstheme="majorBidi"/>
                <w:lang w:val="en-US"/>
              </w:rPr>
              <m:t>1</m:t>
            </m:r>
          </m:sub>
        </m:sSub>
      </m:oMath>
      <w:r w:rsidR="00CB5C19" w:rsidRPr="007F268F">
        <w:rPr>
          <w:rFonts w:asciiTheme="majorBidi" w:hAnsiTheme="majorBidi" w:cstheme="majorBidi"/>
          <w:bCs/>
          <w:lang w:val="en-US"/>
        </w:rPr>
        <w:t xml:space="preserve"> is no longer sufficient for </w:t>
      </w:r>
      <w:r w:rsidR="00CF11DF" w:rsidRPr="007F268F">
        <w:rPr>
          <w:rFonts w:asciiTheme="majorBidi" w:hAnsiTheme="majorBidi" w:cstheme="majorBidi"/>
          <w:bCs/>
          <w:lang w:val="en-US"/>
        </w:rPr>
        <w:t xml:space="preserve">showing </w:t>
      </w:r>
      <w:r w:rsidR="00CB5C19" w:rsidRPr="007F268F">
        <w:rPr>
          <w:rFonts w:asciiTheme="majorBidi" w:hAnsiTheme="majorBidi" w:cstheme="majorBidi"/>
          <w:bCs/>
          <w:lang w:val="en-US"/>
        </w:rPr>
        <w:t xml:space="preserve">the full impact of changes in the foreign-born share. Instead the full </w:t>
      </w:r>
      <m:oMath>
        <m:r>
          <w:rPr>
            <w:rFonts w:ascii="Cambria Math" w:hAnsi="Cambria Math" w:cstheme="majorBidi"/>
            <w:lang w:val="en-US"/>
          </w:rPr>
          <m:t>N</m:t>
        </m:r>
        <m:r>
          <m:rPr>
            <m:sty m:val="p"/>
          </m:rPr>
          <w:rPr>
            <w:rFonts w:ascii="Cambria Math" w:hAnsi="Cambria Math" w:cstheme="majorBidi"/>
            <w:lang w:val="en-US"/>
          </w:rPr>
          <m:t>×</m:t>
        </m:r>
        <m:r>
          <w:rPr>
            <w:rFonts w:ascii="Cambria Math" w:hAnsi="Cambria Math" w:cstheme="majorBidi"/>
            <w:lang w:val="en-US"/>
          </w:rPr>
          <m:t>N</m:t>
        </m:r>
      </m:oMath>
      <w:r w:rsidR="00CB5C19" w:rsidRPr="007F268F">
        <w:rPr>
          <w:rFonts w:asciiTheme="majorBidi" w:hAnsiTheme="majorBidi" w:cstheme="majorBidi"/>
          <w:bCs/>
          <w:lang w:val="en-US"/>
        </w:rPr>
        <w:t xml:space="preserve"> matrix of partial derivatives has to be calculated and these results can then be conveniently summarized in terms of average direct, average indirect and average total effects, following LeSage and Pace (2009).</w:t>
      </w:r>
    </w:p>
    <w:p w:rsidR="00694592" w:rsidRDefault="00694592" w:rsidP="0092277C">
      <w:pPr>
        <w:widowControl w:val="0"/>
        <w:spacing w:after="0" w:line="360" w:lineRule="auto"/>
        <w:ind w:firstLine="720"/>
        <w:jc w:val="both"/>
        <w:rPr>
          <w:rFonts w:asciiTheme="majorBidi" w:hAnsiTheme="majorBidi" w:cstheme="majorBidi"/>
          <w:bCs/>
          <w:sz w:val="12"/>
          <w:szCs w:val="12"/>
          <w:lang w:val="en-US"/>
        </w:rPr>
        <w:sectPr w:rsidR="00694592" w:rsidSect="00C637EE">
          <w:pgSz w:w="11906" w:h="16838"/>
          <w:pgMar w:top="1440" w:right="1440" w:bottom="1440" w:left="1440" w:header="708" w:footer="708" w:gutter="0"/>
          <w:cols w:space="708"/>
          <w:docGrid w:linePitch="360"/>
        </w:sectPr>
      </w:pPr>
    </w:p>
    <w:p w:rsidR="008E3BE5" w:rsidRDefault="008E3BE5" w:rsidP="008E3BE5">
      <w:pPr>
        <w:spacing w:after="0" w:line="240" w:lineRule="auto"/>
        <w:jc w:val="center"/>
        <w:rPr>
          <w:rFonts w:eastAsia="Times New Roman"/>
          <w:bCs/>
          <w:sz w:val="18"/>
          <w:szCs w:val="18"/>
        </w:rPr>
      </w:pPr>
    </w:p>
    <w:tbl>
      <w:tblPr>
        <w:tblStyle w:val="TableGrid"/>
        <w:tblW w:w="0" w:type="auto"/>
        <w:tblCellMar>
          <w:left w:w="57" w:type="dxa"/>
          <w:right w:w="57" w:type="dxa"/>
        </w:tblCellMar>
        <w:tblLook w:val="04A0" w:firstRow="1" w:lastRow="0" w:firstColumn="1" w:lastColumn="0" w:noHBand="0" w:noVBand="1"/>
      </w:tblPr>
      <w:tblGrid>
        <w:gridCol w:w="2547"/>
        <w:gridCol w:w="1425"/>
        <w:gridCol w:w="1425"/>
        <w:gridCol w:w="1425"/>
        <w:gridCol w:w="1425"/>
        <w:gridCol w:w="1425"/>
        <w:gridCol w:w="1425"/>
        <w:gridCol w:w="1425"/>
        <w:gridCol w:w="1426"/>
      </w:tblGrid>
      <w:tr w:rsidR="008E3BE5" w:rsidTr="00C23239">
        <w:tc>
          <w:tcPr>
            <w:tcW w:w="13948" w:type="dxa"/>
            <w:gridSpan w:val="9"/>
            <w:tcBorders>
              <w:top w:val="nil"/>
              <w:left w:val="nil"/>
              <w:bottom w:val="single" w:sz="4" w:space="0" w:color="auto"/>
              <w:right w:val="nil"/>
            </w:tcBorders>
          </w:tcPr>
          <w:p w:rsidR="008E3BE5" w:rsidRPr="00A046B0"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Table 1: Effects of the Foreign-Born Share on the Native-Born Home Ownership Rate: Evidence From the 2001, 2006 and 2013 Censuses</w:t>
            </w:r>
          </w:p>
        </w:tc>
      </w:tr>
      <w:tr w:rsidR="008E3BE5" w:rsidTr="00C23239">
        <w:tc>
          <w:tcPr>
            <w:tcW w:w="2547" w:type="dxa"/>
            <w:tcBorders>
              <w:top w:val="single" w:sz="4" w:space="0" w:color="auto"/>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Aspatial</w:t>
            </w: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Spatial Lag</w:t>
            </w: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Spatial Durbin</w:t>
            </w: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SARAR</w:t>
            </w: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Aspatial</w:t>
            </w: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Spatial Lag</w:t>
            </w:r>
          </w:p>
        </w:tc>
        <w:tc>
          <w:tcPr>
            <w:tcW w:w="1425"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Spatial Durbin</w:t>
            </w:r>
          </w:p>
        </w:tc>
        <w:tc>
          <w:tcPr>
            <w:tcW w:w="1426" w:type="dxa"/>
            <w:tcBorders>
              <w:top w:val="single" w:sz="4" w:space="0" w:color="auto"/>
              <w:left w:val="nil"/>
              <w:bottom w:val="nil"/>
              <w:right w:val="nil"/>
            </w:tcBorders>
          </w:tcPr>
          <w:p w:rsidR="008E3BE5" w:rsidRPr="00A046B0" w:rsidRDefault="008E3BE5" w:rsidP="00C23239">
            <w:pPr>
              <w:spacing w:before="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SARAR</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(1)</w:t>
            </w: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(2)</w:t>
            </w: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(3)</w:t>
            </w: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(4)</w:t>
            </w: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(5)</w:t>
            </w: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(6)</w:t>
            </w:r>
          </w:p>
        </w:tc>
        <w:tc>
          <w:tcPr>
            <w:tcW w:w="1425"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(7)</w:t>
            </w:r>
          </w:p>
        </w:tc>
        <w:tc>
          <w:tcPr>
            <w:tcW w:w="1426" w:type="dxa"/>
            <w:tcBorders>
              <w:top w:val="nil"/>
              <w:left w:val="nil"/>
              <w:bottom w:val="single" w:sz="4" w:space="0" w:color="auto"/>
              <w:right w:val="nil"/>
            </w:tcBorders>
          </w:tcPr>
          <w:p w:rsidR="008E3BE5" w:rsidRDefault="008E3BE5" w:rsidP="00C23239">
            <w:pPr>
              <w:spacing w:after="40"/>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(8)</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r w:rsidRPr="00A046B0">
              <w:rPr>
                <w:rFonts w:asciiTheme="majorBidi" w:eastAsia="Times New Roman" w:hAnsiTheme="majorBidi" w:cstheme="majorBidi"/>
                <w:bCs/>
                <w:sz w:val="22"/>
                <w:szCs w:val="22"/>
              </w:rPr>
              <w:t>Foreign-born share</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˗0.117***</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˗0.075***</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-0.059***</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-0.048**</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˗0.115***</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˗0.075***</w:t>
            </w:r>
          </w:p>
        </w:tc>
        <w:tc>
          <w:tcPr>
            <w:tcW w:w="1425"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-0.062***</w:t>
            </w:r>
          </w:p>
        </w:tc>
        <w:tc>
          <w:tcPr>
            <w:tcW w:w="1426" w:type="dxa"/>
            <w:tcBorders>
              <w:top w:val="single" w:sz="4" w:space="0" w:color="auto"/>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-0.051***</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(0.019)</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(0.018)</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(0.020)</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(0.019)</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(0.018)</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(0.018)</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(0.019)</w:t>
            </w:r>
          </w:p>
        </w:tc>
        <w:tc>
          <w:tcPr>
            <w:tcW w:w="1426"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(0.019)</w:t>
            </w:r>
          </w:p>
        </w:tc>
      </w:tr>
      <w:tr w:rsidR="008E3BE5" w:rsidTr="00C23239">
        <w:tc>
          <w:tcPr>
            <w:tcW w:w="2547" w:type="dxa"/>
            <w:tcBorders>
              <w:top w:val="nil"/>
              <w:left w:val="nil"/>
              <w:bottom w:val="nil"/>
              <w:right w:val="nil"/>
            </w:tcBorders>
          </w:tcPr>
          <w:p w:rsidR="008E3BE5" w:rsidRPr="00F806FB" w:rsidRDefault="008E3BE5" w:rsidP="00C23239">
            <w:pPr>
              <w:rPr>
                <w:rFonts w:asciiTheme="majorBidi" w:eastAsia="Times New Roman" w:hAnsiTheme="majorBidi" w:cstheme="majorBidi"/>
                <w:bCs/>
                <w:sz w:val="22"/>
                <w:szCs w:val="22"/>
                <w:vertAlign w:val="superscript"/>
              </w:rPr>
            </w:pPr>
            <w:r>
              <w:rPr>
                <w:rFonts w:asciiTheme="majorBidi" w:eastAsia="Times New Roman" w:hAnsiTheme="majorBidi" w:cstheme="majorBidi"/>
                <w:bCs/>
                <w:sz w:val="22"/>
                <w:szCs w:val="22"/>
              </w:rPr>
              <w:t xml:space="preserve">Average </w:t>
            </w:r>
            <w:proofErr w:type="spellStart"/>
            <w:r>
              <w:rPr>
                <w:rFonts w:asciiTheme="majorBidi" w:eastAsia="Times New Roman" w:hAnsiTheme="majorBidi" w:cstheme="majorBidi"/>
                <w:bCs/>
                <w:sz w:val="22"/>
                <w:szCs w:val="22"/>
              </w:rPr>
              <w:t>age</w:t>
            </w:r>
            <w:r>
              <w:rPr>
                <w:rFonts w:asciiTheme="majorBidi" w:eastAsia="Times New Roman" w:hAnsiTheme="majorBidi" w:cstheme="majorBidi"/>
                <w:bCs/>
                <w:sz w:val="22"/>
                <w:szCs w:val="22"/>
                <w:vertAlign w:val="superscript"/>
              </w:rPr>
              <w:t>a</w:t>
            </w:r>
            <w:proofErr w:type="spellEnd"/>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0.043***</w:t>
            </w: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0.041***</w:t>
            </w: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0.041***</w:t>
            </w:r>
          </w:p>
        </w:tc>
        <w:tc>
          <w:tcPr>
            <w:tcW w:w="1426"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0.037***</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(0.003)</w:t>
            </w:r>
          </w:p>
        </w:tc>
        <w:tc>
          <w:tcPr>
            <w:tcW w:w="1425" w:type="dxa"/>
            <w:tcBorders>
              <w:top w:val="nil"/>
              <w:left w:val="nil"/>
              <w:bottom w:val="nil"/>
              <w:right w:val="nil"/>
            </w:tcBorders>
          </w:tcPr>
          <w:p w:rsidR="008E3BE5"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(0.003)</w:t>
            </w:r>
          </w:p>
        </w:tc>
        <w:tc>
          <w:tcPr>
            <w:tcW w:w="1425" w:type="dxa"/>
            <w:tcBorders>
              <w:top w:val="nil"/>
              <w:left w:val="nil"/>
              <w:bottom w:val="nil"/>
              <w:right w:val="nil"/>
            </w:tcBorders>
          </w:tcPr>
          <w:p w:rsidR="008E3BE5"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(0.003)</w:t>
            </w:r>
          </w:p>
        </w:tc>
        <w:tc>
          <w:tcPr>
            <w:tcW w:w="1426" w:type="dxa"/>
            <w:tcBorders>
              <w:top w:val="nil"/>
              <w:left w:val="nil"/>
              <w:bottom w:val="nil"/>
              <w:right w:val="nil"/>
            </w:tcBorders>
          </w:tcPr>
          <w:p w:rsidR="008E3BE5"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(0.003)</w:t>
            </w:r>
          </w:p>
        </w:tc>
      </w:tr>
      <w:tr w:rsidR="008E3BE5" w:rsidTr="00C23239">
        <w:tc>
          <w:tcPr>
            <w:tcW w:w="2547" w:type="dxa"/>
            <w:tcBorders>
              <w:top w:val="nil"/>
              <w:left w:val="nil"/>
              <w:bottom w:val="nil"/>
              <w:right w:val="nil"/>
            </w:tcBorders>
          </w:tcPr>
          <w:p w:rsidR="008E3BE5" w:rsidRPr="00F806FB" w:rsidRDefault="008E3BE5" w:rsidP="00C23239">
            <w:pPr>
              <w:rPr>
                <w:rFonts w:asciiTheme="majorBidi" w:eastAsia="Times New Roman" w:hAnsiTheme="majorBidi" w:cstheme="majorBidi"/>
                <w:bCs/>
                <w:sz w:val="22"/>
                <w:szCs w:val="22"/>
                <w:vertAlign w:val="superscript"/>
              </w:rPr>
            </w:pPr>
            <w:r>
              <w:rPr>
                <w:rFonts w:asciiTheme="majorBidi" w:eastAsia="Times New Roman" w:hAnsiTheme="majorBidi" w:cstheme="majorBidi"/>
                <w:bCs/>
                <w:sz w:val="22"/>
                <w:szCs w:val="22"/>
              </w:rPr>
              <w:t xml:space="preserve">Share </w:t>
            </w:r>
            <w:proofErr w:type="spellStart"/>
            <w:r>
              <w:rPr>
                <w:rFonts w:asciiTheme="majorBidi" w:eastAsia="Times New Roman" w:hAnsiTheme="majorBidi" w:cstheme="majorBidi"/>
                <w:bCs/>
                <w:sz w:val="22"/>
                <w:szCs w:val="22"/>
              </w:rPr>
              <w:t>employed</w:t>
            </w:r>
            <w:r>
              <w:rPr>
                <w:rFonts w:asciiTheme="majorBidi" w:eastAsia="Times New Roman" w:hAnsiTheme="majorBidi" w:cstheme="majorBidi"/>
                <w:bCs/>
                <w:sz w:val="22"/>
                <w:szCs w:val="22"/>
                <w:vertAlign w:val="superscript"/>
              </w:rPr>
              <w:t>a</w:t>
            </w:r>
            <w:proofErr w:type="spellEnd"/>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1.084***</w:t>
            </w: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0.957***</w:t>
            </w: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0.931***</w:t>
            </w:r>
          </w:p>
        </w:tc>
        <w:tc>
          <w:tcPr>
            <w:tcW w:w="1426"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0.833***</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(0.148)</w:t>
            </w: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(0.142)</w:t>
            </w:r>
          </w:p>
        </w:tc>
        <w:tc>
          <w:tcPr>
            <w:tcW w:w="1425"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(0.143)</w:t>
            </w:r>
          </w:p>
        </w:tc>
        <w:tc>
          <w:tcPr>
            <w:tcW w:w="1426" w:type="dxa"/>
            <w:tcBorders>
              <w:top w:val="nil"/>
              <w:left w:val="nil"/>
              <w:bottom w:val="nil"/>
              <w:right w:val="nil"/>
            </w:tcBorders>
          </w:tcPr>
          <w:p w:rsidR="008E3BE5"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(0.142)</w:t>
            </w:r>
          </w:p>
        </w:tc>
      </w:tr>
      <w:tr w:rsidR="008E3BE5" w:rsidRPr="00360994" w:rsidTr="00C23239">
        <w:tc>
          <w:tcPr>
            <w:tcW w:w="2547"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c>
          <w:tcPr>
            <w:tcW w:w="1426" w:type="dxa"/>
            <w:tcBorders>
              <w:top w:val="nil"/>
              <w:left w:val="nil"/>
              <w:bottom w:val="nil"/>
              <w:right w:val="nil"/>
            </w:tcBorders>
          </w:tcPr>
          <w:p w:rsidR="008E3BE5" w:rsidRPr="00360994" w:rsidRDefault="008E3BE5" w:rsidP="00C23239">
            <w:pPr>
              <w:tabs>
                <w:tab w:val="decimal" w:pos="454"/>
              </w:tabs>
              <w:rPr>
                <w:rFonts w:asciiTheme="majorBidi" w:eastAsia="Times New Roman" w:hAnsiTheme="majorBidi" w:cstheme="majorBidi"/>
                <w:bCs/>
                <w:sz w:val="12"/>
                <w:szCs w:val="12"/>
              </w:rPr>
            </w:pPr>
          </w:p>
        </w:tc>
      </w:tr>
      <w:tr w:rsidR="008E3BE5" w:rsidTr="00C23239">
        <w:tc>
          <w:tcPr>
            <w:tcW w:w="2547" w:type="dxa"/>
            <w:tcBorders>
              <w:top w:val="nil"/>
              <w:left w:val="nil"/>
              <w:bottom w:val="nil"/>
              <w:right w:val="nil"/>
            </w:tcBorders>
          </w:tcPr>
          <w:p w:rsidR="008E3BE5" w:rsidRPr="00260C95" w:rsidRDefault="008E3BE5" w:rsidP="00C23239">
            <w:pPr>
              <w:rPr>
                <w:rFonts w:asciiTheme="majorBidi" w:eastAsia="Times New Roman" w:hAnsiTheme="majorBidi" w:cstheme="majorBidi"/>
                <w:bCs/>
                <w:sz w:val="22"/>
                <w:szCs w:val="22"/>
              </w:rPr>
            </w:pPr>
            <w:r>
              <w:rPr>
                <w:rFonts w:asciiTheme="majorBidi" w:eastAsia="Times New Roman" w:hAnsiTheme="majorBidi" w:cstheme="majorBidi"/>
                <w:bCs/>
                <w:i/>
                <w:iCs/>
                <w:sz w:val="22"/>
                <w:szCs w:val="22"/>
              </w:rPr>
              <w:t>Spatial Lags</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r>
              <w:rPr>
                <w:rFonts w:asciiTheme="majorBidi" w:eastAsia="Times New Roman" w:hAnsiTheme="majorBidi" w:cstheme="majorBidi"/>
                <w:bCs/>
                <w:sz w:val="22"/>
                <w:szCs w:val="22"/>
              </w:rPr>
              <w:t>Native-born ownership rate</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0.063***</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0.062***</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-0.097***</w:t>
            </w: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0.061***</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0.060***</w:t>
            </w: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-0.092***</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(0.004)</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(0.004)</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(0.007)</w:t>
            </w: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(0.004)</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(0.004)</w:t>
            </w:r>
          </w:p>
        </w:tc>
        <w:tc>
          <w:tcPr>
            <w:tcW w:w="1426"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(0.007)</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r w:rsidRPr="00A046B0">
              <w:rPr>
                <w:rFonts w:asciiTheme="majorBidi" w:eastAsia="Times New Roman" w:hAnsiTheme="majorBidi" w:cstheme="majorBidi"/>
                <w:bCs/>
                <w:sz w:val="22"/>
                <w:szCs w:val="22"/>
              </w:rPr>
              <w:t>Foreign-born share</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-0.009*</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-0.038***</w:t>
            </w: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-0.008*</w:t>
            </w: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-0.039***</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(0.005)</w:t>
            </w: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(0.008)</w:t>
            </w: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(0.005)</w:t>
            </w:r>
          </w:p>
        </w:tc>
        <w:tc>
          <w:tcPr>
            <w:tcW w:w="1426" w:type="dxa"/>
            <w:tcBorders>
              <w:top w:val="nil"/>
              <w:left w:val="nil"/>
              <w:bottom w:val="nil"/>
              <w:right w:val="nil"/>
            </w:tcBorders>
          </w:tcPr>
          <w:p w:rsidR="008E3BE5" w:rsidRPr="00A046B0" w:rsidRDefault="008E3BE5" w:rsidP="00C23239">
            <w:pPr>
              <w:tabs>
                <w:tab w:val="decimal" w:pos="454"/>
              </w:tabs>
              <w:spacing w:after="60"/>
              <w:rPr>
                <w:rFonts w:asciiTheme="majorBidi" w:eastAsia="Times New Roman" w:hAnsiTheme="majorBidi" w:cstheme="majorBidi"/>
                <w:bCs/>
                <w:sz w:val="22"/>
                <w:szCs w:val="22"/>
              </w:rPr>
            </w:pPr>
            <w:r>
              <w:rPr>
                <w:rFonts w:asciiTheme="majorBidi" w:eastAsia="Times New Roman" w:hAnsiTheme="majorBidi" w:cstheme="majorBidi"/>
                <w:bCs/>
                <w:sz w:val="22"/>
                <w:szCs w:val="22"/>
              </w:rPr>
              <w:t>(0.007)</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r>
              <w:rPr>
                <w:rFonts w:asciiTheme="majorBidi" w:eastAsia="Times New Roman" w:hAnsiTheme="majorBidi" w:cstheme="majorBidi"/>
                <w:bCs/>
                <w:sz w:val="22"/>
                <w:szCs w:val="22"/>
              </w:rPr>
              <w:t>Residuals</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0.121***</w:t>
            </w: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0.119***</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(0.003)</w:t>
            </w:r>
          </w:p>
        </w:tc>
        <w:tc>
          <w:tcPr>
            <w:tcW w:w="1425"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(0.003)</w:t>
            </w:r>
          </w:p>
        </w:tc>
      </w:tr>
      <w:tr w:rsidR="008E3BE5" w:rsidRPr="00360994" w:rsidTr="00C23239">
        <w:tc>
          <w:tcPr>
            <w:tcW w:w="2547"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5"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c>
          <w:tcPr>
            <w:tcW w:w="1426" w:type="dxa"/>
            <w:tcBorders>
              <w:top w:val="nil"/>
              <w:left w:val="nil"/>
              <w:bottom w:val="nil"/>
              <w:right w:val="nil"/>
            </w:tcBorders>
          </w:tcPr>
          <w:p w:rsidR="008E3BE5" w:rsidRPr="00360994" w:rsidRDefault="008E3BE5" w:rsidP="00C23239">
            <w:pPr>
              <w:rPr>
                <w:rFonts w:asciiTheme="majorBidi" w:eastAsia="Times New Roman" w:hAnsiTheme="majorBidi" w:cstheme="majorBidi"/>
                <w:bCs/>
                <w:sz w:val="12"/>
                <w:szCs w:val="12"/>
              </w:rPr>
            </w:pP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r>
              <w:rPr>
                <w:rFonts w:asciiTheme="majorBidi" w:eastAsia="Times New Roman" w:hAnsiTheme="majorBidi" w:cstheme="majorBidi"/>
                <w:bCs/>
                <w:sz w:val="22"/>
                <w:szCs w:val="22"/>
              </w:rPr>
              <w:t>Year fixed effects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6"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eastAsia="Times New Roman" w:hAnsiTheme="majorBidi" w:cstheme="majorBidi"/>
                <w:bCs/>
                <w:sz w:val="22"/>
                <w:szCs w:val="22"/>
              </w:rPr>
            </w:pPr>
            <w:r>
              <w:rPr>
                <w:rFonts w:asciiTheme="majorBidi" w:eastAsia="Times New Roman" w:hAnsiTheme="majorBidi" w:cstheme="majorBidi"/>
                <w:bCs/>
                <w:sz w:val="22"/>
                <w:szCs w:val="22"/>
              </w:rPr>
              <w:t>Area unit fixed effects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5"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c>
          <w:tcPr>
            <w:tcW w:w="1426" w:type="dxa"/>
            <w:tcBorders>
              <w:top w:val="nil"/>
              <w:left w:val="nil"/>
              <w:bottom w:val="nil"/>
              <w:right w:val="nil"/>
            </w:tcBorders>
          </w:tcPr>
          <w:p w:rsidR="008E3BE5" w:rsidRPr="00A046B0" w:rsidRDefault="008E3BE5" w:rsidP="00C23239">
            <w:pPr>
              <w:jc w:val="center"/>
              <w:rPr>
                <w:rFonts w:asciiTheme="majorBidi" w:eastAsia="Times New Roman" w:hAnsiTheme="majorBidi" w:cstheme="majorBidi"/>
                <w:bCs/>
                <w:sz w:val="22"/>
                <w:szCs w:val="22"/>
              </w:rPr>
            </w:pPr>
            <w:r>
              <w:rPr>
                <w:rFonts w:asciiTheme="majorBidi" w:eastAsia="Times New Roman" w:hAnsiTheme="majorBidi" w:cstheme="majorBidi"/>
                <w:bCs/>
                <w:sz w:val="22"/>
                <w:szCs w:val="22"/>
              </w:rPr>
              <w:t>Yes</w:t>
            </w:r>
          </w:p>
        </w:tc>
      </w:tr>
      <w:tr w:rsidR="008E3BE5" w:rsidTr="00C23239">
        <w:tc>
          <w:tcPr>
            <w:tcW w:w="2547" w:type="dxa"/>
            <w:tcBorders>
              <w:top w:val="nil"/>
              <w:left w:val="nil"/>
              <w:bottom w:val="nil"/>
              <w:right w:val="nil"/>
            </w:tcBorders>
          </w:tcPr>
          <w:p w:rsidR="008E3BE5" w:rsidRPr="00260C95" w:rsidRDefault="008E3BE5" w:rsidP="00C23239">
            <w:pPr>
              <w:rPr>
                <w:rFonts w:asciiTheme="majorBidi" w:eastAsia="Times New Roman" w:hAnsiTheme="majorBidi" w:cstheme="majorBidi"/>
                <w:bCs/>
                <w:sz w:val="22"/>
                <w:szCs w:val="22"/>
                <w:vertAlign w:val="superscript"/>
              </w:rPr>
            </w:pPr>
            <w:r>
              <w:rPr>
                <w:rFonts w:asciiTheme="majorBidi" w:eastAsia="Times New Roman" w:hAnsiTheme="majorBidi" w:cstheme="majorBidi"/>
                <w:bCs/>
                <w:sz w:val="22"/>
                <w:szCs w:val="22"/>
              </w:rPr>
              <w:t>(Pseudo-)</w:t>
            </w:r>
            <w:r w:rsidRPr="00260C95">
              <w:rPr>
                <w:rFonts w:asciiTheme="majorBidi" w:eastAsia="Times New Roman" w:hAnsiTheme="majorBidi" w:cstheme="majorBidi"/>
                <w:bCs/>
                <w:i/>
                <w:iCs/>
                <w:sz w:val="22"/>
                <w:szCs w:val="22"/>
              </w:rPr>
              <w:t>R</w:t>
            </w:r>
            <w:r>
              <w:rPr>
                <w:rFonts w:asciiTheme="majorBidi" w:eastAsia="Times New Roman" w:hAnsiTheme="majorBidi" w:cstheme="majorBidi"/>
                <w:bCs/>
                <w:sz w:val="22"/>
                <w:szCs w:val="22"/>
                <w:vertAlign w:val="superscript"/>
              </w:rPr>
              <w:t>2</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0.088</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0.086</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0.091</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0.081</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0.338</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0.345</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0.331</w:t>
            </w: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0.213</w:t>
            </w:r>
          </w:p>
        </w:tc>
      </w:tr>
      <w:tr w:rsidR="008E3BE5" w:rsidTr="00C23239">
        <w:tc>
          <w:tcPr>
            <w:tcW w:w="2547" w:type="dxa"/>
            <w:tcBorders>
              <w:top w:val="nil"/>
              <w:left w:val="nil"/>
              <w:bottom w:val="nil"/>
              <w:right w:val="nil"/>
            </w:tcBorders>
          </w:tcPr>
          <w:p w:rsidR="008E3BE5" w:rsidRPr="00A046B0" w:rsidRDefault="008E3BE5" w:rsidP="00C23239">
            <w:pPr>
              <w:rPr>
                <w:rFonts w:asciiTheme="majorBidi" w:hAnsiTheme="majorBidi" w:cstheme="majorBidi"/>
                <w:sz w:val="22"/>
                <w:szCs w:val="22"/>
              </w:rPr>
            </w:pPr>
            <w:r w:rsidRPr="00A046B0">
              <w:rPr>
                <w:rFonts w:asciiTheme="majorBidi" w:hAnsiTheme="majorBidi" w:cstheme="majorBidi"/>
                <w:sz w:val="22"/>
                <w:szCs w:val="22"/>
              </w:rPr>
              <w:t>All covariates = 0</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44.52***</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414.12***</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416.68***</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288.29***</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66.38***</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618.51***</w:t>
            </w:r>
          </w:p>
        </w:tc>
        <w:tc>
          <w:tcPr>
            <w:tcW w:w="1425"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620.32***</w:t>
            </w:r>
          </w:p>
        </w:tc>
        <w:tc>
          <w:tcPr>
            <w:tcW w:w="1426" w:type="dxa"/>
            <w:tcBorders>
              <w:top w:val="nil"/>
              <w:left w:val="nil"/>
              <w:bottom w:val="nil"/>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483.38***</w:t>
            </w:r>
          </w:p>
        </w:tc>
      </w:tr>
      <w:tr w:rsidR="008E3BE5" w:rsidTr="00C23239">
        <w:tc>
          <w:tcPr>
            <w:tcW w:w="2547" w:type="dxa"/>
            <w:tcBorders>
              <w:top w:val="nil"/>
              <w:left w:val="nil"/>
              <w:bottom w:val="single" w:sz="4" w:space="0" w:color="auto"/>
              <w:right w:val="nil"/>
            </w:tcBorders>
          </w:tcPr>
          <w:p w:rsidR="008E3BE5" w:rsidRPr="00A046B0" w:rsidRDefault="008E3BE5" w:rsidP="00C23239">
            <w:pPr>
              <w:rPr>
                <w:rFonts w:asciiTheme="majorBidi" w:hAnsiTheme="majorBidi" w:cstheme="majorBidi"/>
                <w:sz w:val="22"/>
                <w:szCs w:val="22"/>
              </w:rPr>
            </w:pPr>
            <w:r w:rsidRPr="00A046B0">
              <w:rPr>
                <w:rFonts w:asciiTheme="majorBidi" w:hAnsiTheme="majorBidi" w:cstheme="majorBidi"/>
                <w:sz w:val="22"/>
                <w:szCs w:val="22"/>
              </w:rPr>
              <w:t>Spatial effects = 0</w:t>
            </w:r>
          </w:p>
        </w:tc>
        <w:tc>
          <w:tcPr>
            <w:tcW w:w="1425"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p>
        </w:tc>
        <w:tc>
          <w:tcPr>
            <w:tcW w:w="1425"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268.34***</w:t>
            </w:r>
          </w:p>
        </w:tc>
        <w:tc>
          <w:tcPr>
            <w:tcW w:w="1425"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270.88***</w:t>
            </w:r>
          </w:p>
        </w:tc>
        <w:tc>
          <w:tcPr>
            <w:tcW w:w="1425"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1946.77***</w:t>
            </w:r>
          </w:p>
        </w:tc>
        <w:tc>
          <w:tcPr>
            <w:tcW w:w="1425" w:type="dxa"/>
            <w:tcBorders>
              <w:top w:val="nil"/>
              <w:left w:val="nil"/>
              <w:bottom w:val="single" w:sz="4" w:space="0" w:color="auto"/>
              <w:right w:val="nil"/>
            </w:tcBorders>
          </w:tcPr>
          <w:p w:rsidR="008E3BE5" w:rsidRPr="00A046B0" w:rsidRDefault="008E3BE5" w:rsidP="00C23239">
            <w:pPr>
              <w:rPr>
                <w:rFonts w:asciiTheme="majorBidi" w:eastAsia="Times New Roman" w:hAnsiTheme="majorBidi" w:cstheme="majorBidi"/>
                <w:bCs/>
                <w:sz w:val="22"/>
                <w:szCs w:val="22"/>
              </w:rPr>
            </w:pPr>
          </w:p>
        </w:tc>
        <w:tc>
          <w:tcPr>
            <w:tcW w:w="1425"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257.32***</w:t>
            </w:r>
          </w:p>
        </w:tc>
        <w:tc>
          <w:tcPr>
            <w:tcW w:w="1425"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259.11***</w:t>
            </w:r>
          </w:p>
        </w:tc>
        <w:tc>
          <w:tcPr>
            <w:tcW w:w="1426" w:type="dxa"/>
            <w:tcBorders>
              <w:top w:val="nil"/>
              <w:left w:val="nil"/>
              <w:bottom w:val="single" w:sz="4" w:space="0" w:color="auto"/>
              <w:right w:val="nil"/>
            </w:tcBorders>
          </w:tcPr>
          <w:p w:rsidR="008E3BE5" w:rsidRPr="00A046B0" w:rsidRDefault="008E3BE5" w:rsidP="00C23239">
            <w:pPr>
              <w:tabs>
                <w:tab w:val="decimal" w:pos="454"/>
              </w:tabs>
              <w:rPr>
                <w:rFonts w:asciiTheme="majorBidi" w:eastAsia="Times New Roman" w:hAnsiTheme="majorBidi" w:cstheme="majorBidi"/>
                <w:bCs/>
                <w:sz w:val="22"/>
                <w:szCs w:val="22"/>
              </w:rPr>
            </w:pPr>
            <w:r>
              <w:rPr>
                <w:rFonts w:asciiTheme="majorBidi" w:eastAsia="Times New Roman" w:hAnsiTheme="majorBidi" w:cstheme="majorBidi"/>
                <w:bCs/>
                <w:sz w:val="22"/>
                <w:szCs w:val="22"/>
              </w:rPr>
              <w:t>1863.29***</w:t>
            </w:r>
          </w:p>
        </w:tc>
      </w:tr>
      <w:tr w:rsidR="008E3BE5" w:rsidTr="00C23239">
        <w:tc>
          <w:tcPr>
            <w:tcW w:w="13948" w:type="dxa"/>
            <w:gridSpan w:val="9"/>
            <w:tcBorders>
              <w:top w:val="single" w:sz="4" w:space="0" w:color="auto"/>
              <w:left w:val="nil"/>
              <w:bottom w:val="nil"/>
              <w:right w:val="nil"/>
            </w:tcBorders>
          </w:tcPr>
          <w:p w:rsidR="008E3BE5" w:rsidRDefault="008E3BE5" w:rsidP="00C23239">
            <w:pPr>
              <w:spacing w:before="40"/>
              <w:ind w:left="507" w:hanging="507"/>
              <w:rPr>
                <w:rFonts w:asciiTheme="majorBidi" w:eastAsia="Times New Roman" w:hAnsiTheme="majorBidi" w:cstheme="majorBidi"/>
                <w:bCs/>
                <w:sz w:val="20"/>
                <w:szCs w:val="20"/>
              </w:rPr>
            </w:pPr>
            <w:r w:rsidRPr="00260C95">
              <w:rPr>
                <w:rFonts w:asciiTheme="majorBidi" w:eastAsia="Times New Roman" w:hAnsiTheme="majorBidi" w:cstheme="majorBidi"/>
                <w:bCs/>
                <w:i/>
                <w:iCs/>
                <w:sz w:val="20"/>
                <w:szCs w:val="20"/>
              </w:rPr>
              <w:t>Notes</w:t>
            </w:r>
            <w:r>
              <w:rPr>
                <w:rFonts w:asciiTheme="majorBidi" w:eastAsia="Times New Roman" w:hAnsiTheme="majorBidi" w:cstheme="majorBidi"/>
                <w:bCs/>
                <w:i/>
                <w:iCs/>
                <w:sz w:val="20"/>
                <w:szCs w:val="20"/>
              </w:rPr>
              <w:t>:</w:t>
            </w:r>
            <w:r>
              <w:rPr>
                <w:rFonts w:asciiTheme="majorBidi" w:eastAsia="Times New Roman" w:hAnsiTheme="majorBidi" w:cstheme="majorBidi"/>
                <w:bCs/>
                <w:sz w:val="20"/>
                <w:szCs w:val="20"/>
              </w:rPr>
              <w:t xml:space="preserve"> Native-born home ownership rate and foreign-born share are in standardized form. </w:t>
            </w:r>
            <w:r>
              <w:rPr>
                <w:rFonts w:asciiTheme="majorBidi" w:eastAsia="Times New Roman" w:hAnsiTheme="majorBidi" w:cstheme="majorBidi"/>
                <w:bCs/>
                <w:i/>
                <w:iCs/>
                <w:sz w:val="20"/>
                <w:szCs w:val="20"/>
              </w:rPr>
              <w:t>N</w:t>
            </w:r>
            <w:r>
              <w:rPr>
                <w:rFonts w:asciiTheme="majorBidi" w:eastAsia="Times New Roman" w:hAnsiTheme="majorBidi" w:cstheme="majorBidi"/>
                <w:bCs/>
                <w:sz w:val="20"/>
                <w:szCs w:val="20"/>
              </w:rPr>
              <w:t xml:space="preserve">=1851 census area units, each observed three times. Clustered standard errors in </w:t>
            </w:r>
            <w:proofErr w:type="gramStart"/>
            <w:r>
              <w:rPr>
                <w:rFonts w:asciiTheme="majorBidi" w:eastAsia="Times New Roman" w:hAnsiTheme="majorBidi" w:cstheme="majorBidi"/>
                <w:bCs/>
                <w:sz w:val="20"/>
                <w:szCs w:val="20"/>
              </w:rPr>
              <w:t>( )</w:t>
            </w:r>
            <w:proofErr w:type="gramEnd"/>
            <w:r>
              <w:rPr>
                <w:rFonts w:asciiTheme="majorBidi" w:eastAsia="Times New Roman" w:hAnsiTheme="majorBidi" w:cstheme="majorBidi"/>
                <w:bCs/>
                <w:sz w:val="20"/>
                <w:szCs w:val="20"/>
              </w:rPr>
              <w:t xml:space="preserve">, with ***, **, * denoting statistical significance at </w:t>
            </w:r>
            <w:r>
              <w:rPr>
                <w:rFonts w:asciiTheme="majorBidi" w:eastAsia="Times New Roman" w:hAnsiTheme="majorBidi" w:cstheme="majorBidi"/>
                <w:bCs/>
                <w:i/>
                <w:iCs/>
                <w:sz w:val="20"/>
                <w:szCs w:val="20"/>
              </w:rPr>
              <w:t>p</w:t>
            </w:r>
            <w:r>
              <w:rPr>
                <w:rFonts w:asciiTheme="majorBidi" w:eastAsia="Times New Roman" w:hAnsiTheme="majorBidi" w:cstheme="majorBidi"/>
                <w:bCs/>
                <w:sz w:val="20"/>
                <w:szCs w:val="20"/>
              </w:rPr>
              <w:t xml:space="preserve">&lt;0.01, </w:t>
            </w:r>
            <w:r>
              <w:rPr>
                <w:rFonts w:asciiTheme="majorBidi" w:eastAsia="Times New Roman" w:hAnsiTheme="majorBidi" w:cstheme="majorBidi"/>
                <w:bCs/>
                <w:i/>
                <w:iCs/>
                <w:sz w:val="20"/>
                <w:szCs w:val="20"/>
              </w:rPr>
              <w:t>p</w:t>
            </w:r>
            <w:r>
              <w:rPr>
                <w:rFonts w:asciiTheme="majorBidi" w:eastAsia="Times New Roman" w:hAnsiTheme="majorBidi" w:cstheme="majorBidi"/>
                <w:bCs/>
                <w:sz w:val="20"/>
                <w:szCs w:val="20"/>
              </w:rPr>
              <w:t xml:space="preserve">&lt;0.05, and </w:t>
            </w:r>
            <w:r w:rsidRPr="00360994">
              <w:rPr>
                <w:rFonts w:asciiTheme="majorBidi" w:eastAsia="Times New Roman" w:hAnsiTheme="majorBidi" w:cstheme="majorBidi"/>
                <w:bCs/>
                <w:i/>
                <w:iCs/>
                <w:sz w:val="20"/>
                <w:szCs w:val="20"/>
              </w:rPr>
              <w:t>p</w:t>
            </w:r>
            <w:r>
              <w:rPr>
                <w:rFonts w:asciiTheme="majorBidi" w:eastAsia="Times New Roman" w:hAnsiTheme="majorBidi" w:cstheme="majorBidi"/>
                <w:bCs/>
                <w:sz w:val="20"/>
                <w:szCs w:val="20"/>
              </w:rPr>
              <w:t xml:space="preserve">&lt;0.10. Spatial lags are based on an un-normalized first-order contiguity weight matrix. For aspatial models, the overall </w:t>
            </w:r>
            <w:r>
              <w:rPr>
                <w:rFonts w:asciiTheme="majorBidi" w:eastAsia="Times New Roman" w:hAnsiTheme="majorBidi" w:cstheme="majorBidi"/>
                <w:bCs/>
                <w:i/>
                <w:iCs/>
                <w:sz w:val="20"/>
                <w:szCs w:val="20"/>
              </w:rPr>
              <w:t>R</w:t>
            </w:r>
            <w:r>
              <w:rPr>
                <w:rFonts w:asciiTheme="majorBidi" w:eastAsia="Times New Roman" w:hAnsiTheme="majorBidi" w:cstheme="majorBidi"/>
                <w:bCs/>
                <w:sz w:val="20"/>
                <w:szCs w:val="20"/>
                <w:vertAlign w:val="superscript"/>
              </w:rPr>
              <w:t>2</w:t>
            </w:r>
            <w:r>
              <w:rPr>
                <w:rFonts w:asciiTheme="majorBidi" w:eastAsia="Times New Roman" w:hAnsiTheme="majorBidi" w:cstheme="majorBidi"/>
                <w:bCs/>
                <w:sz w:val="20"/>
                <w:szCs w:val="20"/>
              </w:rPr>
              <w:t xml:space="preserve"> is reported, while for other models it is the squared correlation between the predictions and the dependent variable. SARAR stands for </w:t>
            </w:r>
            <w:r w:rsidRPr="00972422">
              <w:rPr>
                <w:rFonts w:asciiTheme="majorBidi" w:eastAsia="Times New Roman" w:hAnsiTheme="majorBidi" w:cstheme="majorBidi"/>
                <w:bCs/>
                <w:sz w:val="20"/>
                <w:szCs w:val="20"/>
                <w:lang w:bidi="en-US"/>
              </w:rPr>
              <w:t>spatial autoregressive model with spatial autoregressive errors</w:t>
            </w:r>
            <w:r>
              <w:rPr>
                <w:rFonts w:asciiTheme="majorBidi" w:eastAsia="Times New Roman" w:hAnsiTheme="majorBidi" w:cstheme="majorBidi"/>
                <w:bCs/>
                <w:sz w:val="20"/>
                <w:szCs w:val="20"/>
                <w:lang w:bidi="en-US"/>
              </w:rPr>
              <w:t>.</w:t>
            </w:r>
          </w:p>
          <w:p w:rsidR="008E3BE5" w:rsidRPr="00F806FB" w:rsidRDefault="008E3BE5" w:rsidP="00C23239">
            <w:pPr>
              <w:spacing w:before="40"/>
              <w:ind w:left="507"/>
              <w:rPr>
                <w:rFonts w:asciiTheme="majorBidi" w:eastAsia="Times New Roman" w:hAnsiTheme="majorBidi" w:cstheme="majorBidi"/>
                <w:bCs/>
                <w:sz w:val="20"/>
                <w:szCs w:val="20"/>
              </w:rPr>
            </w:pPr>
            <w:proofErr w:type="spellStart"/>
            <w:r>
              <w:rPr>
                <w:rFonts w:asciiTheme="majorBidi" w:eastAsia="Times New Roman" w:hAnsiTheme="majorBidi" w:cstheme="majorBidi"/>
                <w:bCs/>
                <w:sz w:val="20"/>
                <w:szCs w:val="20"/>
                <w:vertAlign w:val="superscript"/>
              </w:rPr>
              <w:t>a</w:t>
            </w:r>
            <w:proofErr w:type="spellEnd"/>
            <w:r>
              <w:rPr>
                <w:rFonts w:asciiTheme="majorBidi" w:eastAsia="Times New Roman" w:hAnsiTheme="majorBidi" w:cstheme="majorBidi"/>
                <w:bCs/>
                <w:sz w:val="20"/>
                <w:szCs w:val="20"/>
              </w:rPr>
              <w:t xml:space="preserve"> </w:t>
            </w:r>
            <w:proofErr w:type="gramStart"/>
            <w:r>
              <w:rPr>
                <w:rFonts w:asciiTheme="majorBidi" w:eastAsia="Times New Roman" w:hAnsiTheme="majorBidi" w:cstheme="majorBidi"/>
                <w:bCs/>
                <w:sz w:val="20"/>
                <w:szCs w:val="20"/>
              </w:rPr>
              <w:t>For</w:t>
            </w:r>
            <w:proofErr w:type="gramEnd"/>
            <w:r>
              <w:rPr>
                <w:rFonts w:asciiTheme="majorBidi" w:eastAsia="Times New Roman" w:hAnsiTheme="majorBidi" w:cstheme="majorBidi"/>
                <w:bCs/>
                <w:sz w:val="20"/>
                <w:szCs w:val="20"/>
              </w:rPr>
              <w:t xml:space="preserve"> the native-born population in each area unit.</w:t>
            </w:r>
          </w:p>
        </w:tc>
      </w:tr>
    </w:tbl>
    <w:p w:rsidR="008E3BE5" w:rsidRDefault="008E3BE5" w:rsidP="008E3BE5">
      <w:pPr>
        <w:spacing w:after="0" w:line="240" w:lineRule="auto"/>
        <w:jc w:val="center"/>
        <w:rPr>
          <w:rFonts w:eastAsia="Times New Roman"/>
          <w:bCs/>
          <w:sz w:val="18"/>
          <w:szCs w:val="18"/>
        </w:rPr>
      </w:pPr>
    </w:p>
    <w:p w:rsidR="008E3BE5" w:rsidRDefault="008E3BE5">
      <w:pPr>
        <w:rPr>
          <w:rFonts w:asciiTheme="majorBidi" w:hAnsiTheme="majorBidi" w:cstheme="majorBidi"/>
          <w:bCs/>
          <w:sz w:val="4"/>
          <w:szCs w:val="4"/>
          <w:lang w:val="en-US"/>
        </w:rPr>
      </w:pPr>
      <w:r>
        <w:rPr>
          <w:rFonts w:asciiTheme="majorBidi" w:hAnsiTheme="majorBidi" w:cstheme="majorBidi"/>
          <w:bCs/>
          <w:sz w:val="4"/>
          <w:szCs w:val="4"/>
          <w:lang w:val="en-US"/>
        </w:rPr>
        <w:br w:type="page"/>
      </w:r>
    </w:p>
    <w:tbl>
      <w:tblPr>
        <w:tblStyle w:val="TableGrid"/>
        <w:tblW w:w="0" w:type="auto"/>
        <w:tblLook w:val="04A0" w:firstRow="1" w:lastRow="0" w:firstColumn="1" w:lastColumn="0" w:noHBand="0" w:noVBand="1"/>
      </w:tblPr>
      <w:tblGrid>
        <w:gridCol w:w="3798"/>
        <w:gridCol w:w="1608"/>
        <w:gridCol w:w="1608"/>
        <w:gridCol w:w="1609"/>
        <w:gridCol w:w="454"/>
        <w:gridCol w:w="1609"/>
        <w:gridCol w:w="1608"/>
        <w:gridCol w:w="1609"/>
      </w:tblGrid>
      <w:tr w:rsidR="008E3BE5" w:rsidTr="00C23239">
        <w:tc>
          <w:tcPr>
            <w:tcW w:w="13903" w:type="dxa"/>
            <w:gridSpan w:val="8"/>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Pr>
                <w:rFonts w:eastAsia="Times New Roman"/>
                <w:bCs/>
                <w:sz w:val="22"/>
                <w:szCs w:val="22"/>
              </w:rPr>
              <w:lastRenderedPageBreak/>
              <w:t>Table 2: Average Direct, Indirect and Total Impacts of Foreign-Born Share on the Native-Born Home Ownership Rate from Spatial Econometric Models</w:t>
            </w:r>
          </w:p>
        </w:tc>
      </w:tr>
      <w:tr w:rsidR="008E3BE5" w:rsidTr="00C23239">
        <w:tc>
          <w:tcPr>
            <w:tcW w:w="3798" w:type="dxa"/>
            <w:tcBorders>
              <w:top w:val="single" w:sz="4" w:space="0" w:color="auto"/>
              <w:left w:val="nil"/>
              <w:bottom w:val="nil"/>
              <w:right w:val="nil"/>
            </w:tcBorders>
          </w:tcPr>
          <w:p w:rsidR="008E3BE5" w:rsidRPr="00F361EA" w:rsidRDefault="008E3BE5" w:rsidP="00C23239">
            <w:pPr>
              <w:jc w:val="center"/>
              <w:rPr>
                <w:rFonts w:eastAsia="Times New Roman"/>
                <w:bCs/>
                <w:sz w:val="22"/>
                <w:szCs w:val="22"/>
              </w:rPr>
            </w:pPr>
          </w:p>
        </w:tc>
        <w:tc>
          <w:tcPr>
            <w:tcW w:w="4825" w:type="dxa"/>
            <w:gridSpan w:val="3"/>
            <w:tcBorders>
              <w:top w:val="single" w:sz="4" w:space="0" w:color="auto"/>
              <w:left w:val="nil"/>
              <w:bottom w:val="nil"/>
              <w:right w:val="nil"/>
            </w:tcBorders>
          </w:tcPr>
          <w:p w:rsidR="008E3BE5" w:rsidRPr="00F361EA" w:rsidRDefault="008E3BE5" w:rsidP="00C23239">
            <w:pPr>
              <w:spacing w:before="40"/>
              <w:jc w:val="center"/>
              <w:rPr>
                <w:rFonts w:eastAsia="Times New Roman"/>
                <w:bCs/>
                <w:sz w:val="22"/>
                <w:szCs w:val="22"/>
              </w:rPr>
            </w:pPr>
            <w:r>
              <w:rPr>
                <w:rFonts w:eastAsia="Times New Roman"/>
                <w:bCs/>
                <w:sz w:val="22"/>
                <w:szCs w:val="22"/>
              </w:rPr>
              <w:t>Models without time-varying controls</w:t>
            </w:r>
          </w:p>
        </w:tc>
        <w:tc>
          <w:tcPr>
            <w:tcW w:w="454" w:type="dxa"/>
            <w:tcBorders>
              <w:top w:val="single" w:sz="4" w:space="0" w:color="auto"/>
              <w:left w:val="nil"/>
              <w:bottom w:val="nil"/>
              <w:right w:val="nil"/>
            </w:tcBorders>
          </w:tcPr>
          <w:p w:rsidR="008E3BE5" w:rsidRPr="00F361EA" w:rsidRDefault="008E3BE5" w:rsidP="00C23239">
            <w:pPr>
              <w:spacing w:before="40"/>
              <w:jc w:val="center"/>
              <w:rPr>
                <w:rFonts w:eastAsia="Times New Roman"/>
                <w:bCs/>
                <w:sz w:val="22"/>
                <w:szCs w:val="22"/>
              </w:rPr>
            </w:pPr>
          </w:p>
        </w:tc>
        <w:tc>
          <w:tcPr>
            <w:tcW w:w="4826" w:type="dxa"/>
            <w:gridSpan w:val="3"/>
            <w:tcBorders>
              <w:top w:val="single" w:sz="4" w:space="0" w:color="auto"/>
              <w:left w:val="nil"/>
              <w:bottom w:val="nil"/>
              <w:right w:val="nil"/>
            </w:tcBorders>
          </w:tcPr>
          <w:p w:rsidR="008E3BE5" w:rsidRPr="00F361EA" w:rsidRDefault="008E3BE5" w:rsidP="00C23239">
            <w:pPr>
              <w:spacing w:before="40"/>
              <w:jc w:val="center"/>
              <w:rPr>
                <w:rFonts w:eastAsia="Times New Roman"/>
                <w:bCs/>
                <w:sz w:val="22"/>
                <w:szCs w:val="22"/>
              </w:rPr>
            </w:pPr>
            <w:r>
              <w:rPr>
                <w:rFonts w:eastAsia="Times New Roman"/>
                <w:bCs/>
                <w:sz w:val="22"/>
                <w:szCs w:val="22"/>
              </w:rPr>
              <w:t>Models with time-varying controls</w:t>
            </w:r>
          </w:p>
        </w:tc>
      </w:tr>
      <w:tr w:rsidR="008E3BE5" w:rsidTr="00C23239">
        <w:tc>
          <w:tcPr>
            <w:tcW w:w="3798" w:type="dxa"/>
            <w:tcBorders>
              <w:top w:val="nil"/>
              <w:left w:val="nil"/>
              <w:bottom w:val="nil"/>
              <w:right w:val="nil"/>
            </w:tcBorders>
          </w:tcPr>
          <w:p w:rsidR="008E3BE5" w:rsidRPr="00F361EA" w:rsidRDefault="008E3BE5" w:rsidP="00C23239">
            <w:pPr>
              <w:jc w:val="center"/>
              <w:rPr>
                <w:rFonts w:eastAsia="Times New Roman"/>
                <w:bCs/>
                <w:sz w:val="22"/>
                <w:szCs w:val="22"/>
              </w:rPr>
            </w:pPr>
          </w:p>
        </w:tc>
        <w:tc>
          <w:tcPr>
            <w:tcW w:w="1608" w:type="dxa"/>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sidRPr="00F361EA">
              <w:rPr>
                <w:rFonts w:eastAsia="Times New Roman"/>
                <w:bCs/>
                <w:sz w:val="22"/>
                <w:szCs w:val="22"/>
              </w:rPr>
              <w:t>Spatial Lag</w:t>
            </w:r>
          </w:p>
        </w:tc>
        <w:tc>
          <w:tcPr>
            <w:tcW w:w="1608" w:type="dxa"/>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sidRPr="00F361EA">
              <w:rPr>
                <w:rFonts w:eastAsia="Times New Roman"/>
                <w:bCs/>
                <w:sz w:val="22"/>
                <w:szCs w:val="22"/>
              </w:rPr>
              <w:t>Spatial Durbin</w:t>
            </w:r>
          </w:p>
        </w:tc>
        <w:tc>
          <w:tcPr>
            <w:tcW w:w="1609" w:type="dxa"/>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sidRPr="00F361EA">
              <w:rPr>
                <w:rFonts w:eastAsia="Times New Roman"/>
                <w:bCs/>
                <w:sz w:val="22"/>
                <w:szCs w:val="22"/>
              </w:rPr>
              <w:t>SARAR</w:t>
            </w:r>
          </w:p>
        </w:tc>
        <w:tc>
          <w:tcPr>
            <w:tcW w:w="454" w:type="dxa"/>
            <w:tcBorders>
              <w:top w:val="nil"/>
              <w:left w:val="nil"/>
              <w:bottom w:val="nil"/>
              <w:right w:val="nil"/>
            </w:tcBorders>
          </w:tcPr>
          <w:p w:rsidR="008E3BE5" w:rsidRPr="00F361EA" w:rsidRDefault="008E3BE5" w:rsidP="00C23239">
            <w:pPr>
              <w:spacing w:after="40"/>
              <w:jc w:val="center"/>
              <w:rPr>
                <w:rFonts w:eastAsia="Times New Roman"/>
                <w:bCs/>
                <w:sz w:val="22"/>
                <w:szCs w:val="22"/>
              </w:rPr>
            </w:pPr>
          </w:p>
        </w:tc>
        <w:tc>
          <w:tcPr>
            <w:tcW w:w="1609" w:type="dxa"/>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sidRPr="00F361EA">
              <w:rPr>
                <w:rFonts w:eastAsia="Times New Roman"/>
                <w:bCs/>
                <w:sz w:val="22"/>
                <w:szCs w:val="22"/>
              </w:rPr>
              <w:t>Spatial Lag</w:t>
            </w:r>
          </w:p>
        </w:tc>
        <w:tc>
          <w:tcPr>
            <w:tcW w:w="1608" w:type="dxa"/>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sidRPr="00F361EA">
              <w:rPr>
                <w:rFonts w:eastAsia="Times New Roman"/>
                <w:bCs/>
                <w:sz w:val="22"/>
                <w:szCs w:val="22"/>
              </w:rPr>
              <w:t>Spatial Durbin</w:t>
            </w:r>
          </w:p>
        </w:tc>
        <w:tc>
          <w:tcPr>
            <w:tcW w:w="1609" w:type="dxa"/>
            <w:tcBorders>
              <w:top w:val="nil"/>
              <w:left w:val="nil"/>
              <w:bottom w:val="single" w:sz="4" w:space="0" w:color="auto"/>
              <w:right w:val="nil"/>
            </w:tcBorders>
          </w:tcPr>
          <w:p w:rsidR="008E3BE5" w:rsidRPr="00F361EA" w:rsidRDefault="008E3BE5" w:rsidP="00C23239">
            <w:pPr>
              <w:spacing w:after="40"/>
              <w:jc w:val="center"/>
              <w:rPr>
                <w:rFonts w:eastAsia="Times New Roman"/>
                <w:bCs/>
                <w:sz w:val="22"/>
                <w:szCs w:val="22"/>
              </w:rPr>
            </w:pPr>
            <w:r w:rsidRPr="00F361EA">
              <w:rPr>
                <w:rFonts w:eastAsia="Times New Roman"/>
                <w:bCs/>
                <w:sz w:val="22"/>
                <w:szCs w:val="22"/>
              </w:rPr>
              <w:t>SARAR</w:t>
            </w:r>
          </w:p>
        </w:tc>
      </w:tr>
      <w:tr w:rsidR="008E3BE5" w:rsidTr="00C23239">
        <w:tc>
          <w:tcPr>
            <w:tcW w:w="3798" w:type="dxa"/>
            <w:tcBorders>
              <w:top w:val="nil"/>
              <w:left w:val="nil"/>
              <w:bottom w:val="nil"/>
              <w:right w:val="nil"/>
            </w:tcBorders>
          </w:tcPr>
          <w:p w:rsidR="008E3BE5" w:rsidRPr="00F361EA" w:rsidRDefault="008E3BE5" w:rsidP="00C23239">
            <w:pPr>
              <w:spacing w:before="40"/>
              <w:rPr>
                <w:rFonts w:eastAsia="Times New Roman"/>
                <w:bCs/>
                <w:sz w:val="22"/>
                <w:szCs w:val="22"/>
              </w:rPr>
            </w:pPr>
            <w:r>
              <w:rPr>
                <w:rFonts w:eastAsia="Times New Roman"/>
                <w:bCs/>
                <w:sz w:val="22"/>
                <w:szCs w:val="22"/>
              </w:rPr>
              <w:t>Average direct impacts</w:t>
            </w:r>
          </w:p>
        </w:tc>
        <w:tc>
          <w:tcPr>
            <w:tcW w:w="1608" w:type="dxa"/>
            <w:tcBorders>
              <w:top w:val="single" w:sz="4" w:space="0" w:color="auto"/>
              <w:left w:val="nil"/>
              <w:bottom w:val="nil"/>
              <w:right w:val="nil"/>
            </w:tcBorders>
          </w:tcPr>
          <w:p w:rsidR="008E3BE5" w:rsidRPr="00F361EA" w:rsidRDefault="008E3BE5" w:rsidP="00C23239">
            <w:pPr>
              <w:tabs>
                <w:tab w:val="decimal" w:pos="454"/>
              </w:tabs>
              <w:spacing w:before="40"/>
              <w:rPr>
                <w:rFonts w:eastAsia="Times New Roman"/>
                <w:bCs/>
                <w:sz w:val="22"/>
                <w:szCs w:val="22"/>
              </w:rPr>
            </w:pPr>
            <w:r>
              <w:rPr>
                <w:rFonts w:eastAsia="Times New Roman"/>
                <w:bCs/>
                <w:sz w:val="22"/>
                <w:szCs w:val="22"/>
              </w:rPr>
              <w:t>-0.077***</w:t>
            </w:r>
          </w:p>
        </w:tc>
        <w:tc>
          <w:tcPr>
            <w:tcW w:w="1608" w:type="dxa"/>
            <w:tcBorders>
              <w:top w:val="single" w:sz="4" w:space="0" w:color="auto"/>
              <w:left w:val="nil"/>
              <w:bottom w:val="nil"/>
              <w:right w:val="nil"/>
            </w:tcBorders>
          </w:tcPr>
          <w:p w:rsidR="008E3BE5" w:rsidRPr="00F361EA" w:rsidRDefault="008E3BE5" w:rsidP="00C23239">
            <w:pPr>
              <w:tabs>
                <w:tab w:val="decimal" w:pos="454"/>
              </w:tabs>
              <w:spacing w:before="40"/>
              <w:rPr>
                <w:rFonts w:eastAsia="Times New Roman"/>
                <w:bCs/>
                <w:sz w:val="22"/>
                <w:szCs w:val="22"/>
              </w:rPr>
            </w:pPr>
            <w:r>
              <w:rPr>
                <w:rFonts w:eastAsia="Times New Roman"/>
                <w:bCs/>
                <w:sz w:val="22"/>
                <w:szCs w:val="22"/>
              </w:rPr>
              <w:t>-0.064***</w:t>
            </w:r>
          </w:p>
        </w:tc>
        <w:tc>
          <w:tcPr>
            <w:tcW w:w="1609" w:type="dxa"/>
            <w:tcBorders>
              <w:top w:val="single" w:sz="4" w:space="0" w:color="auto"/>
              <w:left w:val="nil"/>
              <w:bottom w:val="nil"/>
              <w:right w:val="nil"/>
            </w:tcBorders>
          </w:tcPr>
          <w:p w:rsidR="008E3BE5" w:rsidRPr="00F361EA" w:rsidRDefault="008E3BE5" w:rsidP="00C23239">
            <w:pPr>
              <w:tabs>
                <w:tab w:val="decimal" w:pos="454"/>
              </w:tabs>
              <w:spacing w:before="40"/>
              <w:rPr>
                <w:rFonts w:eastAsia="Times New Roman"/>
                <w:bCs/>
                <w:sz w:val="22"/>
                <w:szCs w:val="22"/>
              </w:rPr>
            </w:pPr>
            <w:r>
              <w:rPr>
                <w:rFonts w:eastAsia="Times New Roman"/>
                <w:bCs/>
                <w:sz w:val="22"/>
                <w:szCs w:val="22"/>
              </w:rPr>
              <w:t>-0.033*</w:t>
            </w:r>
          </w:p>
        </w:tc>
        <w:tc>
          <w:tcPr>
            <w:tcW w:w="454" w:type="dxa"/>
            <w:tcBorders>
              <w:top w:val="nil"/>
              <w:left w:val="nil"/>
              <w:bottom w:val="nil"/>
              <w:right w:val="nil"/>
            </w:tcBorders>
          </w:tcPr>
          <w:p w:rsidR="008E3BE5" w:rsidRPr="00F361EA" w:rsidRDefault="008E3BE5" w:rsidP="00C23239">
            <w:pPr>
              <w:tabs>
                <w:tab w:val="decimal" w:pos="454"/>
              </w:tabs>
              <w:spacing w:before="40"/>
              <w:rPr>
                <w:rFonts w:eastAsia="Times New Roman"/>
                <w:bCs/>
                <w:sz w:val="22"/>
                <w:szCs w:val="22"/>
              </w:rPr>
            </w:pPr>
          </w:p>
        </w:tc>
        <w:tc>
          <w:tcPr>
            <w:tcW w:w="1609" w:type="dxa"/>
            <w:tcBorders>
              <w:top w:val="single" w:sz="4" w:space="0" w:color="auto"/>
              <w:left w:val="nil"/>
              <w:bottom w:val="nil"/>
              <w:right w:val="nil"/>
            </w:tcBorders>
          </w:tcPr>
          <w:p w:rsidR="008E3BE5" w:rsidRPr="00F361EA" w:rsidRDefault="008E3BE5" w:rsidP="00C23239">
            <w:pPr>
              <w:tabs>
                <w:tab w:val="decimal" w:pos="454"/>
              </w:tabs>
              <w:spacing w:before="40"/>
              <w:rPr>
                <w:rFonts w:eastAsia="Times New Roman"/>
                <w:bCs/>
                <w:sz w:val="22"/>
                <w:szCs w:val="22"/>
              </w:rPr>
            </w:pPr>
            <w:r>
              <w:rPr>
                <w:rFonts w:eastAsia="Times New Roman"/>
                <w:bCs/>
                <w:sz w:val="22"/>
                <w:szCs w:val="22"/>
              </w:rPr>
              <w:t>-0.077***</w:t>
            </w:r>
          </w:p>
        </w:tc>
        <w:tc>
          <w:tcPr>
            <w:tcW w:w="1608" w:type="dxa"/>
            <w:tcBorders>
              <w:top w:val="single" w:sz="4" w:space="0" w:color="auto"/>
              <w:left w:val="nil"/>
              <w:bottom w:val="nil"/>
              <w:right w:val="nil"/>
            </w:tcBorders>
          </w:tcPr>
          <w:p w:rsidR="008E3BE5" w:rsidRPr="00F361EA" w:rsidRDefault="008E3BE5" w:rsidP="00C23239">
            <w:pPr>
              <w:tabs>
                <w:tab w:val="decimal" w:pos="454"/>
              </w:tabs>
              <w:spacing w:before="40"/>
              <w:rPr>
                <w:rFonts w:eastAsia="Times New Roman"/>
                <w:bCs/>
                <w:sz w:val="22"/>
                <w:szCs w:val="22"/>
              </w:rPr>
            </w:pPr>
            <w:r>
              <w:rPr>
                <w:rFonts w:eastAsia="Times New Roman"/>
                <w:bCs/>
                <w:sz w:val="22"/>
                <w:szCs w:val="22"/>
              </w:rPr>
              <w:t>-0.067***</w:t>
            </w:r>
          </w:p>
        </w:tc>
        <w:tc>
          <w:tcPr>
            <w:tcW w:w="1609" w:type="dxa"/>
            <w:tcBorders>
              <w:top w:val="single" w:sz="4" w:space="0" w:color="auto"/>
              <w:left w:val="nil"/>
              <w:bottom w:val="nil"/>
              <w:right w:val="nil"/>
            </w:tcBorders>
          </w:tcPr>
          <w:p w:rsidR="008E3BE5" w:rsidRPr="00F361EA" w:rsidRDefault="008E3BE5" w:rsidP="00C23239">
            <w:pPr>
              <w:tabs>
                <w:tab w:val="decimal" w:pos="454"/>
              </w:tabs>
              <w:spacing w:before="40"/>
              <w:rPr>
                <w:rFonts w:eastAsia="Times New Roman"/>
                <w:bCs/>
                <w:sz w:val="22"/>
                <w:szCs w:val="22"/>
              </w:rPr>
            </w:pPr>
            <w:r>
              <w:rPr>
                <w:rFonts w:eastAsia="Times New Roman"/>
                <w:bCs/>
                <w:sz w:val="22"/>
                <w:szCs w:val="22"/>
              </w:rPr>
              <w:t>-0.036*</w:t>
            </w:r>
          </w:p>
        </w:tc>
      </w:tr>
      <w:tr w:rsidR="008E3BE5" w:rsidTr="00C23239">
        <w:tc>
          <w:tcPr>
            <w:tcW w:w="3798" w:type="dxa"/>
            <w:tcBorders>
              <w:top w:val="nil"/>
              <w:left w:val="nil"/>
              <w:bottom w:val="nil"/>
              <w:right w:val="nil"/>
            </w:tcBorders>
          </w:tcPr>
          <w:p w:rsidR="008E3BE5" w:rsidRPr="00F361EA" w:rsidRDefault="008E3BE5" w:rsidP="00C23239">
            <w:pPr>
              <w:rPr>
                <w:rFonts w:eastAsia="Times New Roman"/>
                <w:bCs/>
                <w:sz w:val="22"/>
                <w:szCs w:val="22"/>
              </w:rPr>
            </w:pPr>
          </w:p>
        </w:tc>
        <w:tc>
          <w:tcPr>
            <w:tcW w:w="1608"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(0.018)</w:t>
            </w:r>
          </w:p>
        </w:tc>
        <w:tc>
          <w:tcPr>
            <w:tcW w:w="1608"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(0.020)</w:t>
            </w:r>
          </w:p>
        </w:tc>
        <w:tc>
          <w:tcPr>
            <w:tcW w:w="1609"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(0.020)</w:t>
            </w:r>
          </w:p>
        </w:tc>
        <w:tc>
          <w:tcPr>
            <w:tcW w:w="454"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p>
        </w:tc>
        <w:tc>
          <w:tcPr>
            <w:tcW w:w="1609"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(0.018)</w:t>
            </w:r>
          </w:p>
        </w:tc>
        <w:tc>
          <w:tcPr>
            <w:tcW w:w="1608"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(0.019)</w:t>
            </w:r>
          </w:p>
        </w:tc>
        <w:tc>
          <w:tcPr>
            <w:tcW w:w="1609"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(0.019)</w:t>
            </w:r>
          </w:p>
        </w:tc>
      </w:tr>
      <w:tr w:rsidR="008E3BE5" w:rsidTr="00C23239">
        <w:tc>
          <w:tcPr>
            <w:tcW w:w="3798" w:type="dxa"/>
            <w:tcBorders>
              <w:top w:val="nil"/>
              <w:left w:val="nil"/>
              <w:bottom w:val="nil"/>
              <w:right w:val="nil"/>
            </w:tcBorders>
          </w:tcPr>
          <w:p w:rsidR="008E3BE5" w:rsidRPr="00F361EA" w:rsidRDefault="008E3BE5" w:rsidP="00C23239">
            <w:pPr>
              <w:rPr>
                <w:rFonts w:eastAsia="Times New Roman"/>
                <w:bCs/>
                <w:sz w:val="22"/>
                <w:szCs w:val="22"/>
              </w:rPr>
            </w:pPr>
            <w:r>
              <w:rPr>
                <w:rFonts w:eastAsia="Times New Roman"/>
                <w:bCs/>
                <w:sz w:val="22"/>
                <w:szCs w:val="22"/>
              </w:rPr>
              <w:t>Average indirect impacts</w:t>
            </w:r>
          </w:p>
        </w:tc>
        <w:tc>
          <w:tcPr>
            <w:tcW w:w="1608"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-0.039***</w:t>
            </w:r>
          </w:p>
        </w:tc>
        <w:tc>
          <w:tcPr>
            <w:tcW w:w="1608"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-0.104***</w:t>
            </w:r>
          </w:p>
        </w:tc>
        <w:tc>
          <w:tcPr>
            <w:tcW w:w="1609"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-0.113***</w:t>
            </w:r>
          </w:p>
        </w:tc>
        <w:tc>
          <w:tcPr>
            <w:tcW w:w="454"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p>
        </w:tc>
        <w:tc>
          <w:tcPr>
            <w:tcW w:w="1609"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-0.037***</w:t>
            </w:r>
          </w:p>
        </w:tc>
        <w:tc>
          <w:tcPr>
            <w:tcW w:w="1608"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-0.091***</w:t>
            </w:r>
          </w:p>
        </w:tc>
        <w:tc>
          <w:tcPr>
            <w:tcW w:w="1609"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-0.119***</w:t>
            </w:r>
          </w:p>
        </w:tc>
      </w:tr>
      <w:tr w:rsidR="008E3BE5" w:rsidTr="00C23239">
        <w:tc>
          <w:tcPr>
            <w:tcW w:w="3798" w:type="dxa"/>
            <w:tcBorders>
              <w:top w:val="nil"/>
              <w:left w:val="nil"/>
              <w:bottom w:val="nil"/>
              <w:right w:val="nil"/>
            </w:tcBorders>
          </w:tcPr>
          <w:p w:rsidR="008E3BE5" w:rsidRPr="00F361EA" w:rsidRDefault="008E3BE5" w:rsidP="00C23239">
            <w:pPr>
              <w:rPr>
                <w:rFonts w:eastAsia="Times New Roman"/>
                <w:bCs/>
                <w:sz w:val="22"/>
                <w:szCs w:val="22"/>
              </w:rPr>
            </w:pPr>
          </w:p>
        </w:tc>
        <w:tc>
          <w:tcPr>
            <w:tcW w:w="1608"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(0.010)</w:t>
            </w:r>
          </w:p>
        </w:tc>
        <w:tc>
          <w:tcPr>
            <w:tcW w:w="1608"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(0.036)</w:t>
            </w:r>
          </w:p>
        </w:tc>
        <w:tc>
          <w:tcPr>
            <w:tcW w:w="1609"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(0.025)</w:t>
            </w:r>
          </w:p>
        </w:tc>
        <w:tc>
          <w:tcPr>
            <w:tcW w:w="454"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p>
        </w:tc>
        <w:tc>
          <w:tcPr>
            <w:tcW w:w="1609"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(0.009)</w:t>
            </w:r>
          </w:p>
        </w:tc>
        <w:tc>
          <w:tcPr>
            <w:tcW w:w="1608"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(0.035)</w:t>
            </w:r>
          </w:p>
        </w:tc>
        <w:tc>
          <w:tcPr>
            <w:tcW w:w="1609" w:type="dxa"/>
            <w:tcBorders>
              <w:top w:val="nil"/>
              <w:left w:val="nil"/>
              <w:bottom w:val="nil"/>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(0.025)</w:t>
            </w:r>
          </w:p>
        </w:tc>
      </w:tr>
      <w:tr w:rsidR="008E3BE5" w:rsidTr="00C23239">
        <w:tc>
          <w:tcPr>
            <w:tcW w:w="3798" w:type="dxa"/>
            <w:tcBorders>
              <w:top w:val="nil"/>
              <w:left w:val="nil"/>
              <w:bottom w:val="nil"/>
              <w:right w:val="nil"/>
            </w:tcBorders>
          </w:tcPr>
          <w:p w:rsidR="008E3BE5" w:rsidRPr="00F361EA" w:rsidRDefault="008E3BE5" w:rsidP="00C23239">
            <w:pPr>
              <w:rPr>
                <w:rFonts w:eastAsia="Times New Roman"/>
                <w:bCs/>
                <w:sz w:val="22"/>
                <w:szCs w:val="22"/>
              </w:rPr>
            </w:pPr>
            <w:r>
              <w:rPr>
                <w:rFonts w:eastAsia="Times New Roman"/>
                <w:bCs/>
                <w:sz w:val="22"/>
                <w:szCs w:val="22"/>
              </w:rPr>
              <w:t>Average total impacts</w:t>
            </w:r>
          </w:p>
        </w:tc>
        <w:tc>
          <w:tcPr>
            <w:tcW w:w="1608"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-0.115***</w:t>
            </w:r>
          </w:p>
        </w:tc>
        <w:tc>
          <w:tcPr>
            <w:tcW w:w="1608"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-0.168***</w:t>
            </w:r>
          </w:p>
        </w:tc>
        <w:tc>
          <w:tcPr>
            <w:tcW w:w="1609"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-0.146***</w:t>
            </w:r>
          </w:p>
        </w:tc>
        <w:tc>
          <w:tcPr>
            <w:tcW w:w="454"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p>
        </w:tc>
        <w:tc>
          <w:tcPr>
            <w:tcW w:w="1609"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-0.114***</w:t>
            </w:r>
          </w:p>
        </w:tc>
        <w:tc>
          <w:tcPr>
            <w:tcW w:w="1608"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-0.158***</w:t>
            </w:r>
          </w:p>
        </w:tc>
        <w:tc>
          <w:tcPr>
            <w:tcW w:w="1609" w:type="dxa"/>
            <w:tcBorders>
              <w:top w:val="nil"/>
              <w:left w:val="nil"/>
              <w:bottom w:val="nil"/>
              <w:right w:val="nil"/>
            </w:tcBorders>
          </w:tcPr>
          <w:p w:rsidR="008E3BE5" w:rsidRPr="00F361EA" w:rsidRDefault="008E3BE5" w:rsidP="00C23239">
            <w:pPr>
              <w:tabs>
                <w:tab w:val="decimal" w:pos="454"/>
              </w:tabs>
              <w:rPr>
                <w:rFonts w:eastAsia="Times New Roman"/>
                <w:bCs/>
                <w:sz w:val="22"/>
                <w:szCs w:val="22"/>
              </w:rPr>
            </w:pPr>
            <w:r>
              <w:rPr>
                <w:rFonts w:eastAsia="Times New Roman"/>
                <w:bCs/>
                <w:sz w:val="22"/>
                <w:szCs w:val="22"/>
              </w:rPr>
              <w:t>-0.155***</w:t>
            </w:r>
          </w:p>
        </w:tc>
      </w:tr>
      <w:tr w:rsidR="008E3BE5" w:rsidTr="00C23239">
        <w:tc>
          <w:tcPr>
            <w:tcW w:w="3798" w:type="dxa"/>
            <w:tcBorders>
              <w:top w:val="nil"/>
              <w:left w:val="nil"/>
              <w:bottom w:val="single" w:sz="4" w:space="0" w:color="auto"/>
              <w:right w:val="nil"/>
            </w:tcBorders>
          </w:tcPr>
          <w:p w:rsidR="008E3BE5" w:rsidRPr="00F361EA" w:rsidRDefault="008E3BE5" w:rsidP="00C23239">
            <w:pPr>
              <w:jc w:val="center"/>
              <w:rPr>
                <w:rFonts w:eastAsia="Times New Roman"/>
                <w:bCs/>
                <w:sz w:val="22"/>
                <w:szCs w:val="22"/>
              </w:rPr>
            </w:pPr>
          </w:p>
        </w:tc>
        <w:tc>
          <w:tcPr>
            <w:tcW w:w="1608"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(0.027)</w:t>
            </w:r>
          </w:p>
        </w:tc>
        <w:tc>
          <w:tcPr>
            <w:tcW w:w="1608"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(0.039)</w:t>
            </w:r>
          </w:p>
        </w:tc>
        <w:tc>
          <w:tcPr>
            <w:tcW w:w="1609"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(0.028)</w:t>
            </w:r>
          </w:p>
        </w:tc>
        <w:tc>
          <w:tcPr>
            <w:tcW w:w="454"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p>
        </w:tc>
        <w:tc>
          <w:tcPr>
            <w:tcW w:w="1609"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(0.026)</w:t>
            </w:r>
          </w:p>
        </w:tc>
        <w:tc>
          <w:tcPr>
            <w:tcW w:w="1608"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(0.038)</w:t>
            </w:r>
          </w:p>
        </w:tc>
        <w:tc>
          <w:tcPr>
            <w:tcW w:w="1609" w:type="dxa"/>
            <w:tcBorders>
              <w:top w:val="nil"/>
              <w:left w:val="nil"/>
              <w:bottom w:val="single" w:sz="4" w:space="0" w:color="auto"/>
              <w:right w:val="nil"/>
            </w:tcBorders>
          </w:tcPr>
          <w:p w:rsidR="008E3BE5" w:rsidRPr="00F361EA" w:rsidRDefault="008E3BE5" w:rsidP="00C23239">
            <w:pPr>
              <w:tabs>
                <w:tab w:val="decimal" w:pos="454"/>
              </w:tabs>
              <w:spacing w:after="60"/>
              <w:rPr>
                <w:rFonts w:eastAsia="Times New Roman"/>
                <w:bCs/>
                <w:sz w:val="22"/>
                <w:szCs w:val="22"/>
              </w:rPr>
            </w:pPr>
            <w:r>
              <w:rPr>
                <w:rFonts w:eastAsia="Times New Roman"/>
                <w:bCs/>
                <w:sz w:val="22"/>
                <w:szCs w:val="22"/>
              </w:rPr>
              <w:t>(0.028)</w:t>
            </w:r>
          </w:p>
        </w:tc>
      </w:tr>
      <w:tr w:rsidR="008E3BE5" w:rsidTr="00C23239">
        <w:tc>
          <w:tcPr>
            <w:tcW w:w="13903" w:type="dxa"/>
            <w:gridSpan w:val="8"/>
            <w:tcBorders>
              <w:top w:val="single" w:sz="4" w:space="0" w:color="auto"/>
              <w:left w:val="nil"/>
              <w:bottom w:val="nil"/>
              <w:right w:val="nil"/>
            </w:tcBorders>
          </w:tcPr>
          <w:p w:rsidR="008E3BE5" w:rsidRPr="003D043B" w:rsidRDefault="008E3BE5" w:rsidP="00C23239">
            <w:pPr>
              <w:spacing w:before="40"/>
              <w:jc w:val="both"/>
              <w:rPr>
                <w:rFonts w:eastAsia="Times New Roman"/>
                <w:bCs/>
                <w:sz w:val="20"/>
                <w:szCs w:val="20"/>
              </w:rPr>
            </w:pPr>
            <w:r w:rsidRPr="003D043B">
              <w:rPr>
                <w:rFonts w:eastAsia="Times New Roman"/>
                <w:bCs/>
                <w:i/>
                <w:iCs/>
                <w:sz w:val="20"/>
                <w:szCs w:val="20"/>
              </w:rPr>
              <w:t xml:space="preserve">Notes: </w:t>
            </w:r>
            <w:r>
              <w:rPr>
                <w:rFonts w:eastAsia="Times New Roman"/>
                <w:bCs/>
                <w:sz w:val="20"/>
                <w:szCs w:val="20"/>
              </w:rPr>
              <w:t xml:space="preserve">Impacts are in standard deviation terms, </w:t>
            </w:r>
            <w:r>
              <w:rPr>
                <w:rFonts w:asciiTheme="majorBidi" w:eastAsia="Times New Roman" w:hAnsiTheme="majorBidi" w:cstheme="majorBidi"/>
                <w:bCs/>
                <w:sz w:val="20"/>
                <w:szCs w:val="20"/>
              </w:rPr>
              <w:t xml:space="preserve">***, **, * denote statistical significance at </w:t>
            </w:r>
            <w:r>
              <w:rPr>
                <w:rFonts w:asciiTheme="majorBidi" w:eastAsia="Times New Roman" w:hAnsiTheme="majorBidi" w:cstheme="majorBidi"/>
                <w:bCs/>
                <w:i/>
                <w:iCs/>
                <w:sz w:val="20"/>
                <w:szCs w:val="20"/>
              </w:rPr>
              <w:t>p</w:t>
            </w:r>
            <w:r>
              <w:rPr>
                <w:rFonts w:asciiTheme="majorBidi" w:eastAsia="Times New Roman" w:hAnsiTheme="majorBidi" w:cstheme="majorBidi"/>
                <w:bCs/>
                <w:sz w:val="20"/>
                <w:szCs w:val="20"/>
              </w:rPr>
              <w:t xml:space="preserve">&lt;0.01, </w:t>
            </w:r>
            <w:r>
              <w:rPr>
                <w:rFonts w:asciiTheme="majorBidi" w:eastAsia="Times New Roman" w:hAnsiTheme="majorBidi" w:cstheme="majorBidi"/>
                <w:bCs/>
                <w:i/>
                <w:iCs/>
                <w:sz w:val="20"/>
                <w:szCs w:val="20"/>
              </w:rPr>
              <w:t>p</w:t>
            </w:r>
            <w:r>
              <w:rPr>
                <w:rFonts w:asciiTheme="majorBidi" w:eastAsia="Times New Roman" w:hAnsiTheme="majorBidi" w:cstheme="majorBidi"/>
                <w:bCs/>
                <w:sz w:val="20"/>
                <w:szCs w:val="20"/>
              </w:rPr>
              <w:t xml:space="preserve">&lt;0.05, and </w:t>
            </w:r>
            <w:r w:rsidRPr="00360994">
              <w:rPr>
                <w:rFonts w:asciiTheme="majorBidi" w:eastAsia="Times New Roman" w:hAnsiTheme="majorBidi" w:cstheme="majorBidi"/>
                <w:bCs/>
                <w:i/>
                <w:iCs/>
                <w:sz w:val="20"/>
                <w:szCs w:val="20"/>
              </w:rPr>
              <w:t>p</w:t>
            </w:r>
            <w:r>
              <w:rPr>
                <w:rFonts w:asciiTheme="majorBidi" w:eastAsia="Times New Roman" w:hAnsiTheme="majorBidi" w:cstheme="majorBidi"/>
                <w:bCs/>
                <w:sz w:val="20"/>
                <w:szCs w:val="20"/>
              </w:rPr>
              <w:t>&lt;0.10.</w:t>
            </w:r>
          </w:p>
        </w:tc>
      </w:tr>
    </w:tbl>
    <w:p w:rsidR="008E3BE5" w:rsidRDefault="008E3BE5">
      <w:pPr>
        <w:rPr>
          <w:rFonts w:asciiTheme="majorBidi" w:hAnsiTheme="majorBidi" w:cstheme="majorBidi"/>
          <w:bCs/>
          <w:sz w:val="4"/>
          <w:szCs w:val="4"/>
          <w:lang w:val="en-US"/>
        </w:rPr>
      </w:pPr>
      <w:r>
        <w:rPr>
          <w:rFonts w:asciiTheme="majorBidi" w:hAnsiTheme="majorBidi" w:cstheme="majorBidi"/>
          <w:bCs/>
          <w:sz w:val="4"/>
          <w:szCs w:val="4"/>
          <w:lang w:val="en-US"/>
        </w:rPr>
        <w:br w:type="page"/>
      </w:r>
    </w:p>
    <w:p w:rsidR="008E3BE5" w:rsidRDefault="008E3BE5" w:rsidP="0092277C">
      <w:pPr>
        <w:widowControl w:val="0"/>
        <w:spacing w:after="0" w:line="360" w:lineRule="auto"/>
        <w:ind w:firstLine="720"/>
        <w:jc w:val="both"/>
        <w:rPr>
          <w:rFonts w:asciiTheme="majorBidi" w:hAnsiTheme="majorBidi" w:cstheme="majorBidi"/>
          <w:bCs/>
          <w:sz w:val="4"/>
          <w:szCs w:val="4"/>
          <w:lang w:val="en-US"/>
        </w:rPr>
        <w:sectPr w:rsidR="008E3BE5" w:rsidSect="00C637EE">
          <w:pgSz w:w="16838" w:h="11906" w:orient="landscape"/>
          <w:pgMar w:top="1440" w:right="1440" w:bottom="1440" w:left="1440" w:header="708" w:footer="708" w:gutter="0"/>
          <w:cols w:space="708"/>
          <w:docGrid w:linePitch="360"/>
        </w:sectPr>
      </w:pPr>
    </w:p>
    <w:p w:rsidR="00A0065E" w:rsidRPr="008E3BE5" w:rsidRDefault="00A0065E" w:rsidP="0092277C">
      <w:pPr>
        <w:widowControl w:val="0"/>
        <w:spacing w:after="0" w:line="360" w:lineRule="auto"/>
        <w:ind w:firstLine="720"/>
        <w:jc w:val="both"/>
        <w:rPr>
          <w:rFonts w:asciiTheme="majorBidi" w:hAnsiTheme="majorBidi" w:cstheme="majorBidi"/>
          <w:bCs/>
          <w:sz w:val="4"/>
          <w:szCs w:val="4"/>
          <w:lang w:val="en-US"/>
        </w:rPr>
      </w:pPr>
    </w:p>
    <w:p w:rsidR="008E3BE5" w:rsidRPr="008E3BE5" w:rsidRDefault="008E3BE5" w:rsidP="0092277C">
      <w:pPr>
        <w:widowControl w:val="0"/>
        <w:spacing w:after="0" w:line="360" w:lineRule="auto"/>
        <w:ind w:firstLine="720"/>
        <w:jc w:val="both"/>
        <w:rPr>
          <w:rFonts w:asciiTheme="majorBidi" w:hAnsiTheme="majorBidi" w:cstheme="majorBidi"/>
          <w:bCs/>
          <w:sz w:val="4"/>
          <w:szCs w:val="4"/>
          <w:lang w:val="en-US"/>
        </w:rPr>
      </w:pPr>
    </w:p>
    <w:p w:rsidR="00E85C83" w:rsidRDefault="00E85C83" w:rsidP="00AB0D18">
      <w:pPr>
        <w:widowControl w:val="0"/>
        <w:spacing w:after="0" w:line="288" w:lineRule="auto"/>
        <w:ind w:firstLine="720"/>
        <w:jc w:val="both"/>
        <w:rPr>
          <w:rFonts w:asciiTheme="majorBidi" w:hAnsiTheme="majorBidi" w:cstheme="majorBidi"/>
          <w:bCs/>
          <w:lang w:val="en-US"/>
        </w:rPr>
      </w:pPr>
      <w:r w:rsidRPr="008A622D">
        <w:rPr>
          <w:rFonts w:asciiTheme="majorBidi" w:hAnsiTheme="majorBidi" w:cstheme="majorBidi"/>
          <w:bCs/>
          <w:lang w:val="en-US"/>
        </w:rPr>
        <w:t xml:space="preserve"> </w:t>
      </w:r>
      <w:r w:rsidR="00CB5C19" w:rsidRPr="008A622D">
        <w:rPr>
          <w:rFonts w:asciiTheme="majorBidi" w:hAnsiTheme="majorBidi" w:cstheme="majorBidi"/>
          <w:bCs/>
          <w:lang w:val="en-US"/>
        </w:rPr>
        <w:t xml:space="preserve">The results of this decomposition, which relies on equation (4), are shown in Table 2. </w:t>
      </w:r>
      <w:r w:rsidR="00CF11DF" w:rsidRPr="008A622D">
        <w:rPr>
          <w:rFonts w:asciiTheme="majorBidi" w:hAnsiTheme="majorBidi" w:cstheme="majorBidi"/>
          <w:bCs/>
          <w:lang w:val="en-US"/>
        </w:rPr>
        <w:t>Starting with the average total impact, this ranges from ˗0.11 to ˗0.17 and is always precisely estimated (</w:t>
      </w:r>
      <w:r w:rsidR="00CF11DF" w:rsidRPr="00C23239">
        <w:rPr>
          <w:rFonts w:asciiTheme="majorBidi" w:hAnsiTheme="majorBidi" w:cstheme="majorBidi"/>
          <w:bCs/>
          <w:i/>
          <w:iCs/>
          <w:lang w:val="en-US"/>
        </w:rPr>
        <w:t>p</w:t>
      </w:r>
      <w:r w:rsidR="00CF11DF" w:rsidRPr="008A622D">
        <w:rPr>
          <w:rFonts w:asciiTheme="majorBidi" w:hAnsiTheme="majorBidi" w:cstheme="majorBidi"/>
          <w:bCs/>
          <w:lang w:val="en-US"/>
        </w:rPr>
        <w:t>&lt;0.01). The lowest values of the average total impact come from the spatial lag models, where they are about the same as what the aspatial models show. However, with the spatial Durbin model and the SARAR model, total impacts are about 50% larger than what is suggested by an aspatial model like equation (1). The statistical significance of spatial lags on the foreign-born share and on the errors imply that the spatial lag models rely on restrictions that are inconsistent with the data</w:t>
      </w:r>
      <w:r w:rsidR="00FE317D" w:rsidRPr="008A622D">
        <w:rPr>
          <w:rFonts w:asciiTheme="majorBidi" w:hAnsiTheme="majorBidi" w:cstheme="majorBidi"/>
          <w:bCs/>
          <w:lang w:val="en-US"/>
        </w:rPr>
        <w:t xml:space="preserve">. Thus, </w:t>
      </w:r>
      <w:r w:rsidR="00CF11DF" w:rsidRPr="008A622D">
        <w:rPr>
          <w:rFonts w:asciiTheme="majorBidi" w:hAnsiTheme="majorBidi" w:cstheme="majorBidi"/>
          <w:bCs/>
          <w:lang w:val="en-US"/>
        </w:rPr>
        <w:t xml:space="preserve">it is these larger values of the total effects, </w:t>
      </w:r>
      <w:r w:rsidR="00AB0D18">
        <w:rPr>
          <w:rFonts w:asciiTheme="majorBidi" w:hAnsiTheme="majorBidi" w:cstheme="majorBidi"/>
          <w:bCs/>
          <w:lang w:val="en-US"/>
        </w:rPr>
        <w:t>which</w:t>
      </w:r>
      <w:r w:rsidR="00CF11DF" w:rsidRPr="008A622D">
        <w:rPr>
          <w:rFonts w:asciiTheme="majorBidi" w:hAnsiTheme="majorBidi" w:cstheme="majorBidi"/>
          <w:bCs/>
          <w:lang w:val="en-US"/>
        </w:rPr>
        <w:t xml:space="preserve"> </w:t>
      </w:r>
      <w:r w:rsidR="00AB0D18">
        <w:rPr>
          <w:rFonts w:asciiTheme="majorBidi" w:hAnsiTheme="majorBidi" w:cstheme="majorBidi"/>
          <w:bCs/>
          <w:lang w:val="en-US"/>
        </w:rPr>
        <w:t xml:space="preserve">we estimate as </w:t>
      </w:r>
      <w:r w:rsidR="00CF11DF" w:rsidRPr="008A622D">
        <w:rPr>
          <w:rFonts w:asciiTheme="majorBidi" w:hAnsiTheme="majorBidi" w:cstheme="majorBidi"/>
          <w:bCs/>
          <w:lang w:val="en-US"/>
        </w:rPr>
        <w:t>approximately ˗0.16, that</w:t>
      </w:r>
      <w:r w:rsidR="00FE317D" w:rsidRPr="008A622D">
        <w:rPr>
          <w:rFonts w:asciiTheme="majorBidi" w:hAnsiTheme="majorBidi" w:cstheme="majorBidi"/>
          <w:bCs/>
          <w:lang w:val="en-US"/>
        </w:rPr>
        <w:t xml:space="preserve"> should be thought of as closer</w:t>
      </w:r>
      <w:r w:rsidR="00CF11DF" w:rsidRPr="008A622D">
        <w:rPr>
          <w:rFonts w:asciiTheme="majorBidi" w:hAnsiTheme="majorBidi" w:cstheme="majorBidi"/>
          <w:bCs/>
          <w:lang w:val="en-US"/>
        </w:rPr>
        <w:t xml:space="preserve"> to the truth. These averages of the total impacts imply that a standard deviation higher foreign-born share is associated with a one-sixth of a standard deviation lower ownership rate for the native-born.</w:t>
      </w:r>
    </w:p>
    <w:p w:rsidR="00A0065E" w:rsidRPr="00694592" w:rsidRDefault="00A0065E" w:rsidP="007F268F">
      <w:pPr>
        <w:widowControl w:val="0"/>
        <w:spacing w:after="0" w:line="288" w:lineRule="auto"/>
        <w:ind w:firstLine="720"/>
        <w:jc w:val="both"/>
        <w:rPr>
          <w:rFonts w:asciiTheme="majorBidi" w:hAnsiTheme="majorBidi" w:cstheme="majorBidi"/>
          <w:bCs/>
          <w:sz w:val="12"/>
          <w:szCs w:val="12"/>
          <w:lang w:val="en-US"/>
        </w:rPr>
      </w:pPr>
    </w:p>
    <w:p w:rsidR="00D31DFA" w:rsidRPr="007F268F" w:rsidRDefault="006935DB" w:rsidP="007F268F">
      <w:pPr>
        <w:widowControl w:val="0"/>
        <w:spacing w:after="0" w:line="288" w:lineRule="auto"/>
        <w:ind w:firstLine="720"/>
        <w:jc w:val="both"/>
        <w:rPr>
          <w:rFonts w:asciiTheme="majorBidi" w:hAnsiTheme="majorBidi" w:cstheme="majorBidi"/>
          <w:bCs/>
          <w:lang w:val="en-US"/>
        </w:rPr>
      </w:pPr>
      <w:r w:rsidRPr="007F268F">
        <w:rPr>
          <w:rFonts w:asciiTheme="majorBidi" w:hAnsiTheme="majorBidi" w:cstheme="majorBidi"/>
          <w:bCs/>
          <w:lang w:val="en-US"/>
        </w:rPr>
        <w:t xml:space="preserve">The reason that spatial models show a larger impact of the foreign-born share than do the aspatial models is because much of the impact is indirect and the aspatial models </w:t>
      </w:r>
      <w:r w:rsidR="00D31DFA" w:rsidRPr="007F268F">
        <w:rPr>
          <w:rFonts w:asciiTheme="majorBidi" w:hAnsiTheme="majorBidi" w:cstheme="majorBidi"/>
          <w:bCs/>
          <w:lang w:val="en-US"/>
        </w:rPr>
        <w:t>can</w:t>
      </w:r>
      <w:r w:rsidRPr="007F268F">
        <w:rPr>
          <w:rFonts w:asciiTheme="majorBidi" w:hAnsiTheme="majorBidi" w:cstheme="majorBidi"/>
          <w:bCs/>
          <w:lang w:val="en-US"/>
        </w:rPr>
        <w:t xml:space="preserve">not estimate indirect impacts. For example, </w:t>
      </w:r>
      <w:r w:rsidR="00F361EA" w:rsidRPr="007F268F">
        <w:rPr>
          <w:rFonts w:asciiTheme="majorBidi" w:hAnsiTheme="majorBidi" w:cstheme="majorBidi"/>
          <w:bCs/>
          <w:lang w:val="en-US"/>
        </w:rPr>
        <w:t xml:space="preserve">a local change in </w:t>
      </w:r>
      <w:r w:rsidRPr="007F268F">
        <w:rPr>
          <w:rFonts w:asciiTheme="majorBidi" w:hAnsiTheme="majorBidi" w:cstheme="majorBidi"/>
          <w:bCs/>
          <w:lang w:val="en-US"/>
        </w:rPr>
        <w:t>the foreign-born share will affect the native-born ownership rate in that same area unit, in turn affecting the ownership</w:t>
      </w:r>
      <w:r w:rsidR="00D31DFA" w:rsidRPr="007F268F">
        <w:rPr>
          <w:rFonts w:asciiTheme="majorBidi" w:hAnsiTheme="majorBidi" w:cstheme="majorBidi"/>
          <w:bCs/>
          <w:lang w:val="en-US"/>
        </w:rPr>
        <w:t xml:space="preserve"> rates in</w:t>
      </w:r>
      <w:r w:rsidRPr="007F268F">
        <w:rPr>
          <w:rFonts w:asciiTheme="majorBidi" w:hAnsiTheme="majorBidi" w:cstheme="majorBidi"/>
          <w:bCs/>
          <w:lang w:val="en-US"/>
        </w:rPr>
        <w:t xml:space="preserve"> nearby </w:t>
      </w:r>
      <w:r w:rsidR="00912F6D" w:rsidRPr="007F268F">
        <w:rPr>
          <w:rFonts w:asciiTheme="majorBidi" w:hAnsiTheme="majorBidi" w:cstheme="majorBidi"/>
          <w:bCs/>
          <w:lang w:val="en-US"/>
        </w:rPr>
        <w:t xml:space="preserve">area </w:t>
      </w:r>
      <w:r w:rsidRPr="007F268F">
        <w:rPr>
          <w:rFonts w:asciiTheme="majorBidi" w:hAnsiTheme="majorBidi" w:cstheme="majorBidi"/>
          <w:bCs/>
          <w:lang w:val="en-US"/>
        </w:rPr>
        <w:t xml:space="preserve">units, then </w:t>
      </w:r>
      <w:r w:rsidR="00D31DFA" w:rsidRPr="007F268F">
        <w:rPr>
          <w:rFonts w:asciiTheme="majorBidi" w:hAnsiTheme="majorBidi" w:cstheme="majorBidi"/>
          <w:bCs/>
          <w:lang w:val="en-US"/>
        </w:rPr>
        <w:t xml:space="preserve">in turn </w:t>
      </w:r>
      <w:r w:rsidRPr="007F268F">
        <w:rPr>
          <w:rFonts w:asciiTheme="majorBidi" w:hAnsiTheme="majorBidi" w:cstheme="majorBidi"/>
          <w:bCs/>
          <w:lang w:val="en-US"/>
        </w:rPr>
        <w:t>affecting the owne</w:t>
      </w:r>
      <w:r w:rsidR="00D31DFA" w:rsidRPr="007F268F">
        <w:rPr>
          <w:rFonts w:asciiTheme="majorBidi" w:hAnsiTheme="majorBidi" w:cstheme="majorBidi"/>
          <w:bCs/>
          <w:lang w:val="en-US"/>
        </w:rPr>
        <w:t xml:space="preserve">rship rates of their </w:t>
      </w:r>
      <w:proofErr w:type="spellStart"/>
      <w:r w:rsidR="00D31DFA" w:rsidRPr="007F268F">
        <w:rPr>
          <w:rFonts w:asciiTheme="majorBidi" w:hAnsiTheme="majorBidi" w:cstheme="majorBidi"/>
          <w:bCs/>
          <w:lang w:val="en-US"/>
        </w:rPr>
        <w:t>neighbours</w:t>
      </w:r>
      <w:proofErr w:type="spellEnd"/>
      <w:r w:rsidR="00D31DFA" w:rsidRPr="007F268F">
        <w:rPr>
          <w:rFonts w:asciiTheme="majorBidi" w:hAnsiTheme="majorBidi" w:cstheme="majorBidi"/>
          <w:bCs/>
          <w:lang w:val="en-US"/>
        </w:rPr>
        <w:t xml:space="preserve"> </w:t>
      </w:r>
      <w:r w:rsidR="003220E4" w:rsidRPr="007F268F">
        <w:rPr>
          <w:rFonts w:asciiTheme="majorBidi" w:hAnsiTheme="majorBidi" w:cstheme="majorBidi"/>
          <w:bCs/>
          <w:lang w:val="en-US"/>
        </w:rPr>
        <w:t xml:space="preserve">(including </w:t>
      </w:r>
      <w:r w:rsidRPr="007F268F">
        <w:rPr>
          <w:rFonts w:asciiTheme="majorBidi" w:hAnsiTheme="majorBidi" w:cstheme="majorBidi"/>
          <w:bCs/>
          <w:lang w:val="en-US"/>
        </w:rPr>
        <w:t>the original area unit</w:t>
      </w:r>
      <w:r w:rsidR="003220E4" w:rsidRPr="007F268F">
        <w:rPr>
          <w:rFonts w:asciiTheme="majorBidi" w:hAnsiTheme="majorBidi" w:cstheme="majorBidi"/>
          <w:bCs/>
          <w:lang w:val="en-US"/>
        </w:rPr>
        <w:t>)</w:t>
      </w:r>
      <w:r w:rsidRPr="007F268F">
        <w:rPr>
          <w:rFonts w:asciiTheme="majorBidi" w:hAnsiTheme="majorBidi" w:cstheme="majorBidi"/>
          <w:bCs/>
          <w:lang w:val="en-US"/>
        </w:rPr>
        <w:t xml:space="preserve">. In addition to these spillover and feedback affects operating through the dependent variable, </w:t>
      </w:r>
      <w:r w:rsidR="00912F6D" w:rsidRPr="007F268F">
        <w:rPr>
          <w:rFonts w:asciiTheme="majorBidi" w:hAnsiTheme="majorBidi" w:cstheme="majorBidi"/>
          <w:bCs/>
          <w:lang w:val="en-US"/>
        </w:rPr>
        <w:t>given that</w:t>
      </w:r>
      <w:r w:rsidR="003220E4" w:rsidRPr="007F268F">
        <w:rPr>
          <w:rFonts w:asciiTheme="majorBidi" w:hAnsiTheme="majorBidi" w:cstheme="majorBidi"/>
          <w:bCs/>
          <w:lang w:val="en-US"/>
        </w:rPr>
        <w:t xml:space="preserve"> </w:t>
      </w:r>
      <m:oMath>
        <m:sSub>
          <m:sSubPr>
            <m:ctrlPr>
              <w:rPr>
                <w:rFonts w:ascii="Cambria Math" w:hAnsi="Cambria Math" w:cstheme="majorBidi"/>
                <w:bCs/>
                <w:lang w:val="en-US"/>
              </w:rPr>
            </m:ctrlPr>
          </m:sSubPr>
          <m:e>
            <m:r>
              <w:rPr>
                <w:rFonts w:ascii="Cambria Math" w:hAnsi="Cambria Math" w:cstheme="majorBidi"/>
                <w:lang w:val="en-US"/>
              </w:rPr>
              <m:t>β</m:t>
            </m:r>
          </m:e>
          <m:sub>
            <m:r>
              <m:rPr>
                <m:sty m:val="p"/>
              </m:rPr>
              <w:rPr>
                <w:rFonts w:ascii="Cambria Math" w:hAnsi="Cambria Math" w:cstheme="majorBidi"/>
                <w:lang w:val="en-US"/>
              </w:rPr>
              <m:t>2</m:t>
            </m:r>
          </m:sub>
        </m:sSub>
        <m:r>
          <m:rPr>
            <m:sty m:val="p"/>
          </m:rPr>
          <w:rPr>
            <w:rFonts w:ascii="Cambria Math" w:hAnsi="Cambria Math" w:cstheme="majorBidi"/>
            <w:lang w:val="en-US"/>
          </w:rPr>
          <m:t>≠0</m:t>
        </m:r>
      </m:oMath>
      <w:r w:rsidR="003220E4" w:rsidRPr="007F268F">
        <w:rPr>
          <w:rFonts w:asciiTheme="majorBidi" w:hAnsiTheme="majorBidi" w:cstheme="majorBidi"/>
          <w:bCs/>
          <w:lang w:val="en-US"/>
        </w:rPr>
        <w:t xml:space="preserve"> </w:t>
      </w:r>
      <w:r w:rsidR="00F90FAF" w:rsidRPr="007F268F">
        <w:rPr>
          <w:rFonts w:asciiTheme="majorBidi" w:hAnsiTheme="majorBidi" w:cstheme="majorBidi"/>
          <w:bCs/>
          <w:lang w:val="en-US"/>
        </w:rPr>
        <w:t xml:space="preserve">there </w:t>
      </w:r>
      <w:r w:rsidR="00912F6D" w:rsidRPr="007F268F">
        <w:rPr>
          <w:rFonts w:asciiTheme="majorBidi" w:hAnsiTheme="majorBidi" w:cstheme="majorBidi"/>
          <w:bCs/>
          <w:lang w:val="en-US"/>
        </w:rPr>
        <w:t xml:space="preserve">also </w:t>
      </w:r>
      <w:r w:rsidR="00F90FAF" w:rsidRPr="007F268F">
        <w:rPr>
          <w:rFonts w:asciiTheme="majorBidi" w:hAnsiTheme="majorBidi" w:cstheme="majorBidi"/>
          <w:bCs/>
          <w:lang w:val="en-US"/>
        </w:rPr>
        <w:t xml:space="preserve">will be spillovers </w:t>
      </w:r>
      <w:r w:rsidR="00912F6D" w:rsidRPr="007F268F">
        <w:rPr>
          <w:rFonts w:asciiTheme="majorBidi" w:hAnsiTheme="majorBidi" w:cstheme="majorBidi"/>
          <w:bCs/>
          <w:lang w:val="en-US"/>
        </w:rPr>
        <w:t>that come</w:t>
      </w:r>
      <w:r w:rsidR="00F90FAF" w:rsidRPr="007F268F">
        <w:rPr>
          <w:rFonts w:asciiTheme="majorBidi" w:hAnsiTheme="majorBidi" w:cstheme="majorBidi"/>
          <w:bCs/>
          <w:lang w:val="en-US"/>
        </w:rPr>
        <w:t xml:space="preserve"> through </w:t>
      </w:r>
      <w:r w:rsidR="00912F6D" w:rsidRPr="007F268F">
        <w:rPr>
          <w:rFonts w:asciiTheme="majorBidi" w:hAnsiTheme="majorBidi" w:cstheme="majorBidi"/>
          <w:bCs/>
          <w:lang w:val="en-US"/>
        </w:rPr>
        <w:t xml:space="preserve">the </w:t>
      </w:r>
      <w:r w:rsidR="00F90FAF" w:rsidRPr="007F268F">
        <w:rPr>
          <w:rFonts w:asciiTheme="majorBidi" w:hAnsiTheme="majorBidi" w:cstheme="majorBidi"/>
          <w:bCs/>
          <w:lang w:val="en-US"/>
        </w:rPr>
        <w:t xml:space="preserve">independent variables whereby a higher </w:t>
      </w:r>
      <w:r w:rsidRPr="007F268F">
        <w:rPr>
          <w:rFonts w:asciiTheme="majorBidi" w:hAnsiTheme="majorBidi" w:cstheme="majorBidi"/>
          <w:bCs/>
          <w:lang w:val="en-US"/>
        </w:rPr>
        <w:t xml:space="preserve">foreign-born share in nearby area units </w:t>
      </w:r>
      <w:r w:rsidR="00F90FAF" w:rsidRPr="007F268F">
        <w:rPr>
          <w:rFonts w:asciiTheme="majorBidi" w:hAnsiTheme="majorBidi" w:cstheme="majorBidi"/>
          <w:bCs/>
          <w:lang w:val="en-US"/>
        </w:rPr>
        <w:t xml:space="preserve">is associated with </w:t>
      </w:r>
      <w:r w:rsidRPr="007F268F">
        <w:rPr>
          <w:rFonts w:asciiTheme="majorBidi" w:hAnsiTheme="majorBidi" w:cstheme="majorBidi"/>
          <w:bCs/>
          <w:lang w:val="en-US"/>
        </w:rPr>
        <w:t>lower nati</w:t>
      </w:r>
      <w:r w:rsidR="003220E4" w:rsidRPr="007F268F">
        <w:rPr>
          <w:rFonts w:asciiTheme="majorBidi" w:hAnsiTheme="majorBidi" w:cstheme="majorBidi"/>
          <w:bCs/>
          <w:lang w:val="en-US"/>
        </w:rPr>
        <w:t>ve-born ownership rate</w:t>
      </w:r>
      <w:r w:rsidR="00F90FAF" w:rsidRPr="007F268F">
        <w:rPr>
          <w:rFonts w:asciiTheme="majorBidi" w:hAnsiTheme="majorBidi" w:cstheme="majorBidi"/>
          <w:bCs/>
          <w:lang w:val="en-US"/>
        </w:rPr>
        <w:t>s</w:t>
      </w:r>
      <w:r w:rsidR="003220E4" w:rsidRPr="007F268F">
        <w:rPr>
          <w:rFonts w:asciiTheme="majorBidi" w:hAnsiTheme="majorBidi" w:cstheme="majorBidi"/>
          <w:bCs/>
          <w:lang w:val="en-US"/>
        </w:rPr>
        <w:t xml:space="preserve"> in the</w:t>
      </w:r>
      <w:r w:rsidRPr="007F268F">
        <w:rPr>
          <w:rFonts w:asciiTheme="majorBidi" w:hAnsiTheme="majorBidi" w:cstheme="majorBidi"/>
          <w:bCs/>
          <w:lang w:val="en-US"/>
        </w:rPr>
        <w:t xml:space="preserve"> </w:t>
      </w:r>
      <w:r w:rsidR="003220E4" w:rsidRPr="00AB0D18">
        <w:rPr>
          <w:rFonts w:asciiTheme="majorBidi" w:hAnsiTheme="majorBidi" w:cstheme="majorBidi"/>
          <w:bCs/>
          <w:i/>
          <w:iCs/>
          <w:lang w:val="en-US"/>
        </w:rPr>
        <w:t>k</w:t>
      </w:r>
      <w:r w:rsidR="003220E4" w:rsidRPr="00AB0D18">
        <w:rPr>
          <w:rFonts w:asciiTheme="majorBidi" w:hAnsiTheme="majorBidi" w:cstheme="majorBidi"/>
          <w:bCs/>
          <w:vertAlign w:val="superscript"/>
          <w:lang w:val="en-US"/>
        </w:rPr>
        <w:t>th</w:t>
      </w:r>
      <w:r w:rsidR="003220E4" w:rsidRPr="007F268F">
        <w:rPr>
          <w:rFonts w:asciiTheme="majorBidi" w:hAnsiTheme="majorBidi" w:cstheme="majorBidi"/>
          <w:bCs/>
          <w:lang w:val="en-US"/>
        </w:rPr>
        <w:t xml:space="preserve"> area unit</w:t>
      </w:r>
      <w:r w:rsidRPr="007F268F">
        <w:rPr>
          <w:rFonts w:asciiTheme="majorBidi" w:hAnsiTheme="majorBidi" w:cstheme="majorBidi"/>
          <w:bCs/>
          <w:lang w:val="en-US"/>
        </w:rPr>
        <w:t xml:space="preserve">. </w:t>
      </w:r>
    </w:p>
    <w:p w:rsidR="00A0065E" w:rsidRPr="00694592" w:rsidRDefault="00A0065E" w:rsidP="0092277C">
      <w:pPr>
        <w:widowControl w:val="0"/>
        <w:spacing w:after="0" w:line="360" w:lineRule="auto"/>
        <w:ind w:firstLine="720"/>
        <w:jc w:val="both"/>
        <w:rPr>
          <w:rFonts w:asciiTheme="majorBidi" w:hAnsiTheme="majorBidi" w:cstheme="majorBidi"/>
          <w:bCs/>
          <w:sz w:val="12"/>
          <w:szCs w:val="12"/>
        </w:rPr>
      </w:pPr>
    </w:p>
    <w:p w:rsidR="00B10789" w:rsidRDefault="00A406A2" w:rsidP="007F268F">
      <w:pPr>
        <w:widowControl w:val="0"/>
        <w:spacing w:after="0" w:line="288" w:lineRule="auto"/>
        <w:ind w:firstLine="720"/>
        <w:jc w:val="both"/>
        <w:rPr>
          <w:rFonts w:asciiTheme="majorBidi" w:hAnsiTheme="majorBidi" w:cstheme="majorBidi"/>
          <w:bCs/>
          <w:lang w:val="en-US"/>
        </w:rPr>
      </w:pPr>
      <w:r w:rsidRPr="007F268F">
        <w:rPr>
          <w:rFonts w:asciiTheme="majorBidi" w:hAnsiTheme="majorBidi" w:cstheme="majorBidi"/>
          <w:bCs/>
          <w:lang w:val="en-US"/>
        </w:rPr>
        <w:t>More</w:t>
      </w:r>
      <w:r w:rsidR="006935DB" w:rsidRPr="007F268F">
        <w:rPr>
          <w:rFonts w:asciiTheme="majorBidi" w:hAnsiTheme="majorBidi" w:cstheme="majorBidi"/>
          <w:bCs/>
          <w:lang w:val="en-US"/>
        </w:rPr>
        <w:t xml:space="preserve"> resea</w:t>
      </w:r>
      <w:r w:rsidRPr="007F268F">
        <w:rPr>
          <w:rFonts w:asciiTheme="majorBidi" w:hAnsiTheme="majorBidi" w:cstheme="majorBidi"/>
          <w:bCs/>
          <w:lang w:val="en-US"/>
        </w:rPr>
        <w:t xml:space="preserve">rch is needed to see if </w:t>
      </w:r>
      <w:r w:rsidR="006935DB" w:rsidRPr="007F268F">
        <w:rPr>
          <w:rFonts w:asciiTheme="majorBidi" w:hAnsiTheme="majorBidi" w:cstheme="majorBidi"/>
          <w:bCs/>
          <w:lang w:val="en-US"/>
        </w:rPr>
        <w:t>indirect effects are as important at different spatial scales</w:t>
      </w:r>
      <w:r w:rsidR="00D31DFA" w:rsidRPr="007F268F">
        <w:rPr>
          <w:rFonts w:asciiTheme="majorBidi" w:hAnsiTheme="majorBidi" w:cstheme="majorBidi"/>
          <w:bCs/>
          <w:lang w:val="en-US"/>
        </w:rPr>
        <w:t>. It could be that spillovers</w:t>
      </w:r>
      <w:r w:rsidR="006935DB" w:rsidRPr="007F268F">
        <w:rPr>
          <w:rFonts w:asciiTheme="majorBidi" w:hAnsiTheme="majorBidi" w:cstheme="majorBidi"/>
          <w:bCs/>
          <w:lang w:val="en-US"/>
        </w:rPr>
        <w:t xml:space="preserve"> </w:t>
      </w:r>
      <w:r w:rsidRPr="007F268F">
        <w:rPr>
          <w:rFonts w:asciiTheme="majorBidi" w:hAnsiTheme="majorBidi" w:cstheme="majorBidi"/>
          <w:bCs/>
          <w:lang w:val="en-US"/>
        </w:rPr>
        <w:t>internalize</w:t>
      </w:r>
      <w:r w:rsidR="00D31DFA" w:rsidRPr="007F268F">
        <w:rPr>
          <w:rFonts w:asciiTheme="majorBidi" w:hAnsiTheme="majorBidi" w:cstheme="majorBidi"/>
          <w:bCs/>
          <w:lang w:val="en-US"/>
        </w:rPr>
        <w:t xml:space="preserve"> </w:t>
      </w:r>
      <w:r w:rsidRPr="007F268F">
        <w:rPr>
          <w:rFonts w:asciiTheme="majorBidi" w:hAnsiTheme="majorBidi" w:cstheme="majorBidi"/>
          <w:bCs/>
          <w:lang w:val="en-US"/>
        </w:rPr>
        <w:t>for large</w:t>
      </w:r>
      <w:r w:rsidR="00D31DFA" w:rsidRPr="007F268F">
        <w:rPr>
          <w:rFonts w:asciiTheme="majorBidi" w:hAnsiTheme="majorBidi" w:cstheme="majorBidi"/>
          <w:bCs/>
          <w:lang w:val="en-US"/>
        </w:rPr>
        <w:t xml:space="preserve"> spatial unit</w:t>
      </w:r>
      <w:r w:rsidRPr="007F268F">
        <w:rPr>
          <w:rFonts w:asciiTheme="majorBidi" w:hAnsiTheme="majorBidi" w:cstheme="majorBidi"/>
          <w:bCs/>
          <w:lang w:val="en-US"/>
        </w:rPr>
        <w:t>s</w:t>
      </w:r>
      <w:r w:rsidR="00D31DFA" w:rsidRPr="007F268F">
        <w:rPr>
          <w:rFonts w:asciiTheme="majorBidi" w:hAnsiTheme="majorBidi" w:cstheme="majorBidi"/>
          <w:bCs/>
          <w:lang w:val="en-US"/>
        </w:rPr>
        <w:t xml:space="preserve"> like a Territorial Authority. In order to examine a key result estimated </w:t>
      </w:r>
      <w:r w:rsidRPr="007F268F">
        <w:rPr>
          <w:rFonts w:asciiTheme="majorBidi" w:hAnsiTheme="majorBidi" w:cstheme="majorBidi"/>
          <w:bCs/>
          <w:lang w:val="en-US"/>
        </w:rPr>
        <w:t xml:space="preserve">mostly </w:t>
      </w:r>
      <w:r w:rsidR="00D31DFA" w:rsidRPr="007F268F">
        <w:rPr>
          <w:rFonts w:asciiTheme="majorBidi" w:hAnsiTheme="majorBidi" w:cstheme="majorBidi"/>
          <w:bCs/>
          <w:lang w:val="en-US"/>
        </w:rPr>
        <w:t>at the TA level</w:t>
      </w:r>
      <w:r w:rsidRPr="007F268F">
        <w:rPr>
          <w:rFonts w:asciiTheme="majorBidi" w:hAnsiTheme="majorBidi" w:cstheme="majorBidi"/>
          <w:bCs/>
          <w:lang w:val="en-US"/>
        </w:rPr>
        <w:t xml:space="preserve"> without spatial econometric models</w:t>
      </w:r>
      <w:r w:rsidR="00D31DFA" w:rsidRPr="007F268F">
        <w:rPr>
          <w:rFonts w:asciiTheme="majorBidi" w:hAnsiTheme="majorBidi" w:cstheme="majorBidi"/>
          <w:bCs/>
          <w:lang w:val="en-US"/>
        </w:rPr>
        <w:t xml:space="preserve">, we augmented </w:t>
      </w:r>
      <w:r w:rsidR="006C44B6" w:rsidRPr="007F268F">
        <w:rPr>
          <w:rFonts w:asciiTheme="majorBidi" w:hAnsiTheme="majorBidi" w:cstheme="majorBidi"/>
          <w:bCs/>
          <w:lang w:val="en-US"/>
        </w:rPr>
        <w:t xml:space="preserve">the </w:t>
      </w:r>
      <w:r w:rsidR="00D31DFA" w:rsidRPr="007F268F">
        <w:rPr>
          <w:rFonts w:asciiTheme="majorBidi" w:hAnsiTheme="majorBidi" w:cstheme="majorBidi"/>
          <w:bCs/>
          <w:lang w:val="en-US"/>
        </w:rPr>
        <w:t xml:space="preserve">models in Table 1 with (log) population for each area unit—the </w:t>
      </w:r>
      <w:proofErr w:type="spellStart"/>
      <w:r w:rsidR="00D31DFA" w:rsidRPr="007F268F">
        <w:rPr>
          <w:rFonts w:asciiTheme="majorBidi" w:hAnsiTheme="majorBidi" w:cstheme="majorBidi"/>
          <w:bCs/>
          <w:lang w:val="en-US"/>
        </w:rPr>
        <w:t>Hyslop</w:t>
      </w:r>
      <w:proofErr w:type="spellEnd"/>
      <w:r w:rsidR="00D31DFA" w:rsidRPr="007F268F">
        <w:rPr>
          <w:rFonts w:asciiTheme="majorBidi" w:hAnsiTheme="majorBidi" w:cstheme="majorBidi"/>
          <w:bCs/>
          <w:lang w:val="en-US"/>
        </w:rPr>
        <w:t xml:space="preserve"> et al (2019) </w:t>
      </w:r>
      <w:r w:rsidR="003220E4" w:rsidRPr="007F268F">
        <w:rPr>
          <w:rFonts w:asciiTheme="majorBidi" w:hAnsiTheme="majorBidi" w:cstheme="majorBidi"/>
          <w:bCs/>
          <w:lang w:val="en-US"/>
        </w:rPr>
        <w:t xml:space="preserve">finding </w:t>
      </w:r>
      <w:r w:rsidR="00D31DFA" w:rsidRPr="007F268F">
        <w:rPr>
          <w:rFonts w:asciiTheme="majorBidi" w:hAnsiTheme="majorBidi" w:cstheme="majorBidi"/>
          <w:bCs/>
          <w:lang w:val="en-US"/>
        </w:rPr>
        <w:t xml:space="preserve">is that population growth </w:t>
      </w:r>
      <w:r w:rsidR="00F90FAF" w:rsidRPr="007F268F">
        <w:rPr>
          <w:rFonts w:asciiTheme="majorBidi" w:hAnsiTheme="majorBidi" w:cstheme="majorBidi"/>
          <w:bCs/>
          <w:lang w:val="en-US"/>
        </w:rPr>
        <w:t>puts</w:t>
      </w:r>
      <w:r w:rsidR="006C44B6" w:rsidRPr="007F268F">
        <w:rPr>
          <w:rFonts w:asciiTheme="majorBidi" w:hAnsiTheme="majorBidi" w:cstheme="majorBidi"/>
          <w:bCs/>
          <w:lang w:val="en-US"/>
        </w:rPr>
        <w:t xml:space="preserve"> </w:t>
      </w:r>
      <w:r w:rsidRPr="007F268F">
        <w:rPr>
          <w:rFonts w:asciiTheme="majorBidi" w:hAnsiTheme="majorBidi" w:cstheme="majorBidi"/>
          <w:bCs/>
          <w:lang w:val="en-US"/>
        </w:rPr>
        <w:t>pressur</w:t>
      </w:r>
      <w:r w:rsidR="006C44B6" w:rsidRPr="007F268F">
        <w:rPr>
          <w:rFonts w:asciiTheme="majorBidi" w:hAnsiTheme="majorBidi" w:cstheme="majorBidi"/>
          <w:bCs/>
          <w:lang w:val="en-US"/>
        </w:rPr>
        <w:t>e on</w:t>
      </w:r>
      <w:r w:rsidR="00D31DFA" w:rsidRPr="007F268F">
        <w:rPr>
          <w:rFonts w:asciiTheme="majorBidi" w:hAnsiTheme="majorBidi" w:cstheme="majorBidi"/>
          <w:bCs/>
          <w:lang w:val="en-US"/>
        </w:rPr>
        <w:t xml:space="preserve"> house prices </w:t>
      </w:r>
      <w:r w:rsidR="00F90FAF" w:rsidRPr="007F268F">
        <w:rPr>
          <w:rFonts w:asciiTheme="majorBidi" w:hAnsiTheme="majorBidi" w:cstheme="majorBidi"/>
          <w:bCs/>
          <w:lang w:val="en-US"/>
        </w:rPr>
        <w:t xml:space="preserve">while </w:t>
      </w:r>
      <w:r w:rsidR="00D31DFA" w:rsidRPr="007F268F">
        <w:rPr>
          <w:rFonts w:asciiTheme="majorBidi" w:hAnsiTheme="majorBidi" w:cstheme="majorBidi"/>
          <w:bCs/>
          <w:lang w:val="en-US"/>
        </w:rPr>
        <w:t xml:space="preserve">the composition of the local population, in terms of native-born or foreign-born, does not matter. In contrast, we </w:t>
      </w:r>
      <w:r w:rsidRPr="007F268F">
        <w:rPr>
          <w:rFonts w:asciiTheme="majorBidi" w:hAnsiTheme="majorBidi" w:cstheme="majorBidi"/>
          <w:bCs/>
          <w:lang w:val="en-US"/>
        </w:rPr>
        <w:t xml:space="preserve">find even </w:t>
      </w:r>
      <w:r w:rsidR="006C44B6" w:rsidRPr="007F268F">
        <w:rPr>
          <w:rFonts w:asciiTheme="majorBidi" w:hAnsiTheme="majorBidi" w:cstheme="majorBidi"/>
          <w:bCs/>
          <w:lang w:val="en-US"/>
        </w:rPr>
        <w:t xml:space="preserve">after </w:t>
      </w:r>
      <w:r w:rsidRPr="007F268F">
        <w:rPr>
          <w:rFonts w:asciiTheme="majorBidi" w:hAnsiTheme="majorBidi" w:cstheme="majorBidi"/>
          <w:bCs/>
          <w:lang w:val="en-US"/>
        </w:rPr>
        <w:t>controlling for (log) population, total impacts of the foreign-born share on native-born ownership rates are about the same</w:t>
      </w:r>
      <w:r w:rsidR="006C44B6" w:rsidRPr="007F268F">
        <w:rPr>
          <w:rFonts w:asciiTheme="majorBidi" w:hAnsiTheme="majorBidi" w:cstheme="majorBidi"/>
          <w:bCs/>
          <w:lang w:val="en-US"/>
        </w:rPr>
        <w:t>, at</w:t>
      </w:r>
      <w:r w:rsidRPr="007F268F">
        <w:rPr>
          <w:rFonts w:asciiTheme="majorBidi" w:hAnsiTheme="majorBidi" w:cstheme="majorBidi"/>
          <w:bCs/>
          <w:lang w:val="en-US"/>
        </w:rPr>
        <w:t xml:space="preserve"> ˗0.14 (</w:t>
      </w:r>
      <w:r w:rsidRPr="00AB0D18">
        <w:rPr>
          <w:rFonts w:asciiTheme="majorBidi" w:hAnsiTheme="majorBidi" w:cstheme="majorBidi"/>
          <w:bCs/>
          <w:i/>
          <w:iCs/>
          <w:lang w:val="en-US"/>
        </w:rPr>
        <w:t>p</w:t>
      </w:r>
      <w:r w:rsidRPr="007F268F">
        <w:rPr>
          <w:rFonts w:asciiTheme="majorBidi" w:hAnsiTheme="majorBidi" w:cstheme="majorBidi"/>
          <w:bCs/>
          <w:lang w:val="en-US"/>
        </w:rPr>
        <w:t>&lt;0.01)</w:t>
      </w:r>
      <w:r w:rsidR="00912F6D" w:rsidRPr="007F268F">
        <w:rPr>
          <w:rFonts w:asciiTheme="majorBidi" w:hAnsiTheme="majorBidi" w:cstheme="majorBidi"/>
          <w:bCs/>
          <w:lang w:val="en-US"/>
        </w:rPr>
        <w:t>, as before</w:t>
      </w:r>
      <w:r w:rsidR="006C44B6" w:rsidRPr="007F268F">
        <w:rPr>
          <w:rFonts w:asciiTheme="majorBidi" w:hAnsiTheme="majorBidi" w:cstheme="majorBidi"/>
          <w:bCs/>
          <w:lang w:val="en-US"/>
        </w:rPr>
        <w:t xml:space="preserve"> even </w:t>
      </w:r>
      <w:r w:rsidR="003220E4" w:rsidRPr="007F268F">
        <w:rPr>
          <w:rFonts w:asciiTheme="majorBidi" w:hAnsiTheme="majorBidi" w:cstheme="majorBidi"/>
          <w:bCs/>
          <w:lang w:val="en-US"/>
        </w:rPr>
        <w:t xml:space="preserve">allowing for the </w:t>
      </w:r>
      <w:r w:rsidR="006C44B6" w:rsidRPr="007F268F">
        <w:rPr>
          <w:rFonts w:asciiTheme="majorBidi" w:hAnsiTheme="majorBidi" w:cstheme="majorBidi"/>
          <w:bCs/>
          <w:lang w:val="en-US"/>
        </w:rPr>
        <w:t xml:space="preserve">negative effect of population </w:t>
      </w:r>
      <w:r w:rsidR="003220E4" w:rsidRPr="007F268F">
        <w:rPr>
          <w:rFonts w:asciiTheme="majorBidi" w:hAnsiTheme="majorBidi" w:cstheme="majorBidi"/>
          <w:bCs/>
          <w:lang w:val="en-US"/>
        </w:rPr>
        <w:t xml:space="preserve">growth </w:t>
      </w:r>
      <w:r w:rsidR="006C44B6" w:rsidRPr="007F268F">
        <w:rPr>
          <w:rFonts w:asciiTheme="majorBidi" w:hAnsiTheme="majorBidi" w:cstheme="majorBidi"/>
          <w:bCs/>
          <w:lang w:val="en-US"/>
        </w:rPr>
        <w:t>on the native ownership rate</w:t>
      </w:r>
      <w:r w:rsidRPr="007F268F">
        <w:rPr>
          <w:rFonts w:asciiTheme="majorBidi" w:hAnsiTheme="majorBidi" w:cstheme="majorBidi"/>
          <w:bCs/>
          <w:lang w:val="en-US"/>
        </w:rPr>
        <w:t xml:space="preserve">. However, the indirect </w:t>
      </w:r>
      <w:r w:rsidR="00912F6D" w:rsidRPr="007F268F">
        <w:rPr>
          <w:rFonts w:asciiTheme="majorBidi" w:hAnsiTheme="majorBidi" w:cstheme="majorBidi"/>
          <w:bCs/>
          <w:lang w:val="en-US"/>
        </w:rPr>
        <w:t xml:space="preserve">component </w:t>
      </w:r>
      <w:r w:rsidR="006C44B6" w:rsidRPr="007F268F">
        <w:rPr>
          <w:rFonts w:asciiTheme="majorBidi" w:hAnsiTheme="majorBidi" w:cstheme="majorBidi"/>
          <w:bCs/>
          <w:lang w:val="en-US"/>
        </w:rPr>
        <w:t xml:space="preserve">of </w:t>
      </w:r>
      <w:r w:rsidR="00912F6D" w:rsidRPr="007F268F">
        <w:rPr>
          <w:rFonts w:asciiTheme="majorBidi" w:hAnsiTheme="majorBidi" w:cstheme="majorBidi"/>
          <w:bCs/>
          <w:lang w:val="en-US"/>
        </w:rPr>
        <w:t xml:space="preserve">the </w:t>
      </w:r>
      <w:r w:rsidRPr="007F268F">
        <w:rPr>
          <w:rFonts w:asciiTheme="majorBidi" w:hAnsiTheme="majorBidi" w:cstheme="majorBidi"/>
          <w:bCs/>
          <w:lang w:val="en-US"/>
        </w:rPr>
        <w:t xml:space="preserve">impacts </w:t>
      </w:r>
      <w:r w:rsidR="006C44B6" w:rsidRPr="007F268F">
        <w:rPr>
          <w:rFonts w:asciiTheme="majorBidi" w:hAnsiTheme="majorBidi" w:cstheme="majorBidi"/>
          <w:bCs/>
          <w:lang w:val="en-US"/>
        </w:rPr>
        <w:t xml:space="preserve">of the foreign-born share </w:t>
      </w:r>
      <w:r w:rsidRPr="007F268F">
        <w:rPr>
          <w:rFonts w:asciiTheme="majorBidi" w:hAnsiTheme="majorBidi" w:cstheme="majorBidi"/>
          <w:bCs/>
          <w:lang w:val="en-US"/>
        </w:rPr>
        <w:t>is increased</w:t>
      </w:r>
      <w:r w:rsidR="006C44B6" w:rsidRPr="007F268F">
        <w:rPr>
          <w:rFonts w:asciiTheme="majorBidi" w:hAnsiTheme="majorBidi" w:cstheme="majorBidi"/>
          <w:bCs/>
          <w:lang w:val="en-US"/>
        </w:rPr>
        <w:t xml:space="preserve"> when population is also included as a covariate and this effect (</w:t>
      </w:r>
      <w:r w:rsidR="00F90FAF" w:rsidRPr="007F268F">
        <w:rPr>
          <w:rFonts w:asciiTheme="majorBidi" w:hAnsiTheme="majorBidi" w:cstheme="majorBidi"/>
          <w:bCs/>
          <w:lang w:val="en-US"/>
        </w:rPr>
        <w:t xml:space="preserve">if </w:t>
      </w:r>
      <w:r w:rsidR="006C44B6" w:rsidRPr="007F268F">
        <w:rPr>
          <w:rFonts w:asciiTheme="majorBidi" w:hAnsiTheme="majorBidi" w:cstheme="majorBidi"/>
          <w:bCs/>
          <w:lang w:val="en-US"/>
        </w:rPr>
        <w:t xml:space="preserve">it </w:t>
      </w:r>
      <w:r w:rsidR="003220E4" w:rsidRPr="007F268F">
        <w:rPr>
          <w:rFonts w:asciiTheme="majorBidi" w:hAnsiTheme="majorBidi" w:cstheme="majorBidi"/>
          <w:bCs/>
          <w:lang w:val="en-US"/>
        </w:rPr>
        <w:t xml:space="preserve">also </w:t>
      </w:r>
      <w:r w:rsidR="006C44B6" w:rsidRPr="007F268F">
        <w:rPr>
          <w:rFonts w:asciiTheme="majorBidi" w:hAnsiTheme="majorBidi" w:cstheme="majorBidi"/>
          <w:bCs/>
          <w:lang w:val="en-US"/>
        </w:rPr>
        <w:t>operate</w:t>
      </w:r>
      <w:r w:rsidR="003220E4" w:rsidRPr="007F268F">
        <w:rPr>
          <w:rFonts w:asciiTheme="majorBidi" w:hAnsiTheme="majorBidi" w:cstheme="majorBidi"/>
          <w:bCs/>
          <w:lang w:val="en-US"/>
        </w:rPr>
        <w:t>s</w:t>
      </w:r>
      <w:r w:rsidR="006C44B6" w:rsidRPr="007F268F">
        <w:rPr>
          <w:rFonts w:asciiTheme="majorBidi" w:hAnsiTheme="majorBidi" w:cstheme="majorBidi"/>
          <w:bCs/>
          <w:lang w:val="en-US"/>
        </w:rPr>
        <w:t xml:space="preserve"> via house prices) would be less </w:t>
      </w:r>
      <w:r w:rsidR="00F90FAF" w:rsidRPr="007F268F">
        <w:rPr>
          <w:rFonts w:asciiTheme="majorBidi" w:hAnsiTheme="majorBidi" w:cstheme="majorBidi"/>
          <w:bCs/>
          <w:lang w:val="en-US"/>
        </w:rPr>
        <w:t>easy to observe</w:t>
      </w:r>
      <w:r w:rsidR="006C44B6" w:rsidRPr="007F268F">
        <w:rPr>
          <w:rFonts w:asciiTheme="majorBidi" w:hAnsiTheme="majorBidi" w:cstheme="majorBidi"/>
          <w:bCs/>
          <w:lang w:val="en-US"/>
        </w:rPr>
        <w:t xml:space="preserve"> </w:t>
      </w:r>
      <w:r w:rsidR="00912F6D" w:rsidRPr="007F268F">
        <w:rPr>
          <w:rFonts w:asciiTheme="majorBidi" w:hAnsiTheme="majorBidi" w:cstheme="majorBidi"/>
          <w:bCs/>
          <w:lang w:val="en-US"/>
        </w:rPr>
        <w:t>with</w:t>
      </w:r>
      <w:r w:rsidR="00F90FAF" w:rsidRPr="007F268F">
        <w:rPr>
          <w:rFonts w:asciiTheme="majorBidi" w:hAnsiTheme="majorBidi" w:cstheme="majorBidi"/>
          <w:bCs/>
          <w:lang w:val="en-US"/>
        </w:rPr>
        <w:t xml:space="preserve"> </w:t>
      </w:r>
      <w:r w:rsidR="006C44B6" w:rsidRPr="007F268F">
        <w:rPr>
          <w:rFonts w:asciiTheme="majorBidi" w:hAnsiTheme="majorBidi" w:cstheme="majorBidi"/>
          <w:bCs/>
          <w:lang w:val="en-US"/>
        </w:rPr>
        <w:t xml:space="preserve">the </w:t>
      </w:r>
      <w:r w:rsidR="00912F6D" w:rsidRPr="007F268F">
        <w:rPr>
          <w:rFonts w:asciiTheme="majorBidi" w:hAnsiTheme="majorBidi" w:cstheme="majorBidi"/>
          <w:bCs/>
          <w:lang w:val="en-US"/>
        </w:rPr>
        <w:t xml:space="preserve">aspatial models used by </w:t>
      </w:r>
      <w:proofErr w:type="spellStart"/>
      <w:r w:rsidR="006C44B6" w:rsidRPr="007F268F">
        <w:rPr>
          <w:rFonts w:asciiTheme="majorBidi" w:hAnsiTheme="majorBidi" w:cstheme="majorBidi"/>
          <w:bCs/>
          <w:lang w:val="en-US"/>
        </w:rPr>
        <w:t>Hyslop</w:t>
      </w:r>
      <w:proofErr w:type="spellEnd"/>
      <w:r w:rsidR="006C44B6" w:rsidRPr="007F268F">
        <w:rPr>
          <w:rFonts w:asciiTheme="majorBidi" w:hAnsiTheme="majorBidi" w:cstheme="majorBidi"/>
          <w:bCs/>
          <w:lang w:val="en-US"/>
        </w:rPr>
        <w:t xml:space="preserve"> et al (2019)</w:t>
      </w:r>
      <w:r w:rsidR="00F90FAF" w:rsidRPr="007F268F">
        <w:rPr>
          <w:rFonts w:asciiTheme="majorBidi" w:hAnsiTheme="majorBidi" w:cstheme="majorBidi"/>
          <w:bCs/>
          <w:lang w:val="en-US"/>
        </w:rPr>
        <w:t>.</w:t>
      </w:r>
    </w:p>
    <w:p w:rsidR="006935DB" w:rsidRPr="00B10789" w:rsidRDefault="006935DB" w:rsidP="007F268F">
      <w:pPr>
        <w:widowControl w:val="0"/>
        <w:spacing w:after="0" w:line="288" w:lineRule="auto"/>
        <w:ind w:firstLine="720"/>
        <w:jc w:val="both"/>
        <w:rPr>
          <w:rFonts w:asciiTheme="majorBidi" w:hAnsiTheme="majorBidi" w:cstheme="majorBidi"/>
          <w:bCs/>
          <w:sz w:val="12"/>
          <w:szCs w:val="12"/>
        </w:rPr>
      </w:pPr>
    </w:p>
    <w:p w:rsidR="000679C1" w:rsidRPr="008A622D" w:rsidRDefault="002A6915" w:rsidP="0092277C">
      <w:pPr>
        <w:keepNext/>
        <w:spacing w:before="120" w:after="0" w:line="360" w:lineRule="auto"/>
        <w:jc w:val="both"/>
        <w:rPr>
          <w:rFonts w:asciiTheme="majorBidi" w:hAnsiTheme="majorBidi" w:cstheme="majorBidi"/>
          <w:b/>
          <w:lang w:val="en-US"/>
        </w:rPr>
      </w:pPr>
      <w:r w:rsidRPr="008A622D">
        <w:rPr>
          <w:rFonts w:asciiTheme="majorBidi" w:hAnsiTheme="majorBidi" w:cstheme="majorBidi"/>
          <w:b/>
          <w:lang w:val="en-US"/>
        </w:rPr>
        <w:t>IV.</w:t>
      </w:r>
      <w:r w:rsidRPr="008A622D">
        <w:rPr>
          <w:rFonts w:asciiTheme="majorBidi" w:hAnsiTheme="majorBidi" w:cstheme="majorBidi"/>
          <w:b/>
          <w:lang w:val="en-US"/>
        </w:rPr>
        <w:tab/>
      </w:r>
      <w:r w:rsidR="007A722F" w:rsidRPr="008A622D">
        <w:rPr>
          <w:rFonts w:asciiTheme="majorBidi" w:hAnsiTheme="majorBidi" w:cstheme="majorBidi"/>
          <w:b/>
          <w:lang w:val="en-US"/>
        </w:rPr>
        <w:t>Conclusions</w:t>
      </w:r>
    </w:p>
    <w:p w:rsidR="008C31C3" w:rsidRPr="008A622D" w:rsidRDefault="00066F0C" w:rsidP="007F268F">
      <w:pPr>
        <w:widowControl w:val="0"/>
        <w:spacing w:after="0" w:line="288" w:lineRule="auto"/>
        <w:ind w:firstLine="720"/>
        <w:jc w:val="both"/>
        <w:rPr>
          <w:rFonts w:asciiTheme="majorBidi" w:hAnsiTheme="majorBidi" w:cstheme="majorBidi"/>
          <w:bCs/>
          <w:lang w:val="en-US"/>
        </w:rPr>
      </w:pPr>
      <w:r w:rsidRPr="007F268F">
        <w:rPr>
          <w:rFonts w:asciiTheme="majorBidi" w:hAnsiTheme="majorBidi" w:cstheme="majorBidi"/>
          <w:bCs/>
          <w:lang w:val="en-US"/>
        </w:rPr>
        <w:t xml:space="preserve">New Zealand </w:t>
      </w:r>
      <w:r w:rsidR="008C31C3" w:rsidRPr="007F268F">
        <w:rPr>
          <w:rFonts w:asciiTheme="majorBidi" w:hAnsiTheme="majorBidi" w:cstheme="majorBidi"/>
          <w:bCs/>
          <w:lang w:val="en-US"/>
        </w:rPr>
        <w:t>recently experienced a surge in immigration but with much unevenness over space. We calculate n</w:t>
      </w:r>
      <w:r w:rsidR="00F90FAF" w:rsidRPr="007F268F">
        <w:rPr>
          <w:rFonts w:asciiTheme="majorBidi" w:hAnsiTheme="majorBidi" w:cstheme="majorBidi"/>
          <w:bCs/>
          <w:lang w:val="en-US"/>
        </w:rPr>
        <w:t>ative-born home ownership rates</w:t>
      </w:r>
      <w:r w:rsidR="008C31C3" w:rsidRPr="007F268F">
        <w:rPr>
          <w:rFonts w:asciiTheme="majorBidi" w:hAnsiTheme="majorBidi" w:cstheme="majorBidi"/>
          <w:bCs/>
          <w:lang w:val="en-US"/>
        </w:rPr>
        <w:t xml:space="preserve"> </w:t>
      </w:r>
      <w:r w:rsidR="00F90FAF" w:rsidRPr="007F268F">
        <w:rPr>
          <w:rFonts w:asciiTheme="majorBidi" w:hAnsiTheme="majorBidi" w:cstheme="majorBidi"/>
          <w:bCs/>
          <w:lang w:val="en-US"/>
        </w:rPr>
        <w:t xml:space="preserve">from three censuses to </w:t>
      </w:r>
      <w:r w:rsidR="008C31C3" w:rsidRPr="007F268F">
        <w:rPr>
          <w:rFonts w:asciiTheme="majorBidi" w:hAnsiTheme="majorBidi" w:cstheme="majorBidi"/>
          <w:bCs/>
          <w:lang w:val="en-US"/>
        </w:rPr>
        <w:t>relate to foreign-born population</w:t>
      </w:r>
      <w:r w:rsidR="00F90FAF" w:rsidRPr="007F268F">
        <w:rPr>
          <w:rFonts w:asciiTheme="majorBidi" w:hAnsiTheme="majorBidi" w:cstheme="majorBidi"/>
          <w:bCs/>
          <w:lang w:val="en-US"/>
        </w:rPr>
        <w:t xml:space="preserve"> shares</w:t>
      </w:r>
      <w:r w:rsidR="008C31C3" w:rsidRPr="007F268F">
        <w:rPr>
          <w:rFonts w:asciiTheme="majorBidi" w:hAnsiTheme="majorBidi" w:cstheme="majorBidi"/>
          <w:bCs/>
          <w:lang w:val="en-US"/>
        </w:rPr>
        <w:t xml:space="preserve">, for a panel of 1851 area units. </w:t>
      </w:r>
      <w:r w:rsidR="008C31C3" w:rsidRPr="008A622D">
        <w:rPr>
          <w:rFonts w:asciiTheme="majorBidi" w:hAnsiTheme="majorBidi" w:cstheme="majorBidi"/>
          <w:bCs/>
          <w:lang w:val="en-US"/>
        </w:rPr>
        <w:t>A standard deviation higher foreign-born share is associated with a one-sixth standard deviation lower ownership</w:t>
      </w:r>
      <w:r w:rsidR="00F90FAF" w:rsidRPr="008A622D">
        <w:rPr>
          <w:rFonts w:asciiTheme="majorBidi" w:hAnsiTheme="majorBidi" w:cstheme="majorBidi"/>
          <w:bCs/>
          <w:lang w:val="en-US"/>
        </w:rPr>
        <w:t xml:space="preserve"> rate for the native-born. S</w:t>
      </w:r>
      <w:r w:rsidR="008C31C3" w:rsidRPr="008A622D">
        <w:rPr>
          <w:rFonts w:asciiTheme="majorBidi" w:hAnsiTheme="majorBidi" w:cstheme="majorBidi"/>
          <w:bCs/>
          <w:lang w:val="en-US"/>
        </w:rPr>
        <w:t xml:space="preserve">patial econometric models show that much of this impact is through nearby areas rather than just coming from the own-area so an important methodological contribution </w:t>
      </w:r>
      <w:r w:rsidR="008C31C3" w:rsidRPr="008A622D">
        <w:rPr>
          <w:rFonts w:asciiTheme="majorBidi" w:hAnsiTheme="majorBidi" w:cstheme="majorBidi"/>
          <w:bCs/>
          <w:lang w:val="en-US"/>
        </w:rPr>
        <w:lastRenderedPageBreak/>
        <w:t xml:space="preserve">is to illustrate the value of allowing for spatial spillovers when studying housing. In terms of policy, the results suggest that New Zealand may have pursued incompatible goals </w:t>
      </w:r>
      <w:r w:rsidR="00F90FAF" w:rsidRPr="008A622D">
        <w:rPr>
          <w:rFonts w:asciiTheme="majorBidi" w:hAnsiTheme="majorBidi" w:cstheme="majorBidi"/>
          <w:bCs/>
          <w:lang w:val="en-US"/>
        </w:rPr>
        <w:t xml:space="preserve">(given self-imposed constraints on urban land supply) of </w:t>
      </w:r>
      <w:r w:rsidR="008C31C3" w:rsidRPr="008A622D">
        <w:rPr>
          <w:rFonts w:asciiTheme="majorBidi" w:hAnsiTheme="majorBidi" w:cstheme="majorBidi"/>
          <w:bCs/>
          <w:lang w:val="en-US"/>
        </w:rPr>
        <w:t>immigration</w:t>
      </w:r>
      <w:r w:rsidR="00F90FAF" w:rsidRPr="008A622D">
        <w:rPr>
          <w:rFonts w:asciiTheme="majorBidi" w:hAnsiTheme="majorBidi" w:cstheme="majorBidi"/>
          <w:bCs/>
          <w:lang w:val="en-US"/>
        </w:rPr>
        <w:t>-</w:t>
      </w:r>
      <w:r w:rsidR="008C31C3" w:rsidRPr="008A622D">
        <w:rPr>
          <w:rFonts w:asciiTheme="majorBidi" w:hAnsiTheme="majorBidi" w:cstheme="majorBidi"/>
          <w:bCs/>
          <w:lang w:val="en-US"/>
        </w:rPr>
        <w:t xml:space="preserve">driven population </w:t>
      </w:r>
      <w:r w:rsidR="00F90FAF" w:rsidRPr="008A622D">
        <w:rPr>
          <w:rFonts w:asciiTheme="majorBidi" w:hAnsiTheme="majorBidi" w:cstheme="majorBidi"/>
          <w:bCs/>
          <w:lang w:val="en-US"/>
        </w:rPr>
        <w:t xml:space="preserve">growth </w:t>
      </w:r>
      <w:r w:rsidR="008C31C3" w:rsidRPr="008A622D">
        <w:rPr>
          <w:rFonts w:asciiTheme="majorBidi" w:hAnsiTheme="majorBidi" w:cstheme="majorBidi"/>
          <w:bCs/>
          <w:lang w:val="en-US"/>
        </w:rPr>
        <w:t xml:space="preserve">and increasing </w:t>
      </w:r>
      <w:r w:rsidR="00912F6D" w:rsidRPr="008A622D">
        <w:rPr>
          <w:rFonts w:asciiTheme="majorBidi" w:hAnsiTheme="majorBidi" w:cstheme="majorBidi"/>
          <w:bCs/>
          <w:lang w:val="en-US"/>
        </w:rPr>
        <w:t xml:space="preserve">native-born </w:t>
      </w:r>
      <w:r w:rsidR="008C31C3" w:rsidRPr="008A622D">
        <w:rPr>
          <w:rFonts w:asciiTheme="majorBidi" w:hAnsiTheme="majorBidi" w:cstheme="majorBidi"/>
          <w:bCs/>
          <w:lang w:val="en-US"/>
        </w:rPr>
        <w:t>home ownership.</w:t>
      </w:r>
    </w:p>
    <w:p w:rsidR="00640C1E" w:rsidRPr="005C323B" w:rsidRDefault="00640C1E">
      <w:pPr>
        <w:rPr>
          <w:rFonts w:asciiTheme="majorBidi" w:hAnsiTheme="majorBidi" w:cstheme="majorBidi"/>
          <w:b/>
          <w:sz w:val="12"/>
          <w:szCs w:val="12"/>
        </w:rPr>
      </w:pPr>
    </w:p>
    <w:p w:rsidR="006D28EA" w:rsidRPr="008A622D" w:rsidRDefault="006D28EA" w:rsidP="00A60D4A">
      <w:pPr>
        <w:spacing w:after="80" w:line="360" w:lineRule="auto"/>
        <w:rPr>
          <w:rFonts w:asciiTheme="majorBidi" w:hAnsiTheme="majorBidi" w:cstheme="majorBidi"/>
          <w:b/>
        </w:rPr>
      </w:pPr>
      <w:r w:rsidRPr="008A622D">
        <w:rPr>
          <w:rFonts w:asciiTheme="majorBidi" w:hAnsiTheme="majorBidi" w:cstheme="majorBidi"/>
          <w:b/>
        </w:rPr>
        <w:t>References</w:t>
      </w:r>
    </w:p>
    <w:p w:rsidR="006A59AD" w:rsidRPr="008A622D" w:rsidRDefault="006A59AD" w:rsidP="006A59AD">
      <w:pPr>
        <w:spacing w:after="0" w:line="360" w:lineRule="auto"/>
        <w:ind w:left="720" w:hanging="720"/>
        <w:rPr>
          <w:rFonts w:asciiTheme="majorBidi" w:hAnsiTheme="majorBidi" w:cstheme="majorBidi"/>
          <w:sz w:val="22"/>
          <w:szCs w:val="22"/>
          <w:lang w:bidi="en-US"/>
        </w:rPr>
      </w:pPr>
      <w:r w:rsidRPr="008A622D">
        <w:rPr>
          <w:rFonts w:asciiTheme="majorBidi" w:hAnsiTheme="majorBidi" w:cstheme="majorBidi"/>
          <w:sz w:val="22"/>
          <w:szCs w:val="22"/>
          <w:lang w:bidi="en-US"/>
        </w:rPr>
        <w:t xml:space="preserve">Cochrane, William and Jacques </w:t>
      </w:r>
      <w:proofErr w:type="spellStart"/>
      <w:r w:rsidRPr="008A622D">
        <w:rPr>
          <w:rFonts w:asciiTheme="majorBidi" w:hAnsiTheme="majorBidi" w:cstheme="majorBidi"/>
          <w:sz w:val="22"/>
          <w:szCs w:val="22"/>
          <w:lang w:bidi="en-US"/>
        </w:rPr>
        <w:t>Poot</w:t>
      </w:r>
      <w:proofErr w:type="spellEnd"/>
      <w:r w:rsidRPr="008A622D">
        <w:rPr>
          <w:rFonts w:asciiTheme="majorBidi" w:hAnsiTheme="majorBidi" w:cstheme="majorBidi"/>
          <w:sz w:val="22"/>
          <w:szCs w:val="22"/>
          <w:lang w:bidi="en-US"/>
        </w:rPr>
        <w:t xml:space="preserve"> (2016) Past research on the impact of international migration on house prices: Implications for Auckland. </w:t>
      </w:r>
      <w:r w:rsidRPr="008A622D">
        <w:rPr>
          <w:rFonts w:asciiTheme="majorBidi" w:hAnsiTheme="majorBidi" w:cstheme="majorBidi"/>
          <w:i/>
          <w:iCs/>
          <w:sz w:val="22"/>
          <w:szCs w:val="22"/>
          <w:lang w:bidi="en-US"/>
        </w:rPr>
        <w:t>Mimeo</w:t>
      </w:r>
      <w:r w:rsidRPr="008A622D">
        <w:rPr>
          <w:rFonts w:asciiTheme="majorBidi" w:hAnsiTheme="majorBidi" w:cstheme="majorBidi"/>
          <w:sz w:val="22"/>
          <w:szCs w:val="22"/>
          <w:lang w:bidi="en-US"/>
        </w:rPr>
        <w:t xml:space="preserve"> University of Waikato.</w:t>
      </w:r>
    </w:p>
    <w:p w:rsidR="00640C1E" w:rsidRPr="008A622D" w:rsidRDefault="00640C1E" w:rsidP="00640C1E">
      <w:pPr>
        <w:spacing w:after="0" w:line="360" w:lineRule="auto"/>
        <w:ind w:left="720" w:hanging="720"/>
        <w:rPr>
          <w:rFonts w:asciiTheme="majorBidi" w:hAnsiTheme="majorBidi" w:cstheme="majorBidi"/>
          <w:sz w:val="22"/>
          <w:szCs w:val="22"/>
          <w:lang w:bidi="en-US"/>
        </w:rPr>
      </w:pPr>
      <w:proofErr w:type="spellStart"/>
      <w:r w:rsidRPr="008A622D">
        <w:rPr>
          <w:rFonts w:asciiTheme="majorBidi" w:hAnsiTheme="majorBidi" w:cstheme="majorBidi"/>
          <w:sz w:val="22"/>
          <w:szCs w:val="22"/>
          <w:lang w:bidi="en-US"/>
        </w:rPr>
        <w:t>Drukker</w:t>
      </w:r>
      <w:proofErr w:type="spellEnd"/>
      <w:r w:rsidRPr="008A622D">
        <w:rPr>
          <w:rFonts w:asciiTheme="majorBidi" w:hAnsiTheme="majorBidi" w:cstheme="majorBidi"/>
          <w:sz w:val="22"/>
          <w:szCs w:val="22"/>
          <w:lang w:bidi="en-US"/>
        </w:rPr>
        <w:t xml:space="preserve">, David, Ingmar </w:t>
      </w:r>
      <w:proofErr w:type="spellStart"/>
      <w:r w:rsidRPr="008A622D">
        <w:rPr>
          <w:rFonts w:asciiTheme="majorBidi" w:hAnsiTheme="majorBidi" w:cstheme="majorBidi"/>
          <w:sz w:val="22"/>
          <w:szCs w:val="22"/>
          <w:lang w:bidi="en-US"/>
        </w:rPr>
        <w:t>Prucha</w:t>
      </w:r>
      <w:proofErr w:type="spellEnd"/>
      <w:r w:rsidRPr="008A622D">
        <w:rPr>
          <w:rFonts w:asciiTheme="majorBidi" w:hAnsiTheme="majorBidi" w:cstheme="majorBidi"/>
          <w:sz w:val="22"/>
          <w:szCs w:val="22"/>
          <w:lang w:bidi="en-US"/>
        </w:rPr>
        <w:t xml:space="preserve"> and </w:t>
      </w:r>
      <w:proofErr w:type="spellStart"/>
      <w:r w:rsidRPr="008A622D">
        <w:rPr>
          <w:rFonts w:asciiTheme="majorBidi" w:hAnsiTheme="majorBidi" w:cstheme="majorBidi"/>
          <w:sz w:val="22"/>
          <w:szCs w:val="22"/>
          <w:lang w:bidi="en-US"/>
        </w:rPr>
        <w:t>Rafal</w:t>
      </w:r>
      <w:proofErr w:type="spellEnd"/>
      <w:r w:rsidRPr="008A622D">
        <w:rPr>
          <w:rFonts w:asciiTheme="majorBidi" w:hAnsiTheme="majorBidi" w:cstheme="majorBidi"/>
          <w:sz w:val="22"/>
          <w:szCs w:val="22"/>
          <w:lang w:bidi="en-US"/>
        </w:rPr>
        <w:t xml:space="preserve"> </w:t>
      </w:r>
      <w:proofErr w:type="spellStart"/>
      <w:r w:rsidRPr="008A622D">
        <w:rPr>
          <w:rFonts w:asciiTheme="majorBidi" w:hAnsiTheme="majorBidi" w:cstheme="majorBidi"/>
          <w:sz w:val="22"/>
          <w:szCs w:val="22"/>
          <w:lang w:bidi="en-US"/>
        </w:rPr>
        <w:t>Raciborski</w:t>
      </w:r>
      <w:proofErr w:type="spellEnd"/>
      <w:r w:rsidRPr="008A622D">
        <w:rPr>
          <w:rFonts w:asciiTheme="majorBidi" w:hAnsiTheme="majorBidi" w:cstheme="majorBidi"/>
          <w:sz w:val="22"/>
          <w:szCs w:val="22"/>
          <w:lang w:bidi="en-US"/>
        </w:rPr>
        <w:t xml:space="preserve"> (2013) Maximum likelihood and generalized spatial two-stage least-squares estimators for a spatial-autoregressive model with spatial-autoregressive disturbances. </w:t>
      </w:r>
      <w:r w:rsidRPr="008A622D">
        <w:rPr>
          <w:rFonts w:asciiTheme="majorBidi" w:hAnsiTheme="majorBidi" w:cstheme="majorBidi"/>
          <w:i/>
          <w:iCs/>
          <w:sz w:val="22"/>
          <w:szCs w:val="22"/>
          <w:lang w:bidi="en-US"/>
        </w:rPr>
        <w:t>Stata Journal</w:t>
      </w:r>
      <w:r w:rsidRPr="008A622D">
        <w:rPr>
          <w:rFonts w:asciiTheme="majorBidi" w:hAnsiTheme="majorBidi" w:cstheme="majorBidi"/>
          <w:sz w:val="22"/>
          <w:szCs w:val="22"/>
          <w:lang w:bidi="en-US"/>
        </w:rPr>
        <w:t> 13(2): 221-241.</w:t>
      </w:r>
    </w:p>
    <w:p w:rsidR="00640C1E" w:rsidRPr="008A622D" w:rsidRDefault="00640C1E" w:rsidP="00640C1E">
      <w:pPr>
        <w:spacing w:after="0" w:line="360" w:lineRule="auto"/>
        <w:ind w:left="720" w:hanging="720"/>
        <w:rPr>
          <w:rFonts w:asciiTheme="majorBidi" w:hAnsiTheme="majorBidi" w:cstheme="majorBidi"/>
          <w:sz w:val="22"/>
          <w:szCs w:val="22"/>
        </w:rPr>
      </w:pPr>
      <w:proofErr w:type="spellStart"/>
      <w:r w:rsidRPr="008A622D">
        <w:rPr>
          <w:rFonts w:asciiTheme="majorBidi" w:hAnsiTheme="majorBidi" w:cstheme="majorBidi"/>
          <w:sz w:val="22"/>
          <w:szCs w:val="22"/>
        </w:rPr>
        <w:t>Elhorst</w:t>
      </w:r>
      <w:proofErr w:type="spellEnd"/>
      <w:r w:rsidRPr="008A622D">
        <w:rPr>
          <w:rFonts w:asciiTheme="majorBidi" w:hAnsiTheme="majorBidi" w:cstheme="majorBidi"/>
          <w:sz w:val="22"/>
          <w:szCs w:val="22"/>
        </w:rPr>
        <w:t xml:space="preserve">, J. Paul (2012) Dynamic spatial panels: models, methods, and inferences. </w:t>
      </w:r>
      <w:r w:rsidRPr="008A622D">
        <w:rPr>
          <w:rFonts w:asciiTheme="majorBidi" w:hAnsiTheme="majorBidi" w:cstheme="majorBidi"/>
          <w:i/>
          <w:sz w:val="22"/>
          <w:szCs w:val="22"/>
        </w:rPr>
        <w:t xml:space="preserve">Journal of Geographic Systems </w:t>
      </w:r>
      <w:r w:rsidRPr="008A622D">
        <w:rPr>
          <w:rFonts w:asciiTheme="majorBidi" w:hAnsiTheme="majorBidi" w:cstheme="majorBidi"/>
          <w:sz w:val="22"/>
          <w:szCs w:val="22"/>
        </w:rPr>
        <w:t xml:space="preserve">14(1): 5–28. </w:t>
      </w:r>
    </w:p>
    <w:p w:rsidR="00640C1E" w:rsidRPr="008A622D" w:rsidRDefault="00640C1E" w:rsidP="00640C1E">
      <w:pPr>
        <w:spacing w:after="0" w:line="360" w:lineRule="auto"/>
        <w:ind w:left="720" w:hanging="720"/>
        <w:rPr>
          <w:rFonts w:asciiTheme="majorBidi" w:hAnsiTheme="majorBidi" w:cstheme="majorBidi"/>
          <w:sz w:val="22"/>
          <w:szCs w:val="22"/>
        </w:rPr>
      </w:pPr>
      <w:proofErr w:type="spellStart"/>
      <w:r w:rsidRPr="008A622D">
        <w:rPr>
          <w:rFonts w:asciiTheme="majorBidi" w:hAnsiTheme="majorBidi" w:cstheme="majorBidi"/>
          <w:sz w:val="22"/>
          <w:szCs w:val="22"/>
        </w:rPr>
        <w:t>Hyslop</w:t>
      </w:r>
      <w:proofErr w:type="spellEnd"/>
      <w:r w:rsidRPr="008A622D">
        <w:rPr>
          <w:rFonts w:asciiTheme="majorBidi" w:hAnsiTheme="majorBidi" w:cstheme="majorBidi"/>
          <w:sz w:val="22"/>
          <w:szCs w:val="22"/>
        </w:rPr>
        <w:t xml:space="preserve">, Dean, Trinh Le, David </w:t>
      </w:r>
      <w:proofErr w:type="spellStart"/>
      <w:r w:rsidRPr="008A622D">
        <w:rPr>
          <w:rFonts w:asciiTheme="majorBidi" w:hAnsiTheme="majorBidi" w:cstheme="majorBidi"/>
          <w:sz w:val="22"/>
          <w:szCs w:val="22"/>
        </w:rPr>
        <w:t>Maré</w:t>
      </w:r>
      <w:proofErr w:type="spellEnd"/>
      <w:r w:rsidRPr="008A622D">
        <w:rPr>
          <w:rFonts w:asciiTheme="majorBidi" w:hAnsiTheme="majorBidi" w:cstheme="majorBidi"/>
          <w:sz w:val="22"/>
          <w:szCs w:val="22"/>
        </w:rPr>
        <w:t xml:space="preserve"> and Steven </w:t>
      </w:r>
      <w:proofErr w:type="spellStart"/>
      <w:r w:rsidRPr="008A622D">
        <w:rPr>
          <w:rFonts w:asciiTheme="majorBidi" w:hAnsiTheme="majorBidi" w:cstheme="majorBidi"/>
          <w:sz w:val="22"/>
          <w:szCs w:val="22"/>
        </w:rPr>
        <w:t>Stillman</w:t>
      </w:r>
      <w:proofErr w:type="spellEnd"/>
      <w:r w:rsidRPr="008A622D">
        <w:rPr>
          <w:rFonts w:asciiTheme="majorBidi" w:hAnsiTheme="majorBidi" w:cstheme="majorBidi"/>
          <w:sz w:val="22"/>
          <w:szCs w:val="22"/>
        </w:rPr>
        <w:t xml:space="preserve"> (2019)</w:t>
      </w:r>
      <w:r w:rsidR="002A30C8" w:rsidRPr="008A622D">
        <w:rPr>
          <w:rFonts w:asciiTheme="majorBidi" w:hAnsiTheme="majorBidi" w:cstheme="majorBidi"/>
          <w:sz w:val="22"/>
          <w:szCs w:val="22"/>
        </w:rPr>
        <w:t> Housing markets and m</w:t>
      </w:r>
      <w:r w:rsidRPr="008A622D">
        <w:rPr>
          <w:rFonts w:asciiTheme="majorBidi" w:hAnsiTheme="majorBidi" w:cstheme="majorBidi"/>
          <w:sz w:val="22"/>
          <w:szCs w:val="22"/>
        </w:rPr>
        <w:t xml:space="preserve">igration: Evidence from New Zealand. </w:t>
      </w:r>
      <w:r w:rsidRPr="008A622D">
        <w:rPr>
          <w:rFonts w:asciiTheme="majorBidi" w:hAnsiTheme="majorBidi" w:cstheme="majorBidi"/>
          <w:i/>
          <w:iCs/>
          <w:sz w:val="22"/>
          <w:szCs w:val="22"/>
        </w:rPr>
        <w:t>Working Paper</w:t>
      </w:r>
      <w:r w:rsidRPr="008A622D">
        <w:rPr>
          <w:rFonts w:asciiTheme="majorBidi" w:hAnsiTheme="majorBidi" w:cstheme="majorBidi"/>
          <w:sz w:val="22"/>
          <w:szCs w:val="22"/>
        </w:rPr>
        <w:t xml:space="preserve"> No. 19-14, Motu Economic and Public Policy Research.</w:t>
      </w:r>
    </w:p>
    <w:p w:rsidR="00640C1E" w:rsidRPr="008A622D" w:rsidRDefault="00640C1E" w:rsidP="00640C1E">
      <w:pPr>
        <w:spacing w:after="0" w:line="360" w:lineRule="auto"/>
        <w:ind w:left="720" w:hanging="720"/>
        <w:rPr>
          <w:rFonts w:asciiTheme="majorBidi" w:hAnsiTheme="majorBidi" w:cstheme="majorBidi"/>
          <w:sz w:val="22"/>
          <w:szCs w:val="22"/>
        </w:rPr>
      </w:pPr>
      <w:r w:rsidRPr="008A622D">
        <w:rPr>
          <w:rFonts w:asciiTheme="majorBidi" w:eastAsia="Times New Roman" w:hAnsiTheme="majorBidi" w:cstheme="majorBidi"/>
          <w:kern w:val="36"/>
          <w:sz w:val="22"/>
          <w:szCs w:val="22"/>
          <w:lang w:eastAsia="en-NZ"/>
        </w:rPr>
        <w:t xml:space="preserve">Lee, Lung-Fei and </w:t>
      </w:r>
      <w:proofErr w:type="spellStart"/>
      <w:r w:rsidRPr="008A622D">
        <w:rPr>
          <w:rFonts w:asciiTheme="majorBidi" w:eastAsia="Times New Roman" w:hAnsiTheme="majorBidi" w:cstheme="majorBidi"/>
          <w:kern w:val="36"/>
          <w:sz w:val="22"/>
          <w:szCs w:val="22"/>
          <w:lang w:eastAsia="en-NZ"/>
        </w:rPr>
        <w:t>Jihai</w:t>
      </w:r>
      <w:proofErr w:type="spellEnd"/>
      <w:r w:rsidRPr="008A622D">
        <w:rPr>
          <w:rFonts w:asciiTheme="majorBidi" w:eastAsia="Times New Roman" w:hAnsiTheme="majorBidi" w:cstheme="majorBidi"/>
          <w:kern w:val="36"/>
          <w:sz w:val="22"/>
          <w:szCs w:val="22"/>
          <w:lang w:eastAsia="en-NZ"/>
        </w:rPr>
        <w:t xml:space="preserve"> Yu (2010) Estimation of spatial autoregressive panel data models with fixed effects. </w:t>
      </w:r>
      <w:r w:rsidRPr="008A622D">
        <w:rPr>
          <w:rFonts w:asciiTheme="majorBidi" w:eastAsia="Times New Roman" w:hAnsiTheme="majorBidi" w:cstheme="majorBidi"/>
          <w:i/>
          <w:iCs/>
          <w:kern w:val="36"/>
          <w:sz w:val="22"/>
          <w:szCs w:val="22"/>
          <w:lang w:eastAsia="en-NZ"/>
        </w:rPr>
        <w:t>Journal of Econometrics</w:t>
      </w:r>
      <w:r w:rsidRPr="008A622D">
        <w:rPr>
          <w:rFonts w:asciiTheme="majorBidi" w:eastAsia="Times New Roman" w:hAnsiTheme="majorBidi" w:cstheme="majorBidi"/>
          <w:kern w:val="36"/>
          <w:sz w:val="22"/>
          <w:szCs w:val="22"/>
          <w:lang w:eastAsia="en-NZ"/>
        </w:rPr>
        <w:t xml:space="preserve"> 154(1): 165–185.</w:t>
      </w:r>
    </w:p>
    <w:p w:rsidR="003F6D59" w:rsidRPr="008A622D" w:rsidRDefault="00640C1E" w:rsidP="003F6D59">
      <w:pPr>
        <w:spacing w:after="0" w:line="360" w:lineRule="auto"/>
        <w:ind w:left="720" w:hanging="720"/>
        <w:rPr>
          <w:rFonts w:asciiTheme="majorBidi" w:hAnsiTheme="majorBidi" w:cstheme="majorBidi"/>
          <w:sz w:val="22"/>
          <w:szCs w:val="22"/>
          <w:shd w:val="clear" w:color="auto" w:fill="FFFFFF"/>
        </w:rPr>
      </w:pPr>
      <w:proofErr w:type="spellStart"/>
      <w:r w:rsidRPr="008A622D">
        <w:rPr>
          <w:rFonts w:asciiTheme="majorBidi" w:eastAsia="Times New Roman" w:hAnsiTheme="majorBidi" w:cstheme="majorBidi"/>
          <w:bCs/>
          <w:sz w:val="22"/>
          <w:szCs w:val="22"/>
          <w:lang w:val="en-AU"/>
        </w:rPr>
        <w:t>LeSage</w:t>
      </w:r>
      <w:proofErr w:type="spellEnd"/>
      <w:r w:rsidRPr="008A622D">
        <w:rPr>
          <w:rFonts w:asciiTheme="majorBidi" w:eastAsia="Times New Roman" w:hAnsiTheme="majorBidi" w:cstheme="majorBidi"/>
          <w:bCs/>
          <w:sz w:val="22"/>
          <w:szCs w:val="22"/>
          <w:lang w:val="en-AU"/>
        </w:rPr>
        <w:t xml:space="preserve">, James and Robert Kelley Pace (2009) </w:t>
      </w:r>
      <w:r w:rsidRPr="008A622D">
        <w:rPr>
          <w:rFonts w:asciiTheme="majorBidi" w:eastAsia="Times New Roman" w:hAnsiTheme="majorBidi" w:cstheme="majorBidi"/>
          <w:bCs/>
          <w:i/>
          <w:iCs/>
          <w:sz w:val="22"/>
          <w:szCs w:val="22"/>
          <w:lang w:val="en-AU"/>
        </w:rPr>
        <w:t>Introduction to Spatial Econometrics</w:t>
      </w:r>
      <w:r w:rsidRPr="008A622D">
        <w:rPr>
          <w:rFonts w:asciiTheme="majorBidi" w:eastAsia="Times New Roman" w:hAnsiTheme="majorBidi" w:cstheme="majorBidi"/>
          <w:bCs/>
          <w:iCs/>
          <w:sz w:val="22"/>
          <w:szCs w:val="22"/>
          <w:lang w:val="en-AU"/>
        </w:rPr>
        <w:t xml:space="preserve"> Chapman and Hall and CRC Press, Boca Raton.</w:t>
      </w:r>
      <w:r w:rsidR="002A30C8" w:rsidRPr="008A622D">
        <w:rPr>
          <w:rFonts w:asciiTheme="majorBidi" w:hAnsiTheme="majorBidi" w:cstheme="majorBidi"/>
          <w:sz w:val="22"/>
          <w:szCs w:val="22"/>
          <w:shd w:val="clear" w:color="auto" w:fill="FFFFFF"/>
        </w:rPr>
        <w:t xml:space="preserve"> </w:t>
      </w:r>
    </w:p>
    <w:p w:rsidR="003F6D59" w:rsidRPr="008A622D" w:rsidRDefault="003F6D59" w:rsidP="003F6D59">
      <w:pPr>
        <w:spacing w:after="0" w:line="360" w:lineRule="auto"/>
        <w:ind w:left="720" w:hanging="720"/>
        <w:rPr>
          <w:rFonts w:asciiTheme="majorBidi" w:hAnsiTheme="majorBidi" w:cstheme="majorBidi"/>
          <w:sz w:val="22"/>
          <w:szCs w:val="22"/>
          <w:shd w:val="clear" w:color="auto" w:fill="FFFFFF"/>
        </w:rPr>
      </w:pPr>
      <w:proofErr w:type="spellStart"/>
      <w:r w:rsidRPr="008A622D">
        <w:rPr>
          <w:rFonts w:asciiTheme="majorBidi" w:hAnsiTheme="majorBidi" w:cstheme="majorBidi"/>
          <w:sz w:val="22"/>
          <w:szCs w:val="22"/>
          <w:shd w:val="clear" w:color="auto" w:fill="FFFFFF"/>
        </w:rPr>
        <w:t>Nunns</w:t>
      </w:r>
      <w:proofErr w:type="spellEnd"/>
      <w:r w:rsidRPr="008A622D">
        <w:rPr>
          <w:rFonts w:asciiTheme="majorBidi" w:hAnsiTheme="majorBidi" w:cstheme="majorBidi"/>
          <w:sz w:val="22"/>
          <w:szCs w:val="22"/>
          <w:shd w:val="clear" w:color="auto" w:fill="FFFFFF"/>
        </w:rPr>
        <w:t xml:space="preserve">, Peter (2021) The causes and economic consequences of rising regional housing prices in New Zealand. </w:t>
      </w:r>
      <w:r w:rsidRPr="008A622D">
        <w:rPr>
          <w:rFonts w:asciiTheme="majorBidi" w:hAnsiTheme="majorBidi" w:cstheme="majorBidi"/>
          <w:i/>
          <w:iCs/>
          <w:sz w:val="22"/>
          <w:szCs w:val="22"/>
          <w:shd w:val="clear" w:color="auto" w:fill="FFFFFF"/>
        </w:rPr>
        <w:t>New Zealand Economic Papers</w:t>
      </w:r>
      <w:r w:rsidRPr="008A622D">
        <w:rPr>
          <w:rFonts w:asciiTheme="majorBidi" w:hAnsiTheme="majorBidi" w:cstheme="majorBidi"/>
          <w:sz w:val="22"/>
          <w:szCs w:val="22"/>
          <w:shd w:val="clear" w:color="auto" w:fill="FFFFFF"/>
        </w:rPr>
        <w:t xml:space="preserve"> 55(1): 66-.</w:t>
      </w:r>
    </w:p>
    <w:p w:rsidR="002A30C8" w:rsidRPr="008A622D" w:rsidRDefault="002A30C8" w:rsidP="002A30C8">
      <w:pPr>
        <w:spacing w:after="0" w:line="360" w:lineRule="auto"/>
        <w:ind w:left="720" w:hanging="720"/>
        <w:rPr>
          <w:rFonts w:asciiTheme="majorBidi" w:eastAsia="Times New Roman" w:hAnsiTheme="majorBidi" w:cstheme="majorBidi"/>
          <w:bCs/>
          <w:iCs/>
          <w:sz w:val="22"/>
          <w:szCs w:val="22"/>
          <w:lang w:val="en-AU"/>
        </w:rPr>
      </w:pPr>
      <w:proofErr w:type="spellStart"/>
      <w:r w:rsidRPr="008A622D">
        <w:rPr>
          <w:rFonts w:asciiTheme="majorBidi" w:eastAsia="Times New Roman" w:hAnsiTheme="majorBidi" w:cstheme="majorBidi"/>
          <w:bCs/>
          <w:iCs/>
          <w:sz w:val="22"/>
          <w:szCs w:val="22"/>
        </w:rPr>
        <w:t>Pavlidis</w:t>
      </w:r>
      <w:proofErr w:type="spellEnd"/>
      <w:r w:rsidRPr="008A622D">
        <w:rPr>
          <w:rFonts w:asciiTheme="majorBidi" w:eastAsia="Times New Roman" w:hAnsiTheme="majorBidi" w:cstheme="majorBidi"/>
          <w:bCs/>
          <w:iCs/>
          <w:sz w:val="22"/>
          <w:szCs w:val="22"/>
        </w:rPr>
        <w:t xml:space="preserve">, </w:t>
      </w:r>
      <w:proofErr w:type="spellStart"/>
      <w:r w:rsidRPr="008A622D">
        <w:rPr>
          <w:rFonts w:asciiTheme="majorBidi" w:eastAsia="Times New Roman" w:hAnsiTheme="majorBidi" w:cstheme="majorBidi"/>
          <w:bCs/>
          <w:iCs/>
          <w:sz w:val="22"/>
          <w:szCs w:val="22"/>
        </w:rPr>
        <w:t>Efthymios</w:t>
      </w:r>
      <w:proofErr w:type="spellEnd"/>
      <w:r w:rsidRPr="008A622D">
        <w:rPr>
          <w:rFonts w:asciiTheme="majorBidi" w:eastAsia="Times New Roman" w:hAnsiTheme="majorBidi" w:cstheme="majorBidi"/>
          <w:bCs/>
          <w:iCs/>
          <w:sz w:val="22"/>
          <w:szCs w:val="22"/>
        </w:rPr>
        <w:t xml:space="preserve">, Ivan </w:t>
      </w:r>
      <w:proofErr w:type="spellStart"/>
      <w:r w:rsidRPr="008A622D">
        <w:rPr>
          <w:rFonts w:asciiTheme="majorBidi" w:eastAsia="Times New Roman" w:hAnsiTheme="majorBidi" w:cstheme="majorBidi"/>
          <w:bCs/>
          <w:iCs/>
          <w:sz w:val="22"/>
          <w:szCs w:val="22"/>
        </w:rPr>
        <w:t>Paya</w:t>
      </w:r>
      <w:proofErr w:type="spellEnd"/>
      <w:r w:rsidRPr="008A622D">
        <w:rPr>
          <w:rFonts w:asciiTheme="majorBidi" w:eastAsia="Times New Roman" w:hAnsiTheme="majorBidi" w:cstheme="majorBidi"/>
          <w:bCs/>
          <w:iCs/>
          <w:sz w:val="22"/>
          <w:szCs w:val="22"/>
        </w:rPr>
        <w:t xml:space="preserve"> and Alexandros </w:t>
      </w:r>
      <w:proofErr w:type="spellStart"/>
      <w:r w:rsidRPr="008A622D">
        <w:rPr>
          <w:rFonts w:asciiTheme="majorBidi" w:eastAsia="Times New Roman" w:hAnsiTheme="majorBidi" w:cstheme="majorBidi"/>
          <w:bCs/>
          <w:iCs/>
          <w:sz w:val="22"/>
          <w:szCs w:val="22"/>
        </w:rPr>
        <w:t>Skouralis</w:t>
      </w:r>
      <w:proofErr w:type="spellEnd"/>
      <w:r w:rsidRPr="008A622D">
        <w:rPr>
          <w:rFonts w:asciiTheme="majorBidi" w:eastAsia="Times New Roman" w:hAnsiTheme="majorBidi" w:cstheme="majorBidi"/>
          <w:bCs/>
          <w:iCs/>
          <w:sz w:val="22"/>
          <w:szCs w:val="22"/>
        </w:rPr>
        <w:t xml:space="preserve"> (2021) House prices, (un)affordability and systemic risk. </w:t>
      </w:r>
      <w:r w:rsidRPr="008A622D">
        <w:rPr>
          <w:rFonts w:asciiTheme="majorBidi" w:eastAsia="Times New Roman" w:hAnsiTheme="majorBidi" w:cstheme="majorBidi"/>
          <w:bCs/>
          <w:i/>
          <w:iCs/>
          <w:sz w:val="22"/>
          <w:szCs w:val="22"/>
        </w:rPr>
        <w:t>New Zealand Economic Papers</w:t>
      </w:r>
      <w:r w:rsidRPr="008A622D">
        <w:rPr>
          <w:rFonts w:asciiTheme="majorBidi" w:eastAsia="Times New Roman" w:hAnsiTheme="majorBidi" w:cstheme="majorBidi"/>
          <w:bCs/>
          <w:iCs/>
          <w:sz w:val="22"/>
          <w:szCs w:val="22"/>
        </w:rPr>
        <w:t> 55(1): 105-123.</w:t>
      </w:r>
    </w:p>
    <w:p w:rsidR="00640C1E" w:rsidRPr="008A622D" w:rsidRDefault="00640C1E" w:rsidP="00640C1E">
      <w:pPr>
        <w:spacing w:after="0" w:line="360" w:lineRule="auto"/>
        <w:ind w:left="720" w:hanging="720"/>
        <w:rPr>
          <w:rFonts w:asciiTheme="majorBidi" w:eastAsia="Times New Roman" w:hAnsiTheme="majorBidi" w:cstheme="majorBidi"/>
          <w:iCs/>
          <w:lang w:val="en-AU"/>
        </w:rPr>
      </w:pPr>
      <w:r w:rsidRPr="008A622D">
        <w:rPr>
          <w:rFonts w:asciiTheme="majorBidi" w:eastAsia="Times New Roman" w:hAnsiTheme="majorBidi" w:cstheme="majorBidi"/>
          <w:bCs/>
          <w:iCs/>
          <w:sz w:val="22"/>
          <w:szCs w:val="22"/>
          <w:lang w:val="en-AU"/>
        </w:rPr>
        <w:t>Sharma, Hari and John Gibson (2020)</w:t>
      </w:r>
      <w:r w:rsidRPr="008A622D">
        <w:rPr>
          <w:rFonts w:asciiTheme="majorBidi" w:eastAsia="Times New Roman" w:hAnsiTheme="majorBidi" w:cstheme="majorBidi"/>
          <w:iCs/>
          <w:sz w:val="22"/>
          <w:szCs w:val="22"/>
          <w:lang w:val="en-AU"/>
        </w:rPr>
        <w:t xml:space="preserve"> </w:t>
      </w:r>
      <w:r w:rsidR="002A30C8" w:rsidRPr="008A622D">
        <w:rPr>
          <w:rFonts w:asciiTheme="majorBidi" w:eastAsia="Times New Roman" w:hAnsiTheme="majorBidi" w:cstheme="majorBidi"/>
          <w:iCs/>
          <w:sz w:val="22"/>
          <w:szCs w:val="22"/>
          <w:lang w:val="en-AU"/>
        </w:rPr>
        <w:t>Mean-reverting errors and spatially aggregated conflict d</w:t>
      </w:r>
      <w:r w:rsidRPr="008A622D">
        <w:rPr>
          <w:rFonts w:asciiTheme="majorBidi" w:eastAsia="Times New Roman" w:hAnsiTheme="majorBidi" w:cstheme="majorBidi"/>
          <w:iCs/>
          <w:sz w:val="22"/>
          <w:szCs w:val="22"/>
          <w:lang w:val="en-AU"/>
        </w:rPr>
        <w:t xml:space="preserve">ata: </w:t>
      </w:r>
      <w:r w:rsidR="002A30C8" w:rsidRPr="008A622D">
        <w:rPr>
          <w:rFonts w:asciiTheme="majorBidi" w:eastAsia="Times New Roman" w:hAnsiTheme="majorBidi" w:cstheme="majorBidi"/>
          <w:iCs/>
          <w:sz w:val="22"/>
          <w:szCs w:val="22"/>
        </w:rPr>
        <w:t>Impacts of civil war on international m</w:t>
      </w:r>
      <w:r w:rsidRPr="008A622D">
        <w:rPr>
          <w:rFonts w:asciiTheme="majorBidi" w:eastAsia="Times New Roman" w:hAnsiTheme="majorBidi" w:cstheme="majorBidi"/>
          <w:iCs/>
          <w:sz w:val="22"/>
          <w:szCs w:val="22"/>
        </w:rPr>
        <w:t xml:space="preserve">igration from Nepal. </w:t>
      </w:r>
      <w:r w:rsidRPr="008A622D">
        <w:rPr>
          <w:rFonts w:asciiTheme="majorBidi" w:eastAsia="Times New Roman" w:hAnsiTheme="majorBidi" w:cstheme="majorBidi"/>
          <w:i/>
          <w:sz w:val="22"/>
          <w:szCs w:val="22"/>
        </w:rPr>
        <w:t>Mimeo</w:t>
      </w:r>
      <w:r w:rsidRPr="008A622D">
        <w:rPr>
          <w:rFonts w:asciiTheme="majorBidi" w:eastAsia="Times New Roman" w:hAnsiTheme="majorBidi" w:cstheme="majorBidi"/>
          <w:iCs/>
          <w:sz w:val="22"/>
          <w:szCs w:val="22"/>
        </w:rPr>
        <w:t>, University of Waikato.</w:t>
      </w:r>
    </w:p>
    <w:p w:rsidR="00640C1E" w:rsidRPr="006E1A33" w:rsidRDefault="00640C1E" w:rsidP="00133C61">
      <w:pPr>
        <w:widowControl w:val="0"/>
        <w:spacing w:after="120" w:line="276" w:lineRule="auto"/>
        <w:ind w:left="720" w:hanging="720"/>
        <w:rPr>
          <w:rFonts w:asciiTheme="majorBidi" w:eastAsia="Times New Roman" w:hAnsiTheme="majorBidi" w:cstheme="majorBidi"/>
          <w:lang w:bidi="he-IL"/>
        </w:rPr>
      </w:pPr>
    </w:p>
    <w:p w:rsidR="006E1A33" w:rsidRDefault="006E1A33" w:rsidP="006E1A33">
      <w:pPr>
        <w:widowControl w:val="0"/>
        <w:spacing w:after="120" w:line="276" w:lineRule="auto"/>
        <w:ind w:left="720" w:hanging="720"/>
        <w:rPr>
          <w:rFonts w:asciiTheme="majorBidi" w:eastAsia="Times New Roman" w:hAnsiTheme="majorBidi" w:cstheme="majorBidi"/>
          <w:lang w:bidi="he-IL"/>
        </w:rPr>
      </w:pPr>
    </w:p>
    <w:p w:rsidR="0028356F" w:rsidRDefault="0028356F" w:rsidP="009A15CD">
      <w:pPr>
        <w:spacing w:after="80" w:line="276" w:lineRule="auto"/>
        <w:ind w:left="720" w:hanging="720"/>
        <w:rPr>
          <w:rFonts w:eastAsia="Times New Roman" w:cs="Arial"/>
          <w:lang w:bidi="he-IL"/>
        </w:rPr>
      </w:pPr>
    </w:p>
    <w:sectPr w:rsidR="0028356F" w:rsidSect="00C637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2F5" w:rsidRDefault="008952F5" w:rsidP="00A97771">
      <w:pPr>
        <w:spacing w:after="0" w:line="240" w:lineRule="auto"/>
      </w:pPr>
      <w:r>
        <w:separator/>
      </w:r>
    </w:p>
  </w:endnote>
  <w:endnote w:type="continuationSeparator" w:id="0">
    <w:p w:rsidR="008952F5" w:rsidRDefault="008952F5" w:rsidP="00A9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171763"/>
      <w:docPartObj>
        <w:docPartGallery w:val="Page Numbers (Bottom of Page)"/>
        <w:docPartUnique/>
      </w:docPartObj>
    </w:sdtPr>
    <w:sdtEndPr>
      <w:rPr>
        <w:noProof/>
      </w:rPr>
    </w:sdtEndPr>
    <w:sdtContent>
      <w:p w:rsidR="00C23239" w:rsidRDefault="00C23239" w:rsidP="00FE2861">
        <w:pPr>
          <w:pStyle w:val="Footer"/>
          <w:jc w:val="center"/>
        </w:pPr>
        <w:r>
          <w:fldChar w:fldCharType="begin"/>
        </w:r>
        <w:r>
          <w:instrText xml:space="preserve"> PAGE   \* MERGEFORMAT </w:instrText>
        </w:r>
        <w:r>
          <w:fldChar w:fldCharType="separate"/>
        </w:r>
        <w:r w:rsidR="00970D74">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2F5" w:rsidRDefault="008952F5" w:rsidP="00A97771">
      <w:pPr>
        <w:spacing w:after="0" w:line="240" w:lineRule="auto"/>
      </w:pPr>
      <w:r>
        <w:separator/>
      </w:r>
    </w:p>
  </w:footnote>
  <w:footnote w:type="continuationSeparator" w:id="0">
    <w:p w:rsidR="008952F5" w:rsidRDefault="008952F5" w:rsidP="00A97771">
      <w:pPr>
        <w:spacing w:after="0" w:line="240" w:lineRule="auto"/>
      </w:pPr>
      <w:r>
        <w:continuationSeparator/>
      </w:r>
    </w:p>
  </w:footnote>
  <w:footnote w:id="1">
    <w:p w:rsidR="00C23239" w:rsidRPr="008A622D" w:rsidRDefault="00C23239" w:rsidP="0092277C">
      <w:pPr>
        <w:pStyle w:val="FootnoteText"/>
        <w:ind w:left="142" w:hanging="142"/>
        <w:rPr>
          <w:sz w:val="22"/>
          <w:szCs w:val="22"/>
        </w:rPr>
      </w:pPr>
      <w:r w:rsidRPr="008A622D">
        <w:rPr>
          <w:rStyle w:val="FootnoteReference"/>
          <w:sz w:val="22"/>
          <w:szCs w:val="22"/>
        </w:rPr>
        <w:footnoteRef/>
      </w:r>
      <w:r w:rsidRPr="008A622D">
        <w:rPr>
          <w:sz w:val="22"/>
          <w:szCs w:val="22"/>
        </w:rPr>
        <w:t xml:space="preserve"> Figure 1 </w:t>
      </w:r>
      <w:r>
        <w:rPr>
          <w:sz w:val="22"/>
          <w:szCs w:val="22"/>
        </w:rPr>
        <w:t>uses</w:t>
      </w:r>
      <w:r w:rsidRPr="008A622D">
        <w:rPr>
          <w:sz w:val="22"/>
          <w:szCs w:val="22"/>
        </w:rPr>
        <w:t xml:space="preserve"> OECD series 5a368e1b-en and d434f82b-en</w:t>
      </w:r>
      <w:r>
        <w:rPr>
          <w:sz w:val="22"/>
          <w:szCs w:val="22"/>
        </w:rPr>
        <w:t>.</w:t>
      </w:r>
      <w:r w:rsidRPr="008A622D">
        <w:rPr>
          <w:sz w:val="22"/>
          <w:szCs w:val="22"/>
        </w:rPr>
        <w:t xml:space="preserve"> Not all countries have data </w:t>
      </w:r>
      <w:r>
        <w:rPr>
          <w:sz w:val="22"/>
          <w:szCs w:val="22"/>
        </w:rPr>
        <w:t>in</w:t>
      </w:r>
      <w:r w:rsidRPr="008A622D">
        <w:rPr>
          <w:sz w:val="22"/>
          <w:szCs w:val="22"/>
        </w:rPr>
        <w:t xml:space="preserve"> years </w:t>
      </w:r>
      <w:r>
        <w:rPr>
          <w:sz w:val="22"/>
          <w:szCs w:val="22"/>
        </w:rPr>
        <w:t>with</w:t>
      </w:r>
      <w:r w:rsidRPr="008A622D">
        <w:rPr>
          <w:sz w:val="22"/>
          <w:szCs w:val="22"/>
        </w:rPr>
        <w:t xml:space="preserve"> </w:t>
      </w:r>
      <w:r>
        <w:rPr>
          <w:sz w:val="22"/>
          <w:szCs w:val="22"/>
        </w:rPr>
        <w:t xml:space="preserve">NZ </w:t>
      </w:r>
      <w:r w:rsidRPr="008A622D">
        <w:rPr>
          <w:sz w:val="22"/>
          <w:szCs w:val="22"/>
        </w:rPr>
        <w:t>censuses</w:t>
      </w:r>
      <w:r>
        <w:rPr>
          <w:sz w:val="22"/>
          <w:szCs w:val="22"/>
        </w:rPr>
        <w:t xml:space="preserve">; </w:t>
      </w:r>
      <w:r w:rsidRPr="008A622D">
        <w:rPr>
          <w:sz w:val="22"/>
          <w:szCs w:val="22"/>
        </w:rPr>
        <w:t>to ensure averages for each year in Figure 1 are for the same group of countries, LUX, IRL, SVK and CHE are excluded. The three OECD groups in Figure 1 have 5, 8, and 10 members.</w:t>
      </w:r>
    </w:p>
  </w:footnote>
  <w:footnote w:id="2">
    <w:p w:rsidR="00C23239" w:rsidRPr="008A622D" w:rsidRDefault="00C23239" w:rsidP="0092277C">
      <w:pPr>
        <w:pStyle w:val="FootnoteText"/>
        <w:ind w:left="142" w:hanging="142"/>
        <w:rPr>
          <w:sz w:val="22"/>
          <w:szCs w:val="22"/>
        </w:rPr>
      </w:pPr>
      <w:r w:rsidRPr="008A622D">
        <w:rPr>
          <w:rStyle w:val="FootnoteReference"/>
          <w:sz w:val="22"/>
          <w:szCs w:val="22"/>
        </w:rPr>
        <w:footnoteRef/>
      </w:r>
      <w:r w:rsidRPr="008A622D">
        <w:rPr>
          <w:sz w:val="22"/>
          <w:szCs w:val="22"/>
        </w:rPr>
        <w:t xml:space="preserve"> For example, in their 2020 election manifesto the Labour Party support progressive home ownership. For several examples of politicians bobbing and weaving to avoid answering questions about whether they want house prices to fall see: </w:t>
      </w:r>
      <w:hyperlink r:id="rId1" w:history="1">
        <w:r w:rsidRPr="008A622D">
          <w:rPr>
            <w:rStyle w:val="Hyperlink"/>
            <w:sz w:val="22"/>
            <w:szCs w:val="22"/>
          </w:rPr>
          <w:t>https://www.stuff.co.nz/business/opinion-analysis/300205858/the-brutal-catch22-politics-of-trying-to-move-to-affordable-housing</w:t>
        </w:r>
      </w:hyperlink>
      <w:r w:rsidRPr="008A622D">
        <w:rPr>
          <w:sz w:val="22"/>
          <w:szCs w:val="22"/>
        </w:rPr>
        <w:t xml:space="preserve"> </w:t>
      </w:r>
    </w:p>
  </w:footnote>
  <w:footnote w:id="3">
    <w:p w:rsidR="00C23239" w:rsidRPr="00287E18" w:rsidRDefault="00C23239" w:rsidP="0092277C">
      <w:pPr>
        <w:pStyle w:val="FootnoteText"/>
        <w:ind w:left="142" w:hanging="142"/>
      </w:pPr>
      <w:r w:rsidRPr="008A622D">
        <w:rPr>
          <w:rStyle w:val="FootnoteReference"/>
          <w:sz w:val="22"/>
          <w:szCs w:val="22"/>
        </w:rPr>
        <w:footnoteRef/>
      </w:r>
      <w:r w:rsidRPr="008A622D">
        <w:rPr>
          <w:sz w:val="22"/>
          <w:szCs w:val="22"/>
        </w:rPr>
        <w:t xml:space="preserve"> The Dwelling Form set of questions have also become much more complex over time as Statistics New Zealand grapples with implications of increased use of family trusts. A careful discussion of these issues is in the Retirement Policy Research Centre </w:t>
      </w:r>
      <w:r w:rsidRPr="008A622D">
        <w:rPr>
          <w:i/>
          <w:iCs/>
          <w:sz w:val="22"/>
          <w:szCs w:val="22"/>
        </w:rPr>
        <w:t>Pension Briefing</w:t>
      </w:r>
      <w:r w:rsidRPr="008A622D">
        <w:rPr>
          <w:sz w:val="22"/>
          <w:szCs w:val="22"/>
        </w:rPr>
        <w:t xml:space="preserve"> 2013-4.</w:t>
      </w:r>
    </w:p>
  </w:footnote>
  <w:footnote w:id="4">
    <w:p w:rsidR="00C23239" w:rsidRPr="008A622D" w:rsidRDefault="00C23239" w:rsidP="00981A1A">
      <w:pPr>
        <w:pStyle w:val="FootnoteText"/>
        <w:rPr>
          <w:sz w:val="22"/>
          <w:szCs w:val="22"/>
        </w:rPr>
      </w:pPr>
      <w:r w:rsidRPr="008A622D">
        <w:rPr>
          <w:rStyle w:val="FootnoteReference"/>
          <w:sz w:val="22"/>
          <w:szCs w:val="22"/>
        </w:rPr>
        <w:footnoteRef/>
      </w:r>
      <w:r w:rsidRPr="008A622D">
        <w:rPr>
          <w:sz w:val="22"/>
          <w:szCs w:val="22"/>
        </w:rPr>
        <w:t xml:space="preserve"> Only 0.07% of the population in 2013 lived in area units we omitted due to this restriction.</w:t>
      </w:r>
    </w:p>
  </w:footnote>
  <w:footnote w:id="5">
    <w:p w:rsidR="0011643E" w:rsidRPr="008A622D" w:rsidRDefault="0011643E" w:rsidP="0011643E">
      <w:pPr>
        <w:pStyle w:val="FootnoteText"/>
        <w:ind w:left="142" w:hanging="142"/>
        <w:rPr>
          <w:sz w:val="22"/>
          <w:szCs w:val="22"/>
        </w:rPr>
      </w:pPr>
      <w:r w:rsidRPr="008A622D">
        <w:rPr>
          <w:rStyle w:val="FootnoteReference"/>
          <w:sz w:val="22"/>
          <w:szCs w:val="22"/>
        </w:rPr>
        <w:footnoteRef/>
      </w:r>
      <w:r w:rsidRPr="008A622D">
        <w:rPr>
          <w:sz w:val="22"/>
          <w:szCs w:val="22"/>
        </w:rPr>
        <w:t xml:space="preserve"> Area units are aggregations of adjacent </w:t>
      </w:r>
      <w:proofErr w:type="spellStart"/>
      <w:r w:rsidRPr="008A622D">
        <w:rPr>
          <w:sz w:val="22"/>
          <w:szCs w:val="22"/>
        </w:rPr>
        <w:t>meshblocks</w:t>
      </w:r>
      <w:proofErr w:type="spellEnd"/>
      <w:r w:rsidRPr="008A622D">
        <w:rPr>
          <w:sz w:val="22"/>
          <w:szCs w:val="22"/>
        </w:rPr>
        <w:t xml:space="preserve"> with coterminous boundaries. In urban areas an area unit is often a collection of city blocks, while in rural areas they typically correspond to localities or communities.</w:t>
      </w:r>
    </w:p>
  </w:footnote>
  <w:footnote w:id="6">
    <w:p w:rsidR="00C23239" w:rsidRPr="008A622D" w:rsidRDefault="00C23239" w:rsidP="0092277C">
      <w:pPr>
        <w:pStyle w:val="FootnoteText"/>
        <w:ind w:left="142" w:hanging="142"/>
        <w:rPr>
          <w:sz w:val="22"/>
          <w:szCs w:val="22"/>
        </w:rPr>
      </w:pPr>
      <w:r w:rsidRPr="008A622D">
        <w:rPr>
          <w:rStyle w:val="FootnoteReference"/>
          <w:sz w:val="22"/>
          <w:szCs w:val="22"/>
        </w:rPr>
        <w:footnoteRef/>
      </w:r>
      <w:r w:rsidRPr="008A622D">
        <w:rPr>
          <w:sz w:val="22"/>
          <w:szCs w:val="22"/>
        </w:rPr>
        <w:t xml:space="preserve"> This is estimated by quasi-maximum likelihood (Lee and Yu, 2010), using the </w:t>
      </w:r>
      <w:proofErr w:type="spellStart"/>
      <w:r w:rsidRPr="008A622D">
        <w:rPr>
          <w:sz w:val="22"/>
          <w:szCs w:val="22"/>
        </w:rPr>
        <w:t>Drukker</w:t>
      </w:r>
      <w:proofErr w:type="spellEnd"/>
      <w:r w:rsidRPr="008A622D">
        <w:rPr>
          <w:sz w:val="22"/>
          <w:szCs w:val="22"/>
        </w:rPr>
        <w:t xml:space="preserve"> et al (2013) estimator.</w:t>
      </w:r>
    </w:p>
  </w:footnote>
  <w:footnote w:id="7">
    <w:p w:rsidR="00C23239" w:rsidRPr="008A622D" w:rsidRDefault="00C23239" w:rsidP="0092277C">
      <w:pPr>
        <w:pStyle w:val="FootnoteText"/>
        <w:ind w:left="142" w:hanging="142"/>
        <w:rPr>
          <w:sz w:val="22"/>
          <w:szCs w:val="22"/>
        </w:rPr>
      </w:pPr>
      <w:r w:rsidRPr="008A622D">
        <w:rPr>
          <w:rStyle w:val="FootnoteReference"/>
          <w:sz w:val="22"/>
          <w:szCs w:val="22"/>
        </w:rPr>
        <w:footnoteRef/>
      </w:r>
      <w:r w:rsidRPr="008A622D">
        <w:rPr>
          <w:sz w:val="22"/>
          <w:szCs w:val="22"/>
        </w:rPr>
        <w:t xml:space="preserve"> Coefficient values for spatial lag terms can be altered by using different normalizations of the spatial </w:t>
      </w:r>
      <w:proofErr w:type="gramStart"/>
      <w:r w:rsidRPr="008A622D">
        <w:rPr>
          <w:sz w:val="22"/>
          <w:szCs w:val="22"/>
        </w:rPr>
        <w:t>weights</w:t>
      </w:r>
      <w:proofErr w:type="gramEnd"/>
      <w:r w:rsidRPr="008A622D">
        <w:rPr>
          <w:sz w:val="22"/>
          <w:szCs w:val="22"/>
        </w:rPr>
        <w:t xml:space="preserve"> matrix but the standard errors scale in proportion so statistical significance is unchanged. Moreover, non-lagged parts of the model, and the impacts given by equation (4), are invariant to the spatial </w:t>
      </w:r>
      <w:proofErr w:type="gramStart"/>
      <w:r w:rsidRPr="008A622D">
        <w:rPr>
          <w:sz w:val="22"/>
          <w:szCs w:val="22"/>
        </w:rPr>
        <w:t>weights</w:t>
      </w:r>
      <w:proofErr w:type="gramEnd"/>
      <w:r w:rsidRPr="008A622D">
        <w:rPr>
          <w:sz w:val="22"/>
          <w:szCs w:val="22"/>
        </w:rPr>
        <w:t xml:space="preserve"> normalization.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46F1A"/>
    <w:multiLevelType w:val="hybridMultilevel"/>
    <w:tmpl w:val="67E2E9C6"/>
    <w:lvl w:ilvl="0" w:tplc="FBBC02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8B"/>
    <w:rsid w:val="00001B7E"/>
    <w:rsid w:val="00002279"/>
    <w:rsid w:val="00004403"/>
    <w:rsid w:val="00004567"/>
    <w:rsid w:val="000053DA"/>
    <w:rsid w:val="000065F2"/>
    <w:rsid w:val="00007462"/>
    <w:rsid w:val="00007A41"/>
    <w:rsid w:val="00010C53"/>
    <w:rsid w:val="00012246"/>
    <w:rsid w:val="00013328"/>
    <w:rsid w:val="0001424F"/>
    <w:rsid w:val="0001456C"/>
    <w:rsid w:val="000150BC"/>
    <w:rsid w:val="00016A72"/>
    <w:rsid w:val="000200EC"/>
    <w:rsid w:val="00020BEC"/>
    <w:rsid w:val="00023C81"/>
    <w:rsid w:val="00023ED8"/>
    <w:rsid w:val="0002469C"/>
    <w:rsid w:val="0002493E"/>
    <w:rsid w:val="00025317"/>
    <w:rsid w:val="00026615"/>
    <w:rsid w:val="000271F1"/>
    <w:rsid w:val="00027ABC"/>
    <w:rsid w:val="00027AC8"/>
    <w:rsid w:val="000302A6"/>
    <w:rsid w:val="000304BD"/>
    <w:rsid w:val="00031CE0"/>
    <w:rsid w:val="00031EE7"/>
    <w:rsid w:val="00032873"/>
    <w:rsid w:val="00032B6E"/>
    <w:rsid w:val="00032F1D"/>
    <w:rsid w:val="000359F4"/>
    <w:rsid w:val="00036F59"/>
    <w:rsid w:val="00041814"/>
    <w:rsid w:val="00041C56"/>
    <w:rsid w:val="000429B6"/>
    <w:rsid w:val="000430B4"/>
    <w:rsid w:val="00044576"/>
    <w:rsid w:val="0004457F"/>
    <w:rsid w:val="00044689"/>
    <w:rsid w:val="00045373"/>
    <w:rsid w:val="00047C60"/>
    <w:rsid w:val="0005182B"/>
    <w:rsid w:val="00051CFA"/>
    <w:rsid w:val="00052401"/>
    <w:rsid w:val="00052767"/>
    <w:rsid w:val="00055721"/>
    <w:rsid w:val="00056FE0"/>
    <w:rsid w:val="00057774"/>
    <w:rsid w:val="000663C4"/>
    <w:rsid w:val="00066616"/>
    <w:rsid w:val="00066A91"/>
    <w:rsid w:val="00066F0C"/>
    <w:rsid w:val="000679C1"/>
    <w:rsid w:val="00070934"/>
    <w:rsid w:val="00070E29"/>
    <w:rsid w:val="00071E99"/>
    <w:rsid w:val="000728C5"/>
    <w:rsid w:val="00072F37"/>
    <w:rsid w:val="00074ECB"/>
    <w:rsid w:val="00075759"/>
    <w:rsid w:val="00075D6D"/>
    <w:rsid w:val="000766F8"/>
    <w:rsid w:val="00080066"/>
    <w:rsid w:val="00080123"/>
    <w:rsid w:val="0008015C"/>
    <w:rsid w:val="00081B74"/>
    <w:rsid w:val="0008350E"/>
    <w:rsid w:val="000841D6"/>
    <w:rsid w:val="00084D97"/>
    <w:rsid w:val="000851F0"/>
    <w:rsid w:val="000875B9"/>
    <w:rsid w:val="00087C02"/>
    <w:rsid w:val="000900CE"/>
    <w:rsid w:val="00091BAC"/>
    <w:rsid w:val="00092079"/>
    <w:rsid w:val="000A3580"/>
    <w:rsid w:val="000A3E9C"/>
    <w:rsid w:val="000A4237"/>
    <w:rsid w:val="000A5474"/>
    <w:rsid w:val="000A6977"/>
    <w:rsid w:val="000A75AB"/>
    <w:rsid w:val="000A7729"/>
    <w:rsid w:val="000B11EE"/>
    <w:rsid w:val="000B26C3"/>
    <w:rsid w:val="000B384A"/>
    <w:rsid w:val="000B69D0"/>
    <w:rsid w:val="000B78E9"/>
    <w:rsid w:val="000B7C0F"/>
    <w:rsid w:val="000C0044"/>
    <w:rsid w:val="000C0821"/>
    <w:rsid w:val="000C096F"/>
    <w:rsid w:val="000C0A63"/>
    <w:rsid w:val="000C1545"/>
    <w:rsid w:val="000C1DA7"/>
    <w:rsid w:val="000C21D9"/>
    <w:rsid w:val="000C2308"/>
    <w:rsid w:val="000C2DBE"/>
    <w:rsid w:val="000C368B"/>
    <w:rsid w:val="000C572C"/>
    <w:rsid w:val="000C5757"/>
    <w:rsid w:val="000C63F5"/>
    <w:rsid w:val="000C6826"/>
    <w:rsid w:val="000C6960"/>
    <w:rsid w:val="000C6F48"/>
    <w:rsid w:val="000D158E"/>
    <w:rsid w:val="000D4B3C"/>
    <w:rsid w:val="000D5669"/>
    <w:rsid w:val="000D727D"/>
    <w:rsid w:val="000D79D7"/>
    <w:rsid w:val="000E0071"/>
    <w:rsid w:val="000E00AD"/>
    <w:rsid w:val="000E1BF8"/>
    <w:rsid w:val="000E4023"/>
    <w:rsid w:val="000E4879"/>
    <w:rsid w:val="000E4A01"/>
    <w:rsid w:val="000E5AC1"/>
    <w:rsid w:val="000E5ACF"/>
    <w:rsid w:val="000E6DC9"/>
    <w:rsid w:val="000E752E"/>
    <w:rsid w:val="000E75E5"/>
    <w:rsid w:val="000E7A10"/>
    <w:rsid w:val="000E7DE0"/>
    <w:rsid w:val="000F0020"/>
    <w:rsid w:val="000F06D5"/>
    <w:rsid w:val="000F0817"/>
    <w:rsid w:val="000F0884"/>
    <w:rsid w:val="000F0F9C"/>
    <w:rsid w:val="000F170D"/>
    <w:rsid w:val="000F180D"/>
    <w:rsid w:val="000F1892"/>
    <w:rsid w:val="000F199B"/>
    <w:rsid w:val="000F3FBA"/>
    <w:rsid w:val="000F5A73"/>
    <w:rsid w:val="000F5EB6"/>
    <w:rsid w:val="000F622A"/>
    <w:rsid w:val="000F63D2"/>
    <w:rsid w:val="00100D22"/>
    <w:rsid w:val="00101073"/>
    <w:rsid w:val="0010124A"/>
    <w:rsid w:val="00101C23"/>
    <w:rsid w:val="00102929"/>
    <w:rsid w:val="00104533"/>
    <w:rsid w:val="001046FC"/>
    <w:rsid w:val="001106A9"/>
    <w:rsid w:val="00110C8B"/>
    <w:rsid w:val="00112AC7"/>
    <w:rsid w:val="00114D29"/>
    <w:rsid w:val="001151B0"/>
    <w:rsid w:val="0011643E"/>
    <w:rsid w:val="001224B2"/>
    <w:rsid w:val="00123084"/>
    <w:rsid w:val="00124D49"/>
    <w:rsid w:val="001250FD"/>
    <w:rsid w:val="00126BFD"/>
    <w:rsid w:val="00126FD2"/>
    <w:rsid w:val="00133C61"/>
    <w:rsid w:val="001340E6"/>
    <w:rsid w:val="00134337"/>
    <w:rsid w:val="00134537"/>
    <w:rsid w:val="001347AC"/>
    <w:rsid w:val="001358D4"/>
    <w:rsid w:val="00137DC8"/>
    <w:rsid w:val="00144B68"/>
    <w:rsid w:val="00144D60"/>
    <w:rsid w:val="001514FA"/>
    <w:rsid w:val="00151C20"/>
    <w:rsid w:val="001521B9"/>
    <w:rsid w:val="00152B75"/>
    <w:rsid w:val="00153566"/>
    <w:rsid w:val="001547C0"/>
    <w:rsid w:val="001548D2"/>
    <w:rsid w:val="00156B76"/>
    <w:rsid w:val="00161EE3"/>
    <w:rsid w:val="001629B2"/>
    <w:rsid w:val="00163B89"/>
    <w:rsid w:val="001653E3"/>
    <w:rsid w:val="00170A57"/>
    <w:rsid w:val="00171B42"/>
    <w:rsid w:val="00171CB6"/>
    <w:rsid w:val="001745CF"/>
    <w:rsid w:val="00176C50"/>
    <w:rsid w:val="0018220C"/>
    <w:rsid w:val="00182DF0"/>
    <w:rsid w:val="0018427F"/>
    <w:rsid w:val="00184897"/>
    <w:rsid w:val="00184EBC"/>
    <w:rsid w:val="001862F5"/>
    <w:rsid w:val="0018663B"/>
    <w:rsid w:val="001879DA"/>
    <w:rsid w:val="0019091C"/>
    <w:rsid w:val="00191F05"/>
    <w:rsid w:val="001936B0"/>
    <w:rsid w:val="00194405"/>
    <w:rsid w:val="00194DE6"/>
    <w:rsid w:val="001953B5"/>
    <w:rsid w:val="00196DEE"/>
    <w:rsid w:val="0019712A"/>
    <w:rsid w:val="00197D19"/>
    <w:rsid w:val="001A1111"/>
    <w:rsid w:val="001A1AE4"/>
    <w:rsid w:val="001A1E83"/>
    <w:rsid w:val="001A330D"/>
    <w:rsid w:val="001A3F51"/>
    <w:rsid w:val="001A6B9B"/>
    <w:rsid w:val="001A7193"/>
    <w:rsid w:val="001B0B56"/>
    <w:rsid w:val="001B0EFF"/>
    <w:rsid w:val="001B307F"/>
    <w:rsid w:val="001B33D1"/>
    <w:rsid w:val="001B4E73"/>
    <w:rsid w:val="001B5F59"/>
    <w:rsid w:val="001C1F4D"/>
    <w:rsid w:val="001C3FE8"/>
    <w:rsid w:val="001C7364"/>
    <w:rsid w:val="001D52FC"/>
    <w:rsid w:val="001D68E2"/>
    <w:rsid w:val="001D6BC7"/>
    <w:rsid w:val="001E0F73"/>
    <w:rsid w:val="001E1D87"/>
    <w:rsid w:val="001E2802"/>
    <w:rsid w:val="001E7415"/>
    <w:rsid w:val="001E7B15"/>
    <w:rsid w:val="001E7DBB"/>
    <w:rsid w:val="001F0D09"/>
    <w:rsid w:val="001F6018"/>
    <w:rsid w:val="001F64DA"/>
    <w:rsid w:val="001F75DB"/>
    <w:rsid w:val="001F76DE"/>
    <w:rsid w:val="0020283B"/>
    <w:rsid w:val="00202E7E"/>
    <w:rsid w:val="00206140"/>
    <w:rsid w:val="002113A9"/>
    <w:rsid w:val="00213A18"/>
    <w:rsid w:val="00213C1D"/>
    <w:rsid w:val="00213D13"/>
    <w:rsid w:val="00214622"/>
    <w:rsid w:val="00214726"/>
    <w:rsid w:val="002147F0"/>
    <w:rsid w:val="00214A7D"/>
    <w:rsid w:val="00214C92"/>
    <w:rsid w:val="00214D94"/>
    <w:rsid w:val="0021726B"/>
    <w:rsid w:val="00217731"/>
    <w:rsid w:val="00220548"/>
    <w:rsid w:val="00221253"/>
    <w:rsid w:val="002227FE"/>
    <w:rsid w:val="002235D3"/>
    <w:rsid w:val="0022401B"/>
    <w:rsid w:val="002240A8"/>
    <w:rsid w:val="00224732"/>
    <w:rsid w:val="00225D79"/>
    <w:rsid w:val="00227BD1"/>
    <w:rsid w:val="00227D7A"/>
    <w:rsid w:val="0023069C"/>
    <w:rsid w:val="002319E5"/>
    <w:rsid w:val="00233546"/>
    <w:rsid w:val="00235687"/>
    <w:rsid w:val="00235A3B"/>
    <w:rsid w:val="002428BD"/>
    <w:rsid w:val="00242CDB"/>
    <w:rsid w:val="00243BE9"/>
    <w:rsid w:val="00244069"/>
    <w:rsid w:val="00244F1A"/>
    <w:rsid w:val="002466E8"/>
    <w:rsid w:val="00250584"/>
    <w:rsid w:val="00250D8F"/>
    <w:rsid w:val="00251D61"/>
    <w:rsid w:val="002520F7"/>
    <w:rsid w:val="002524F6"/>
    <w:rsid w:val="00254DE6"/>
    <w:rsid w:val="0025570B"/>
    <w:rsid w:val="00260C95"/>
    <w:rsid w:val="002619E2"/>
    <w:rsid w:val="00261AB7"/>
    <w:rsid w:val="00267618"/>
    <w:rsid w:val="00271BB7"/>
    <w:rsid w:val="00274481"/>
    <w:rsid w:val="00274AE9"/>
    <w:rsid w:val="00275508"/>
    <w:rsid w:val="00275D16"/>
    <w:rsid w:val="0028356F"/>
    <w:rsid w:val="00284373"/>
    <w:rsid w:val="002858B5"/>
    <w:rsid w:val="00287E18"/>
    <w:rsid w:val="002903EF"/>
    <w:rsid w:val="00291A78"/>
    <w:rsid w:val="00291F25"/>
    <w:rsid w:val="002920BD"/>
    <w:rsid w:val="0029226C"/>
    <w:rsid w:val="002936EA"/>
    <w:rsid w:val="00293F73"/>
    <w:rsid w:val="00294D67"/>
    <w:rsid w:val="00296C04"/>
    <w:rsid w:val="00296F29"/>
    <w:rsid w:val="00297677"/>
    <w:rsid w:val="002A1F76"/>
    <w:rsid w:val="002A21F3"/>
    <w:rsid w:val="002A2603"/>
    <w:rsid w:val="002A30C8"/>
    <w:rsid w:val="002A423A"/>
    <w:rsid w:val="002A5E2D"/>
    <w:rsid w:val="002A6915"/>
    <w:rsid w:val="002A6B07"/>
    <w:rsid w:val="002B06A5"/>
    <w:rsid w:val="002B1F34"/>
    <w:rsid w:val="002B3897"/>
    <w:rsid w:val="002B71DC"/>
    <w:rsid w:val="002B7418"/>
    <w:rsid w:val="002C0CBB"/>
    <w:rsid w:val="002C127F"/>
    <w:rsid w:val="002C1C8A"/>
    <w:rsid w:val="002C1FBF"/>
    <w:rsid w:val="002C2413"/>
    <w:rsid w:val="002C25F9"/>
    <w:rsid w:val="002C3EE7"/>
    <w:rsid w:val="002C44AA"/>
    <w:rsid w:val="002C5554"/>
    <w:rsid w:val="002C56FF"/>
    <w:rsid w:val="002C5B8B"/>
    <w:rsid w:val="002C6994"/>
    <w:rsid w:val="002C74C4"/>
    <w:rsid w:val="002D0466"/>
    <w:rsid w:val="002D05F2"/>
    <w:rsid w:val="002D2D8E"/>
    <w:rsid w:val="002D3117"/>
    <w:rsid w:val="002D31C8"/>
    <w:rsid w:val="002D50DC"/>
    <w:rsid w:val="002D59F7"/>
    <w:rsid w:val="002D6353"/>
    <w:rsid w:val="002E09AF"/>
    <w:rsid w:val="002E115F"/>
    <w:rsid w:val="002E13C3"/>
    <w:rsid w:val="002E25B7"/>
    <w:rsid w:val="002E3247"/>
    <w:rsid w:val="002E3741"/>
    <w:rsid w:val="002E62D9"/>
    <w:rsid w:val="002E6937"/>
    <w:rsid w:val="002F0C3F"/>
    <w:rsid w:val="002F1C9E"/>
    <w:rsid w:val="002F23D5"/>
    <w:rsid w:val="002F35F1"/>
    <w:rsid w:val="002F5BBC"/>
    <w:rsid w:val="002F6CD4"/>
    <w:rsid w:val="0030131B"/>
    <w:rsid w:val="003015B5"/>
    <w:rsid w:val="00301C42"/>
    <w:rsid w:val="00302711"/>
    <w:rsid w:val="00303F15"/>
    <w:rsid w:val="00304E9C"/>
    <w:rsid w:val="00305809"/>
    <w:rsid w:val="00307CB8"/>
    <w:rsid w:val="00310A4D"/>
    <w:rsid w:val="003115C3"/>
    <w:rsid w:val="00312C8D"/>
    <w:rsid w:val="003176A2"/>
    <w:rsid w:val="003215DC"/>
    <w:rsid w:val="003220E4"/>
    <w:rsid w:val="003226F2"/>
    <w:rsid w:val="00322983"/>
    <w:rsid w:val="00323192"/>
    <w:rsid w:val="0032325D"/>
    <w:rsid w:val="0032581D"/>
    <w:rsid w:val="0032699D"/>
    <w:rsid w:val="00326CF7"/>
    <w:rsid w:val="003270BE"/>
    <w:rsid w:val="00327A5A"/>
    <w:rsid w:val="0033098D"/>
    <w:rsid w:val="0033209F"/>
    <w:rsid w:val="0033214C"/>
    <w:rsid w:val="00332AAD"/>
    <w:rsid w:val="0033540C"/>
    <w:rsid w:val="00336CA2"/>
    <w:rsid w:val="0034053E"/>
    <w:rsid w:val="003416E7"/>
    <w:rsid w:val="00342A26"/>
    <w:rsid w:val="00342E38"/>
    <w:rsid w:val="003461E2"/>
    <w:rsid w:val="003466ED"/>
    <w:rsid w:val="00346E44"/>
    <w:rsid w:val="00351228"/>
    <w:rsid w:val="00351695"/>
    <w:rsid w:val="00352283"/>
    <w:rsid w:val="00357070"/>
    <w:rsid w:val="003575FD"/>
    <w:rsid w:val="0035782B"/>
    <w:rsid w:val="00360994"/>
    <w:rsid w:val="003639E3"/>
    <w:rsid w:val="0036420A"/>
    <w:rsid w:val="0036596F"/>
    <w:rsid w:val="00367361"/>
    <w:rsid w:val="003705EA"/>
    <w:rsid w:val="00371247"/>
    <w:rsid w:val="00372189"/>
    <w:rsid w:val="0037219C"/>
    <w:rsid w:val="0037345B"/>
    <w:rsid w:val="0037378E"/>
    <w:rsid w:val="00373DC9"/>
    <w:rsid w:val="00374734"/>
    <w:rsid w:val="00374ADC"/>
    <w:rsid w:val="00377520"/>
    <w:rsid w:val="00377714"/>
    <w:rsid w:val="003802F8"/>
    <w:rsid w:val="003815C0"/>
    <w:rsid w:val="00381D95"/>
    <w:rsid w:val="003832DF"/>
    <w:rsid w:val="00385A0E"/>
    <w:rsid w:val="00385E02"/>
    <w:rsid w:val="00386B5A"/>
    <w:rsid w:val="00386EE0"/>
    <w:rsid w:val="00387156"/>
    <w:rsid w:val="00387464"/>
    <w:rsid w:val="0038767B"/>
    <w:rsid w:val="0039140B"/>
    <w:rsid w:val="00391E8D"/>
    <w:rsid w:val="0039259D"/>
    <w:rsid w:val="00392A11"/>
    <w:rsid w:val="003965A5"/>
    <w:rsid w:val="003965EC"/>
    <w:rsid w:val="003967E9"/>
    <w:rsid w:val="003A0386"/>
    <w:rsid w:val="003A1456"/>
    <w:rsid w:val="003A36C0"/>
    <w:rsid w:val="003A496E"/>
    <w:rsid w:val="003A56CD"/>
    <w:rsid w:val="003A75AA"/>
    <w:rsid w:val="003A75AB"/>
    <w:rsid w:val="003A7F49"/>
    <w:rsid w:val="003B03BA"/>
    <w:rsid w:val="003B042D"/>
    <w:rsid w:val="003B0607"/>
    <w:rsid w:val="003B0C66"/>
    <w:rsid w:val="003B1580"/>
    <w:rsid w:val="003B427C"/>
    <w:rsid w:val="003B4381"/>
    <w:rsid w:val="003B4D8E"/>
    <w:rsid w:val="003B5740"/>
    <w:rsid w:val="003B64A6"/>
    <w:rsid w:val="003B7672"/>
    <w:rsid w:val="003B7A69"/>
    <w:rsid w:val="003C2496"/>
    <w:rsid w:val="003C24DF"/>
    <w:rsid w:val="003C5D9F"/>
    <w:rsid w:val="003C60B8"/>
    <w:rsid w:val="003C617A"/>
    <w:rsid w:val="003C6226"/>
    <w:rsid w:val="003C66B6"/>
    <w:rsid w:val="003C7709"/>
    <w:rsid w:val="003D043B"/>
    <w:rsid w:val="003D2AA7"/>
    <w:rsid w:val="003D33C9"/>
    <w:rsid w:val="003D33D2"/>
    <w:rsid w:val="003D4B34"/>
    <w:rsid w:val="003D5189"/>
    <w:rsid w:val="003D5D8A"/>
    <w:rsid w:val="003E023A"/>
    <w:rsid w:val="003E026B"/>
    <w:rsid w:val="003E1DEE"/>
    <w:rsid w:val="003E2175"/>
    <w:rsid w:val="003E2743"/>
    <w:rsid w:val="003E642B"/>
    <w:rsid w:val="003E73FE"/>
    <w:rsid w:val="003E7847"/>
    <w:rsid w:val="003F0198"/>
    <w:rsid w:val="003F1BC3"/>
    <w:rsid w:val="003F2177"/>
    <w:rsid w:val="003F3282"/>
    <w:rsid w:val="003F359E"/>
    <w:rsid w:val="003F465D"/>
    <w:rsid w:val="003F490C"/>
    <w:rsid w:val="003F4B87"/>
    <w:rsid w:val="003F4C23"/>
    <w:rsid w:val="003F6961"/>
    <w:rsid w:val="003F6D59"/>
    <w:rsid w:val="004001ED"/>
    <w:rsid w:val="00404AE6"/>
    <w:rsid w:val="00405EAA"/>
    <w:rsid w:val="0041000D"/>
    <w:rsid w:val="004101BE"/>
    <w:rsid w:val="00410ABE"/>
    <w:rsid w:val="00413C37"/>
    <w:rsid w:val="0041438D"/>
    <w:rsid w:val="004148FF"/>
    <w:rsid w:val="00421CC7"/>
    <w:rsid w:val="0043256F"/>
    <w:rsid w:val="004327EE"/>
    <w:rsid w:val="00433461"/>
    <w:rsid w:val="00434F1E"/>
    <w:rsid w:val="004355AB"/>
    <w:rsid w:val="00435FB9"/>
    <w:rsid w:val="00437255"/>
    <w:rsid w:val="004378F9"/>
    <w:rsid w:val="00446258"/>
    <w:rsid w:val="0044662D"/>
    <w:rsid w:val="00447027"/>
    <w:rsid w:val="00451C9A"/>
    <w:rsid w:val="00451CD2"/>
    <w:rsid w:val="00452061"/>
    <w:rsid w:val="004527A1"/>
    <w:rsid w:val="004529B6"/>
    <w:rsid w:val="00453EAA"/>
    <w:rsid w:val="0045572F"/>
    <w:rsid w:val="00456343"/>
    <w:rsid w:val="00456E61"/>
    <w:rsid w:val="00456F71"/>
    <w:rsid w:val="0045731C"/>
    <w:rsid w:val="00457FE2"/>
    <w:rsid w:val="00461097"/>
    <w:rsid w:val="004640A5"/>
    <w:rsid w:val="00464B9C"/>
    <w:rsid w:val="0046574C"/>
    <w:rsid w:val="004660CE"/>
    <w:rsid w:val="00467A48"/>
    <w:rsid w:val="00467E26"/>
    <w:rsid w:val="00470B2C"/>
    <w:rsid w:val="0047304A"/>
    <w:rsid w:val="00475F32"/>
    <w:rsid w:val="00477CC3"/>
    <w:rsid w:val="0048060A"/>
    <w:rsid w:val="00482133"/>
    <w:rsid w:val="0048292E"/>
    <w:rsid w:val="0048381D"/>
    <w:rsid w:val="0048394C"/>
    <w:rsid w:val="004839DE"/>
    <w:rsid w:val="004855B9"/>
    <w:rsid w:val="004862F3"/>
    <w:rsid w:val="004872D2"/>
    <w:rsid w:val="004901F9"/>
    <w:rsid w:val="00493EE6"/>
    <w:rsid w:val="00494324"/>
    <w:rsid w:val="00496EA0"/>
    <w:rsid w:val="004976CA"/>
    <w:rsid w:val="004A1E78"/>
    <w:rsid w:val="004A2068"/>
    <w:rsid w:val="004A2F9C"/>
    <w:rsid w:val="004A3AE2"/>
    <w:rsid w:val="004A3EAC"/>
    <w:rsid w:val="004A5144"/>
    <w:rsid w:val="004A621D"/>
    <w:rsid w:val="004B0257"/>
    <w:rsid w:val="004B0396"/>
    <w:rsid w:val="004B0F83"/>
    <w:rsid w:val="004B1019"/>
    <w:rsid w:val="004B2158"/>
    <w:rsid w:val="004B48CE"/>
    <w:rsid w:val="004B4D63"/>
    <w:rsid w:val="004B6CCC"/>
    <w:rsid w:val="004C0DAC"/>
    <w:rsid w:val="004C1709"/>
    <w:rsid w:val="004C21C8"/>
    <w:rsid w:val="004C344C"/>
    <w:rsid w:val="004C43EE"/>
    <w:rsid w:val="004C47DB"/>
    <w:rsid w:val="004C5EA1"/>
    <w:rsid w:val="004C6DA3"/>
    <w:rsid w:val="004D26F5"/>
    <w:rsid w:val="004D2BD7"/>
    <w:rsid w:val="004D315B"/>
    <w:rsid w:val="004D5A97"/>
    <w:rsid w:val="004D5CDB"/>
    <w:rsid w:val="004D5DA7"/>
    <w:rsid w:val="004E6525"/>
    <w:rsid w:val="004E73C3"/>
    <w:rsid w:val="004F1F88"/>
    <w:rsid w:val="004F3372"/>
    <w:rsid w:val="004F3C54"/>
    <w:rsid w:val="004F3FCB"/>
    <w:rsid w:val="004F612E"/>
    <w:rsid w:val="004F762C"/>
    <w:rsid w:val="004F7B6C"/>
    <w:rsid w:val="004F7F1B"/>
    <w:rsid w:val="005017BD"/>
    <w:rsid w:val="00501E32"/>
    <w:rsid w:val="005046F4"/>
    <w:rsid w:val="0050594D"/>
    <w:rsid w:val="00506047"/>
    <w:rsid w:val="005063EA"/>
    <w:rsid w:val="00506830"/>
    <w:rsid w:val="00507E37"/>
    <w:rsid w:val="00510E58"/>
    <w:rsid w:val="0051580D"/>
    <w:rsid w:val="0052052A"/>
    <w:rsid w:val="0052077C"/>
    <w:rsid w:val="00520C02"/>
    <w:rsid w:val="00522690"/>
    <w:rsid w:val="00523356"/>
    <w:rsid w:val="0052490F"/>
    <w:rsid w:val="00526A0C"/>
    <w:rsid w:val="00527085"/>
    <w:rsid w:val="00527356"/>
    <w:rsid w:val="0052796B"/>
    <w:rsid w:val="00530D91"/>
    <w:rsid w:val="00530FC8"/>
    <w:rsid w:val="00530FF0"/>
    <w:rsid w:val="005321E5"/>
    <w:rsid w:val="0053301E"/>
    <w:rsid w:val="005336B5"/>
    <w:rsid w:val="005338E9"/>
    <w:rsid w:val="00536611"/>
    <w:rsid w:val="00537144"/>
    <w:rsid w:val="00537736"/>
    <w:rsid w:val="005378DF"/>
    <w:rsid w:val="00540940"/>
    <w:rsid w:val="0054147B"/>
    <w:rsid w:val="00541F35"/>
    <w:rsid w:val="00542CBB"/>
    <w:rsid w:val="00544737"/>
    <w:rsid w:val="00544901"/>
    <w:rsid w:val="00547562"/>
    <w:rsid w:val="00547B30"/>
    <w:rsid w:val="00547BE5"/>
    <w:rsid w:val="005503B6"/>
    <w:rsid w:val="005523DF"/>
    <w:rsid w:val="00555CD4"/>
    <w:rsid w:val="00560CD2"/>
    <w:rsid w:val="00561DAD"/>
    <w:rsid w:val="00564EA6"/>
    <w:rsid w:val="0056551B"/>
    <w:rsid w:val="00566909"/>
    <w:rsid w:val="00566FA7"/>
    <w:rsid w:val="005722DC"/>
    <w:rsid w:val="005741F4"/>
    <w:rsid w:val="0057675C"/>
    <w:rsid w:val="005769F7"/>
    <w:rsid w:val="00576CF1"/>
    <w:rsid w:val="005775C2"/>
    <w:rsid w:val="00577BF6"/>
    <w:rsid w:val="005811DF"/>
    <w:rsid w:val="00582836"/>
    <w:rsid w:val="00582C7C"/>
    <w:rsid w:val="00582FD6"/>
    <w:rsid w:val="00583170"/>
    <w:rsid w:val="00583A9D"/>
    <w:rsid w:val="00584009"/>
    <w:rsid w:val="00585703"/>
    <w:rsid w:val="005865E9"/>
    <w:rsid w:val="00586929"/>
    <w:rsid w:val="00587157"/>
    <w:rsid w:val="00587A31"/>
    <w:rsid w:val="00590169"/>
    <w:rsid w:val="005922B7"/>
    <w:rsid w:val="00592C8E"/>
    <w:rsid w:val="0059408F"/>
    <w:rsid w:val="005966D7"/>
    <w:rsid w:val="00596E37"/>
    <w:rsid w:val="005977D7"/>
    <w:rsid w:val="005A0260"/>
    <w:rsid w:val="005A1042"/>
    <w:rsid w:val="005A243F"/>
    <w:rsid w:val="005A2993"/>
    <w:rsid w:val="005A461C"/>
    <w:rsid w:val="005A4794"/>
    <w:rsid w:val="005A4B57"/>
    <w:rsid w:val="005A545A"/>
    <w:rsid w:val="005A66DE"/>
    <w:rsid w:val="005B3645"/>
    <w:rsid w:val="005B473E"/>
    <w:rsid w:val="005B4C84"/>
    <w:rsid w:val="005B59A4"/>
    <w:rsid w:val="005B6B2D"/>
    <w:rsid w:val="005B7948"/>
    <w:rsid w:val="005B7D6B"/>
    <w:rsid w:val="005C2836"/>
    <w:rsid w:val="005C2E59"/>
    <w:rsid w:val="005C323B"/>
    <w:rsid w:val="005C3C5E"/>
    <w:rsid w:val="005C51A6"/>
    <w:rsid w:val="005C6074"/>
    <w:rsid w:val="005C777B"/>
    <w:rsid w:val="005C7A41"/>
    <w:rsid w:val="005C7FCF"/>
    <w:rsid w:val="005D1361"/>
    <w:rsid w:val="005D1A93"/>
    <w:rsid w:val="005D1F08"/>
    <w:rsid w:val="005D2698"/>
    <w:rsid w:val="005D3F48"/>
    <w:rsid w:val="005D4F7F"/>
    <w:rsid w:val="005D6CFF"/>
    <w:rsid w:val="005E0399"/>
    <w:rsid w:val="005E160E"/>
    <w:rsid w:val="005E6824"/>
    <w:rsid w:val="005E7897"/>
    <w:rsid w:val="005F0720"/>
    <w:rsid w:val="005F11CF"/>
    <w:rsid w:val="005F7860"/>
    <w:rsid w:val="006004F8"/>
    <w:rsid w:val="00600B4D"/>
    <w:rsid w:val="00601072"/>
    <w:rsid w:val="00601715"/>
    <w:rsid w:val="0060211C"/>
    <w:rsid w:val="0060230A"/>
    <w:rsid w:val="00602CB3"/>
    <w:rsid w:val="00603843"/>
    <w:rsid w:val="00604524"/>
    <w:rsid w:val="00605454"/>
    <w:rsid w:val="00607DB5"/>
    <w:rsid w:val="0061099C"/>
    <w:rsid w:val="0061127D"/>
    <w:rsid w:val="00611B1C"/>
    <w:rsid w:val="00611FE5"/>
    <w:rsid w:val="00612E4D"/>
    <w:rsid w:val="0061317E"/>
    <w:rsid w:val="00615CB9"/>
    <w:rsid w:val="00616F31"/>
    <w:rsid w:val="00617583"/>
    <w:rsid w:val="00621BA8"/>
    <w:rsid w:val="00622006"/>
    <w:rsid w:val="00623641"/>
    <w:rsid w:val="00624A4E"/>
    <w:rsid w:val="00630706"/>
    <w:rsid w:val="0063343D"/>
    <w:rsid w:val="006351C8"/>
    <w:rsid w:val="00637B96"/>
    <w:rsid w:val="00640C1E"/>
    <w:rsid w:val="00641F5D"/>
    <w:rsid w:val="0064256F"/>
    <w:rsid w:val="006430B8"/>
    <w:rsid w:val="006432D6"/>
    <w:rsid w:val="00645D7F"/>
    <w:rsid w:val="00646F3E"/>
    <w:rsid w:val="00647C21"/>
    <w:rsid w:val="00647CE4"/>
    <w:rsid w:val="00647F65"/>
    <w:rsid w:val="0065168B"/>
    <w:rsid w:val="00652EB5"/>
    <w:rsid w:val="00655ADB"/>
    <w:rsid w:val="00656259"/>
    <w:rsid w:val="006577A8"/>
    <w:rsid w:val="006579F2"/>
    <w:rsid w:val="00657A8F"/>
    <w:rsid w:val="00661687"/>
    <w:rsid w:val="00663AEB"/>
    <w:rsid w:val="0066585D"/>
    <w:rsid w:val="00665FB1"/>
    <w:rsid w:val="006702A7"/>
    <w:rsid w:val="00670698"/>
    <w:rsid w:val="00670752"/>
    <w:rsid w:val="0067241A"/>
    <w:rsid w:val="00673043"/>
    <w:rsid w:val="006741F0"/>
    <w:rsid w:val="00674F26"/>
    <w:rsid w:val="00675115"/>
    <w:rsid w:val="006760E8"/>
    <w:rsid w:val="00680335"/>
    <w:rsid w:val="00681A39"/>
    <w:rsid w:val="0068603E"/>
    <w:rsid w:val="00692DA7"/>
    <w:rsid w:val="006932DE"/>
    <w:rsid w:val="006935DB"/>
    <w:rsid w:val="00694592"/>
    <w:rsid w:val="00695332"/>
    <w:rsid w:val="00695ACB"/>
    <w:rsid w:val="00695E2D"/>
    <w:rsid w:val="006A0942"/>
    <w:rsid w:val="006A1853"/>
    <w:rsid w:val="006A30C2"/>
    <w:rsid w:val="006A49CA"/>
    <w:rsid w:val="006A5436"/>
    <w:rsid w:val="006A59AD"/>
    <w:rsid w:val="006A6529"/>
    <w:rsid w:val="006A7104"/>
    <w:rsid w:val="006A7767"/>
    <w:rsid w:val="006A7F30"/>
    <w:rsid w:val="006B23E4"/>
    <w:rsid w:val="006B374C"/>
    <w:rsid w:val="006B396D"/>
    <w:rsid w:val="006B3BED"/>
    <w:rsid w:val="006B4336"/>
    <w:rsid w:val="006B7C93"/>
    <w:rsid w:val="006C422F"/>
    <w:rsid w:val="006C44B6"/>
    <w:rsid w:val="006C482B"/>
    <w:rsid w:val="006C52D9"/>
    <w:rsid w:val="006C6424"/>
    <w:rsid w:val="006C76B3"/>
    <w:rsid w:val="006D18AA"/>
    <w:rsid w:val="006D1D0A"/>
    <w:rsid w:val="006D28EA"/>
    <w:rsid w:val="006D49D1"/>
    <w:rsid w:val="006D6658"/>
    <w:rsid w:val="006E1698"/>
    <w:rsid w:val="006E1A33"/>
    <w:rsid w:val="006E474F"/>
    <w:rsid w:val="006E6113"/>
    <w:rsid w:val="006E6954"/>
    <w:rsid w:val="006E6EA7"/>
    <w:rsid w:val="006F0748"/>
    <w:rsid w:val="006F1946"/>
    <w:rsid w:val="006F26DF"/>
    <w:rsid w:val="006F29EE"/>
    <w:rsid w:val="006F2CD4"/>
    <w:rsid w:val="006F4F14"/>
    <w:rsid w:val="006F5FB3"/>
    <w:rsid w:val="006F6526"/>
    <w:rsid w:val="006F6B8E"/>
    <w:rsid w:val="006F707D"/>
    <w:rsid w:val="006F799B"/>
    <w:rsid w:val="00700872"/>
    <w:rsid w:val="00702703"/>
    <w:rsid w:val="0070376E"/>
    <w:rsid w:val="00703ED8"/>
    <w:rsid w:val="007114A4"/>
    <w:rsid w:val="00711B5B"/>
    <w:rsid w:val="0071265F"/>
    <w:rsid w:val="00714DA8"/>
    <w:rsid w:val="00715ECB"/>
    <w:rsid w:val="007177A8"/>
    <w:rsid w:val="0071780B"/>
    <w:rsid w:val="00717F08"/>
    <w:rsid w:val="00720DBF"/>
    <w:rsid w:val="00723937"/>
    <w:rsid w:val="00725EE4"/>
    <w:rsid w:val="00727528"/>
    <w:rsid w:val="0073232E"/>
    <w:rsid w:val="00733A30"/>
    <w:rsid w:val="00734351"/>
    <w:rsid w:val="00735301"/>
    <w:rsid w:val="00735A9C"/>
    <w:rsid w:val="0073600F"/>
    <w:rsid w:val="00740A96"/>
    <w:rsid w:val="00741202"/>
    <w:rsid w:val="00741776"/>
    <w:rsid w:val="007437F7"/>
    <w:rsid w:val="00744BAC"/>
    <w:rsid w:val="00745450"/>
    <w:rsid w:val="007468AF"/>
    <w:rsid w:val="00747049"/>
    <w:rsid w:val="007474C2"/>
    <w:rsid w:val="00747BA5"/>
    <w:rsid w:val="00751316"/>
    <w:rsid w:val="00756DB4"/>
    <w:rsid w:val="00757943"/>
    <w:rsid w:val="00757F22"/>
    <w:rsid w:val="007600F8"/>
    <w:rsid w:val="0076032F"/>
    <w:rsid w:val="007624DF"/>
    <w:rsid w:val="007632DB"/>
    <w:rsid w:val="00763CF9"/>
    <w:rsid w:val="00763D6E"/>
    <w:rsid w:val="007717B8"/>
    <w:rsid w:val="007729F5"/>
    <w:rsid w:val="00772E71"/>
    <w:rsid w:val="007732CD"/>
    <w:rsid w:val="007737A3"/>
    <w:rsid w:val="00773D1F"/>
    <w:rsid w:val="0077567C"/>
    <w:rsid w:val="00775A95"/>
    <w:rsid w:val="007760BF"/>
    <w:rsid w:val="007766CE"/>
    <w:rsid w:val="007813CB"/>
    <w:rsid w:val="007835D8"/>
    <w:rsid w:val="00790CFD"/>
    <w:rsid w:val="0079186E"/>
    <w:rsid w:val="00791ABA"/>
    <w:rsid w:val="00791BEA"/>
    <w:rsid w:val="00793B70"/>
    <w:rsid w:val="007957AB"/>
    <w:rsid w:val="007968C5"/>
    <w:rsid w:val="00796B00"/>
    <w:rsid w:val="00796DC9"/>
    <w:rsid w:val="00797832"/>
    <w:rsid w:val="007A04FA"/>
    <w:rsid w:val="007A415D"/>
    <w:rsid w:val="007A4302"/>
    <w:rsid w:val="007A5055"/>
    <w:rsid w:val="007A722F"/>
    <w:rsid w:val="007B0726"/>
    <w:rsid w:val="007B1338"/>
    <w:rsid w:val="007B45F3"/>
    <w:rsid w:val="007B4B54"/>
    <w:rsid w:val="007B5B95"/>
    <w:rsid w:val="007B5EEB"/>
    <w:rsid w:val="007B5F42"/>
    <w:rsid w:val="007C0060"/>
    <w:rsid w:val="007C0AFD"/>
    <w:rsid w:val="007C1CDD"/>
    <w:rsid w:val="007C2C05"/>
    <w:rsid w:val="007C3222"/>
    <w:rsid w:val="007C3E25"/>
    <w:rsid w:val="007C4988"/>
    <w:rsid w:val="007C6206"/>
    <w:rsid w:val="007C676A"/>
    <w:rsid w:val="007C6C7B"/>
    <w:rsid w:val="007D0313"/>
    <w:rsid w:val="007D1FD1"/>
    <w:rsid w:val="007D4330"/>
    <w:rsid w:val="007D4367"/>
    <w:rsid w:val="007D670F"/>
    <w:rsid w:val="007D716A"/>
    <w:rsid w:val="007E1017"/>
    <w:rsid w:val="007E2BC4"/>
    <w:rsid w:val="007E3A94"/>
    <w:rsid w:val="007E3C3D"/>
    <w:rsid w:val="007E5B69"/>
    <w:rsid w:val="007E6A7D"/>
    <w:rsid w:val="007F23E7"/>
    <w:rsid w:val="007F268F"/>
    <w:rsid w:val="007F4B11"/>
    <w:rsid w:val="007F6D64"/>
    <w:rsid w:val="007F7137"/>
    <w:rsid w:val="0080262D"/>
    <w:rsid w:val="00802A80"/>
    <w:rsid w:val="0080380C"/>
    <w:rsid w:val="00803C8B"/>
    <w:rsid w:val="00804449"/>
    <w:rsid w:val="008065A8"/>
    <w:rsid w:val="00806D4F"/>
    <w:rsid w:val="00807C5A"/>
    <w:rsid w:val="00807E7C"/>
    <w:rsid w:val="0081149C"/>
    <w:rsid w:val="0081286D"/>
    <w:rsid w:val="00813802"/>
    <w:rsid w:val="008168B6"/>
    <w:rsid w:val="00817218"/>
    <w:rsid w:val="00821D4F"/>
    <w:rsid w:val="00822078"/>
    <w:rsid w:val="00822860"/>
    <w:rsid w:val="00823957"/>
    <w:rsid w:val="0082626C"/>
    <w:rsid w:val="008268F1"/>
    <w:rsid w:val="00832B4A"/>
    <w:rsid w:val="008335F6"/>
    <w:rsid w:val="00833CB7"/>
    <w:rsid w:val="00836317"/>
    <w:rsid w:val="00837F99"/>
    <w:rsid w:val="00837F9B"/>
    <w:rsid w:val="0084159F"/>
    <w:rsid w:val="008419DE"/>
    <w:rsid w:val="00841BCF"/>
    <w:rsid w:val="00842746"/>
    <w:rsid w:val="00842D3D"/>
    <w:rsid w:val="008463EB"/>
    <w:rsid w:val="00846DD6"/>
    <w:rsid w:val="0085025E"/>
    <w:rsid w:val="00851883"/>
    <w:rsid w:val="008518B7"/>
    <w:rsid w:val="008528BF"/>
    <w:rsid w:val="00853925"/>
    <w:rsid w:val="00854781"/>
    <w:rsid w:val="00854C0C"/>
    <w:rsid w:val="00855250"/>
    <w:rsid w:val="00860C38"/>
    <w:rsid w:val="00860F17"/>
    <w:rsid w:val="0086182F"/>
    <w:rsid w:val="00865E08"/>
    <w:rsid w:val="008673D0"/>
    <w:rsid w:val="0087183B"/>
    <w:rsid w:val="0087247F"/>
    <w:rsid w:val="008743F1"/>
    <w:rsid w:val="00880F72"/>
    <w:rsid w:val="0088156A"/>
    <w:rsid w:val="00881831"/>
    <w:rsid w:val="00882924"/>
    <w:rsid w:val="00884525"/>
    <w:rsid w:val="008854F8"/>
    <w:rsid w:val="00885FF3"/>
    <w:rsid w:val="00886096"/>
    <w:rsid w:val="008866A2"/>
    <w:rsid w:val="008904AC"/>
    <w:rsid w:val="008952F5"/>
    <w:rsid w:val="008961C1"/>
    <w:rsid w:val="008976CE"/>
    <w:rsid w:val="00897E09"/>
    <w:rsid w:val="008A06E0"/>
    <w:rsid w:val="008A070C"/>
    <w:rsid w:val="008A08FC"/>
    <w:rsid w:val="008A1FCF"/>
    <w:rsid w:val="008A34A9"/>
    <w:rsid w:val="008A36B5"/>
    <w:rsid w:val="008A622D"/>
    <w:rsid w:val="008A6487"/>
    <w:rsid w:val="008A6CA9"/>
    <w:rsid w:val="008A795D"/>
    <w:rsid w:val="008B0E66"/>
    <w:rsid w:val="008B16CA"/>
    <w:rsid w:val="008B2515"/>
    <w:rsid w:val="008B5C22"/>
    <w:rsid w:val="008B5CF7"/>
    <w:rsid w:val="008B6E69"/>
    <w:rsid w:val="008C2B5E"/>
    <w:rsid w:val="008C31C3"/>
    <w:rsid w:val="008C40E6"/>
    <w:rsid w:val="008C6430"/>
    <w:rsid w:val="008D0CCD"/>
    <w:rsid w:val="008D36D0"/>
    <w:rsid w:val="008D4729"/>
    <w:rsid w:val="008D4CA7"/>
    <w:rsid w:val="008D63A2"/>
    <w:rsid w:val="008D6BA3"/>
    <w:rsid w:val="008E07BD"/>
    <w:rsid w:val="008E3BE5"/>
    <w:rsid w:val="008E5462"/>
    <w:rsid w:val="008E5EBA"/>
    <w:rsid w:val="008E6427"/>
    <w:rsid w:val="008F08C9"/>
    <w:rsid w:val="008F1A12"/>
    <w:rsid w:val="008F58AB"/>
    <w:rsid w:val="008F5DB8"/>
    <w:rsid w:val="008F627B"/>
    <w:rsid w:val="009009ED"/>
    <w:rsid w:val="009013F2"/>
    <w:rsid w:val="0090187B"/>
    <w:rsid w:val="00901F58"/>
    <w:rsid w:val="00904060"/>
    <w:rsid w:val="0090557B"/>
    <w:rsid w:val="00906556"/>
    <w:rsid w:val="00912F6D"/>
    <w:rsid w:val="0091339E"/>
    <w:rsid w:val="00915AD8"/>
    <w:rsid w:val="0091664F"/>
    <w:rsid w:val="00920210"/>
    <w:rsid w:val="00920E18"/>
    <w:rsid w:val="009217E3"/>
    <w:rsid w:val="0092277C"/>
    <w:rsid w:val="009238F5"/>
    <w:rsid w:val="00923A3D"/>
    <w:rsid w:val="009254ED"/>
    <w:rsid w:val="00925695"/>
    <w:rsid w:val="00926FDA"/>
    <w:rsid w:val="00927C7B"/>
    <w:rsid w:val="00927D43"/>
    <w:rsid w:val="009302E0"/>
    <w:rsid w:val="00933546"/>
    <w:rsid w:val="0093367E"/>
    <w:rsid w:val="00933E9A"/>
    <w:rsid w:val="00935460"/>
    <w:rsid w:val="00936B60"/>
    <w:rsid w:val="00936FE4"/>
    <w:rsid w:val="00937089"/>
    <w:rsid w:val="009376CD"/>
    <w:rsid w:val="00937A04"/>
    <w:rsid w:val="00937D8B"/>
    <w:rsid w:val="00942A59"/>
    <w:rsid w:val="009457EF"/>
    <w:rsid w:val="009472D2"/>
    <w:rsid w:val="009509B4"/>
    <w:rsid w:val="00951103"/>
    <w:rsid w:val="00952701"/>
    <w:rsid w:val="00952F3C"/>
    <w:rsid w:val="00955FCE"/>
    <w:rsid w:val="00956728"/>
    <w:rsid w:val="00956EED"/>
    <w:rsid w:val="0096039C"/>
    <w:rsid w:val="00960511"/>
    <w:rsid w:val="0096670D"/>
    <w:rsid w:val="00967384"/>
    <w:rsid w:val="0096772C"/>
    <w:rsid w:val="00967C19"/>
    <w:rsid w:val="00970235"/>
    <w:rsid w:val="0097049A"/>
    <w:rsid w:val="0097064A"/>
    <w:rsid w:val="00970860"/>
    <w:rsid w:val="00970D74"/>
    <w:rsid w:val="00972422"/>
    <w:rsid w:val="00972651"/>
    <w:rsid w:val="00973A2D"/>
    <w:rsid w:val="00974AEA"/>
    <w:rsid w:val="00975662"/>
    <w:rsid w:val="009760A6"/>
    <w:rsid w:val="0098105F"/>
    <w:rsid w:val="00981A1A"/>
    <w:rsid w:val="00981CAB"/>
    <w:rsid w:val="00983639"/>
    <w:rsid w:val="00987810"/>
    <w:rsid w:val="00991682"/>
    <w:rsid w:val="00991DF9"/>
    <w:rsid w:val="009928CA"/>
    <w:rsid w:val="009936F7"/>
    <w:rsid w:val="00993D21"/>
    <w:rsid w:val="0099494D"/>
    <w:rsid w:val="009954ED"/>
    <w:rsid w:val="00995DE9"/>
    <w:rsid w:val="009969BD"/>
    <w:rsid w:val="009979C0"/>
    <w:rsid w:val="00997F40"/>
    <w:rsid w:val="009A0C91"/>
    <w:rsid w:val="009A152E"/>
    <w:rsid w:val="009A15CD"/>
    <w:rsid w:val="009A2126"/>
    <w:rsid w:val="009A3C97"/>
    <w:rsid w:val="009A4271"/>
    <w:rsid w:val="009A5730"/>
    <w:rsid w:val="009A62B9"/>
    <w:rsid w:val="009B03C5"/>
    <w:rsid w:val="009B1E94"/>
    <w:rsid w:val="009B4576"/>
    <w:rsid w:val="009B47E4"/>
    <w:rsid w:val="009B5F78"/>
    <w:rsid w:val="009B64F1"/>
    <w:rsid w:val="009B66D3"/>
    <w:rsid w:val="009B68FA"/>
    <w:rsid w:val="009B6960"/>
    <w:rsid w:val="009C0A86"/>
    <w:rsid w:val="009C0D82"/>
    <w:rsid w:val="009C1234"/>
    <w:rsid w:val="009C1A97"/>
    <w:rsid w:val="009C25C6"/>
    <w:rsid w:val="009C399B"/>
    <w:rsid w:val="009C4471"/>
    <w:rsid w:val="009C50B9"/>
    <w:rsid w:val="009C54B6"/>
    <w:rsid w:val="009D1035"/>
    <w:rsid w:val="009D12B3"/>
    <w:rsid w:val="009D1406"/>
    <w:rsid w:val="009D29A5"/>
    <w:rsid w:val="009D3011"/>
    <w:rsid w:val="009D4771"/>
    <w:rsid w:val="009D51DB"/>
    <w:rsid w:val="009D6AAB"/>
    <w:rsid w:val="009D6EB8"/>
    <w:rsid w:val="009E0BDB"/>
    <w:rsid w:val="009E1F26"/>
    <w:rsid w:val="009E3BAC"/>
    <w:rsid w:val="009E3CD4"/>
    <w:rsid w:val="009E4750"/>
    <w:rsid w:val="009E5B10"/>
    <w:rsid w:val="009E5FD5"/>
    <w:rsid w:val="009F0F6F"/>
    <w:rsid w:val="009F1C24"/>
    <w:rsid w:val="009F21F4"/>
    <w:rsid w:val="009F2468"/>
    <w:rsid w:val="009F309D"/>
    <w:rsid w:val="009F5929"/>
    <w:rsid w:val="009F5AE6"/>
    <w:rsid w:val="009F6004"/>
    <w:rsid w:val="00A0065E"/>
    <w:rsid w:val="00A02C51"/>
    <w:rsid w:val="00A0302B"/>
    <w:rsid w:val="00A046B0"/>
    <w:rsid w:val="00A04EEE"/>
    <w:rsid w:val="00A07280"/>
    <w:rsid w:val="00A07708"/>
    <w:rsid w:val="00A1336E"/>
    <w:rsid w:val="00A135CD"/>
    <w:rsid w:val="00A13ABC"/>
    <w:rsid w:val="00A157E3"/>
    <w:rsid w:val="00A15972"/>
    <w:rsid w:val="00A159BD"/>
    <w:rsid w:val="00A1606E"/>
    <w:rsid w:val="00A21D41"/>
    <w:rsid w:val="00A22BAB"/>
    <w:rsid w:val="00A247A1"/>
    <w:rsid w:val="00A25CCA"/>
    <w:rsid w:val="00A25F4E"/>
    <w:rsid w:val="00A312F3"/>
    <w:rsid w:val="00A320FC"/>
    <w:rsid w:val="00A3690A"/>
    <w:rsid w:val="00A406A2"/>
    <w:rsid w:val="00A419CC"/>
    <w:rsid w:val="00A43367"/>
    <w:rsid w:val="00A446C2"/>
    <w:rsid w:val="00A4478D"/>
    <w:rsid w:val="00A47B1B"/>
    <w:rsid w:val="00A50826"/>
    <w:rsid w:val="00A53B58"/>
    <w:rsid w:val="00A547B2"/>
    <w:rsid w:val="00A55DA9"/>
    <w:rsid w:val="00A55FF2"/>
    <w:rsid w:val="00A566A9"/>
    <w:rsid w:val="00A57C1A"/>
    <w:rsid w:val="00A60D4A"/>
    <w:rsid w:val="00A61755"/>
    <w:rsid w:val="00A62CED"/>
    <w:rsid w:val="00A63080"/>
    <w:rsid w:val="00A6622D"/>
    <w:rsid w:val="00A67CD1"/>
    <w:rsid w:val="00A71303"/>
    <w:rsid w:val="00A7220C"/>
    <w:rsid w:val="00A7229C"/>
    <w:rsid w:val="00A73ECA"/>
    <w:rsid w:val="00A76ED8"/>
    <w:rsid w:val="00A82C8D"/>
    <w:rsid w:val="00A82D8A"/>
    <w:rsid w:val="00A8428F"/>
    <w:rsid w:val="00A84E22"/>
    <w:rsid w:val="00A86049"/>
    <w:rsid w:val="00A86AF2"/>
    <w:rsid w:val="00A87A02"/>
    <w:rsid w:val="00A9155A"/>
    <w:rsid w:val="00A93490"/>
    <w:rsid w:val="00A93E81"/>
    <w:rsid w:val="00A94CA5"/>
    <w:rsid w:val="00A97771"/>
    <w:rsid w:val="00AA2444"/>
    <w:rsid w:val="00AA25FD"/>
    <w:rsid w:val="00AA37C6"/>
    <w:rsid w:val="00AA39EC"/>
    <w:rsid w:val="00AA3F1F"/>
    <w:rsid w:val="00AA4CD3"/>
    <w:rsid w:val="00AA4ECC"/>
    <w:rsid w:val="00AA4FA0"/>
    <w:rsid w:val="00AA5625"/>
    <w:rsid w:val="00AA73A5"/>
    <w:rsid w:val="00AB08BA"/>
    <w:rsid w:val="00AB0D18"/>
    <w:rsid w:val="00AB0E57"/>
    <w:rsid w:val="00AB2207"/>
    <w:rsid w:val="00AB2378"/>
    <w:rsid w:val="00AB595B"/>
    <w:rsid w:val="00AB7015"/>
    <w:rsid w:val="00AB72C3"/>
    <w:rsid w:val="00AC0F07"/>
    <w:rsid w:val="00AC21C2"/>
    <w:rsid w:val="00AC290E"/>
    <w:rsid w:val="00AC3E52"/>
    <w:rsid w:val="00AC4D37"/>
    <w:rsid w:val="00AC50B1"/>
    <w:rsid w:val="00AC5685"/>
    <w:rsid w:val="00AC7E1F"/>
    <w:rsid w:val="00AD0A3C"/>
    <w:rsid w:val="00AD1C2A"/>
    <w:rsid w:val="00AD2BBA"/>
    <w:rsid w:val="00AD3145"/>
    <w:rsid w:val="00AD35AC"/>
    <w:rsid w:val="00AE131F"/>
    <w:rsid w:val="00AE2CE5"/>
    <w:rsid w:val="00AE404C"/>
    <w:rsid w:val="00AE40F5"/>
    <w:rsid w:val="00AE6EED"/>
    <w:rsid w:val="00AE73E2"/>
    <w:rsid w:val="00AF07D5"/>
    <w:rsid w:val="00AF0C78"/>
    <w:rsid w:val="00AF1135"/>
    <w:rsid w:val="00AF2CB8"/>
    <w:rsid w:val="00AF32B3"/>
    <w:rsid w:val="00AF33F8"/>
    <w:rsid w:val="00AF399A"/>
    <w:rsid w:val="00AF478A"/>
    <w:rsid w:val="00AF51C8"/>
    <w:rsid w:val="00AF547A"/>
    <w:rsid w:val="00B00AA3"/>
    <w:rsid w:val="00B01003"/>
    <w:rsid w:val="00B01446"/>
    <w:rsid w:val="00B01B5E"/>
    <w:rsid w:val="00B05871"/>
    <w:rsid w:val="00B0656D"/>
    <w:rsid w:val="00B10789"/>
    <w:rsid w:val="00B107FD"/>
    <w:rsid w:val="00B1094A"/>
    <w:rsid w:val="00B13A4D"/>
    <w:rsid w:val="00B15348"/>
    <w:rsid w:val="00B15458"/>
    <w:rsid w:val="00B15D84"/>
    <w:rsid w:val="00B16101"/>
    <w:rsid w:val="00B21CCC"/>
    <w:rsid w:val="00B22682"/>
    <w:rsid w:val="00B2284D"/>
    <w:rsid w:val="00B2300A"/>
    <w:rsid w:val="00B23263"/>
    <w:rsid w:val="00B24D38"/>
    <w:rsid w:val="00B254CE"/>
    <w:rsid w:val="00B25AD0"/>
    <w:rsid w:val="00B25BD1"/>
    <w:rsid w:val="00B2616F"/>
    <w:rsid w:val="00B3232F"/>
    <w:rsid w:val="00B33662"/>
    <w:rsid w:val="00B336D4"/>
    <w:rsid w:val="00B34841"/>
    <w:rsid w:val="00B35B11"/>
    <w:rsid w:val="00B35D0D"/>
    <w:rsid w:val="00B36FAF"/>
    <w:rsid w:val="00B4175A"/>
    <w:rsid w:val="00B42705"/>
    <w:rsid w:val="00B427C0"/>
    <w:rsid w:val="00B42B1B"/>
    <w:rsid w:val="00B430F1"/>
    <w:rsid w:val="00B43ADD"/>
    <w:rsid w:val="00B43FED"/>
    <w:rsid w:val="00B44491"/>
    <w:rsid w:val="00B45DE7"/>
    <w:rsid w:val="00B46773"/>
    <w:rsid w:val="00B46CE8"/>
    <w:rsid w:val="00B503EC"/>
    <w:rsid w:val="00B5041D"/>
    <w:rsid w:val="00B52546"/>
    <w:rsid w:val="00B52D27"/>
    <w:rsid w:val="00B5301F"/>
    <w:rsid w:val="00B53744"/>
    <w:rsid w:val="00B54528"/>
    <w:rsid w:val="00B566E2"/>
    <w:rsid w:val="00B576E4"/>
    <w:rsid w:val="00B5790D"/>
    <w:rsid w:val="00B57E84"/>
    <w:rsid w:val="00B61E16"/>
    <w:rsid w:val="00B63294"/>
    <w:rsid w:val="00B6383A"/>
    <w:rsid w:val="00B63D7C"/>
    <w:rsid w:val="00B64166"/>
    <w:rsid w:val="00B650E7"/>
    <w:rsid w:val="00B654A3"/>
    <w:rsid w:val="00B65675"/>
    <w:rsid w:val="00B65938"/>
    <w:rsid w:val="00B664DA"/>
    <w:rsid w:val="00B668C8"/>
    <w:rsid w:val="00B66A5C"/>
    <w:rsid w:val="00B67E99"/>
    <w:rsid w:val="00B7141B"/>
    <w:rsid w:val="00B71CDD"/>
    <w:rsid w:val="00B72AEE"/>
    <w:rsid w:val="00B732CF"/>
    <w:rsid w:val="00B73375"/>
    <w:rsid w:val="00B762C6"/>
    <w:rsid w:val="00B8066A"/>
    <w:rsid w:val="00B83E10"/>
    <w:rsid w:val="00B85B32"/>
    <w:rsid w:val="00B86F7F"/>
    <w:rsid w:val="00B910AE"/>
    <w:rsid w:val="00B91BC9"/>
    <w:rsid w:val="00B91F19"/>
    <w:rsid w:val="00B95680"/>
    <w:rsid w:val="00B95BFD"/>
    <w:rsid w:val="00B97C47"/>
    <w:rsid w:val="00BA04BD"/>
    <w:rsid w:val="00BA1121"/>
    <w:rsid w:val="00BA2AD7"/>
    <w:rsid w:val="00BA2BFB"/>
    <w:rsid w:val="00BA38DC"/>
    <w:rsid w:val="00BA4D9B"/>
    <w:rsid w:val="00BA5778"/>
    <w:rsid w:val="00BA58DD"/>
    <w:rsid w:val="00BA5C29"/>
    <w:rsid w:val="00BA66D2"/>
    <w:rsid w:val="00BA7790"/>
    <w:rsid w:val="00BA791D"/>
    <w:rsid w:val="00BB12D9"/>
    <w:rsid w:val="00BB2BAA"/>
    <w:rsid w:val="00BB5B2E"/>
    <w:rsid w:val="00BB6CD3"/>
    <w:rsid w:val="00BB70A4"/>
    <w:rsid w:val="00BB766F"/>
    <w:rsid w:val="00BB769A"/>
    <w:rsid w:val="00BB7F49"/>
    <w:rsid w:val="00BC038A"/>
    <w:rsid w:val="00BC0811"/>
    <w:rsid w:val="00BC222A"/>
    <w:rsid w:val="00BC38B5"/>
    <w:rsid w:val="00BC4E80"/>
    <w:rsid w:val="00BC5145"/>
    <w:rsid w:val="00BD103E"/>
    <w:rsid w:val="00BD25C3"/>
    <w:rsid w:val="00BD260C"/>
    <w:rsid w:val="00BD56E7"/>
    <w:rsid w:val="00BD5D45"/>
    <w:rsid w:val="00BD6111"/>
    <w:rsid w:val="00BD6660"/>
    <w:rsid w:val="00BD6E8A"/>
    <w:rsid w:val="00BD7E64"/>
    <w:rsid w:val="00BE12E6"/>
    <w:rsid w:val="00BE1A47"/>
    <w:rsid w:val="00BE4C3E"/>
    <w:rsid w:val="00BE534D"/>
    <w:rsid w:val="00BE5437"/>
    <w:rsid w:val="00BE6B4B"/>
    <w:rsid w:val="00BF1615"/>
    <w:rsid w:val="00BF5CB7"/>
    <w:rsid w:val="00BF7E70"/>
    <w:rsid w:val="00C013E5"/>
    <w:rsid w:val="00C03265"/>
    <w:rsid w:val="00C03B42"/>
    <w:rsid w:val="00C03C18"/>
    <w:rsid w:val="00C06396"/>
    <w:rsid w:val="00C063AC"/>
    <w:rsid w:val="00C0661B"/>
    <w:rsid w:val="00C06F28"/>
    <w:rsid w:val="00C079FA"/>
    <w:rsid w:val="00C1162C"/>
    <w:rsid w:val="00C122A2"/>
    <w:rsid w:val="00C13FCF"/>
    <w:rsid w:val="00C154A4"/>
    <w:rsid w:val="00C15A41"/>
    <w:rsid w:val="00C167EA"/>
    <w:rsid w:val="00C16A67"/>
    <w:rsid w:val="00C16CF7"/>
    <w:rsid w:val="00C16FBB"/>
    <w:rsid w:val="00C1755C"/>
    <w:rsid w:val="00C2056D"/>
    <w:rsid w:val="00C21F7A"/>
    <w:rsid w:val="00C224CE"/>
    <w:rsid w:val="00C23239"/>
    <w:rsid w:val="00C23955"/>
    <w:rsid w:val="00C24084"/>
    <w:rsid w:val="00C241D9"/>
    <w:rsid w:val="00C24BEB"/>
    <w:rsid w:val="00C27525"/>
    <w:rsid w:val="00C343D9"/>
    <w:rsid w:val="00C3544B"/>
    <w:rsid w:val="00C357CF"/>
    <w:rsid w:val="00C37ADB"/>
    <w:rsid w:val="00C37F68"/>
    <w:rsid w:val="00C40988"/>
    <w:rsid w:val="00C40E8E"/>
    <w:rsid w:val="00C41B68"/>
    <w:rsid w:val="00C43A0B"/>
    <w:rsid w:val="00C45905"/>
    <w:rsid w:val="00C461E6"/>
    <w:rsid w:val="00C513B4"/>
    <w:rsid w:val="00C5177A"/>
    <w:rsid w:val="00C52D82"/>
    <w:rsid w:val="00C56785"/>
    <w:rsid w:val="00C573B4"/>
    <w:rsid w:val="00C57A3A"/>
    <w:rsid w:val="00C57C44"/>
    <w:rsid w:val="00C602AA"/>
    <w:rsid w:val="00C61197"/>
    <w:rsid w:val="00C61245"/>
    <w:rsid w:val="00C637EE"/>
    <w:rsid w:val="00C66173"/>
    <w:rsid w:val="00C70578"/>
    <w:rsid w:val="00C7195D"/>
    <w:rsid w:val="00C723B3"/>
    <w:rsid w:val="00C72511"/>
    <w:rsid w:val="00C75BF2"/>
    <w:rsid w:val="00C768FB"/>
    <w:rsid w:val="00C7708E"/>
    <w:rsid w:val="00C77932"/>
    <w:rsid w:val="00C77CC0"/>
    <w:rsid w:val="00C8047A"/>
    <w:rsid w:val="00C81443"/>
    <w:rsid w:val="00C81E8C"/>
    <w:rsid w:val="00C84DA6"/>
    <w:rsid w:val="00C8503F"/>
    <w:rsid w:val="00C854E2"/>
    <w:rsid w:val="00C86204"/>
    <w:rsid w:val="00C90E88"/>
    <w:rsid w:val="00C9210B"/>
    <w:rsid w:val="00C933A5"/>
    <w:rsid w:val="00C942A1"/>
    <w:rsid w:val="00C943FC"/>
    <w:rsid w:val="00C94C9F"/>
    <w:rsid w:val="00C97326"/>
    <w:rsid w:val="00CA32C7"/>
    <w:rsid w:val="00CA3CF1"/>
    <w:rsid w:val="00CA426E"/>
    <w:rsid w:val="00CB216E"/>
    <w:rsid w:val="00CB34D3"/>
    <w:rsid w:val="00CB5AC3"/>
    <w:rsid w:val="00CB5C19"/>
    <w:rsid w:val="00CB5D16"/>
    <w:rsid w:val="00CC1295"/>
    <w:rsid w:val="00CC1BCF"/>
    <w:rsid w:val="00CC1F37"/>
    <w:rsid w:val="00CC22A1"/>
    <w:rsid w:val="00CC4092"/>
    <w:rsid w:val="00CC6FB3"/>
    <w:rsid w:val="00CC746F"/>
    <w:rsid w:val="00CD1075"/>
    <w:rsid w:val="00CD1F79"/>
    <w:rsid w:val="00CD23FF"/>
    <w:rsid w:val="00CD2588"/>
    <w:rsid w:val="00CD2CD3"/>
    <w:rsid w:val="00CD4930"/>
    <w:rsid w:val="00CD5653"/>
    <w:rsid w:val="00CD62A6"/>
    <w:rsid w:val="00CD7F22"/>
    <w:rsid w:val="00CE09ED"/>
    <w:rsid w:val="00CE17EB"/>
    <w:rsid w:val="00CE27EF"/>
    <w:rsid w:val="00CE5774"/>
    <w:rsid w:val="00CE6708"/>
    <w:rsid w:val="00CE6D4F"/>
    <w:rsid w:val="00CE7A5D"/>
    <w:rsid w:val="00CF11DF"/>
    <w:rsid w:val="00CF1B23"/>
    <w:rsid w:val="00CF3D5C"/>
    <w:rsid w:val="00CF55C0"/>
    <w:rsid w:val="00CF5788"/>
    <w:rsid w:val="00D00136"/>
    <w:rsid w:val="00D00213"/>
    <w:rsid w:val="00D01563"/>
    <w:rsid w:val="00D01924"/>
    <w:rsid w:val="00D035A4"/>
    <w:rsid w:val="00D0365F"/>
    <w:rsid w:val="00D04893"/>
    <w:rsid w:val="00D04B9C"/>
    <w:rsid w:val="00D04BBB"/>
    <w:rsid w:val="00D07231"/>
    <w:rsid w:val="00D07FD2"/>
    <w:rsid w:val="00D10542"/>
    <w:rsid w:val="00D11745"/>
    <w:rsid w:val="00D1202F"/>
    <w:rsid w:val="00D121C1"/>
    <w:rsid w:val="00D12B69"/>
    <w:rsid w:val="00D14111"/>
    <w:rsid w:val="00D15381"/>
    <w:rsid w:val="00D16B36"/>
    <w:rsid w:val="00D1721C"/>
    <w:rsid w:val="00D20FE3"/>
    <w:rsid w:val="00D21DAA"/>
    <w:rsid w:val="00D220D6"/>
    <w:rsid w:val="00D23E5D"/>
    <w:rsid w:val="00D24303"/>
    <w:rsid w:val="00D3100C"/>
    <w:rsid w:val="00D31DFA"/>
    <w:rsid w:val="00D3266D"/>
    <w:rsid w:val="00D3503B"/>
    <w:rsid w:val="00D36BF8"/>
    <w:rsid w:val="00D37747"/>
    <w:rsid w:val="00D40362"/>
    <w:rsid w:val="00D40416"/>
    <w:rsid w:val="00D406F2"/>
    <w:rsid w:val="00D409F8"/>
    <w:rsid w:val="00D4156A"/>
    <w:rsid w:val="00D41DB6"/>
    <w:rsid w:val="00D42E54"/>
    <w:rsid w:val="00D44B51"/>
    <w:rsid w:val="00D45821"/>
    <w:rsid w:val="00D47449"/>
    <w:rsid w:val="00D47958"/>
    <w:rsid w:val="00D47B5A"/>
    <w:rsid w:val="00D47F3C"/>
    <w:rsid w:val="00D5356D"/>
    <w:rsid w:val="00D5359A"/>
    <w:rsid w:val="00D55187"/>
    <w:rsid w:val="00D571E6"/>
    <w:rsid w:val="00D573D0"/>
    <w:rsid w:val="00D57494"/>
    <w:rsid w:val="00D61AC1"/>
    <w:rsid w:val="00D61BB3"/>
    <w:rsid w:val="00D633AE"/>
    <w:rsid w:val="00D63E54"/>
    <w:rsid w:val="00D646D5"/>
    <w:rsid w:val="00D66673"/>
    <w:rsid w:val="00D676AD"/>
    <w:rsid w:val="00D71713"/>
    <w:rsid w:val="00D73BDE"/>
    <w:rsid w:val="00D73C64"/>
    <w:rsid w:val="00D7714F"/>
    <w:rsid w:val="00D77470"/>
    <w:rsid w:val="00D808C0"/>
    <w:rsid w:val="00D81873"/>
    <w:rsid w:val="00D825C4"/>
    <w:rsid w:val="00D84A8B"/>
    <w:rsid w:val="00D85381"/>
    <w:rsid w:val="00D865EC"/>
    <w:rsid w:val="00D86BF6"/>
    <w:rsid w:val="00D9009D"/>
    <w:rsid w:val="00D903FA"/>
    <w:rsid w:val="00D9131E"/>
    <w:rsid w:val="00D92CF8"/>
    <w:rsid w:val="00D93F18"/>
    <w:rsid w:val="00D943DD"/>
    <w:rsid w:val="00D964B0"/>
    <w:rsid w:val="00D96F7E"/>
    <w:rsid w:val="00D97BC8"/>
    <w:rsid w:val="00DA0B00"/>
    <w:rsid w:val="00DA0EA5"/>
    <w:rsid w:val="00DA34FB"/>
    <w:rsid w:val="00DA561D"/>
    <w:rsid w:val="00DA58F1"/>
    <w:rsid w:val="00DB034C"/>
    <w:rsid w:val="00DB03A4"/>
    <w:rsid w:val="00DB0D33"/>
    <w:rsid w:val="00DB3261"/>
    <w:rsid w:val="00DB47D3"/>
    <w:rsid w:val="00DB58E0"/>
    <w:rsid w:val="00DB6F71"/>
    <w:rsid w:val="00DB7E64"/>
    <w:rsid w:val="00DC0191"/>
    <w:rsid w:val="00DC0ECC"/>
    <w:rsid w:val="00DD2768"/>
    <w:rsid w:val="00DD6F8E"/>
    <w:rsid w:val="00DE2107"/>
    <w:rsid w:val="00DE2529"/>
    <w:rsid w:val="00DE28EA"/>
    <w:rsid w:val="00DE3E20"/>
    <w:rsid w:val="00DE4D7F"/>
    <w:rsid w:val="00DE65D2"/>
    <w:rsid w:val="00DE6734"/>
    <w:rsid w:val="00DE7627"/>
    <w:rsid w:val="00DF10AE"/>
    <w:rsid w:val="00DF1831"/>
    <w:rsid w:val="00DF2E71"/>
    <w:rsid w:val="00DF3147"/>
    <w:rsid w:val="00DF465F"/>
    <w:rsid w:val="00DF5DA3"/>
    <w:rsid w:val="00E00C60"/>
    <w:rsid w:val="00E00D7C"/>
    <w:rsid w:val="00E0243C"/>
    <w:rsid w:val="00E03CEE"/>
    <w:rsid w:val="00E04D3B"/>
    <w:rsid w:val="00E05661"/>
    <w:rsid w:val="00E05CCA"/>
    <w:rsid w:val="00E07E8C"/>
    <w:rsid w:val="00E103CA"/>
    <w:rsid w:val="00E106CB"/>
    <w:rsid w:val="00E11630"/>
    <w:rsid w:val="00E11683"/>
    <w:rsid w:val="00E118C4"/>
    <w:rsid w:val="00E11DD1"/>
    <w:rsid w:val="00E122D0"/>
    <w:rsid w:val="00E137C3"/>
    <w:rsid w:val="00E20602"/>
    <w:rsid w:val="00E2232B"/>
    <w:rsid w:val="00E22B51"/>
    <w:rsid w:val="00E23253"/>
    <w:rsid w:val="00E24720"/>
    <w:rsid w:val="00E26DB3"/>
    <w:rsid w:val="00E31807"/>
    <w:rsid w:val="00E32486"/>
    <w:rsid w:val="00E32E1C"/>
    <w:rsid w:val="00E34CD1"/>
    <w:rsid w:val="00E35903"/>
    <w:rsid w:val="00E405EE"/>
    <w:rsid w:val="00E41003"/>
    <w:rsid w:val="00E43B33"/>
    <w:rsid w:val="00E43D61"/>
    <w:rsid w:val="00E45228"/>
    <w:rsid w:val="00E46AD0"/>
    <w:rsid w:val="00E47E1D"/>
    <w:rsid w:val="00E5009B"/>
    <w:rsid w:val="00E50445"/>
    <w:rsid w:val="00E5156B"/>
    <w:rsid w:val="00E52AB6"/>
    <w:rsid w:val="00E54150"/>
    <w:rsid w:val="00E5469A"/>
    <w:rsid w:val="00E56EF1"/>
    <w:rsid w:val="00E573A3"/>
    <w:rsid w:val="00E60104"/>
    <w:rsid w:val="00E60A10"/>
    <w:rsid w:val="00E61E6D"/>
    <w:rsid w:val="00E635CD"/>
    <w:rsid w:val="00E63939"/>
    <w:rsid w:val="00E63F84"/>
    <w:rsid w:val="00E64A99"/>
    <w:rsid w:val="00E64D5E"/>
    <w:rsid w:val="00E65FAE"/>
    <w:rsid w:val="00E66958"/>
    <w:rsid w:val="00E67C79"/>
    <w:rsid w:val="00E72AC4"/>
    <w:rsid w:val="00E72EE2"/>
    <w:rsid w:val="00E741A9"/>
    <w:rsid w:val="00E74ADA"/>
    <w:rsid w:val="00E74E43"/>
    <w:rsid w:val="00E759C1"/>
    <w:rsid w:val="00E75A17"/>
    <w:rsid w:val="00E77C07"/>
    <w:rsid w:val="00E77E0C"/>
    <w:rsid w:val="00E80FD9"/>
    <w:rsid w:val="00E81246"/>
    <w:rsid w:val="00E8144F"/>
    <w:rsid w:val="00E81C59"/>
    <w:rsid w:val="00E82B9E"/>
    <w:rsid w:val="00E84BEE"/>
    <w:rsid w:val="00E85C83"/>
    <w:rsid w:val="00E8683A"/>
    <w:rsid w:val="00E87829"/>
    <w:rsid w:val="00E87EFC"/>
    <w:rsid w:val="00E90075"/>
    <w:rsid w:val="00E90B98"/>
    <w:rsid w:val="00E90EC3"/>
    <w:rsid w:val="00E916D5"/>
    <w:rsid w:val="00E91D2D"/>
    <w:rsid w:val="00E92719"/>
    <w:rsid w:val="00E92CE4"/>
    <w:rsid w:val="00E93ABC"/>
    <w:rsid w:val="00E95FC6"/>
    <w:rsid w:val="00EA1E0B"/>
    <w:rsid w:val="00EA273E"/>
    <w:rsid w:val="00EA41A0"/>
    <w:rsid w:val="00EA43C8"/>
    <w:rsid w:val="00EA4854"/>
    <w:rsid w:val="00EA4D34"/>
    <w:rsid w:val="00EA5114"/>
    <w:rsid w:val="00EA66F3"/>
    <w:rsid w:val="00EA6E1A"/>
    <w:rsid w:val="00EA7090"/>
    <w:rsid w:val="00EA7427"/>
    <w:rsid w:val="00EA769E"/>
    <w:rsid w:val="00EB221F"/>
    <w:rsid w:val="00EB36A1"/>
    <w:rsid w:val="00EB3B0A"/>
    <w:rsid w:val="00EB3D73"/>
    <w:rsid w:val="00EB5D6B"/>
    <w:rsid w:val="00EC12CF"/>
    <w:rsid w:val="00EC16E8"/>
    <w:rsid w:val="00EC595B"/>
    <w:rsid w:val="00EC5BB4"/>
    <w:rsid w:val="00EC6AA7"/>
    <w:rsid w:val="00EC735B"/>
    <w:rsid w:val="00EC7FE5"/>
    <w:rsid w:val="00ED1EB5"/>
    <w:rsid w:val="00ED5CD1"/>
    <w:rsid w:val="00ED5E9B"/>
    <w:rsid w:val="00EE1DFD"/>
    <w:rsid w:val="00EE1EF4"/>
    <w:rsid w:val="00EE3270"/>
    <w:rsid w:val="00EE4F21"/>
    <w:rsid w:val="00EE6CE9"/>
    <w:rsid w:val="00EE7128"/>
    <w:rsid w:val="00EF364D"/>
    <w:rsid w:val="00EF365E"/>
    <w:rsid w:val="00EF4291"/>
    <w:rsid w:val="00EF4F66"/>
    <w:rsid w:val="00EF5434"/>
    <w:rsid w:val="00EF6CE3"/>
    <w:rsid w:val="00EF7482"/>
    <w:rsid w:val="00F01264"/>
    <w:rsid w:val="00F0149A"/>
    <w:rsid w:val="00F039AC"/>
    <w:rsid w:val="00F03DB3"/>
    <w:rsid w:val="00F07464"/>
    <w:rsid w:val="00F07FEC"/>
    <w:rsid w:val="00F16FC9"/>
    <w:rsid w:val="00F201CD"/>
    <w:rsid w:val="00F212A8"/>
    <w:rsid w:val="00F221A0"/>
    <w:rsid w:val="00F23BE4"/>
    <w:rsid w:val="00F24828"/>
    <w:rsid w:val="00F24BA6"/>
    <w:rsid w:val="00F2521C"/>
    <w:rsid w:val="00F25298"/>
    <w:rsid w:val="00F2581B"/>
    <w:rsid w:val="00F3005F"/>
    <w:rsid w:val="00F327D7"/>
    <w:rsid w:val="00F33527"/>
    <w:rsid w:val="00F35108"/>
    <w:rsid w:val="00F360E8"/>
    <w:rsid w:val="00F361EA"/>
    <w:rsid w:val="00F36B5A"/>
    <w:rsid w:val="00F40B31"/>
    <w:rsid w:val="00F40E38"/>
    <w:rsid w:val="00F43497"/>
    <w:rsid w:val="00F4471B"/>
    <w:rsid w:val="00F4565A"/>
    <w:rsid w:val="00F465C8"/>
    <w:rsid w:val="00F47232"/>
    <w:rsid w:val="00F47606"/>
    <w:rsid w:val="00F52159"/>
    <w:rsid w:val="00F54EF0"/>
    <w:rsid w:val="00F5611B"/>
    <w:rsid w:val="00F56C2F"/>
    <w:rsid w:val="00F60D82"/>
    <w:rsid w:val="00F62AF0"/>
    <w:rsid w:val="00F65609"/>
    <w:rsid w:val="00F6666B"/>
    <w:rsid w:val="00F66849"/>
    <w:rsid w:val="00F67582"/>
    <w:rsid w:val="00F734B1"/>
    <w:rsid w:val="00F73C9C"/>
    <w:rsid w:val="00F74D9D"/>
    <w:rsid w:val="00F75524"/>
    <w:rsid w:val="00F770AD"/>
    <w:rsid w:val="00F77E67"/>
    <w:rsid w:val="00F80469"/>
    <w:rsid w:val="00F806FB"/>
    <w:rsid w:val="00F84335"/>
    <w:rsid w:val="00F902A7"/>
    <w:rsid w:val="00F90D87"/>
    <w:rsid w:val="00F90FAF"/>
    <w:rsid w:val="00F914C4"/>
    <w:rsid w:val="00F92B7B"/>
    <w:rsid w:val="00F92C47"/>
    <w:rsid w:val="00F93A98"/>
    <w:rsid w:val="00F95057"/>
    <w:rsid w:val="00F96420"/>
    <w:rsid w:val="00FA1384"/>
    <w:rsid w:val="00FA265F"/>
    <w:rsid w:val="00FA3849"/>
    <w:rsid w:val="00FB0DFC"/>
    <w:rsid w:val="00FB532F"/>
    <w:rsid w:val="00FC1095"/>
    <w:rsid w:val="00FC1242"/>
    <w:rsid w:val="00FC1CB2"/>
    <w:rsid w:val="00FC3E2B"/>
    <w:rsid w:val="00FC6A49"/>
    <w:rsid w:val="00FC73A0"/>
    <w:rsid w:val="00FC74F0"/>
    <w:rsid w:val="00FC78A0"/>
    <w:rsid w:val="00FC78D1"/>
    <w:rsid w:val="00FD0052"/>
    <w:rsid w:val="00FD22A8"/>
    <w:rsid w:val="00FD5C43"/>
    <w:rsid w:val="00FD7FB0"/>
    <w:rsid w:val="00FE1BE3"/>
    <w:rsid w:val="00FE225D"/>
    <w:rsid w:val="00FE2719"/>
    <w:rsid w:val="00FE2861"/>
    <w:rsid w:val="00FE317D"/>
    <w:rsid w:val="00FE38C9"/>
    <w:rsid w:val="00FE3CD4"/>
    <w:rsid w:val="00FE4C55"/>
    <w:rsid w:val="00FE51E0"/>
    <w:rsid w:val="00FE5311"/>
    <w:rsid w:val="00FE56C8"/>
    <w:rsid w:val="00FE694E"/>
    <w:rsid w:val="00FE6FE9"/>
    <w:rsid w:val="00FE7970"/>
    <w:rsid w:val="00FF295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8B27B79A-E8CB-4BFF-A50D-920BEA7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6CD"/>
  </w:style>
  <w:style w:type="paragraph" w:styleId="Heading1">
    <w:name w:val="heading 1"/>
    <w:basedOn w:val="Normal"/>
    <w:next w:val="Normal"/>
    <w:link w:val="Heading1Char"/>
    <w:uiPriority w:val="9"/>
    <w:qFormat/>
    <w:rsid w:val="00AA5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A4F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2C5B8B"/>
    <w:pPr>
      <w:widowControl w:val="0"/>
      <w:tabs>
        <w:tab w:val="left" w:pos="720"/>
      </w:tabs>
      <w:spacing w:after="0" w:line="240" w:lineRule="auto"/>
      <w:ind w:left="720" w:hanging="720"/>
      <w:jc w:val="both"/>
    </w:pPr>
    <w:rPr>
      <w:rFonts w:eastAsia="Times New Roman"/>
      <w:snapToGrid w:val="0"/>
      <w:szCs w:val="20"/>
      <w:lang w:val="en-AU"/>
    </w:rPr>
  </w:style>
  <w:style w:type="paragraph" w:styleId="BalloonText">
    <w:name w:val="Balloon Text"/>
    <w:basedOn w:val="Normal"/>
    <w:link w:val="BalloonTextChar"/>
    <w:uiPriority w:val="99"/>
    <w:semiHidden/>
    <w:unhideWhenUsed/>
    <w:rsid w:val="00E1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CA"/>
    <w:rPr>
      <w:rFonts w:ascii="Segoe UI" w:hAnsi="Segoe UI" w:cs="Segoe UI"/>
      <w:sz w:val="18"/>
      <w:szCs w:val="18"/>
    </w:rPr>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iPriority w:val="99"/>
    <w:unhideWhenUsed/>
    <w:qFormat/>
    <w:rsid w:val="00A97771"/>
    <w:pPr>
      <w:spacing w:after="0" w:line="240" w:lineRule="auto"/>
    </w:pPr>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uiPriority w:val="99"/>
    <w:rsid w:val="00A97771"/>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iPriority w:val="99"/>
    <w:unhideWhenUsed/>
    <w:rsid w:val="00A97771"/>
    <w:rPr>
      <w:vertAlign w:val="superscript"/>
    </w:rPr>
  </w:style>
  <w:style w:type="character" w:styleId="Hyperlink">
    <w:name w:val="Hyperlink"/>
    <w:basedOn w:val="DefaultParagraphFont"/>
    <w:uiPriority w:val="99"/>
    <w:unhideWhenUsed/>
    <w:rsid w:val="00FE56C8"/>
    <w:rPr>
      <w:color w:val="0563C1" w:themeColor="hyperlink"/>
      <w:u w:val="single"/>
    </w:rPr>
  </w:style>
  <w:style w:type="character" w:customStyle="1" w:styleId="Heading1Char">
    <w:name w:val="Heading 1 Char"/>
    <w:basedOn w:val="DefaultParagraphFont"/>
    <w:link w:val="Heading1"/>
    <w:uiPriority w:val="9"/>
    <w:rsid w:val="00AA562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8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DF"/>
  </w:style>
  <w:style w:type="paragraph" w:styleId="Footer">
    <w:name w:val="footer"/>
    <w:basedOn w:val="Normal"/>
    <w:link w:val="FooterChar"/>
    <w:uiPriority w:val="99"/>
    <w:unhideWhenUsed/>
    <w:rsid w:val="0058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DF"/>
  </w:style>
  <w:style w:type="paragraph" w:styleId="ListParagraph">
    <w:name w:val="List Paragraph"/>
    <w:basedOn w:val="Normal"/>
    <w:uiPriority w:val="34"/>
    <w:qFormat/>
    <w:rsid w:val="004327EE"/>
    <w:pPr>
      <w:ind w:left="720"/>
      <w:contextualSpacing/>
    </w:pPr>
  </w:style>
  <w:style w:type="paragraph" w:styleId="BodyText3">
    <w:name w:val="Body Text 3"/>
    <w:basedOn w:val="Normal"/>
    <w:link w:val="BodyText3Char"/>
    <w:rsid w:val="0032699D"/>
    <w:pPr>
      <w:spacing w:after="120" w:line="240" w:lineRule="auto"/>
    </w:pPr>
    <w:rPr>
      <w:rFonts w:eastAsia="Times New Roman"/>
      <w:sz w:val="16"/>
      <w:szCs w:val="20"/>
      <w:lang w:val="en-US"/>
    </w:rPr>
  </w:style>
  <w:style w:type="character" w:customStyle="1" w:styleId="BodyText3Char">
    <w:name w:val="Body Text 3 Char"/>
    <w:basedOn w:val="DefaultParagraphFont"/>
    <w:link w:val="BodyText3"/>
    <w:rsid w:val="0032699D"/>
    <w:rPr>
      <w:rFonts w:eastAsia="Times New Roman"/>
      <w:sz w:val="16"/>
      <w:szCs w:val="20"/>
      <w:lang w:val="en-US"/>
    </w:rPr>
  </w:style>
  <w:style w:type="character" w:styleId="HTMLCite">
    <w:name w:val="HTML Cite"/>
    <w:basedOn w:val="DefaultParagraphFont"/>
    <w:uiPriority w:val="99"/>
    <w:semiHidden/>
    <w:unhideWhenUsed/>
    <w:rsid w:val="00467A48"/>
    <w:rPr>
      <w:i/>
      <w:iCs/>
    </w:rPr>
  </w:style>
  <w:style w:type="paragraph" w:styleId="PlainText">
    <w:name w:val="Plain Text"/>
    <w:basedOn w:val="Normal"/>
    <w:link w:val="PlainTextChar"/>
    <w:unhideWhenUsed/>
    <w:rsid w:val="00FE2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2861"/>
    <w:rPr>
      <w:rFonts w:ascii="Consolas" w:hAnsi="Consolas"/>
      <w:sz w:val="21"/>
      <w:szCs w:val="21"/>
    </w:rPr>
  </w:style>
  <w:style w:type="table" w:styleId="TableGrid">
    <w:name w:val="Table Grid"/>
    <w:basedOn w:val="TableNormal"/>
    <w:uiPriority w:val="39"/>
    <w:rsid w:val="00FE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DefaultParagraphFont"/>
    <w:rsid w:val="001A3F51"/>
  </w:style>
  <w:style w:type="character" w:customStyle="1" w:styleId="apple-converted-space">
    <w:name w:val="apple-converted-space"/>
    <w:basedOn w:val="DefaultParagraphFont"/>
    <w:rsid w:val="001A3F51"/>
  </w:style>
  <w:style w:type="character" w:styleId="CommentReference">
    <w:name w:val="annotation reference"/>
    <w:basedOn w:val="DefaultParagraphFont"/>
    <w:uiPriority w:val="99"/>
    <w:semiHidden/>
    <w:unhideWhenUsed/>
    <w:rsid w:val="00C43A0B"/>
    <w:rPr>
      <w:sz w:val="16"/>
      <w:szCs w:val="16"/>
    </w:rPr>
  </w:style>
  <w:style w:type="paragraph" w:styleId="CommentText">
    <w:name w:val="annotation text"/>
    <w:basedOn w:val="Normal"/>
    <w:link w:val="CommentTextChar"/>
    <w:uiPriority w:val="99"/>
    <w:unhideWhenUsed/>
    <w:rsid w:val="00C43A0B"/>
    <w:pPr>
      <w:spacing w:line="240" w:lineRule="auto"/>
    </w:pPr>
    <w:rPr>
      <w:sz w:val="20"/>
      <w:szCs w:val="20"/>
    </w:rPr>
  </w:style>
  <w:style w:type="character" w:customStyle="1" w:styleId="CommentTextChar">
    <w:name w:val="Comment Text Char"/>
    <w:basedOn w:val="DefaultParagraphFont"/>
    <w:link w:val="CommentText"/>
    <w:uiPriority w:val="99"/>
    <w:rsid w:val="00C43A0B"/>
    <w:rPr>
      <w:sz w:val="20"/>
      <w:szCs w:val="20"/>
    </w:rPr>
  </w:style>
  <w:style w:type="paragraph" w:styleId="CommentSubject">
    <w:name w:val="annotation subject"/>
    <w:basedOn w:val="CommentText"/>
    <w:next w:val="CommentText"/>
    <w:link w:val="CommentSubjectChar"/>
    <w:uiPriority w:val="99"/>
    <w:semiHidden/>
    <w:unhideWhenUsed/>
    <w:rsid w:val="00C43A0B"/>
    <w:rPr>
      <w:b/>
      <w:bCs/>
    </w:rPr>
  </w:style>
  <w:style w:type="character" w:customStyle="1" w:styleId="CommentSubjectChar">
    <w:name w:val="Comment Subject Char"/>
    <w:basedOn w:val="CommentTextChar"/>
    <w:link w:val="CommentSubject"/>
    <w:uiPriority w:val="99"/>
    <w:semiHidden/>
    <w:rsid w:val="00C43A0B"/>
    <w:rPr>
      <w:b/>
      <w:bCs/>
      <w:sz w:val="20"/>
      <w:szCs w:val="20"/>
    </w:rPr>
  </w:style>
  <w:style w:type="character" w:styleId="PlaceholderText">
    <w:name w:val="Placeholder Text"/>
    <w:basedOn w:val="DefaultParagraphFont"/>
    <w:uiPriority w:val="99"/>
    <w:semiHidden/>
    <w:rsid w:val="00CF3D5C"/>
    <w:rPr>
      <w:color w:val="808080"/>
    </w:rPr>
  </w:style>
  <w:style w:type="paragraph" w:styleId="NormalWeb">
    <w:name w:val="Normal (Web)"/>
    <w:basedOn w:val="Normal"/>
    <w:uiPriority w:val="99"/>
    <w:unhideWhenUsed/>
    <w:rsid w:val="00B16101"/>
    <w:pPr>
      <w:spacing w:before="100" w:beforeAutospacing="1" w:after="100" w:afterAutospacing="1" w:line="240" w:lineRule="auto"/>
    </w:pPr>
    <w:rPr>
      <w:rFonts w:eastAsia="Times New Roman"/>
      <w:lang w:val="en-US"/>
    </w:rPr>
  </w:style>
  <w:style w:type="character" w:customStyle="1" w:styleId="Heading5Char">
    <w:name w:val="Heading 5 Char"/>
    <w:basedOn w:val="DefaultParagraphFont"/>
    <w:link w:val="Heading5"/>
    <w:uiPriority w:val="9"/>
    <w:semiHidden/>
    <w:rsid w:val="00AA4FA0"/>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semiHidden/>
    <w:unhideWhenUsed/>
    <w:rsid w:val="00F476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7606"/>
    <w:rPr>
      <w:rFonts w:ascii="Consolas" w:hAnsi="Consolas"/>
      <w:sz w:val="20"/>
      <w:szCs w:val="20"/>
    </w:rPr>
  </w:style>
  <w:style w:type="character" w:customStyle="1" w:styleId="PlainTextChar1">
    <w:name w:val="Plain Text Char1"/>
    <w:basedOn w:val="DefaultParagraphFont"/>
    <w:uiPriority w:val="99"/>
    <w:rsid w:val="005B7D6B"/>
    <w:rPr>
      <w:rFonts w:ascii="Consolas" w:hAnsi="Consolas" w:cs="Consolas"/>
      <w:sz w:val="21"/>
      <w:szCs w:val="21"/>
    </w:rPr>
  </w:style>
  <w:style w:type="character" w:styleId="FollowedHyperlink">
    <w:name w:val="FollowedHyperlink"/>
    <w:basedOn w:val="DefaultParagraphFont"/>
    <w:uiPriority w:val="99"/>
    <w:semiHidden/>
    <w:unhideWhenUsed/>
    <w:rsid w:val="00F40E38"/>
    <w:rPr>
      <w:color w:val="954F72" w:themeColor="followedHyperlink"/>
      <w:u w:val="single"/>
    </w:rPr>
  </w:style>
  <w:style w:type="character" w:customStyle="1" w:styleId="hgkelc">
    <w:name w:val="hgkelc"/>
    <w:basedOn w:val="DefaultParagraphFont"/>
    <w:rsid w:val="00133C61"/>
  </w:style>
  <w:style w:type="paragraph" w:customStyle="1" w:styleId="Default">
    <w:name w:val="Default"/>
    <w:rsid w:val="00E67C79"/>
    <w:pPr>
      <w:autoSpaceDE w:val="0"/>
      <w:autoSpaceDN w:val="0"/>
      <w:adjustRightInd w:val="0"/>
      <w:spacing w:after="0" w:line="240" w:lineRule="auto"/>
    </w:pPr>
    <w:rPr>
      <w:rFonts w:eastAsia="Times New Roman"/>
      <w:color w:val="000000"/>
      <w:lang w:eastAsia="en-NZ"/>
    </w:rPr>
  </w:style>
  <w:style w:type="paragraph" w:customStyle="1" w:styleId="CM3">
    <w:name w:val="CM3"/>
    <w:basedOn w:val="Default"/>
    <w:next w:val="Default"/>
    <w:rsid w:val="00E67C79"/>
    <w:pPr>
      <w:widowControl w:val="0"/>
    </w:pPr>
    <w:rPr>
      <w:color w:val="auto"/>
      <w:lang w:val="en-US" w:eastAsia="en-US"/>
    </w:rPr>
  </w:style>
  <w:style w:type="paragraph" w:customStyle="1" w:styleId="CM4">
    <w:name w:val="CM4"/>
    <w:basedOn w:val="Default"/>
    <w:next w:val="Default"/>
    <w:rsid w:val="00E67C79"/>
    <w:pPr>
      <w:widowControl w:val="0"/>
      <w:spacing w:line="253" w:lineRule="atLeast"/>
    </w:pPr>
    <w:rPr>
      <w:color w:val="auto"/>
      <w:lang w:val="en-US" w:eastAsia="en-US"/>
    </w:rPr>
  </w:style>
  <w:style w:type="paragraph" w:customStyle="1" w:styleId="CM23">
    <w:name w:val="CM23"/>
    <w:basedOn w:val="Default"/>
    <w:next w:val="Default"/>
    <w:rsid w:val="00E67C79"/>
    <w:pPr>
      <w:widowControl w:val="0"/>
      <w:spacing w:after="233"/>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7775">
      <w:bodyDiv w:val="1"/>
      <w:marLeft w:val="0"/>
      <w:marRight w:val="0"/>
      <w:marTop w:val="0"/>
      <w:marBottom w:val="0"/>
      <w:divBdr>
        <w:top w:val="none" w:sz="0" w:space="0" w:color="auto"/>
        <w:left w:val="none" w:sz="0" w:space="0" w:color="auto"/>
        <w:bottom w:val="none" w:sz="0" w:space="0" w:color="auto"/>
        <w:right w:val="none" w:sz="0" w:space="0" w:color="auto"/>
      </w:divBdr>
    </w:div>
    <w:div w:id="195125462">
      <w:bodyDiv w:val="1"/>
      <w:marLeft w:val="0"/>
      <w:marRight w:val="0"/>
      <w:marTop w:val="0"/>
      <w:marBottom w:val="0"/>
      <w:divBdr>
        <w:top w:val="none" w:sz="0" w:space="0" w:color="auto"/>
        <w:left w:val="none" w:sz="0" w:space="0" w:color="auto"/>
        <w:bottom w:val="none" w:sz="0" w:space="0" w:color="auto"/>
        <w:right w:val="none" w:sz="0" w:space="0" w:color="auto"/>
      </w:divBdr>
    </w:div>
    <w:div w:id="227884796">
      <w:bodyDiv w:val="1"/>
      <w:marLeft w:val="0"/>
      <w:marRight w:val="0"/>
      <w:marTop w:val="0"/>
      <w:marBottom w:val="0"/>
      <w:divBdr>
        <w:top w:val="none" w:sz="0" w:space="0" w:color="auto"/>
        <w:left w:val="none" w:sz="0" w:space="0" w:color="auto"/>
        <w:bottom w:val="none" w:sz="0" w:space="0" w:color="auto"/>
        <w:right w:val="none" w:sz="0" w:space="0" w:color="auto"/>
      </w:divBdr>
    </w:div>
    <w:div w:id="324552745">
      <w:bodyDiv w:val="1"/>
      <w:marLeft w:val="0"/>
      <w:marRight w:val="0"/>
      <w:marTop w:val="0"/>
      <w:marBottom w:val="0"/>
      <w:divBdr>
        <w:top w:val="none" w:sz="0" w:space="0" w:color="auto"/>
        <w:left w:val="none" w:sz="0" w:space="0" w:color="auto"/>
        <w:bottom w:val="none" w:sz="0" w:space="0" w:color="auto"/>
        <w:right w:val="none" w:sz="0" w:space="0" w:color="auto"/>
      </w:divBdr>
    </w:div>
    <w:div w:id="477308404">
      <w:bodyDiv w:val="1"/>
      <w:marLeft w:val="0"/>
      <w:marRight w:val="0"/>
      <w:marTop w:val="0"/>
      <w:marBottom w:val="0"/>
      <w:divBdr>
        <w:top w:val="none" w:sz="0" w:space="0" w:color="auto"/>
        <w:left w:val="none" w:sz="0" w:space="0" w:color="auto"/>
        <w:bottom w:val="none" w:sz="0" w:space="0" w:color="auto"/>
        <w:right w:val="none" w:sz="0" w:space="0" w:color="auto"/>
      </w:divBdr>
    </w:div>
    <w:div w:id="619651659">
      <w:bodyDiv w:val="1"/>
      <w:marLeft w:val="0"/>
      <w:marRight w:val="0"/>
      <w:marTop w:val="0"/>
      <w:marBottom w:val="0"/>
      <w:divBdr>
        <w:top w:val="none" w:sz="0" w:space="0" w:color="auto"/>
        <w:left w:val="none" w:sz="0" w:space="0" w:color="auto"/>
        <w:bottom w:val="none" w:sz="0" w:space="0" w:color="auto"/>
        <w:right w:val="none" w:sz="0" w:space="0" w:color="auto"/>
      </w:divBdr>
    </w:div>
    <w:div w:id="732853316">
      <w:bodyDiv w:val="1"/>
      <w:marLeft w:val="0"/>
      <w:marRight w:val="0"/>
      <w:marTop w:val="0"/>
      <w:marBottom w:val="0"/>
      <w:divBdr>
        <w:top w:val="none" w:sz="0" w:space="0" w:color="auto"/>
        <w:left w:val="none" w:sz="0" w:space="0" w:color="auto"/>
        <w:bottom w:val="none" w:sz="0" w:space="0" w:color="auto"/>
        <w:right w:val="none" w:sz="0" w:space="0" w:color="auto"/>
      </w:divBdr>
    </w:div>
    <w:div w:id="871965759">
      <w:bodyDiv w:val="1"/>
      <w:marLeft w:val="0"/>
      <w:marRight w:val="0"/>
      <w:marTop w:val="0"/>
      <w:marBottom w:val="0"/>
      <w:divBdr>
        <w:top w:val="none" w:sz="0" w:space="0" w:color="auto"/>
        <w:left w:val="none" w:sz="0" w:space="0" w:color="auto"/>
        <w:bottom w:val="none" w:sz="0" w:space="0" w:color="auto"/>
        <w:right w:val="none" w:sz="0" w:space="0" w:color="auto"/>
      </w:divBdr>
      <w:divsChild>
        <w:div w:id="607080256">
          <w:marLeft w:val="0"/>
          <w:marRight w:val="0"/>
          <w:marTop w:val="0"/>
          <w:marBottom w:val="0"/>
          <w:divBdr>
            <w:top w:val="none" w:sz="0" w:space="0" w:color="auto"/>
            <w:left w:val="none" w:sz="0" w:space="0" w:color="auto"/>
            <w:bottom w:val="none" w:sz="0" w:space="0" w:color="auto"/>
            <w:right w:val="none" w:sz="0" w:space="0" w:color="auto"/>
          </w:divBdr>
        </w:div>
        <w:div w:id="1927416874">
          <w:marLeft w:val="0"/>
          <w:marRight w:val="0"/>
          <w:marTop w:val="0"/>
          <w:marBottom w:val="0"/>
          <w:divBdr>
            <w:top w:val="none" w:sz="0" w:space="0" w:color="auto"/>
            <w:left w:val="none" w:sz="0" w:space="0" w:color="auto"/>
            <w:bottom w:val="none" w:sz="0" w:space="0" w:color="auto"/>
            <w:right w:val="none" w:sz="0" w:space="0" w:color="auto"/>
          </w:divBdr>
        </w:div>
        <w:div w:id="698699032">
          <w:marLeft w:val="0"/>
          <w:marRight w:val="0"/>
          <w:marTop w:val="0"/>
          <w:marBottom w:val="0"/>
          <w:divBdr>
            <w:top w:val="none" w:sz="0" w:space="0" w:color="auto"/>
            <w:left w:val="none" w:sz="0" w:space="0" w:color="auto"/>
            <w:bottom w:val="none" w:sz="0" w:space="0" w:color="auto"/>
            <w:right w:val="none" w:sz="0" w:space="0" w:color="auto"/>
          </w:divBdr>
        </w:div>
      </w:divsChild>
    </w:div>
    <w:div w:id="941650059">
      <w:bodyDiv w:val="1"/>
      <w:marLeft w:val="0"/>
      <w:marRight w:val="0"/>
      <w:marTop w:val="0"/>
      <w:marBottom w:val="0"/>
      <w:divBdr>
        <w:top w:val="none" w:sz="0" w:space="0" w:color="auto"/>
        <w:left w:val="none" w:sz="0" w:space="0" w:color="auto"/>
        <w:bottom w:val="none" w:sz="0" w:space="0" w:color="auto"/>
        <w:right w:val="none" w:sz="0" w:space="0" w:color="auto"/>
      </w:divBdr>
    </w:div>
    <w:div w:id="1140876714">
      <w:bodyDiv w:val="1"/>
      <w:marLeft w:val="0"/>
      <w:marRight w:val="0"/>
      <w:marTop w:val="0"/>
      <w:marBottom w:val="0"/>
      <w:divBdr>
        <w:top w:val="none" w:sz="0" w:space="0" w:color="auto"/>
        <w:left w:val="none" w:sz="0" w:space="0" w:color="auto"/>
        <w:bottom w:val="none" w:sz="0" w:space="0" w:color="auto"/>
        <w:right w:val="none" w:sz="0" w:space="0" w:color="auto"/>
      </w:divBdr>
    </w:div>
    <w:div w:id="1210530782">
      <w:bodyDiv w:val="1"/>
      <w:marLeft w:val="0"/>
      <w:marRight w:val="0"/>
      <w:marTop w:val="0"/>
      <w:marBottom w:val="0"/>
      <w:divBdr>
        <w:top w:val="none" w:sz="0" w:space="0" w:color="auto"/>
        <w:left w:val="none" w:sz="0" w:space="0" w:color="auto"/>
        <w:bottom w:val="none" w:sz="0" w:space="0" w:color="auto"/>
        <w:right w:val="none" w:sz="0" w:space="0" w:color="auto"/>
      </w:divBdr>
    </w:div>
    <w:div w:id="1218662986">
      <w:bodyDiv w:val="1"/>
      <w:marLeft w:val="0"/>
      <w:marRight w:val="0"/>
      <w:marTop w:val="0"/>
      <w:marBottom w:val="0"/>
      <w:divBdr>
        <w:top w:val="none" w:sz="0" w:space="0" w:color="auto"/>
        <w:left w:val="none" w:sz="0" w:space="0" w:color="auto"/>
        <w:bottom w:val="none" w:sz="0" w:space="0" w:color="auto"/>
        <w:right w:val="none" w:sz="0" w:space="0" w:color="auto"/>
      </w:divBdr>
    </w:div>
    <w:div w:id="1254127886">
      <w:bodyDiv w:val="1"/>
      <w:marLeft w:val="0"/>
      <w:marRight w:val="0"/>
      <w:marTop w:val="0"/>
      <w:marBottom w:val="0"/>
      <w:divBdr>
        <w:top w:val="none" w:sz="0" w:space="0" w:color="auto"/>
        <w:left w:val="none" w:sz="0" w:space="0" w:color="auto"/>
        <w:bottom w:val="none" w:sz="0" w:space="0" w:color="auto"/>
        <w:right w:val="none" w:sz="0" w:space="0" w:color="auto"/>
      </w:divBdr>
    </w:div>
    <w:div w:id="1395619013">
      <w:bodyDiv w:val="1"/>
      <w:marLeft w:val="0"/>
      <w:marRight w:val="0"/>
      <w:marTop w:val="0"/>
      <w:marBottom w:val="0"/>
      <w:divBdr>
        <w:top w:val="none" w:sz="0" w:space="0" w:color="auto"/>
        <w:left w:val="none" w:sz="0" w:space="0" w:color="auto"/>
        <w:bottom w:val="none" w:sz="0" w:space="0" w:color="auto"/>
        <w:right w:val="none" w:sz="0" w:space="0" w:color="auto"/>
      </w:divBdr>
    </w:div>
    <w:div w:id="1486430863">
      <w:bodyDiv w:val="1"/>
      <w:marLeft w:val="0"/>
      <w:marRight w:val="0"/>
      <w:marTop w:val="0"/>
      <w:marBottom w:val="0"/>
      <w:divBdr>
        <w:top w:val="none" w:sz="0" w:space="0" w:color="auto"/>
        <w:left w:val="none" w:sz="0" w:space="0" w:color="auto"/>
        <w:bottom w:val="none" w:sz="0" w:space="0" w:color="auto"/>
        <w:right w:val="none" w:sz="0" w:space="0" w:color="auto"/>
      </w:divBdr>
      <w:divsChild>
        <w:div w:id="117336757">
          <w:marLeft w:val="0"/>
          <w:marRight w:val="0"/>
          <w:marTop w:val="0"/>
          <w:marBottom w:val="0"/>
          <w:divBdr>
            <w:top w:val="none" w:sz="0" w:space="0" w:color="auto"/>
            <w:left w:val="none" w:sz="0" w:space="0" w:color="auto"/>
            <w:bottom w:val="none" w:sz="0" w:space="0" w:color="auto"/>
            <w:right w:val="none" w:sz="0" w:space="0" w:color="auto"/>
          </w:divBdr>
        </w:div>
        <w:div w:id="1384409518">
          <w:marLeft w:val="0"/>
          <w:marRight w:val="0"/>
          <w:marTop w:val="0"/>
          <w:marBottom w:val="0"/>
          <w:divBdr>
            <w:top w:val="none" w:sz="0" w:space="0" w:color="auto"/>
            <w:left w:val="none" w:sz="0" w:space="0" w:color="auto"/>
            <w:bottom w:val="none" w:sz="0" w:space="0" w:color="auto"/>
            <w:right w:val="none" w:sz="0" w:space="0" w:color="auto"/>
          </w:divBdr>
        </w:div>
        <w:div w:id="1751462381">
          <w:marLeft w:val="0"/>
          <w:marRight w:val="0"/>
          <w:marTop w:val="0"/>
          <w:marBottom w:val="0"/>
          <w:divBdr>
            <w:top w:val="none" w:sz="0" w:space="0" w:color="auto"/>
            <w:left w:val="none" w:sz="0" w:space="0" w:color="auto"/>
            <w:bottom w:val="none" w:sz="0" w:space="0" w:color="auto"/>
            <w:right w:val="none" w:sz="0" w:space="0" w:color="auto"/>
          </w:divBdr>
        </w:div>
      </w:divsChild>
    </w:div>
    <w:div w:id="1492671403">
      <w:bodyDiv w:val="1"/>
      <w:marLeft w:val="0"/>
      <w:marRight w:val="0"/>
      <w:marTop w:val="0"/>
      <w:marBottom w:val="0"/>
      <w:divBdr>
        <w:top w:val="none" w:sz="0" w:space="0" w:color="auto"/>
        <w:left w:val="none" w:sz="0" w:space="0" w:color="auto"/>
        <w:bottom w:val="none" w:sz="0" w:space="0" w:color="auto"/>
        <w:right w:val="none" w:sz="0" w:space="0" w:color="auto"/>
      </w:divBdr>
    </w:div>
    <w:div w:id="1505197990">
      <w:bodyDiv w:val="1"/>
      <w:marLeft w:val="0"/>
      <w:marRight w:val="0"/>
      <w:marTop w:val="0"/>
      <w:marBottom w:val="0"/>
      <w:divBdr>
        <w:top w:val="none" w:sz="0" w:space="0" w:color="auto"/>
        <w:left w:val="none" w:sz="0" w:space="0" w:color="auto"/>
        <w:bottom w:val="none" w:sz="0" w:space="0" w:color="auto"/>
        <w:right w:val="none" w:sz="0" w:space="0" w:color="auto"/>
      </w:divBdr>
      <w:divsChild>
        <w:div w:id="1366251374">
          <w:marLeft w:val="0"/>
          <w:marRight w:val="0"/>
          <w:marTop w:val="0"/>
          <w:marBottom w:val="0"/>
          <w:divBdr>
            <w:top w:val="none" w:sz="0" w:space="0" w:color="auto"/>
            <w:left w:val="none" w:sz="0" w:space="0" w:color="auto"/>
            <w:bottom w:val="none" w:sz="0" w:space="0" w:color="auto"/>
            <w:right w:val="none" w:sz="0" w:space="0" w:color="auto"/>
          </w:divBdr>
        </w:div>
        <w:div w:id="834342753">
          <w:marLeft w:val="0"/>
          <w:marRight w:val="0"/>
          <w:marTop w:val="0"/>
          <w:marBottom w:val="0"/>
          <w:divBdr>
            <w:top w:val="none" w:sz="0" w:space="0" w:color="auto"/>
            <w:left w:val="none" w:sz="0" w:space="0" w:color="auto"/>
            <w:bottom w:val="none" w:sz="0" w:space="0" w:color="auto"/>
            <w:right w:val="none" w:sz="0" w:space="0" w:color="auto"/>
          </w:divBdr>
        </w:div>
        <w:div w:id="2140493335">
          <w:marLeft w:val="0"/>
          <w:marRight w:val="0"/>
          <w:marTop w:val="0"/>
          <w:marBottom w:val="0"/>
          <w:divBdr>
            <w:top w:val="none" w:sz="0" w:space="0" w:color="auto"/>
            <w:left w:val="none" w:sz="0" w:space="0" w:color="auto"/>
            <w:bottom w:val="none" w:sz="0" w:space="0" w:color="auto"/>
            <w:right w:val="none" w:sz="0" w:space="0" w:color="auto"/>
          </w:divBdr>
        </w:div>
      </w:divsChild>
    </w:div>
    <w:div w:id="1532186022">
      <w:bodyDiv w:val="1"/>
      <w:marLeft w:val="0"/>
      <w:marRight w:val="0"/>
      <w:marTop w:val="0"/>
      <w:marBottom w:val="0"/>
      <w:divBdr>
        <w:top w:val="none" w:sz="0" w:space="0" w:color="auto"/>
        <w:left w:val="none" w:sz="0" w:space="0" w:color="auto"/>
        <w:bottom w:val="none" w:sz="0" w:space="0" w:color="auto"/>
        <w:right w:val="none" w:sz="0" w:space="0" w:color="auto"/>
      </w:divBdr>
    </w:div>
    <w:div w:id="1677151941">
      <w:bodyDiv w:val="1"/>
      <w:marLeft w:val="0"/>
      <w:marRight w:val="0"/>
      <w:marTop w:val="0"/>
      <w:marBottom w:val="0"/>
      <w:divBdr>
        <w:top w:val="none" w:sz="0" w:space="0" w:color="auto"/>
        <w:left w:val="none" w:sz="0" w:space="0" w:color="auto"/>
        <w:bottom w:val="none" w:sz="0" w:space="0" w:color="auto"/>
        <w:right w:val="none" w:sz="0" w:space="0" w:color="auto"/>
      </w:divBdr>
    </w:div>
    <w:div w:id="1717895521">
      <w:bodyDiv w:val="1"/>
      <w:marLeft w:val="0"/>
      <w:marRight w:val="0"/>
      <w:marTop w:val="0"/>
      <w:marBottom w:val="0"/>
      <w:divBdr>
        <w:top w:val="none" w:sz="0" w:space="0" w:color="auto"/>
        <w:left w:val="none" w:sz="0" w:space="0" w:color="auto"/>
        <w:bottom w:val="none" w:sz="0" w:space="0" w:color="auto"/>
        <w:right w:val="none" w:sz="0" w:space="0" w:color="auto"/>
      </w:divBdr>
      <w:divsChild>
        <w:div w:id="976495324">
          <w:marLeft w:val="0"/>
          <w:marRight w:val="0"/>
          <w:marTop w:val="0"/>
          <w:marBottom w:val="150"/>
          <w:divBdr>
            <w:top w:val="none" w:sz="0" w:space="0" w:color="auto"/>
            <w:left w:val="none" w:sz="0" w:space="0" w:color="auto"/>
            <w:bottom w:val="none" w:sz="0" w:space="0" w:color="auto"/>
            <w:right w:val="none" w:sz="0" w:space="0" w:color="auto"/>
          </w:divBdr>
        </w:div>
      </w:divsChild>
    </w:div>
    <w:div w:id="20324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stuff.co.nz/business/opinion-analysis/300205858/the-brutal-catch22-politics-of-trying-to-move-to-affordable-housin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Figure</a:t>
            </a:r>
            <a:r>
              <a:rPr lang="en-NZ" baseline="0"/>
              <a:t> 1: Trends in Share of the Foreign-Born Population</a:t>
            </a:r>
            <a:endParaRPr lang="en-N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New Zealand</c:v>
                </c:pt>
              </c:strCache>
            </c:strRef>
          </c:tx>
          <c:spPr>
            <a:solidFill>
              <a:schemeClr val="tx1"/>
            </a:solidFill>
            <a:ln>
              <a:noFill/>
            </a:ln>
            <a:effectLst/>
          </c:spPr>
          <c:invertIfNegative val="0"/>
          <c:cat>
            <c:numRef>
              <c:f>Sheet1!$A$2:$A$5</c:f>
              <c:numCache>
                <c:formatCode>General</c:formatCode>
                <c:ptCount val="4"/>
                <c:pt idx="0">
                  <c:v>2001</c:v>
                </c:pt>
                <c:pt idx="1">
                  <c:v>2006</c:v>
                </c:pt>
                <c:pt idx="2">
                  <c:v>2013</c:v>
                </c:pt>
                <c:pt idx="3">
                  <c:v>2018</c:v>
                </c:pt>
              </c:numCache>
            </c:numRef>
          </c:cat>
          <c:val>
            <c:numRef>
              <c:f>Sheet1!$B$2:$B$5</c:f>
              <c:numCache>
                <c:formatCode>General</c:formatCode>
                <c:ptCount val="4"/>
                <c:pt idx="0">
                  <c:v>18</c:v>
                </c:pt>
                <c:pt idx="1">
                  <c:v>21</c:v>
                </c:pt>
                <c:pt idx="2">
                  <c:v>22.6</c:v>
                </c:pt>
                <c:pt idx="3">
                  <c:v>26</c:v>
                </c:pt>
              </c:numCache>
            </c:numRef>
          </c:val>
          <c:extLst>
            <c:ext xmlns:c16="http://schemas.microsoft.com/office/drawing/2014/chart" uri="{C3380CC4-5D6E-409C-BE32-E72D297353CC}">
              <c16:uniqueId val="{00000000-02F4-4E68-830F-2935E09AAC58}"/>
            </c:ext>
          </c:extLst>
        </c:ser>
        <c:ser>
          <c:idx val="1"/>
          <c:order val="1"/>
          <c:tx>
            <c:strRef>
              <c:f>Sheet1!$C$1</c:f>
              <c:strCache>
                <c:ptCount val="1"/>
                <c:pt idx="0">
                  <c:v>Australia</c:v>
                </c:pt>
              </c:strCache>
            </c:strRef>
          </c:tx>
          <c:spPr>
            <a:solidFill>
              <a:srgbClr val="66D55D"/>
            </a:solidFill>
            <a:ln>
              <a:noFill/>
            </a:ln>
            <a:effectLst/>
          </c:spPr>
          <c:invertIfNegative val="0"/>
          <c:cat>
            <c:numRef>
              <c:f>Sheet1!$A$2:$A$5</c:f>
              <c:numCache>
                <c:formatCode>General</c:formatCode>
                <c:ptCount val="4"/>
                <c:pt idx="0">
                  <c:v>2001</c:v>
                </c:pt>
                <c:pt idx="1">
                  <c:v>2006</c:v>
                </c:pt>
                <c:pt idx="2">
                  <c:v>2013</c:v>
                </c:pt>
                <c:pt idx="3">
                  <c:v>2018</c:v>
                </c:pt>
              </c:numCache>
            </c:numRef>
          </c:cat>
          <c:val>
            <c:numRef>
              <c:f>Sheet1!$C$2:$C$5</c:f>
              <c:numCache>
                <c:formatCode>General</c:formatCode>
                <c:ptCount val="4"/>
                <c:pt idx="0">
                  <c:v>23.3</c:v>
                </c:pt>
                <c:pt idx="1">
                  <c:v>24.6</c:v>
                </c:pt>
                <c:pt idx="2">
                  <c:v>27.7</c:v>
                </c:pt>
                <c:pt idx="3">
                  <c:v>29.3</c:v>
                </c:pt>
              </c:numCache>
            </c:numRef>
          </c:val>
          <c:extLst>
            <c:ext xmlns:c16="http://schemas.microsoft.com/office/drawing/2014/chart" uri="{C3380CC4-5D6E-409C-BE32-E72D297353CC}">
              <c16:uniqueId val="{00000001-02F4-4E68-830F-2935E09AAC58}"/>
            </c:ext>
          </c:extLst>
        </c:ser>
        <c:ser>
          <c:idx val="2"/>
          <c:order val="2"/>
          <c:tx>
            <c:strRef>
              <c:f>Sheet1!$D$1</c:f>
              <c:strCache>
                <c:ptCount val="1"/>
                <c:pt idx="0">
                  <c:v>OECD &lt; 4 million</c:v>
                </c:pt>
              </c:strCache>
            </c:strRef>
          </c:tx>
          <c:spPr>
            <a:solidFill>
              <a:schemeClr val="accent3"/>
            </a:solidFill>
            <a:ln>
              <a:noFill/>
            </a:ln>
            <a:effectLst/>
          </c:spPr>
          <c:invertIfNegative val="0"/>
          <c:cat>
            <c:numRef>
              <c:f>Sheet1!$A$2:$A$5</c:f>
              <c:numCache>
                <c:formatCode>General</c:formatCode>
                <c:ptCount val="4"/>
                <c:pt idx="0">
                  <c:v>2001</c:v>
                </c:pt>
                <c:pt idx="1">
                  <c:v>2006</c:v>
                </c:pt>
                <c:pt idx="2">
                  <c:v>2013</c:v>
                </c:pt>
                <c:pt idx="3">
                  <c:v>2018</c:v>
                </c:pt>
              </c:numCache>
            </c:numRef>
          </c:cat>
          <c:val>
            <c:numRef>
              <c:f>Sheet1!$D$2:$D$5</c:f>
              <c:numCache>
                <c:formatCode>General</c:formatCode>
                <c:ptCount val="4"/>
                <c:pt idx="0">
                  <c:v>12.2</c:v>
                </c:pt>
                <c:pt idx="1">
                  <c:v>11.6</c:v>
                </c:pt>
                <c:pt idx="2">
                  <c:v>11.2</c:v>
                </c:pt>
                <c:pt idx="3">
                  <c:v>12</c:v>
                </c:pt>
              </c:numCache>
            </c:numRef>
          </c:val>
          <c:extLst>
            <c:ext xmlns:c16="http://schemas.microsoft.com/office/drawing/2014/chart" uri="{C3380CC4-5D6E-409C-BE32-E72D297353CC}">
              <c16:uniqueId val="{00000002-02F4-4E68-830F-2935E09AAC58}"/>
            </c:ext>
          </c:extLst>
        </c:ser>
        <c:ser>
          <c:idx val="3"/>
          <c:order val="3"/>
          <c:tx>
            <c:strRef>
              <c:f>Sheet1!$E$1</c:f>
              <c:strCache>
                <c:ptCount val="1"/>
                <c:pt idx="0">
                  <c:v>OECD &lt; 6 million</c:v>
                </c:pt>
              </c:strCache>
            </c:strRef>
          </c:tx>
          <c:spPr>
            <a:solidFill>
              <a:schemeClr val="accent5">
                <a:lumMod val="40000"/>
                <a:lumOff val="60000"/>
              </a:schemeClr>
            </a:solidFill>
            <a:ln>
              <a:noFill/>
            </a:ln>
            <a:effectLst/>
          </c:spPr>
          <c:invertIfNegative val="0"/>
          <c:cat>
            <c:numRef>
              <c:f>Sheet1!$A$2:$A$5</c:f>
              <c:numCache>
                <c:formatCode>General</c:formatCode>
                <c:ptCount val="4"/>
                <c:pt idx="0">
                  <c:v>2001</c:v>
                </c:pt>
                <c:pt idx="1">
                  <c:v>2006</c:v>
                </c:pt>
                <c:pt idx="2">
                  <c:v>2013</c:v>
                </c:pt>
                <c:pt idx="3">
                  <c:v>2018</c:v>
                </c:pt>
              </c:numCache>
            </c:numRef>
          </c:cat>
          <c:val>
            <c:numRef>
              <c:f>Sheet1!$E$2:$E$5</c:f>
              <c:numCache>
                <c:formatCode>General</c:formatCode>
                <c:ptCount val="4"/>
                <c:pt idx="0">
                  <c:v>9.5</c:v>
                </c:pt>
                <c:pt idx="1">
                  <c:v>9.5</c:v>
                </c:pt>
                <c:pt idx="2">
                  <c:v>10.3</c:v>
                </c:pt>
                <c:pt idx="3">
                  <c:v>11.5</c:v>
                </c:pt>
              </c:numCache>
            </c:numRef>
          </c:val>
          <c:extLst>
            <c:ext xmlns:c16="http://schemas.microsoft.com/office/drawing/2014/chart" uri="{C3380CC4-5D6E-409C-BE32-E72D297353CC}">
              <c16:uniqueId val="{00000003-02F4-4E68-830F-2935E09AAC58}"/>
            </c:ext>
          </c:extLst>
        </c:ser>
        <c:ser>
          <c:idx val="4"/>
          <c:order val="4"/>
          <c:tx>
            <c:strRef>
              <c:f>Sheet1!$F$1</c:f>
              <c:strCache>
                <c:ptCount val="1"/>
                <c:pt idx="0">
                  <c:v>OECD &lt; 10 million</c:v>
                </c:pt>
              </c:strCache>
            </c:strRef>
          </c:tx>
          <c:spPr>
            <a:solidFill>
              <a:schemeClr val="accent2">
                <a:lumMod val="40000"/>
                <a:lumOff val="60000"/>
              </a:schemeClr>
            </a:solidFill>
            <a:ln>
              <a:noFill/>
            </a:ln>
            <a:effectLst/>
          </c:spPr>
          <c:invertIfNegative val="0"/>
          <c:cat>
            <c:numRef>
              <c:f>Sheet1!$A$2:$A$5</c:f>
              <c:numCache>
                <c:formatCode>General</c:formatCode>
                <c:ptCount val="4"/>
                <c:pt idx="0">
                  <c:v>2001</c:v>
                </c:pt>
                <c:pt idx="1">
                  <c:v>2006</c:v>
                </c:pt>
                <c:pt idx="2">
                  <c:v>2013</c:v>
                </c:pt>
                <c:pt idx="3">
                  <c:v>2018</c:v>
                </c:pt>
              </c:numCache>
            </c:numRef>
          </c:cat>
          <c:val>
            <c:numRef>
              <c:f>Sheet1!$F$2:$F$5</c:f>
              <c:numCache>
                <c:formatCode>General</c:formatCode>
                <c:ptCount val="4"/>
                <c:pt idx="0">
                  <c:v>11.7</c:v>
                </c:pt>
                <c:pt idx="1">
                  <c:v>11.8</c:v>
                </c:pt>
                <c:pt idx="2">
                  <c:v>12.1</c:v>
                </c:pt>
                <c:pt idx="3">
                  <c:v>13.2</c:v>
                </c:pt>
              </c:numCache>
            </c:numRef>
          </c:val>
          <c:extLst>
            <c:ext xmlns:c16="http://schemas.microsoft.com/office/drawing/2014/chart" uri="{C3380CC4-5D6E-409C-BE32-E72D297353CC}">
              <c16:uniqueId val="{00000005-02F4-4E68-830F-2935E09AAC58}"/>
            </c:ext>
          </c:extLst>
        </c:ser>
        <c:dLbls>
          <c:showLegendKey val="0"/>
          <c:showVal val="0"/>
          <c:showCatName val="0"/>
          <c:showSerName val="0"/>
          <c:showPercent val="0"/>
          <c:showBubbleSize val="0"/>
        </c:dLbls>
        <c:gapWidth val="219"/>
        <c:overlap val="-27"/>
        <c:axId val="1070062543"/>
        <c:axId val="1070063375"/>
      </c:barChart>
      <c:catAx>
        <c:axId val="1070062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063375"/>
        <c:crosses val="autoZero"/>
        <c:auto val="1"/>
        <c:lblAlgn val="ctr"/>
        <c:lblOffset val="100"/>
        <c:noMultiLvlLbl val="0"/>
      </c:catAx>
      <c:valAx>
        <c:axId val="1070063375"/>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Share of foreign-born in resident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062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32DA-C1E0-4920-BA58-9472BEA1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Gibson</dc:creator>
  <cp:lastModifiedBy>Geua Boe-Gibson</cp:lastModifiedBy>
  <cp:revision>2</cp:revision>
  <cp:lastPrinted>2021-04-02T22:31:00Z</cp:lastPrinted>
  <dcterms:created xsi:type="dcterms:W3CDTF">2021-04-03T00:20:00Z</dcterms:created>
  <dcterms:modified xsi:type="dcterms:W3CDTF">2021-04-03T00:20:00Z</dcterms:modified>
</cp:coreProperties>
</file>