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AAE" w:rsidRDefault="007B7AAE" w:rsidP="007B7AAE">
      <w:pPr>
        <w:pStyle w:val="Default"/>
        <w:jc w:val="center"/>
        <w:rPr>
          <w:b/>
          <w:bCs/>
          <w:sz w:val="28"/>
          <w:szCs w:val="28"/>
        </w:rPr>
      </w:pPr>
    </w:p>
    <w:p w:rsidR="007B7AAE" w:rsidRDefault="007B7AAE" w:rsidP="007B7AAE">
      <w:pPr>
        <w:pStyle w:val="Default"/>
        <w:jc w:val="center"/>
        <w:rPr>
          <w:b/>
          <w:bCs/>
          <w:sz w:val="28"/>
          <w:szCs w:val="28"/>
        </w:rPr>
      </w:pPr>
    </w:p>
    <w:p w:rsidR="007B7AAE" w:rsidRDefault="007B7AAE" w:rsidP="007B7AAE">
      <w:pPr>
        <w:pStyle w:val="Default"/>
        <w:jc w:val="center"/>
        <w:rPr>
          <w:b/>
          <w:bCs/>
          <w:sz w:val="28"/>
          <w:szCs w:val="28"/>
        </w:rPr>
      </w:pPr>
    </w:p>
    <w:p w:rsidR="00432473" w:rsidRDefault="00432473" w:rsidP="007B7AAE">
      <w:pPr>
        <w:pStyle w:val="Default"/>
        <w:jc w:val="center"/>
        <w:rPr>
          <w:b/>
          <w:bCs/>
          <w:sz w:val="28"/>
          <w:szCs w:val="28"/>
        </w:rPr>
      </w:pPr>
    </w:p>
    <w:p w:rsidR="00432473" w:rsidRDefault="00432473" w:rsidP="007B7AAE">
      <w:pPr>
        <w:pStyle w:val="Default"/>
        <w:jc w:val="center"/>
        <w:rPr>
          <w:b/>
          <w:bCs/>
          <w:sz w:val="28"/>
          <w:szCs w:val="28"/>
        </w:rPr>
      </w:pPr>
    </w:p>
    <w:p w:rsidR="00432473" w:rsidRDefault="00432473" w:rsidP="007B7AAE">
      <w:pPr>
        <w:pStyle w:val="Default"/>
        <w:jc w:val="center"/>
        <w:rPr>
          <w:b/>
          <w:bCs/>
          <w:sz w:val="28"/>
          <w:szCs w:val="28"/>
        </w:rPr>
      </w:pPr>
    </w:p>
    <w:p w:rsidR="007B7AAE" w:rsidRDefault="007B7AAE" w:rsidP="007B7AAE">
      <w:pPr>
        <w:pStyle w:val="Default"/>
        <w:jc w:val="center"/>
        <w:rPr>
          <w:b/>
          <w:bCs/>
          <w:sz w:val="28"/>
          <w:szCs w:val="28"/>
        </w:rPr>
      </w:pPr>
      <w:r>
        <w:rPr>
          <w:b/>
          <w:bCs/>
          <w:sz w:val="28"/>
          <w:szCs w:val="28"/>
        </w:rPr>
        <w:t>UNIVERSITY OF WAIKATO</w:t>
      </w:r>
    </w:p>
    <w:p w:rsidR="007B7AAE" w:rsidRDefault="007B7AAE" w:rsidP="007B7AAE">
      <w:pPr>
        <w:pStyle w:val="Default"/>
        <w:jc w:val="center"/>
        <w:rPr>
          <w:b/>
          <w:bCs/>
          <w:sz w:val="28"/>
          <w:szCs w:val="28"/>
        </w:rPr>
      </w:pPr>
      <w:r>
        <w:rPr>
          <w:b/>
          <w:bCs/>
          <w:sz w:val="28"/>
          <w:szCs w:val="28"/>
        </w:rPr>
        <w:br/>
        <w:t>Hamilton</w:t>
      </w:r>
    </w:p>
    <w:p w:rsidR="007B7AAE" w:rsidRDefault="007B7AAE" w:rsidP="007B7AAE">
      <w:pPr>
        <w:pStyle w:val="CM1"/>
        <w:spacing w:line="240" w:lineRule="auto"/>
        <w:jc w:val="center"/>
        <w:rPr>
          <w:b/>
          <w:bCs/>
          <w:sz w:val="28"/>
          <w:szCs w:val="28"/>
        </w:rPr>
      </w:pPr>
      <w:r>
        <w:rPr>
          <w:b/>
          <w:bCs/>
          <w:sz w:val="28"/>
          <w:szCs w:val="28"/>
        </w:rPr>
        <w:t xml:space="preserve">New Zealand </w:t>
      </w:r>
    </w:p>
    <w:p w:rsidR="007B7AAE" w:rsidRDefault="007B7AAE" w:rsidP="007B7AAE">
      <w:pPr>
        <w:pStyle w:val="Default"/>
      </w:pPr>
    </w:p>
    <w:p w:rsidR="007B7AAE" w:rsidRDefault="007B7AAE" w:rsidP="007B7AAE">
      <w:pPr>
        <w:pStyle w:val="Default"/>
      </w:pPr>
    </w:p>
    <w:p w:rsidR="007B7AAE" w:rsidRDefault="007B7AAE" w:rsidP="007B7AAE">
      <w:pPr>
        <w:pStyle w:val="Default"/>
      </w:pPr>
    </w:p>
    <w:p w:rsidR="007B7AAE" w:rsidRDefault="007B7AAE" w:rsidP="007B7AAE">
      <w:pPr>
        <w:pStyle w:val="Title"/>
        <w:pBdr>
          <w:top w:val="thinThickSmallGap" w:sz="24" w:space="1" w:color="auto"/>
          <w:left w:val="thinThickSmallGap" w:sz="24" w:space="4" w:color="auto"/>
          <w:bottom w:val="thinThickSmallGap" w:sz="24" w:space="1" w:color="auto"/>
          <w:right w:val="thinThickSmallGap" w:sz="24" w:space="4" w:color="auto"/>
        </w:pBdr>
        <w:spacing w:after="0"/>
        <w:jc w:val="left"/>
        <w:rPr>
          <w:rFonts w:ascii="Times New Roman" w:hAnsi="Times New Roman"/>
          <w:sz w:val="28"/>
          <w:szCs w:val="28"/>
        </w:rPr>
      </w:pPr>
    </w:p>
    <w:p w:rsidR="007B7AAE" w:rsidRDefault="007B7AAE" w:rsidP="007B7AAE">
      <w:pPr>
        <w:pStyle w:val="Title"/>
        <w:pBdr>
          <w:top w:val="thinThickSmallGap" w:sz="24" w:space="1" w:color="auto"/>
          <w:left w:val="thinThickSmallGap" w:sz="24" w:space="4" w:color="auto"/>
          <w:bottom w:val="thinThickSmallGap" w:sz="24" w:space="1" w:color="auto"/>
          <w:right w:val="thinThickSmallGap" w:sz="24" w:space="4" w:color="auto"/>
        </w:pBdr>
        <w:spacing w:before="120" w:after="0"/>
        <w:rPr>
          <w:rFonts w:ascii="Times New Roman" w:hAnsi="Times New Roman"/>
          <w:sz w:val="28"/>
          <w:szCs w:val="28"/>
        </w:rPr>
      </w:pPr>
      <w:r>
        <w:rPr>
          <w:rFonts w:ascii="Times New Roman" w:hAnsi="Times New Roman"/>
          <w:sz w:val="28"/>
          <w:szCs w:val="28"/>
        </w:rPr>
        <w:t>Hard, Not Early:</w:t>
      </w:r>
    </w:p>
    <w:p w:rsidR="007B7AAE" w:rsidRDefault="007B7AAE" w:rsidP="007B7AAE">
      <w:pPr>
        <w:pStyle w:val="Title"/>
        <w:pBdr>
          <w:top w:val="thinThickSmallGap" w:sz="24" w:space="1" w:color="auto"/>
          <w:left w:val="thinThickSmallGap" w:sz="24" w:space="4" w:color="auto"/>
          <w:bottom w:val="thinThickSmallGap" w:sz="24" w:space="1" w:color="auto"/>
          <w:right w:val="thinThickSmallGap" w:sz="24" w:space="4" w:color="auto"/>
        </w:pBdr>
        <w:spacing w:before="120" w:after="0"/>
        <w:rPr>
          <w:rFonts w:ascii="Times New Roman" w:hAnsi="Times New Roman"/>
          <w:sz w:val="28"/>
          <w:szCs w:val="28"/>
        </w:rPr>
      </w:pPr>
      <w:r>
        <w:rPr>
          <w:rFonts w:ascii="Times New Roman" w:hAnsi="Times New Roman"/>
          <w:sz w:val="28"/>
          <w:szCs w:val="28"/>
        </w:rPr>
        <w:t>Putting the New Zealand Covid-19 Response in Context</w:t>
      </w:r>
    </w:p>
    <w:p w:rsidR="007B7AAE" w:rsidRDefault="007B7AAE" w:rsidP="007B7AAE">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b w:val="0"/>
          <w:sz w:val="28"/>
          <w:szCs w:val="28"/>
        </w:rPr>
      </w:pPr>
      <w:r>
        <w:rPr>
          <w:rFonts w:ascii="Times New Roman" w:hAnsi="Times New Roman"/>
          <w:b w:val="0"/>
          <w:sz w:val="28"/>
          <w:szCs w:val="28"/>
        </w:rPr>
        <w:t xml:space="preserve">John Gibson </w:t>
      </w:r>
    </w:p>
    <w:p w:rsidR="007B7AAE" w:rsidRDefault="007B7AAE" w:rsidP="007B7AAE">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rsidR="007B7AAE" w:rsidRDefault="007B7AAE" w:rsidP="007B7AAE">
      <w:pPr>
        <w:pStyle w:val="Default"/>
      </w:pPr>
    </w:p>
    <w:p w:rsidR="007B7AAE" w:rsidRDefault="007B7AAE" w:rsidP="007B7AAE">
      <w:pPr>
        <w:pStyle w:val="CM20"/>
        <w:spacing w:after="0"/>
        <w:jc w:val="center"/>
        <w:rPr>
          <w:i/>
          <w:iCs/>
        </w:rPr>
      </w:pPr>
    </w:p>
    <w:p w:rsidR="007B7AAE" w:rsidRDefault="007B7AAE" w:rsidP="007B7AAE">
      <w:pPr>
        <w:pStyle w:val="Default"/>
      </w:pPr>
    </w:p>
    <w:p w:rsidR="007B7AAE" w:rsidRDefault="007B7AAE" w:rsidP="007B7AAE">
      <w:pPr>
        <w:pStyle w:val="Default"/>
        <w:rPr>
          <w:color w:val="auto"/>
        </w:rPr>
      </w:pPr>
    </w:p>
    <w:p w:rsidR="007B7AAE" w:rsidRDefault="007B7AAE" w:rsidP="007B7AAE">
      <w:pPr>
        <w:pStyle w:val="CM22"/>
        <w:spacing w:after="0"/>
        <w:jc w:val="center"/>
        <w:rPr>
          <w:b/>
          <w:bCs/>
          <w:sz w:val="28"/>
          <w:szCs w:val="28"/>
        </w:rPr>
      </w:pPr>
      <w:r>
        <w:rPr>
          <w:b/>
          <w:bCs/>
          <w:sz w:val="28"/>
          <w:szCs w:val="28"/>
        </w:rPr>
        <w:t>Working Paper in Economics 8/20</w:t>
      </w:r>
    </w:p>
    <w:p w:rsidR="007B7AAE" w:rsidRDefault="007B7AAE" w:rsidP="007B7AAE">
      <w:pPr>
        <w:pStyle w:val="CM22"/>
        <w:spacing w:after="0"/>
        <w:jc w:val="center"/>
        <w:rPr>
          <w:sz w:val="28"/>
          <w:szCs w:val="28"/>
        </w:rPr>
      </w:pPr>
      <w:r>
        <w:rPr>
          <w:b/>
          <w:bCs/>
          <w:sz w:val="28"/>
          <w:szCs w:val="28"/>
        </w:rPr>
        <w:t xml:space="preserve"> </w:t>
      </w:r>
    </w:p>
    <w:p w:rsidR="007B7AAE" w:rsidRDefault="007B7AAE" w:rsidP="007B7AAE">
      <w:pPr>
        <w:pStyle w:val="CM3"/>
        <w:jc w:val="center"/>
        <w:rPr>
          <w:sz w:val="28"/>
          <w:szCs w:val="28"/>
        </w:rPr>
      </w:pPr>
      <w:r>
        <w:rPr>
          <w:sz w:val="28"/>
          <w:szCs w:val="28"/>
        </w:rPr>
        <w:t>September 2020</w:t>
      </w:r>
    </w:p>
    <w:p w:rsidR="007B7AAE" w:rsidRDefault="007B7AAE" w:rsidP="007B7AAE">
      <w:pPr>
        <w:pStyle w:val="CM4"/>
        <w:spacing w:line="240" w:lineRule="auto"/>
        <w:jc w:val="center"/>
        <w:rPr>
          <w:b/>
          <w:bCs/>
          <w:sz w:val="22"/>
          <w:szCs w:val="22"/>
        </w:rPr>
      </w:pPr>
    </w:p>
    <w:p w:rsidR="007B7AAE" w:rsidRDefault="007B7AAE" w:rsidP="007B7AAE">
      <w:pPr>
        <w:pStyle w:val="Default"/>
      </w:pPr>
    </w:p>
    <w:p w:rsidR="007B7AAE" w:rsidRDefault="007B7AAE" w:rsidP="007B7AAE">
      <w:pPr>
        <w:pStyle w:val="Default"/>
      </w:pPr>
    </w:p>
    <w:tbl>
      <w:tblPr>
        <w:tblW w:w="0" w:type="auto"/>
        <w:jc w:val="center"/>
        <w:tblLook w:val="04A0" w:firstRow="1" w:lastRow="0" w:firstColumn="1" w:lastColumn="0" w:noHBand="0" w:noVBand="1"/>
      </w:tblPr>
      <w:tblGrid>
        <w:gridCol w:w="4233"/>
      </w:tblGrid>
      <w:tr w:rsidR="007B7AAE" w:rsidTr="00713B6B">
        <w:trPr>
          <w:trHeight w:val="3130"/>
          <w:jc w:val="center"/>
        </w:trPr>
        <w:tc>
          <w:tcPr>
            <w:tcW w:w="4233" w:type="dxa"/>
          </w:tcPr>
          <w:p w:rsidR="007B7AAE" w:rsidRDefault="007B7AAE" w:rsidP="00A742BF">
            <w:pPr>
              <w:pStyle w:val="CM4"/>
              <w:spacing w:line="240" w:lineRule="auto"/>
              <w:jc w:val="center"/>
              <w:rPr>
                <w:b/>
                <w:bCs/>
                <w:sz w:val="8"/>
                <w:szCs w:val="8"/>
              </w:rPr>
            </w:pPr>
          </w:p>
          <w:p w:rsidR="007B7AAE" w:rsidRDefault="007B7AAE" w:rsidP="00A742BF">
            <w:pPr>
              <w:pStyle w:val="CM4"/>
              <w:spacing w:line="240" w:lineRule="auto"/>
              <w:jc w:val="center"/>
            </w:pPr>
            <w:r>
              <w:rPr>
                <w:b/>
                <w:bCs/>
              </w:rPr>
              <w:t>John Gibson</w:t>
            </w:r>
          </w:p>
          <w:p w:rsidR="007B7AAE" w:rsidRDefault="007B7AAE" w:rsidP="00A742BF">
            <w:pPr>
              <w:pStyle w:val="CM23"/>
              <w:spacing w:after="0"/>
              <w:jc w:val="center"/>
              <w:rPr>
                <w:sz w:val="12"/>
                <w:szCs w:val="12"/>
              </w:rPr>
            </w:pPr>
          </w:p>
          <w:p w:rsidR="007B7AAE" w:rsidRPr="00396242" w:rsidRDefault="007B7AAE" w:rsidP="00713B6B">
            <w:pPr>
              <w:pStyle w:val="CM23"/>
              <w:spacing w:after="0"/>
              <w:jc w:val="center"/>
            </w:pPr>
            <w:r>
              <w:t>School of Accounting, Finance</w:t>
            </w:r>
            <w:r w:rsidR="00713B6B">
              <w:t xml:space="preserve"> </w:t>
            </w:r>
            <w:r w:rsidR="00713B6B">
              <w:br/>
            </w:r>
            <w:r>
              <w:t xml:space="preserve">and </w:t>
            </w:r>
            <w:r w:rsidR="00713B6B">
              <w:t>E</w:t>
            </w:r>
            <w:r>
              <w:t>conomics</w:t>
            </w:r>
          </w:p>
          <w:p w:rsidR="007B7AAE" w:rsidRDefault="007B7AAE" w:rsidP="00A742BF">
            <w:pPr>
              <w:pStyle w:val="CM23"/>
              <w:spacing w:after="0"/>
              <w:jc w:val="center"/>
            </w:pPr>
            <w:r>
              <w:t>University of Waikato</w:t>
            </w:r>
          </w:p>
          <w:p w:rsidR="007B7AAE" w:rsidRDefault="007B7AAE" w:rsidP="00A742BF">
            <w:pPr>
              <w:pStyle w:val="CM23"/>
              <w:spacing w:after="0"/>
              <w:jc w:val="center"/>
            </w:pPr>
            <w:r>
              <w:t>Private Bag 3105</w:t>
            </w:r>
          </w:p>
          <w:p w:rsidR="007B7AAE" w:rsidRDefault="007B7AAE" w:rsidP="00A742BF">
            <w:pPr>
              <w:pStyle w:val="CM23"/>
              <w:spacing w:after="0"/>
              <w:jc w:val="center"/>
            </w:pPr>
            <w:r>
              <w:t>Hamilton</w:t>
            </w:r>
          </w:p>
          <w:p w:rsidR="007B7AAE" w:rsidRDefault="007B7AAE" w:rsidP="00A742BF">
            <w:pPr>
              <w:pStyle w:val="CM23"/>
              <w:spacing w:after="0"/>
              <w:jc w:val="center"/>
            </w:pPr>
            <w:r>
              <w:t xml:space="preserve">New Zealand, 3240 </w:t>
            </w:r>
          </w:p>
          <w:p w:rsidR="007B7AAE" w:rsidRDefault="007B7AAE" w:rsidP="00A742BF">
            <w:pPr>
              <w:pStyle w:val="Default"/>
              <w:rPr>
                <w:sz w:val="12"/>
                <w:szCs w:val="12"/>
              </w:rPr>
            </w:pPr>
          </w:p>
          <w:p w:rsidR="007B7AAE" w:rsidRDefault="007B7AAE" w:rsidP="00A742BF">
            <w:pPr>
              <w:pStyle w:val="Default"/>
              <w:jc w:val="center"/>
            </w:pPr>
            <w:r>
              <w:t>Tel: +64 (7) 838 4289</w:t>
            </w:r>
          </w:p>
          <w:p w:rsidR="007B7AAE" w:rsidRDefault="007B7AAE" w:rsidP="00A742BF">
            <w:pPr>
              <w:pStyle w:val="CM3"/>
              <w:jc w:val="center"/>
              <w:rPr>
                <w:bCs/>
                <w:sz w:val="12"/>
                <w:szCs w:val="12"/>
              </w:rPr>
            </w:pPr>
          </w:p>
          <w:p w:rsidR="007B7AAE" w:rsidRDefault="007B7AAE" w:rsidP="00A742BF">
            <w:pPr>
              <w:pStyle w:val="CM3"/>
              <w:jc w:val="center"/>
              <w:rPr>
                <w:bCs/>
              </w:rPr>
            </w:pPr>
            <w:r>
              <w:rPr>
                <w:bCs/>
              </w:rPr>
              <w:t>Email: john.gibson@waikato.ac.nz</w:t>
            </w:r>
          </w:p>
          <w:p w:rsidR="007B7AAE" w:rsidRDefault="007B7AAE" w:rsidP="00A742BF">
            <w:pPr>
              <w:pStyle w:val="Default"/>
              <w:jc w:val="center"/>
            </w:pPr>
          </w:p>
        </w:tc>
      </w:tr>
    </w:tbl>
    <w:p w:rsidR="007B7AAE" w:rsidRDefault="007B7AAE" w:rsidP="007B7AAE">
      <w:pPr>
        <w:pStyle w:val="Default"/>
      </w:pPr>
    </w:p>
    <w:p w:rsidR="007B7AAE" w:rsidRDefault="007B7AAE" w:rsidP="007B7AAE">
      <w:pPr>
        <w:spacing w:line="288" w:lineRule="auto"/>
        <w:jc w:val="right"/>
        <w:rPr>
          <w:b/>
          <w:iCs/>
        </w:rPr>
      </w:pPr>
    </w:p>
    <w:p w:rsidR="007B7AAE" w:rsidRDefault="007B7AAE" w:rsidP="007B7AAE">
      <w:pPr>
        <w:spacing w:line="288" w:lineRule="auto"/>
        <w:jc w:val="center"/>
        <w:rPr>
          <w:b/>
          <w:iCs/>
        </w:rPr>
      </w:pPr>
    </w:p>
    <w:p w:rsidR="007B7AAE" w:rsidRDefault="007B7AAE" w:rsidP="007B7AAE">
      <w:pPr>
        <w:spacing w:line="288" w:lineRule="auto"/>
        <w:jc w:val="center"/>
        <w:rPr>
          <w:b/>
          <w:iCs/>
        </w:rPr>
      </w:pPr>
    </w:p>
    <w:p w:rsidR="007B7AAE" w:rsidRDefault="007B7AAE" w:rsidP="007B7AAE">
      <w:pPr>
        <w:spacing w:line="288" w:lineRule="auto"/>
        <w:jc w:val="center"/>
        <w:rPr>
          <w:b/>
          <w:iCs/>
        </w:rPr>
      </w:pPr>
    </w:p>
    <w:p w:rsidR="007B7AAE" w:rsidRDefault="007B7AAE" w:rsidP="007B7AAE">
      <w:pPr>
        <w:spacing w:line="288" w:lineRule="auto"/>
        <w:jc w:val="center"/>
        <w:rPr>
          <w:b/>
          <w:iCs/>
        </w:rPr>
      </w:pPr>
    </w:p>
    <w:p w:rsidR="007B7AAE" w:rsidRDefault="007B7AAE" w:rsidP="007B7AAE">
      <w:pPr>
        <w:spacing w:line="288" w:lineRule="auto"/>
        <w:jc w:val="center"/>
        <w:rPr>
          <w:b/>
          <w:iCs/>
        </w:rPr>
      </w:pPr>
    </w:p>
    <w:p w:rsidR="00772067" w:rsidRDefault="00772067" w:rsidP="007B7AAE">
      <w:pPr>
        <w:spacing w:line="288" w:lineRule="auto"/>
        <w:jc w:val="center"/>
        <w:rPr>
          <w:b/>
        </w:rPr>
      </w:pPr>
    </w:p>
    <w:p w:rsidR="007B7AAE" w:rsidRPr="001F4162" w:rsidRDefault="007B7AAE" w:rsidP="007B7AAE">
      <w:pPr>
        <w:spacing w:line="288" w:lineRule="auto"/>
        <w:jc w:val="center"/>
        <w:rPr>
          <w:b/>
        </w:rPr>
      </w:pPr>
      <w:r w:rsidRPr="001F4162">
        <w:rPr>
          <w:b/>
        </w:rPr>
        <w:t>Abstract</w:t>
      </w:r>
    </w:p>
    <w:p w:rsidR="003F2FD9" w:rsidRPr="00D80556" w:rsidRDefault="003F2FD9" w:rsidP="00D468CC">
      <w:pPr>
        <w:spacing w:after="0" w:line="360" w:lineRule="auto"/>
        <w:ind w:right="96"/>
        <w:jc w:val="both"/>
        <w:rPr>
          <w:bCs/>
          <w:lang w:val="en-US"/>
        </w:rPr>
      </w:pPr>
      <w:r w:rsidRPr="00D80556">
        <w:rPr>
          <w:bCs/>
          <w:lang w:val="en-US"/>
        </w:rPr>
        <w:t xml:space="preserve">A popular narrative that New Zealand’s policy response to Coronavirus was </w:t>
      </w:r>
      <w:r>
        <w:rPr>
          <w:bCs/>
          <w:lang w:val="en-US"/>
        </w:rPr>
        <w:t>‘</w:t>
      </w:r>
      <w:r w:rsidRPr="00D80556">
        <w:rPr>
          <w:bCs/>
          <w:lang w:val="en-US"/>
        </w:rPr>
        <w:t>go hard, go early</w:t>
      </w:r>
      <w:r>
        <w:rPr>
          <w:bCs/>
          <w:lang w:val="en-US"/>
        </w:rPr>
        <w:t>’</w:t>
      </w:r>
      <w:r w:rsidRPr="00D80556">
        <w:rPr>
          <w:bCs/>
          <w:lang w:val="en-US"/>
        </w:rPr>
        <w:t xml:space="preserve"> is misleading. While restrictions were the most stringent in the world during the </w:t>
      </w:r>
      <w:r w:rsidR="00615D19">
        <w:rPr>
          <w:bCs/>
          <w:lang w:val="en-US"/>
        </w:rPr>
        <w:br/>
      </w:r>
      <w:r w:rsidRPr="00D80556">
        <w:rPr>
          <w:bCs/>
          <w:lang w:val="en-US"/>
        </w:rPr>
        <w:t xml:space="preserve">Level 4 lockdown in March and April, these were imposed after the likely peak in new infections. I use the time path of Covid-19 </w:t>
      </w:r>
      <w:r w:rsidRPr="00D468CC">
        <w:rPr>
          <w:bCs/>
          <w:lang w:val="en-US"/>
        </w:rPr>
        <w:t>deaths</w:t>
      </w:r>
      <w:r w:rsidRPr="00D80556">
        <w:rPr>
          <w:bCs/>
          <w:lang w:val="en-US"/>
        </w:rPr>
        <w:t xml:space="preserve"> for each OECD country to estimate inflection points. Allowing for the typical lag from infection to death, new infections peaked before the most stringent policy responses were applied in many countries, including New Zealand. The cross-country evidence shows that restrictions imposed after the inflection point in infections is reached are ineffective in reducing total deaths. Even restrictions imposed earlier have just a modest effect; if Sweden’s more relaxed restrictions had been used, an extra 310 Covid-19 death</w:t>
      </w:r>
      <w:r w:rsidR="00615D19">
        <w:rPr>
          <w:bCs/>
          <w:lang w:val="en-US"/>
        </w:rPr>
        <w:t>s</w:t>
      </w:r>
      <w:r w:rsidR="00D468CC">
        <w:rPr>
          <w:bCs/>
          <w:lang w:val="en-US"/>
        </w:rPr>
        <w:t xml:space="preserve"> are predicted for New Zealand </w:t>
      </w:r>
      <w:r w:rsidR="00D468CC" w:rsidRPr="00D468CC">
        <w:rPr>
          <w:bCs/>
          <w:lang w:val="en-US"/>
        </w:rPr>
        <w:t>–</w:t>
      </w:r>
      <w:r w:rsidR="00D468CC">
        <w:rPr>
          <w:bCs/>
          <w:lang w:val="en-US"/>
        </w:rPr>
        <w:t xml:space="preserve"> far </w:t>
      </w:r>
      <w:r w:rsidRPr="00D80556">
        <w:rPr>
          <w:bCs/>
          <w:lang w:val="en-US"/>
        </w:rPr>
        <w:t xml:space="preserve">fewer than the </w:t>
      </w:r>
      <w:r w:rsidR="00615D19">
        <w:rPr>
          <w:bCs/>
          <w:lang w:val="en-US"/>
        </w:rPr>
        <w:t>t</w:t>
      </w:r>
      <w:r w:rsidRPr="00D80556">
        <w:rPr>
          <w:bCs/>
          <w:lang w:val="en-US"/>
        </w:rPr>
        <w:t>housands of deaths predicted for New Zealand by some mathematical models.</w:t>
      </w:r>
    </w:p>
    <w:p w:rsidR="007B7AAE" w:rsidRDefault="007B7AAE" w:rsidP="007B7AAE">
      <w:pPr>
        <w:spacing w:after="0" w:line="360" w:lineRule="auto"/>
        <w:ind w:left="720" w:right="95" w:hanging="578"/>
        <w:jc w:val="center"/>
        <w:rPr>
          <w:lang w:val="en-US"/>
        </w:rPr>
      </w:pPr>
    </w:p>
    <w:p w:rsidR="00432473" w:rsidRPr="003F2FD9" w:rsidRDefault="00432473" w:rsidP="007B7AAE">
      <w:pPr>
        <w:spacing w:after="0" w:line="360" w:lineRule="auto"/>
        <w:ind w:left="720" w:right="95" w:hanging="578"/>
        <w:jc w:val="center"/>
        <w:rPr>
          <w:lang w:val="en-US"/>
        </w:rPr>
      </w:pPr>
    </w:p>
    <w:p w:rsidR="007B7AAE" w:rsidRDefault="007B7AAE" w:rsidP="007B7AAE">
      <w:pPr>
        <w:spacing w:after="0" w:line="240" w:lineRule="auto"/>
        <w:ind w:right="95"/>
        <w:jc w:val="center"/>
        <w:rPr>
          <w:rFonts w:eastAsia="Batang"/>
          <w:b/>
          <w:lang w:val="en-US" w:eastAsia="ko-KR"/>
        </w:rPr>
      </w:pPr>
      <w:r w:rsidRPr="0064256F">
        <w:rPr>
          <w:rFonts w:eastAsia="Batang"/>
          <w:b/>
          <w:lang w:val="en-US" w:eastAsia="ko-KR"/>
        </w:rPr>
        <w:t>JEL Codes</w:t>
      </w:r>
    </w:p>
    <w:p w:rsidR="007B7AAE" w:rsidRPr="00063D29" w:rsidRDefault="007B7AAE" w:rsidP="007B7AAE">
      <w:pPr>
        <w:spacing w:after="0" w:line="240" w:lineRule="auto"/>
        <w:ind w:right="95"/>
        <w:jc w:val="center"/>
        <w:rPr>
          <w:rFonts w:eastAsia="Batang"/>
          <w:b/>
          <w:sz w:val="6"/>
          <w:szCs w:val="6"/>
          <w:lang w:val="en-US" w:eastAsia="ko-KR"/>
        </w:rPr>
      </w:pPr>
    </w:p>
    <w:p w:rsidR="007B7AAE" w:rsidRDefault="007B7AAE" w:rsidP="007B7AAE">
      <w:pPr>
        <w:spacing w:after="0" w:line="240" w:lineRule="auto"/>
        <w:ind w:right="95"/>
        <w:jc w:val="center"/>
        <w:rPr>
          <w:rFonts w:eastAsia="Batang"/>
          <w:lang w:val="en-US" w:eastAsia="ko-KR"/>
        </w:rPr>
      </w:pPr>
      <w:r>
        <w:rPr>
          <w:rFonts w:eastAsia="Batang"/>
          <w:lang w:val="en-US" w:eastAsia="ko-KR"/>
        </w:rPr>
        <w:t>C21, I18</w:t>
      </w:r>
    </w:p>
    <w:p w:rsidR="007B7AAE" w:rsidRDefault="007B7AAE" w:rsidP="007B7AAE">
      <w:pPr>
        <w:spacing w:after="0" w:line="240" w:lineRule="auto"/>
        <w:ind w:right="95"/>
        <w:jc w:val="center"/>
        <w:rPr>
          <w:rFonts w:eastAsia="Batang"/>
          <w:lang w:val="en-US" w:eastAsia="ko-KR"/>
        </w:rPr>
      </w:pPr>
    </w:p>
    <w:p w:rsidR="00432473" w:rsidRPr="0064256F" w:rsidRDefault="00432473" w:rsidP="007B7AAE">
      <w:pPr>
        <w:spacing w:after="0" w:line="240" w:lineRule="auto"/>
        <w:ind w:right="95"/>
        <w:jc w:val="center"/>
        <w:rPr>
          <w:rFonts w:eastAsia="Batang"/>
          <w:lang w:val="en-US" w:eastAsia="ko-KR"/>
        </w:rPr>
      </w:pPr>
    </w:p>
    <w:p w:rsidR="007B7AAE" w:rsidRDefault="007B7AAE" w:rsidP="007B7AAE">
      <w:pPr>
        <w:spacing w:after="0" w:line="240" w:lineRule="auto"/>
        <w:ind w:right="95"/>
        <w:jc w:val="center"/>
        <w:rPr>
          <w:rFonts w:eastAsia="Batang"/>
          <w:b/>
          <w:lang w:val="en-US" w:eastAsia="ko-KR"/>
        </w:rPr>
      </w:pPr>
      <w:r w:rsidRPr="002C44AA">
        <w:rPr>
          <w:rFonts w:eastAsia="Batang"/>
          <w:b/>
          <w:lang w:val="en-US" w:eastAsia="ko-KR"/>
        </w:rPr>
        <w:t>Keywords</w:t>
      </w:r>
    </w:p>
    <w:p w:rsidR="007B7AAE" w:rsidRPr="00063D29" w:rsidRDefault="007B7AAE" w:rsidP="007B7AAE">
      <w:pPr>
        <w:spacing w:after="0" w:line="240" w:lineRule="auto"/>
        <w:ind w:right="95"/>
        <w:jc w:val="center"/>
        <w:rPr>
          <w:rFonts w:eastAsia="Batang"/>
          <w:b/>
          <w:sz w:val="6"/>
          <w:szCs w:val="6"/>
          <w:lang w:val="en-US" w:eastAsia="ko-KR"/>
        </w:rPr>
      </w:pPr>
    </w:p>
    <w:p w:rsidR="00615D19" w:rsidRDefault="00615D19" w:rsidP="007B7AAE">
      <w:pPr>
        <w:spacing w:after="0" w:line="240" w:lineRule="auto"/>
        <w:ind w:right="95"/>
        <w:jc w:val="center"/>
        <w:rPr>
          <w:rFonts w:eastAsia="Batang"/>
          <w:lang w:val="en-US" w:eastAsia="ko-KR"/>
        </w:rPr>
      </w:pPr>
      <w:r>
        <w:rPr>
          <w:rFonts w:eastAsia="Batang"/>
          <w:lang w:val="en-US" w:eastAsia="ko-KR"/>
        </w:rPr>
        <w:t>coronavirus</w:t>
      </w:r>
    </w:p>
    <w:p w:rsidR="007B7AAE" w:rsidRDefault="007B7AAE" w:rsidP="007B7AAE">
      <w:pPr>
        <w:spacing w:after="0" w:line="240" w:lineRule="auto"/>
        <w:ind w:right="95"/>
        <w:jc w:val="center"/>
        <w:rPr>
          <w:rFonts w:eastAsia="Batang"/>
          <w:lang w:val="en-US" w:eastAsia="ko-KR"/>
        </w:rPr>
      </w:pPr>
      <w:r>
        <w:rPr>
          <w:rFonts w:eastAsia="Batang"/>
          <w:lang w:val="en-US" w:eastAsia="ko-KR"/>
        </w:rPr>
        <w:t xml:space="preserve">Covid-19 </w:t>
      </w:r>
    </w:p>
    <w:p w:rsidR="007B7AAE" w:rsidRDefault="00615D19" w:rsidP="007B7AAE">
      <w:pPr>
        <w:spacing w:after="0" w:line="240" w:lineRule="auto"/>
        <w:ind w:right="95"/>
        <w:jc w:val="center"/>
        <w:rPr>
          <w:rFonts w:eastAsia="Batang"/>
          <w:lang w:val="en-US" w:eastAsia="ko-KR"/>
        </w:rPr>
      </w:pPr>
      <w:r>
        <w:rPr>
          <w:rFonts w:eastAsia="Batang"/>
          <w:lang w:val="en-US" w:eastAsia="ko-KR"/>
        </w:rPr>
        <w:t>d</w:t>
      </w:r>
      <w:r w:rsidR="007B7AAE">
        <w:rPr>
          <w:rFonts w:eastAsia="Batang"/>
          <w:lang w:val="en-US" w:eastAsia="ko-KR"/>
        </w:rPr>
        <w:t>eaths</w:t>
      </w:r>
    </w:p>
    <w:p w:rsidR="00615D19" w:rsidRDefault="00615D19" w:rsidP="007B7AAE">
      <w:pPr>
        <w:spacing w:after="0" w:line="240" w:lineRule="auto"/>
        <w:ind w:right="95"/>
        <w:jc w:val="center"/>
        <w:rPr>
          <w:rFonts w:eastAsia="Batang"/>
          <w:lang w:val="en-US" w:eastAsia="ko-KR"/>
        </w:rPr>
      </w:pPr>
      <w:r>
        <w:rPr>
          <w:rFonts w:eastAsia="Batang"/>
          <w:lang w:val="en-US" w:eastAsia="ko-KR"/>
        </w:rPr>
        <w:t>policy timing</w:t>
      </w:r>
    </w:p>
    <w:p w:rsidR="007B7AAE" w:rsidRDefault="007B7AAE" w:rsidP="007B7AAE">
      <w:pPr>
        <w:spacing w:after="0" w:line="240" w:lineRule="auto"/>
        <w:ind w:right="95"/>
        <w:jc w:val="center"/>
        <w:rPr>
          <w:rFonts w:eastAsia="Batang"/>
          <w:lang w:val="en-US" w:eastAsia="ko-KR"/>
        </w:rPr>
      </w:pPr>
      <w:r>
        <w:rPr>
          <w:rFonts w:eastAsia="Batang"/>
          <w:lang w:val="en-US" w:eastAsia="ko-KR"/>
        </w:rPr>
        <w:t>response stringency</w:t>
      </w:r>
    </w:p>
    <w:p w:rsidR="007B7AAE" w:rsidRPr="0064256F" w:rsidRDefault="007B7AAE" w:rsidP="007B7AAE">
      <w:pPr>
        <w:spacing w:after="0" w:line="240" w:lineRule="auto"/>
        <w:ind w:right="95"/>
        <w:jc w:val="center"/>
        <w:rPr>
          <w:rFonts w:eastAsia="Batang"/>
          <w:lang w:val="en-US" w:eastAsia="ko-KR"/>
        </w:rPr>
      </w:pPr>
      <w:r>
        <w:rPr>
          <w:rFonts w:eastAsia="Batang"/>
          <w:lang w:val="en-US" w:eastAsia="ko-KR"/>
        </w:rPr>
        <w:t>New Zealand</w:t>
      </w:r>
    </w:p>
    <w:p w:rsidR="007B7AAE" w:rsidRDefault="007B7AAE" w:rsidP="007B7AAE">
      <w:pPr>
        <w:spacing w:line="240" w:lineRule="exact"/>
        <w:ind w:right="95"/>
        <w:jc w:val="center"/>
        <w:rPr>
          <w:sz w:val="22"/>
        </w:rPr>
      </w:pPr>
    </w:p>
    <w:p w:rsidR="007B7AAE" w:rsidRDefault="007B7AAE" w:rsidP="007B7AAE">
      <w:pPr>
        <w:spacing w:line="300" w:lineRule="auto"/>
        <w:ind w:right="95"/>
        <w:jc w:val="center"/>
        <w:rPr>
          <w:lang w:val="en-GB" w:eastAsia="en-NZ"/>
        </w:rPr>
      </w:pPr>
    </w:p>
    <w:p w:rsidR="002C5B8B" w:rsidRPr="00D80556" w:rsidRDefault="002C5B8B" w:rsidP="00D80556">
      <w:pPr>
        <w:pStyle w:val="1AutoList2"/>
        <w:spacing w:line="288" w:lineRule="auto"/>
        <w:ind w:left="0" w:firstLine="0"/>
        <w:rPr>
          <w:rFonts w:cs="Arial"/>
          <w:szCs w:val="24"/>
        </w:rPr>
      </w:pPr>
    </w:p>
    <w:p w:rsidR="00615D19" w:rsidRDefault="00615D19" w:rsidP="00D80556">
      <w:pPr>
        <w:tabs>
          <w:tab w:val="left" w:pos="284"/>
        </w:tabs>
        <w:spacing w:after="0" w:line="288" w:lineRule="auto"/>
        <w:jc w:val="both"/>
        <w:rPr>
          <w:rFonts w:cs="Arial"/>
          <w:b/>
          <w:bCs/>
        </w:rPr>
      </w:pPr>
    </w:p>
    <w:p w:rsidR="00615D19" w:rsidRDefault="00615D19" w:rsidP="00D80556">
      <w:pPr>
        <w:tabs>
          <w:tab w:val="left" w:pos="284"/>
        </w:tabs>
        <w:spacing w:after="0" w:line="288" w:lineRule="auto"/>
        <w:jc w:val="both"/>
        <w:rPr>
          <w:rFonts w:cs="Arial"/>
          <w:b/>
          <w:bCs/>
        </w:rPr>
      </w:pPr>
    </w:p>
    <w:p w:rsidR="002C5B8B" w:rsidRPr="00D80556" w:rsidRDefault="00FF63BA" w:rsidP="00D80556">
      <w:pPr>
        <w:tabs>
          <w:tab w:val="left" w:pos="284"/>
        </w:tabs>
        <w:spacing w:after="0" w:line="288" w:lineRule="auto"/>
        <w:jc w:val="both"/>
        <w:rPr>
          <w:rFonts w:cs="Arial"/>
          <w:b/>
          <w:bCs/>
        </w:rPr>
      </w:pPr>
      <w:r>
        <w:rPr>
          <w:rFonts w:cs="Arial"/>
          <w:b/>
          <w:bCs/>
        </w:rPr>
        <w:lastRenderedPageBreak/>
        <w:t>1</w:t>
      </w:r>
      <w:r w:rsidR="004327EE" w:rsidRPr="00D80556">
        <w:rPr>
          <w:rFonts w:cs="Arial"/>
          <w:b/>
          <w:bCs/>
        </w:rPr>
        <w:t>.</w:t>
      </w:r>
      <w:r w:rsidR="004327EE" w:rsidRPr="00D80556">
        <w:rPr>
          <w:rFonts w:cs="Arial"/>
          <w:b/>
          <w:bCs/>
        </w:rPr>
        <w:tab/>
        <w:t>Introduction</w:t>
      </w:r>
      <w:r w:rsidR="004327EE" w:rsidRPr="00D80556">
        <w:rPr>
          <w:bCs/>
          <w:lang w:val="en-AU"/>
        </w:rPr>
        <w:t xml:space="preserve"> </w:t>
      </w:r>
    </w:p>
    <w:p w:rsidR="00D80556" w:rsidRPr="00D80556" w:rsidRDefault="00D80556" w:rsidP="00D80556">
      <w:pPr>
        <w:widowControl w:val="0"/>
        <w:spacing w:after="0" w:line="288" w:lineRule="auto"/>
        <w:jc w:val="both"/>
        <w:rPr>
          <w:bCs/>
          <w:sz w:val="12"/>
          <w:szCs w:val="12"/>
          <w:lang w:val="en-US"/>
        </w:rPr>
      </w:pPr>
    </w:p>
    <w:p w:rsidR="00E118C4" w:rsidRDefault="00E118C4" w:rsidP="00D80556">
      <w:pPr>
        <w:widowControl w:val="0"/>
        <w:spacing w:after="0" w:line="288" w:lineRule="auto"/>
        <w:jc w:val="both"/>
        <w:rPr>
          <w:bCs/>
          <w:lang w:val="en-US"/>
        </w:rPr>
      </w:pPr>
      <w:r w:rsidRPr="00D80556">
        <w:rPr>
          <w:bCs/>
          <w:lang w:val="en-US"/>
        </w:rPr>
        <w:t xml:space="preserve">A popular narrative about New Zealand’s policy response to Coronavirus is that a </w:t>
      </w:r>
      <w:r w:rsidR="00D80556">
        <w:rPr>
          <w:bCs/>
          <w:lang w:val="en-US"/>
        </w:rPr>
        <w:t>‘</w:t>
      </w:r>
      <w:r w:rsidRPr="00D80556">
        <w:rPr>
          <w:bCs/>
          <w:lang w:val="en-US"/>
        </w:rPr>
        <w:t>go hard, go early</w:t>
      </w:r>
      <w:r w:rsidR="00D80556">
        <w:rPr>
          <w:bCs/>
          <w:lang w:val="en-US"/>
        </w:rPr>
        <w:t>’</w:t>
      </w:r>
      <w:r w:rsidRPr="00D80556">
        <w:rPr>
          <w:bCs/>
          <w:lang w:val="en-US"/>
        </w:rPr>
        <w:t xml:space="preserve"> strategy was used. This phrase </w:t>
      </w:r>
      <w:r w:rsidR="000E0071" w:rsidRPr="00D80556">
        <w:rPr>
          <w:bCs/>
          <w:lang w:val="en-US"/>
        </w:rPr>
        <w:t xml:space="preserve">is often </w:t>
      </w:r>
      <w:r w:rsidRPr="00D80556">
        <w:rPr>
          <w:bCs/>
          <w:lang w:val="en-US"/>
        </w:rPr>
        <w:t>mentioned by</w:t>
      </w:r>
      <w:r w:rsidR="000E0071" w:rsidRPr="00D80556">
        <w:rPr>
          <w:bCs/>
          <w:lang w:val="en-US"/>
        </w:rPr>
        <w:t xml:space="preserve"> the Prime Minister and</w:t>
      </w:r>
      <w:r w:rsidR="00EE7128" w:rsidRPr="00D80556">
        <w:rPr>
          <w:bCs/>
          <w:lang w:val="en-US"/>
        </w:rPr>
        <w:t xml:space="preserve"> even</w:t>
      </w:r>
      <w:r w:rsidRPr="00D80556">
        <w:rPr>
          <w:bCs/>
          <w:lang w:val="en-US"/>
        </w:rPr>
        <w:t xml:space="preserve"> entered into World Health Organization </w:t>
      </w:r>
      <w:r w:rsidR="000E0071" w:rsidRPr="00D80556">
        <w:rPr>
          <w:bCs/>
          <w:lang w:val="en-US"/>
        </w:rPr>
        <w:t xml:space="preserve">descriptions </w:t>
      </w:r>
      <w:r w:rsidRPr="00D80556">
        <w:rPr>
          <w:bCs/>
          <w:lang w:val="en-US"/>
        </w:rPr>
        <w:t>(WHO, 2020).</w:t>
      </w:r>
      <w:r w:rsidR="00E122D0" w:rsidRPr="00D80556">
        <w:rPr>
          <w:rStyle w:val="FootnoteReference"/>
          <w:bCs/>
          <w:lang w:val="en-US"/>
        </w:rPr>
        <w:footnoteReference w:id="1"/>
      </w:r>
      <w:r w:rsidRPr="00D80556">
        <w:rPr>
          <w:bCs/>
          <w:lang w:val="en-US"/>
        </w:rPr>
        <w:t xml:space="preserve"> It is true that New Zealand </w:t>
      </w:r>
      <w:r w:rsidR="00D80556">
        <w:rPr>
          <w:bCs/>
          <w:lang w:val="en-US"/>
        </w:rPr>
        <w:t>‘</w:t>
      </w:r>
      <w:r w:rsidRPr="00D80556">
        <w:rPr>
          <w:bCs/>
          <w:lang w:val="en-US"/>
        </w:rPr>
        <w:t>went hard</w:t>
      </w:r>
      <w:r w:rsidR="00D80556">
        <w:rPr>
          <w:bCs/>
          <w:lang w:val="en-US"/>
        </w:rPr>
        <w:t>’</w:t>
      </w:r>
      <w:r w:rsidR="000E0071" w:rsidRPr="00D80556">
        <w:rPr>
          <w:bCs/>
          <w:lang w:val="en-US"/>
        </w:rPr>
        <w:t>, with</w:t>
      </w:r>
      <w:r w:rsidRPr="00D80556">
        <w:rPr>
          <w:bCs/>
          <w:lang w:val="en-US"/>
        </w:rPr>
        <w:t xml:space="preserve"> the </w:t>
      </w:r>
      <w:r w:rsidR="000E0071" w:rsidRPr="00D80556">
        <w:rPr>
          <w:bCs/>
          <w:lang w:val="en-US"/>
        </w:rPr>
        <w:t>most restrictive settings</w:t>
      </w:r>
      <w:r w:rsidRPr="00D80556">
        <w:rPr>
          <w:bCs/>
          <w:lang w:val="en-US"/>
        </w:rPr>
        <w:t xml:space="preserve"> in the world </w:t>
      </w:r>
      <w:r w:rsidR="000E0071" w:rsidRPr="00D80556">
        <w:rPr>
          <w:bCs/>
          <w:lang w:val="en-US"/>
        </w:rPr>
        <w:t>in</w:t>
      </w:r>
      <w:r w:rsidRPr="00D80556">
        <w:rPr>
          <w:bCs/>
          <w:lang w:val="en-US"/>
        </w:rPr>
        <w:t xml:space="preserve"> the Level 4 lockdown in March and April (Gibson, 2020).</w:t>
      </w:r>
      <w:r w:rsidR="000E0071" w:rsidRPr="00D80556">
        <w:rPr>
          <w:bCs/>
          <w:lang w:val="en-US"/>
        </w:rPr>
        <w:t xml:space="preserve"> I</w:t>
      </w:r>
      <w:r w:rsidRPr="00D80556">
        <w:rPr>
          <w:bCs/>
          <w:lang w:val="en-US"/>
        </w:rPr>
        <w:t xml:space="preserve">t </w:t>
      </w:r>
      <w:r w:rsidR="00713B6B">
        <w:rPr>
          <w:bCs/>
          <w:lang w:val="en-US"/>
        </w:rPr>
        <w:t xml:space="preserve">is </w:t>
      </w:r>
      <w:r w:rsidRPr="00D80556">
        <w:rPr>
          <w:bCs/>
          <w:lang w:val="en-US"/>
        </w:rPr>
        <w:t xml:space="preserve">less true that New Zealand </w:t>
      </w:r>
      <w:r w:rsidR="00D80556">
        <w:rPr>
          <w:bCs/>
          <w:lang w:val="en-US"/>
        </w:rPr>
        <w:t>‘</w:t>
      </w:r>
      <w:r w:rsidRPr="00D80556">
        <w:rPr>
          <w:bCs/>
          <w:lang w:val="en-US"/>
        </w:rPr>
        <w:t>went early</w:t>
      </w:r>
      <w:r w:rsidR="00D80556">
        <w:rPr>
          <w:bCs/>
          <w:lang w:val="en-US"/>
        </w:rPr>
        <w:t>’</w:t>
      </w:r>
      <w:r w:rsidRPr="00D80556">
        <w:rPr>
          <w:bCs/>
          <w:lang w:val="en-US"/>
        </w:rPr>
        <w:t xml:space="preserve"> </w:t>
      </w:r>
      <w:r w:rsidR="000E0071" w:rsidRPr="00D80556">
        <w:rPr>
          <w:bCs/>
          <w:lang w:val="en-US"/>
        </w:rPr>
        <w:t>as</w:t>
      </w:r>
      <w:r w:rsidRPr="00D80556">
        <w:rPr>
          <w:bCs/>
          <w:lang w:val="en-US"/>
        </w:rPr>
        <w:t xml:space="preserve"> the likely peak in new infections occurred </w:t>
      </w:r>
      <w:r w:rsidR="00EE6CE9" w:rsidRPr="00D80556">
        <w:rPr>
          <w:bCs/>
          <w:lang w:val="en-US"/>
        </w:rPr>
        <w:t xml:space="preserve">before </w:t>
      </w:r>
      <w:r w:rsidRPr="00D80556">
        <w:rPr>
          <w:bCs/>
          <w:lang w:val="en-US"/>
        </w:rPr>
        <w:t xml:space="preserve">the most stringent restrictions </w:t>
      </w:r>
      <w:r w:rsidR="00EE6CE9" w:rsidRPr="00D80556">
        <w:rPr>
          <w:bCs/>
          <w:lang w:val="en-US"/>
        </w:rPr>
        <w:t>were imposed</w:t>
      </w:r>
      <w:r w:rsidRPr="00D80556">
        <w:rPr>
          <w:bCs/>
          <w:lang w:val="en-US"/>
        </w:rPr>
        <w:t xml:space="preserve">. </w:t>
      </w:r>
    </w:p>
    <w:p w:rsidR="00D80556" w:rsidRPr="00D80556" w:rsidRDefault="00D80556" w:rsidP="00D80556">
      <w:pPr>
        <w:widowControl w:val="0"/>
        <w:spacing w:after="0" w:line="288" w:lineRule="auto"/>
        <w:jc w:val="both"/>
        <w:rPr>
          <w:bCs/>
          <w:lang w:val="en-US"/>
        </w:rPr>
      </w:pPr>
    </w:p>
    <w:p w:rsidR="000E0071" w:rsidRDefault="000E0071" w:rsidP="00D468CC">
      <w:pPr>
        <w:widowControl w:val="0"/>
        <w:spacing w:after="0" w:line="288" w:lineRule="auto"/>
        <w:ind w:firstLine="567"/>
        <w:jc w:val="both"/>
        <w:rPr>
          <w:bCs/>
          <w:lang w:val="en-US"/>
        </w:rPr>
      </w:pPr>
      <w:r w:rsidRPr="00D80556">
        <w:rPr>
          <w:bCs/>
          <w:lang w:val="en-US"/>
        </w:rPr>
        <w:t>While deconstructing catchy but untrue phrases uttered by politician</w:t>
      </w:r>
      <w:r w:rsidR="00EE7128" w:rsidRPr="00D80556">
        <w:rPr>
          <w:bCs/>
          <w:lang w:val="en-US"/>
        </w:rPr>
        <w:t xml:space="preserve">s is normally </w:t>
      </w:r>
      <w:r w:rsidRPr="00D80556">
        <w:rPr>
          <w:bCs/>
          <w:lang w:val="en-US"/>
        </w:rPr>
        <w:t>a political science matter</w:t>
      </w:r>
      <w:r w:rsidR="00EE7128" w:rsidRPr="00D80556">
        <w:rPr>
          <w:bCs/>
          <w:lang w:val="en-US"/>
        </w:rPr>
        <w:t xml:space="preserve">, there are </w:t>
      </w:r>
      <w:r w:rsidRPr="00D80556">
        <w:rPr>
          <w:bCs/>
          <w:lang w:val="en-US"/>
        </w:rPr>
        <w:t xml:space="preserve">costly economic consequences of a </w:t>
      </w:r>
      <w:r w:rsidR="00D80556">
        <w:rPr>
          <w:bCs/>
          <w:lang w:val="en-US"/>
        </w:rPr>
        <w:t>‘</w:t>
      </w:r>
      <w:r w:rsidRPr="00D80556">
        <w:rPr>
          <w:bCs/>
          <w:lang w:val="en-US"/>
        </w:rPr>
        <w:t>go hard but a bit late</w:t>
      </w:r>
      <w:r w:rsidR="00D80556">
        <w:rPr>
          <w:bCs/>
          <w:lang w:val="en-US"/>
        </w:rPr>
        <w:t>’</w:t>
      </w:r>
      <w:r w:rsidRPr="00D80556">
        <w:rPr>
          <w:bCs/>
          <w:lang w:val="en-US"/>
        </w:rPr>
        <w:t xml:space="preserve"> strategy. </w:t>
      </w:r>
      <w:r w:rsidR="008961C1" w:rsidRPr="00D80556">
        <w:rPr>
          <w:bCs/>
          <w:lang w:val="en-US"/>
        </w:rPr>
        <w:t xml:space="preserve">For example, a country that genuinely did </w:t>
      </w:r>
      <w:r w:rsidR="00D80556">
        <w:rPr>
          <w:bCs/>
          <w:lang w:val="en-US"/>
        </w:rPr>
        <w:t>‘</w:t>
      </w:r>
      <w:r w:rsidR="008961C1" w:rsidRPr="00D80556">
        <w:rPr>
          <w:bCs/>
          <w:lang w:val="en-US"/>
        </w:rPr>
        <w:t>go early</w:t>
      </w:r>
      <w:r w:rsidR="00D80556">
        <w:rPr>
          <w:bCs/>
          <w:lang w:val="en-US"/>
        </w:rPr>
        <w:t>’</w:t>
      </w:r>
      <w:r w:rsidR="008961C1" w:rsidRPr="00D80556">
        <w:rPr>
          <w:bCs/>
          <w:lang w:val="en-US"/>
        </w:rPr>
        <w:t xml:space="preserve"> is Taiwan, </w:t>
      </w:r>
      <w:r w:rsidR="009D51DB" w:rsidRPr="00D80556">
        <w:rPr>
          <w:bCs/>
          <w:lang w:val="en-US"/>
        </w:rPr>
        <w:t>whose Covid-19 death rate is just 1/15</w:t>
      </w:r>
      <w:r w:rsidR="009D51DB" w:rsidRPr="00D80556">
        <w:rPr>
          <w:bCs/>
          <w:vertAlign w:val="superscript"/>
          <w:lang w:val="en-US"/>
        </w:rPr>
        <w:t>th</w:t>
      </w:r>
      <w:r w:rsidR="009D51DB" w:rsidRPr="00D80556">
        <w:rPr>
          <w:bCs/>
          <w:lang w:val="en-US"/>
        </w:rPr>
        <w:t xml:space="preserve"> New Zealand</w:t>
      </w:r>
      <w:r w:rsidR="00EE7128" w:rsidRPr="00D80556">
        <w:rPr>
          <w:bCs/>
          <w:lang w:val="en-US"/>
        </w:rPr>
        <w:t>’s</w:t>
      </w:r>
      <w:r w:rsidR="009D51DB" w:rsidRPr="00D80556">
        <w:rPr>
          <w:bCs/>
          <w:lang w:val="en-US"/>
        </w:rPr>
        <w:t xml:space="preserve"> rate, </w:t>
      </w:r>
      <w:r w:rsidR="00EE7128" w:rsidRPr="00D80556">
        <w:rPr>
          <w:bCs/>
          <w:lang w:val="en-US"/>
        </w:rPr>
        <w:t xml:space="preserve">despite </w:t>
      </w:r>
      <w:r w:rsidR="00EE6CE9" w:rsidRPr="00D80556">
        <w:rPr>
          <w:bCs/>
          <w:lang w:val="en-US"/>
        </w:rPr>
        <w:t>hav</w:t>
      </w:r>
      <w:r w:rsidR="00EE7128" w:rsidRPr="00D80556">
        <w:rPr>
          <w:bCs/>
          <w:lang w:val="en-US"/>
        </w:rPr>
        <w:t>ing eight times as many visitors a year from China, and having a first Covid-19 case a month before New Zealand’s first case. Taiwan’s success came at far less cost, w</w:t>
      </w:r>
      <w:r w:rsidR="009D51DB" w:rsidRPr="00D80556">
        <w:rPr>
          <w:bCs/>
          <w:lang w:val="en-US"/>
        </w:rPr>
        <w:t>ith forecast GDP growth rates for 2020 and 2021 of 0.8% and 3.5% (ADB, 2020). In contrast, forecasts made for New Zealand (not accounting for the second Auckland lockdown) are for GDP at the end of 2021 to be five percent lower than in 2019 (</w:t>
      </w:r>
      <w:proofErr w:type="spellStart"/>
      <w:r w:rsidR="009D51DB" w:rsidRPr="00D80556">
        <w:rPr>
          <w:bCs/>
          <w:lang w:val="en-US"/>
        </w:rPr>
        <w:t>Infometrics</w:t>
      </w:r>
      <w:proofErr w:type="spellEnd"/>
      <w:r w:rsidR="009D51DB" w:rsidRPr="00D80556">
        <w:rPr>
          <w:bCs/>
          <w:lang w:val="en-US"/>
        </w:rPr>
        <w:t xml:space="preserve">, 2020). The nine percent gap between New Zealand’s GDP at the end of 2021 </w:t>
      </w:r>
      <w:r w:rsidR="00D468CC">
        <w:rPr>
          <w:bCs/>
          <w:lang w:val="en-US"/>
        </w:rPr>
        <w:t xml:space="preserve">if it grew according to </w:t>
      </w:r>
      <w:r w:rsidR="009D51DB" w:rsidRPr="00D80556">
        <w:rPr>
          <w:bCs/>
          <w:lang w:val="en-US"/>
        </w:rPr>
        <w:t>Taiwan’s experience, and where it likely will be</w:t>
      </w:r>
      <w:r w:rsidR="00EE7128" w:rsidRPr="00D80556">
        <w:rPr>
          <w:bCs/>
          <w:lang w:val="en-US"/>
        </w:rPr>
        <w:t>,</w:t>
      </w:r>
      <w:r w:rsidR="009D51DB" w:rsidRPr="00D80556">
        <w:rPr>
          <w:bCs/>
          <w:lang w:val="en-US"/>
        </w:rPr>
        <w:t xml:space="preserve"> amounts</w:t>
      </w:r>
      <w:r w:rsidR="004F3FCB" w:rsidRPr="00D80556">
        <w:rPr>
          <w:bCs/>
          <w:lang w:val="en-US"/>
        </w:rPr>
        <w:t xml:space="preserve"> to $27 billion. Moreover, the</w:t>
      </w:r>
      <w:r w:rsidR="009D51DB" w:rsidRPr="00D80556">
        <w:rPr>
          <w:bCs/>
          <w:lang w:val="en-US"/>
        </w:rPr>
        <w:t xml:space="preserve"> cross-country evidence </w:t>
      </w:r>
      <w:r w:rsidR="00EE7128" w:rsidRPr="00D80556">
        <w:rPr>
          <w:bCs/>
          <w:lang w:val="en-US"/>
        </w:rPr>
        <w:t xml:space="preserve">reported below </w:t>
      </w:r>
      <w:r w:rsidR="004F3FCB" w:rsidRPr="00D80556">
        <w:rPr>
          <w:bCs/>
          <w:lang w:val="en-US"/>
        </w:rPr>
        <w:t xml:space="preserve">is </w:t>
      </w:r>
      <w:r w:rsidR="009D51DB" w:rsidRPr="00D80556">
        <w:rPr>
          <w:bCs/>
          <w:lang w:val="en-US"/>
        </w:rPr>
        <w:t xml:space="preserve">that restrictions applied after the inflection point in infections is reached are </w:t>
      </w:r>
      <w:r w:rsidR="004F3FCB" w:rsidRPr="00D80556">
        <w:rPr>
          <w:bCs/>
          <w:lang w:val="en-US"/>
        </w:rPr>
        <w:t>in</w:t>
      </w:r>
      <w:r w:rsidR="009D51DB" w:rsidRPr="00D80556">
        <w:rPr>
          <w:bCs/>
          <w:lang w:val="en-US"/>
        </w:rPr>
        <w:t>effective at reducing total deaths</w:t>
      </w:r>
      <w:r w:rsidR="004F3FCB" w:rsidRPr="00D80556">
        <w:rPr>
          <w:bCs/>
          <w:lang w:val="en-US"/>
        </w:rPr>
        <w:t>, compared with</w:t>
      </w:r>
      <w:r w:rsidR="009D51DB" w:rsidRPr="00D80556">
        <w:rPr>
          <w:bCs/>
          <w:lang w:val="en-US"/>
        </w:rPr>
        <w:t xml:space="preserve"> restrictions applied earlier</w:t>
      </w:r>
      <w:r w:rsidR="00EE7128" w:rsidRPr="00D80556">
        <w:rPr>
          <w:bCs/>
          <w:lang w:val="en-US"/>
        </w:rPr>
        <w:t xml:space="preserve">, so </w:t>
      </w:r>
      <w:r w:rsidR="00D80556">
        <w:rPr>
          <w:bCs/>
          <w:lang w:val="en-US"/>
        </w:rPr>
        <w:t>‘</w:t>
      </w:r>
      <w:r w:rsidR="009D51DB" w:rsidRPr="00D80556">
        <w:rPr>
          <w:bCs/>
          <w:lang w:val="en-US"/>
        </w:rPr>
        <w:t>going a bit late</w:t>
      </w:r>
      <w:r w:rsidR="00D80556">
        <w:rPr>
          <w:bCs/>
          <w:lang w:val="en-US"/>
        </w:rPr>
        <w:t>’</w:t>
      </w:r>
      <w:r w:rsidR="00E65FAE" w:rsidRPr="00D80556">
        <w:rPr>
          <w:bCs/>
          <w:lang w:val="en-US"/>
        </w:rPr>
        <w:t xml:space="preserve"> matters</w:t>
      </w:r>
      <w:r w:rsidR="00EE7128" w:rsidRPr="00D80556">
        <w:rPr>
          <w:bCs/>
          <w:lang w:val="en-US"/>
        </w:rPr>
        <w:t>.</w:t>
      </w:r>
    </w:p>
    <w:p w:rsidR="00D80556" w:rsidRPr="00D80556" w:rsidRDefault="00D80556" w:rsidP="00D80556">
      <w:pPr>
        <w:widowControl w:val="0"/>
        <w:spacing w:after="0" w:line="288" w:lineRule="auto"/>
        <w:ind w:firstLine="720"/>
        <w:jc w:val="both"/>
        <w:rPr>
          <w:bCs/>
          <w:lang w:val="en-US"/>
        </w:rPr>
      </w:pPr>
    </w:p>
    <w:p w:rsidR="008961C1" w:rsidRDefault="00FF63BA" w:rsidP="00D80556">
      <w:pPr>
        <w:widowControl w:val="0"/>
        <w:tabs>
          <w:tab w:val="left" w:pos="426"/>
        </w:tabs>
        <w:spacing w:after="0" w:line="288" w:lineRule="auto"/>
        <w:jc w:val="both"/>
        <w:rPr>
          <w:b/>
          <w:lang w:val="en-US"/>
        </w:rPr>
      </w:pPr>
      <w:r>
        <w:rPr>
          <w:b/>
          <w:lang w:val="en-US"/>
        </w:rPr>
        <w:t>2</w:t>
      </w:r>
      <w:r w:rsidR="00EE7128" w:rsidRPr="00D80556">
        <w:rPr>
          <w:b/>
          <w:lang w:val="en-US"/>
        </w:rPr>
        <w:t>.</w:t>
      </w:r>
      <w:r w:rsidR="00EE7128" w:rsidRPr="00D80556">
        <w:rPr>
          <w:b/>
          <w:lang w:val="en-US"/>
        </w:rPr>
        <w:tab/>
      </w:r>
      <w:r w:rsidR="00EB36A1" w:rsidRPr="00D80556">
        <w:rPr>
          <w:b/>
          <w:lang w:val="en-US"/>
        </w:rPr>
        <w:t xml:space="preserve">Covid-19 </w:t>
      </w:r>
      <w:r w:rsidR="002A6915" w:rsidRPr="00D80556">
        <w:rPr>
          <w:b/>
          <w:lang w:val="en-US"/>
        </w:rPr>
        <w:t>Policy Stringency: New Zealand and Elsewhere</w:t>
      </w:r>
    </w:p>
    <w:p w:rsidR="00D80556" w:rsidRPr="00D80556" w:rsidRDefault="00D80556" w:rsidP="00D80556">
      <w:pPr>
        <w:widowControl w:val="0"/>
        <w:spacing w:after="0" w:line="288" w:lineRule="auto"/>
        <w:jc w:val="both"/>
        <w:rPr>
          <w:b/>
          <w:sz w:val="12"/>
          <w:szCs w:val="12"/>
          <w:lang w:val="en-US"/>
        </w:rPr>
      </w:pPr>
    </w:p>
    <w:p w:rsidR="00EE7128" w:rsidRDefault="00EB36A1" w:rsidP="00D80556">
      <w:pPr>
        <w:widowControl w:val="0"/>
        <w:spacing w:after="0" w:line="288" w:lineRule="auto"/>
        <w:jc w:val="both"/>
        <w:rPr>
          <w:bCs/>
          <w:lang w:val="en-US"/>
        </w:rPr>
      </w:pPr>
      <w:r w:rsidRPr="00D80556">
        <w:rPr>
          <w:bCs/>
          <w:lang w:val="en-US"/>
        </w:rPr>
        <w:t xml:space="preserve">The evolution of New Zealand’s Covid-19 policy response until early April is shown in </w:t>
      </w:r>
      <w:r w:rsidR="00D80556">
        <w:rPr>
          <w:bCs/>
          <w:lang w:val="en-US"/>
        </w:rPr>
        <w:br/>
      </w:r>
      <w:r w:rsidRPr="00D80556">
        <w:rPr>
          <w:bCs/>
          <w:lang w:val="en-US"/>
        </w:rPr>
        <w:t>Figure 1</w:t>
      </w:r>
      <w:r w:rsidR="00066F0C" w:rsidRPr="00D80556">
        <w:rPr>
          <w:bCs/>
          <w:lang w:val="en-US"/>
        </w:rPr>
        <w:t>, along with that of</w:t>
      </w:r>
      <w:r w:rsidR="000D158E" w:rsidRPr="00D80556">
        <w:rPr>
          <w:bCs/>
          <w:lang w:val="en-US"/>
        </w:rPr>
        <w:t xml:space="preserve"> the </w:t>
      </w:r>
      <w:r w:rsidRPr="00D80556">
        <w:rPr>
          <w:bCs/>
          <w:lang w:val="en-US"/>
        </w:rPr>
        <w:t>other OECD countries without land borders</w:t>
      </w:r>
      <w:r w:rsidR="00674F26" w:rsidRPr="00D80556">
        <w:rPr>
          <w:bCs/>
          <w:lang w:val="en-US"/>
        </w:rPr>
        <w:t xml:space="preserve"> (Australia, Iceland and Japan)</w:t>
      </w:r>
      <w:r w:rsidR="00066F0C" w:rsidRPr="00D80556">
        <w:rPr>
          <w:bCs/>
          <w:lang w:val="en-US"/>
        </w:rPr>
        <w:t xml:space="preserve">, and </w:t>
      </w:r>
      <w:r w:rsidRPr="00D80556">
        <w:rPr>
          <w:bCs/>
          <w:lang w:val="en-US"/>
        </w:rPr>
        <w:t>Taiwan.</w:t>
      </w:r>
      <w:r w:rsidR="000D158E" w:rsidRPr="00D80556">
        <w:rPr>
          <w:bCs/>
          <w:lang w:val="en-US"/>
        </w:rPr>
        <w:t xml:space="preserve"> </w:t>
      </w:r>
      <w:r w:rsidR="00D80556">
        <w:rPr>
          <w:bCs/>
          <w:lang w:val="en-US"/>
        </w:rPr>
        <w:t xml:space="preserve"> </w:t>
      </w:r>
      <w:r w:rsidR="000D158E" w:rsidRPr="00D80556">
        <w:rPr>
          <w:bCs/>
          <w:lang w:val="en-US"/>
        </w:rPr>
        <w:t>Countries without land borders may have an advantage in keeping the virus out, and so make a natural comparison group.</w:t>
      </w:r>
      <w:r w:rsidRPr="00D80556">
        <w:rPr>
          <w:bCs/>
          <w:lang w:val="en-US"/>
        </w:rPr>
        <w:t xml:space="preserve"> </w:t>
      </w:r>
      <w:r w:rsidR="000D158E" w:rsidRPr="00D80556">
        <w:rPr>
          <w:bCs/>
          <w:lang w:val="en-US"/>
        </w:rPr>
        <w:t xml:space="preserve">I use </w:t>
      </w:r>
      <w:r w:rsidRPr="00D80556">
        <w:rPr>
          <w:bCs/>
          <w:lang w:val="en-US"/>
        </w:rPr>
        <w:t xml:space="preserve">the legacy stringency index </w:t>
      </w:r>
      <w:r w:rsidR="000D158E" w:rsidRPr="00D80556">
        <w:rPr>
          <w:bCs/>
          <w:lang w:val="en-US"/>
        </w:rPr>
        <w:t xml:space="preserve">of </w:t>
      </w:r>
      <w:r w:rsidRPr="00D80556">
        <w:rPr>
          <w:bCs/>
          <w:lang w:val="en-US"/>
        </w:rPr>
        <w:t xml:space="preserve">Hale </w:t>
      </w:r>
      <w:r w:rsidRPr="00D80556">
        <w:rPr>
          <w:bCs/>
          <w:i/>
          <w:iCs/>
          <w:lang w:val="en-US"/>
        </w:rPr>
        <w:t>et al</w:t>
      </w:r>
      <w:r w:rsidR="00D80556" w:rsidRPr="00D80556">
        <w:rPr>
          <w:bCs/>
          <w:i/>
          <w:iCs/>
          <w:lang w:val="en-US"/>
        </w:rPr>
        <w:t>.</w:t>
      </w:r>
      <w:r w:rsidRPr="00D80556">
        <w:rPr>
          <w:bCs/>
          <w:lang w:val="en-US"/>
        </w:rPr>
        <w:t xml:space="preserve"> (2020) that focuses on closures and containment and on public health information, unlike the broader government response index that includes </w:t>
      </w:r>
      <w:r w:rsidR="00674F26" w:rsidRPr="00D80556">
        <w:rPr>
          <w:bCs/>
          <w:lang w:val="en-US"/>
        </w:rPr>
        <w:t xml:space="preserve">various </w:t>
      </w:r>
      <w:r w:rsidRPr="00D80556">
        <w:rPr>
          <w:bCs/>
          <w:lang w:val="en-US"/>
        </w:rPr>
        <w:t>economic support measures</w:t>
      </w:r>
      <w:r w:rsidR="00674F26" w:rsidRPr="00D80556">
        <w:rPr>
          <w:bCs/>
          <w:lang w:val="en-US"/>
        </w:rPr>
        <w:t>, health sector strengthening</w:t>
      </w:r>
      <w:r w:rsidRPr="00D80556">
        <w:rPr>
          <w:bCs/>
          <w:lang w:val="en-US"/>
        </w:rPr>
        <w:t xml:space="preserve"> and investment in vaccines.</w:t>
      </w:r>
    </w:p>
    <w:p w:rsidR="00F43B9E" w:rsidRDefault="00F43B9E" w:rsidP="00D80556">
      <w:pPr>
        <w:widowControl w:val="0"/>
        <w:spacing w:after="0" w:line="288" w:lineRule="auto"/>
        <w:jc w:val="both"/>
        <w:rPr>
          <w:bCs/>
          <w:lang w:val="en-US"/>
        </w:rPr>
      </w:pPr>
    </w:p>
    <w:p w:rsidR="00F43B9E" w:rsidRDefault="00F43B9E" w:rsidP="00F43B9E">
      <w:pPr>
        <w:widowControl w:val="0"/>
        <w:spacing w:after="0" w:line="288" w:lineRule="auto"/>
        <w:ind w:firstLine="720"/>
        <w:jc w:val="both"/>
        <w:rPr>
          <w:bCs/>
          <w:lang w:val="en-US"/>
        </w:rPr>
      </w:pPr>
      <w:r w:rsidRPr="00D80556">
        <w:rPr>
          <w:bCs/>
          <w:lang w:val="en-US"/>
        </w:rPr>
        <w:t>Up until mid-March the New Zealand response generally lagged the other countries in Figure 1. Moreover, the initial response, from 3 February, required foreign nationals arriving from China to self-isolate for 14 days. In late February</w:t>
      </w:r>
      <w:r>
        <w:rPr>
          <w:bCs/>
          <w:lang w:val="en-US"/>
        </w:rPr>
        <w:t>,</w:t>
      </w:r>
      <w:r w:rsidRPr="00D80556">
        <w:rPr>
          <w:bCs/>
          <w:lang w:val="en-US"/>
        </w:rPr>
        <w:t xml:space="preserve"> this extended to travelers coming from Iran. Subsequent genomic sequencing of confirmed cases in New Zealand from 26 February until May 22 shows representation from nearly all the diversity in the global virus population, and cases causing ongoing local transmission were mostly from North America (</w:t>
      </w:r>
      <w:proofErr w:type="spellStart"/>
      <w:r w:rsidRPr="00D80556">
        <w:rPr>
          <w:bCs/>
          <w:lang w:val="en-US"/>
        </w:rPr>
        <w:t>Geoghagen</w:t>
      </w:r>
      <w:proofErr w:type="spellEnd"/>
      <w:r w:rsidRPr="00D80556">
        <w:rPr>
          <w:bCs/>
          <w:lang w:val="en-US"/>
        </w:rPr>
        <w:t xml:space="preserve"> </w:t>
      </w:r>
      <w:r>
        <w:rPr>
          <w:bCs/>
          <w:i/>
          <w:iCs/>
          <w:lang w:val="en-US"/>
        </w:rPr>
        <w:t>et al.</w:t>
      </w:r>
      <w:r w:rsidRPr="00D80556">
        <w:rPr>
          <w:bCs/>
          <w:lang w:val="en-US"/>
        </w:rPr>
        <w:t xml:space="preserve"> 2020). Thus, aside from self-isolation being poorly policed, restricting travel</w:t>
      </w:r>
      <w:r>
        <w:rPr>
          <w:bCs/>
          <w:lang w:val="en-US"/>
        </w:rPr>
        <w:t xml:space="preserve">ers from certain </w:t>
      </w:r>
      <w:r>
        <w:rPr>
          <w:bCs/>
          <w:lang w:val="en-US"/>
        </w:rPr>
        <w:lastRenderedPageBreak/>
        <w:t>countries (for example,</w:t>
      </w:r>
      <w:r w:rsidRPr="00D80556">
        <w:rPr>
          <w:bCs/>
          <w:lang w:val="en-US"/>
        </w:rPr>
        <w:t xml:space="preserve"> China, Iran) is ineffective at keeping the virus out, unless all countries in the world simultaneously impose the same restrictions. Without such coordination, the virus can spread to third countries, from whence it can enter New Zealand. It is like bolting one door on a stable with many exterior doors, with horses free to roam around inside so that a smart horse (</w:t>
      </w:r>
      <w:r w:rsidRPr="00D80556">
        <w:rPr>
          <w:bCs/>
          <w:i/>
          <w:iCs/>
          <w:lang w:val="en-US"/>
        </w:rPr>
        <w:t xml:space="preserve">aka </w:t>
      </w:r>
      <w:r w:rsidRPr="00D80556">
        <w:rPr>
          <w:bCs/>
          <w:lang w:val="en-US"/>
        </w:rPr>
        <w:t>‘a tricky virus’) can escape through any of the other doors.</w:t>
      </w:r>
    </w:p>
    <w:p w:rsidR="00F43B9E" w:rsidRPr="00D80556" w:rsidRDefault="00F43B9E" w:rsidP="00D80556">
      <w:pPr>
        <w:widowControl w:val="0"/>
        <w:spacing w:after="0" w:line="288" w:lineRule="auto"/>
        <w:jc w:val="both"/>
        <w:rPr>
          <w:bCs/>
          <w:lang w:val="en-US"/>
        </w:rPr>
      </w:pPr>
    </w:p>
    <w:p w:rsidR="00674F26" w:rsidRPr="00B82C16" w:rsidRDefault="00674F26" w:rsidP="00B82C16">
      <w:pPr>
        <w:keepNext/>
        <w:widowControl w:val="0"/>
        <w:spacing w:after="0" w:line="288" w:lineRule="auto"/>
        <w:jc w:val="center"/>
        <w:rPr>
          <w:b/>
          <w:sz w:val="22"/>
          <w:szCs w:val="22"/>
          <w:lang w:val="en-US"/>
        </w:rPr>
      </w:pPr>
      <w:r w:rsidRPr="00B82C16">
        <w:rPr>
          <w:b/>
          <w:sz w:val="22"/>
          <w:szCs w:val="22"/>
          <w:lang w:val="en-US"/>
        </w:rPr>
        <w:t>Figure 1: New Zealand Government Response to Coronavirus Was Not Notably Early</w:t>
      </w:r>
    </w:p>
    <w:p w:rsidR="00674F26" w:rsidRPr="00D80556" w:rsidRDefault="00674F26" w:rsidP="00B82C16">
      <w:pPr>
        <w:widowControl w:val="0"/>
        <w:spacing w:after="0" w:line="288" w:lineRule="auto"/>
        <w:jc w:val="center"/>
        <w:rPr>
          <w:bCs/>
          <w:lang w:val="en-US"/>
        </w:rPr>
      </w:pPr>
      <w:r w:rsidRPr="00D80556">
        <w:rPr>
          <w:noProof/>
          <w:lang w:eastAsia="zh-CN"/>
        </w:rPr>
        <w:drawing>
          <wp:inline distT="0" distB="0" distL="0" distR="0" wp14:anchorId="570E23DA" wp14:editId="60BDBA64">
            <wp:extent cx="5387340" cy="3672840"/>
            <wp:effectExtent l="0" t="0" r="381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6666" w:rsidRDefault="00D06666" w:rsidP="00D80556">
      <w:pPr>
        <w:widowControl w:val="0"/>
        <w:spacing w:after="0" w:line="288" w:lineRule="auto"/>
        <w:ind w:firstLine="720"/>
        <w:jc w:val="both"/>
        <w:rPr>
          <w:bCs/>
          <w:lang w:val="en-US"/>
        </w:rPr>
      </w:pPr>
    </w:p>
    <w:p w:rsidR="00D06666" w:rsidRPr="00D80556" w:rsidRDefault="00D06666" w:rsidP="00D80556">
      <w:pPr>
        <w:widowControl w:val="0"/>
        <w:spacing w:after="0" w:line="288" w:lineRule="auto"/>
        <w:ind w:firstLine="720"/>
        <w:jc w:val="both"/>
        <w:rPr>
          <w:bCs/>
          <w:lang w:val="en-US"/>
        </w:rPr>
      </w:pPr>
    </w:p>
    <w:p w:rsidR="00923A3D" w:rsidRDefault="001A1AE4" w:rsidP="00D80556">
      <w:pPr>
        <w:widowControl w:val="0"/>
        <w:spacing w:after="0" w:line="288" w:lineRule="auto"/>
        <w:ind w:firstLine="720"/>
        <w:jc w:val="both"/>
        <w:rPr>
          <w:bCs/>
          <w:lang w:val="en-US"/>
        </w:rPr>
      </w:pPr>
      <w:r w:rsidRPr="00D80556">
        <w:rPr>
          <w:bCs/>
          <w:lang w:val="en-US"/>
        </w:rPr>
        <w:t xml:space="preserve">The evidence in Figure 1 is open to </w:t>
      </w:r>
      <w:r w:rsidR="00256734">
        <w:rPr>
          <w:bCs/>
          <w:lang w:val="en-US"/>
        </w:rPr>
        <w:t xml:space="preserve">at least </w:t>
      </w:r>
      <w:r w:rsidRPr="00D80556">
        <w:rPr>
          <w:bCs/>
          <w:lang w:val="en-US"/>
        </w:rPr>
        <w:t>two criticism</w:t>
      </w:r>
      <w:r w:rsidR="00D00136" w:rsidRPr="00D80556">
        <w:rPr>
          <w:bCs/>
          <w:lang w:val="en-US"/>
        </w:rPr>
        <w:t>s</w:t>
      </w:r>
      <w:r w:rsidR="00E65FAE" w:rsidRPr="00D80556">
        <w:rPr>
          <w:bCs/>
          <w:lang w:val="en-US"/>
        </w:rPr>
        <w:t xml:space="preserve">. </w:t>
      </w:r>
      <w:r w:rsidR="00256734">
        <w:rPr>
          <w:bCs/>
          <w:lang w:val="en-US"/>
        </w:rPr>
        <w:t>First, d</w:t>
      </w:r>
      <w:r w:rsidRPr="00D80556">
        <w:rPr>
          <w:bCs/>
          <w:lang w:val="en-US"/>
        </w:rPr>
        <w:t xml:space="preserve">ifferent comparator countries </w:t>
      </w:r>
      <w:r w:rsidR="00D00136" w:rsidRPr="00D80556">
        <w:rPr>
          <w:bCs/>
          <w:lang w:val="en-US"/>
        </w:rPr>
        <w:t xml:space="preserve">may </w:t>
      </w:r>
      <w:r w:rsidR="00E65FAE" w:rsidRPr="00D80556">
        <w:rPr>
          <w:bCs/>
          <w:lang w:val="en-US"/>
        </w:rPr>
        <w:t xml:space="preserve">allow </w:t>
      </w:r>
      <w:r w:rsidRPr="00D80556">
        <w:rPr>
          <w:bCs/>
          <w:lang w:val="en-US"/>
        </w:rPr>
        <w:t>alternative interpretations. Second</w:t>
      </w:r>
      <w:r w:rsidR="00256734">
        <w:rPr>
          <w:bCs/>
          <w:lang w:val="en-US"/>
        </w:rPr>
        <w:t>ly</w:t>
      </w:r>
      <w:r w:rsidRPr="00D80556">
        <w:rPr>
          <w:bCs/>
          <w:lang w:val="en-US"/>
        </w:rPr>
        <w:t xml:space="preserve">, </w:t>
      </w:r>
      <w:r w:rsidR="00E65FAE" w:rsidRPr="00D80556">
        <w:rPr>
          <w:bCs/>
          <w:lang w:val="en-US"/>
        </w:rPr>
        <w:t xml:space="preserve">comparing with </w:t>
      </w:r>
      <w:r w:rsidR="007E1017" w:rsidRPr="00D80556">
        <w:rPr>
          <w:bCs/>
          <w:lang w:val="en-US"/>
        </w:rPr>
        <w:t>response</w:t>
      </w:r>
      <w:r w:rsidR="00E65FAE" w:rsidRPr="00D80556">
        <w:rPr>
          <w:bCs/>
          <w:lang w:val="en-US"/>
        </w:rPr>
        <w:t>s</w:t>
      </w:r>
      <w:r w:rsidR="007E1017" w:rsidRPr="00D80556">
        <w:rPr>
          <w:bCs/>
          <w:lang w:val="en-US"/>
        </w:rPr>
        <w:t xml:space="preserve"> of other countries may not be the right metric.</w:t>
      </w:r>
      <w:r w:rsidR="00E65FAE" w:rsidRPr="00D80556">
        <w:rPr>
          <w:bCs/>
          <w:lang w:val="en-US"/>
        </w:rPr>
        <w:t xml:space="preserve"> </w:t>
      </w:r>
      <w:proofErr w:type="spellStart"/>
      <w:r w:rsidR="00E65FAE" w:rsidRPr="00D80556">
        <w:rPr>
          <w:bCs/>
          <w:lang w:val="en-US"/>
        </w:rPr>
        <w:t>Sebhatu</w:t>
      </w:r>
      <w:proofErr w:type="spellEnd"/>
      <w:r w:rsidR="00E65FAE" w:rsidRPr="00D80556">
        <w:rPr>
          <w:bCs/>
          <w:lang w:val="en-US"/>
        </w:rPr>
        <w:t xml:space="preserve"> </w:t>
      </w:r>
      <w:r w:rsidR="00E65FAE" w:rsidRPr="00D06666">
        <w:rPr>
          <w:bCs/>
          <w:i/>
          <w:iCs/>
          <w:lang w:val="en-US"/>
        </w:rPr>
        <w:t>et al</w:t>
      </w:r>
      <w:r w:rsidR="00E65FAE" w:rsidRPr="00D80556">
        <w:rPr>
          <w:bCs/>
          <w:lang w:val="en-US"/>
        </w:rPr>
        <w:t xml:space="preserve"> (2020) find </w:t>
      </w:r>
      <w:r w:rsidR="007E1017" w:rsidRPr="00D80556">
        <w:rPr>
          <w:bCs/>
          <w:lang w:val="en-US"/>
        </w:rPr>
        <w:t xml:space="preserve">a </w:t>
      </w:r>
      <w:r w:rsidR="00D00136" w:rsidRPr="00D80556">
        <w:rPr>
          <w:bCs/>
          <w:lang w:val="en-US"/>
        </w:rPr>
        <w:t xml:space="preserve">lot </w:t>
      </w:r>
      <w:r w:rsidR="00D06666">
        <w:rPr>
          <w:bCs/>
          <w:lang w:val="en-US"/>
        </w:rPr>
        <w:t>of mimicry; almost 80 percent</w:t>
      </w:r>
      <w:r w:rsidR="007E1017" w:rsidRPr="00D80556">
        <w:rPr>
          <w:bCs/>
          <w:lang w:val="en-US"/>
        </w:rPr>
        <w:t xml:space="preserve"> of OECD countries adopted the </w:t>
      </w:r>
      <w:r w:rsidR="009013F2" w:rsidRPr="00D80556">
        <w:rPr>
          <w:bCs/>
          <w:lang w:val="en-US"/>
        </w:rPr>
        <w:t>same</w:t>
      </w:r>
      <w:r w:rsidR="007E1017" w:rsidRPr="00D80556">
        <w:rPr>
          <w:bCs/>
          <w:lang w:val="en-US"/>
        </w:rPr>
        <w:t xml:space="preserve"> Covid-19 responses</w:t>
      </w:r>
      <w:r w:rsidR="00E65FAE" w:rsidRPr="00D80556">
        <w:rPr>
          <w:bCs/>
          <w:lang w:val="en-US"/>
        </w:rPr>
        <w:t xml:space="preserve"> in a two-week period in mid-March</w:t>
      </w:r>
      <w:r w:rsidR="007E1017" w:rsidRPr="00D80556">
        <w:rPr>
          <w:bCs/>
          <w:lang w:val="en-US"/>
        </w:rPr>
        <w:t>: closing schools</w:t>
      </w:r>
      <w:r w:rsidR="00D00136" w:rsidRPr="00D80556">
        <w:rPr>
          <w:bCs/>
          <w:lang w:val="en-US"/>
        </w:rPr>
        <w:t>,</w:t>
      </w:r>
      <w:r w:rsidR="007E1017" w:rsidRPr="00D80556">
        <w:rPr>
          <w:bCs/>
          <w:lang w:val="en-US"/>
        </w:rPr>
        <w:t xml:space="preserve"> </w:t>
      </w:r>
      <w:r w:rsidR="00D00136" w:rsidRPr="00D80556">
        <w:rPr>
          <w:bCs/>
          <w:lang w:val="en-US"/>
        </w:rPr>
        <w:t xml:space="preserve">closing </w:t>
      </w:r>
      <w:r w:rsidR="007E1017" w:rsidRPr="00D80556">
        <w:rPr>
          <w:bCs/>
          <w:lang w:val="en-US"/>
        </w:rPr>
        <w:t>workplaces, cancelling public events and rest</w:t>
      </w:r>
      <w:r w:rsidR="00D00136" w:rsidRPr="00D80556">
        <w:rPr>
          <w:bCs/>
          <w:lang w:val="en-US"/>
        </w:rPr>
        <w:t>ricting internal mobility. The</w:t>
      </w:r>
      <w:r w:rsidR="00E65FAE" w:rsidRPr="00D80556">
        <w:rPr>
          <w:bCs/>
          <w:lang w:val="en-US"/>
        </w:rPr>
        <w:t>se</w:t>
      </w:r>
      <w:r w:rsidR="007E1017" w:rsidRPr="00D80556">
        <w:rPr>
          <w:bCs/>
          <w:lang w:val="en-US"/>
        </w:rPr>
        <w:t xml:space="preserve"> homogene</w:t>
      </w:r>
      <w:r w:rsidR="00D00136" w:rsidRPr="00D80556">
        <w:rPr>
          <w:bCs/>
          <w:lang w:val="en-US"/>
        </w:rPr>
        <w:t xml:space="preserve">ous responses contrast with </w:t>
      </w:r>
      <w:r w:rsidR="007E1017" w:rsidRPr="00D80556">
        <w:rPr>
          <w:bCs/>
          <w:lang w:val="en-US"/>
        </w:rPr>
        <w:t xml:space="preserve">heterogeneity </w:t>
      </w:r>
      <w:r w:rsidR="00D00136" w:rsidRPr="00D80556">
        <w:rPr>
          <w:bCs/>
          <w:lang w:val="en-US"/>
        </w:rPr>
        <w:t xml:space="preserve">across </w:t>
      </w:r>
      <w:r w:rsidR="007E1017" w:rsidRPr="00D80556">
        <w:rPr>
          <w:bCs/>
          <w:lang w:val="en-US"/>
        </w:rPr>
        <w:t xml:space="preserve">countries in </w:t>
      </w:r>
      <w:r w:rsidR="00D00136" w:rsidRPr="00D80556">
        <w:rPr>
          <w:bCs/>
          <w:lang w:val="en-US"/>
        </w:rPr>
        <w:t xml:space="preserve">how widely </w:t>
      </w:r>
      <w:r w:rsidR="007E1017" w:rsidRPr="00D80556">
        <w:rPr>
          <w:bCs/>
          <w:lang w:val="en-US"/>
        </w:rPr>
        <w:t xml:space="preserve">Covid-19 had spread, </w:t>
      </w:r>
      <w:r w:rsidR="00D00136" w:rsidRPr="00D80556">
        <w:rPr>
          <w:bCs/>
          <w:lang w:val="en-US"/>
        </w:rPr>
        <w:t xml:space="preserve">in </w:t>
      </w:r>
      <w:r w:rsidR="007E1017" w:rsidRPr="00D80556">
        <w:rPr>
          <w:bCs/>
          <w:lang w:val="en-US"/>
        </w:rPr>
        <w:t xml:space="preserve">population density and age structure, and </w:t>
      </w:r>
      <w:r w:rsidR="00D00136" w:rsidRPr="00D80556">
        <w:rPr>
          <w:bCs/>
          <w:lang w:val="en-US"/>
        </w:rPr>
        <w:t xml:space="preserve">in </w:t>
      </w:r>
      <w:r w:rsidR="009013F2" w:rsidRPr="00D80556">
        <w:rPr>
          <w:bCs/>
          <w:lang w:val="en-US"/>
        </w:rPr>
        <w:t>healthcare system</w:t>
      </w:r>
      <w:r w:rsidR="00D00136" w:rsidRPr="00D80556">
        <w:rPr>
          <w:bCs/>
          <w:lang w:val="en-US"/>
        </w:rPr>
        <w:t xml:space="preserve"> preparedness</w:t>
      </w:r>
      <w:r w:rsidR="00C61197" w:rsidRPr="00D80556">
        <w:rPr>
          <w:bCs/>
          <w:lang w:val="en-US"/>
        </w:rPr>
        <w:t>. O</w:t>
      </w:r>
      <w:r w:rsidR="00E65FAE" w:rsidRPr="00D80556">
        <w:rPr>
          <w:bCs/>
          <w:lang w:val="en-US"/>
        </w:rPr>
        <w:t>n</w:t>
      </w:r>
      <w:r w:rsidR="00C61197" w:rsidRPr="00D80556">
        <w:rPr>
          <w:bCs/>
          <w:lang w:val="en-US"/>
        </w:rPr>
        <w:t>e</w:t>
      </w:r>
      <w:r w:rsidR="007E1017" w:rsidRPr="00D80556">
        <w:rPr>
          <w:bCs/>
          <w:lang w:val="en-US"/>
        </w:rPr>
        <w:t xml:space="preserve"> interpretation </w:t>
      </w:r>
      <w:r w:rsidR="00C61197" w:rsidRPr="00D80556">
        <w:rPr>
          <w:bCs/>
          <w:lang w:val="en-US"/>
        </w:rPr>
        <w:t xml:space="preserve">of this contrast </w:t>
      </w:r>
      <w:r w:rsidR="007E1017" w:rsidRPr="00D80556">
        <w:rPr>
          <w:bCs/>
          <w:lang w:val="en-US"/>
        </w:rPr>
        <w:t xml:space="preserve">is that some governments panicked </w:t>
      </w:r>
      <w:r w:rsidR="00D00136" w:rsidRPr="00D80556">
        <w:rPr>
          <w:bCs/>
          <w:lang w:val="en-US"/>
        </w:rPr>
        <w:t>and followed</w:t>
      </w:r>
      <w:r w:rsidR="007E1017" w:rsidRPr="00D80556">
        <w:rPr>
          <w:bCs/>
          <w:lang w:val="en-US"/>
        </w:rPr>
        <w:t xml:space="preserve"> the lead of others, rather than </w:t>
      </w:r>
      <w:r w:rsidR="00E65FAE" w:rsidRPr="00D80556">
        <w:rPr>
          <w:bCs/>
          <w:lang w:val="en-US"/>
        </w:rPr>
        <w:t xml:space="preserve">setting </w:t>
      </w:r>
      <w:r w:rsidR="007E1017" w:rsidRPr="00D80556">
        <w:rPr>
          <w:bCs/>
          <w:lang w:val="en-US"/>
        </w:rPr>
        <w:t xml:space="preserve">fit-for-purpose Covid-19 responses </w:t>
      </w:r>
      <w:r w:rsidR="00DB0D33" w:rsidRPr="00D80556">
        <w:rPr>
          <w:bCs/>
          <w:lang w:val="en-US"/>
        </w:rPr>
        <w:t>that</w:t>
      </w:r>
      <w:r w:rsidR="00E65FAE" w:rsidRPr="00D80556">
        <w:rPr>
          <w:bCs/>
          <w:lang w:val="en-US"/>
        </w:rPr>
        <w:t xml:space="preserve"> </w:t>
      </w:r>
      <w:r w:rsidR="007E1017" w:rsidRPr="00D80556">
        <w:rPr>
          <w:bCs/>
          <w:lang w:val="en-US"/>
        </w:rPr>
        <w:t>reflect</w:t>
      </w:r>
      <w:r w:rsidR="00C61197" w:rsidRPr="00D80556">
        <w:rPr>
          <w:bCs/>
          <w:lang w:val="en-US"/>
        </w:rPr>
        <w:t>ed their</w:t>
      </w:r>
      <w:r w:rsidR="007E1017" w:rsidRPr="00D80556">
        <w:rPr>
          <w:bCs/>
          <w:lang w:val="en-US"/>
        </w:rPr>
        <w:t xml:space="preserve"> </w:t>
      </w:r>
      <w:r w:rsidR="009013F2" w:rsidRPr="00D80556">
        <w:rPr>
          <w:bCs/>
          <w:lang w:val="en-US"/>
        </w:rPr>
        <w:t xml:space="preserve">local </w:t>
      </w:r>
      <w:r w:rsidR="007E1017" w:rsidRPr="00D80556">
        <w:rPr>
          <w:bCs/>
          <w:lang w:val="en-US"/>
        </w:rPr>
        <w:t>circumstances.</w:t>
      </w:r>
      <w:r w:rsidR="00E65FAE" w:rsidRPr="00D80556">
        <w:rPr>
          <w:bCs/>
          <w:lang w:val="en-US"/>
        </w:rPr>
        <w:t xml:space="preserve"> So</w:t>
      </w:r>
      <w:r w:rsidR="00D00136" w:rsidRPr="00D80556">
        <w:rPr>
          <w:bCs/>
          <w:lang w:val="en-US"/>
        </w:rPr>
        <w:t xml:space="preserve"> another approach to study policy timing is to compare policy responses with the spread of the virus in each country.</w:t>
      </w:r>
    </w:p>
    <w:p w:rsidR="00F43B9E" w:rsidRDefault="00F43B9E" w:rsidP="00D80556">
      <w:pPr>
        <w:widowControl w:val="0"/>
        <w:spacing w:after="0" w:line="288" w:lineRule="auto"/>
        <w:ind w:firstLine="720"/>
        <w:jc w:val="both"/>
        <w:rPr>
          <w:bCs/>
          <w:lang w:val="en-US"/>
        </w:rPr>
      </w:pPr>
    </w:p>
    <w:p w:rsidR="002A6915" w:rsidRDefault="00FF63BA" w:rsidP="00A45B1A">
      <w:pPr>
        <w:keepNext/>
        <w:tabs>
          <w:tab w:val="left" w:pos="426"/>
        </w:tabs>
        <w:spacing w:after="0" w:line="288" w:lineRule="auto"/>
        <w:jc w:val="both"/>
        <w:rPr>
          <w:b/>
          <w:lang w:val="en-US"/>
        </w:rPr>
      </w:pPr>
      <w:r>
        <w:rPr>
          <w:b/>
          <w:lang w:val="en-US"/>
        </w:rPr>
        <w:t>3</w:t>
      </w:r>
      <w:r w:rsidR="00C933A5" w:rsidRPr="00D80556">
        <w:rPr>
          <w:b/>
          <w:lang w:val="en-US"/>
        </w:rPr>
        <w:t>.</w:t>
      </w:r>
      <w:r w:rsidR="0090187B" w:rsidRPr="00D80556">
        <w:rPr>
          <w:b/>
          <w:lang w:val="en-US"/>
        </w:rPr>
        <w:tab/>
      </w:r>
      <w:r w:rsidR="00A45B1A">
        <w:rPr>
          <w:b/>
          <w:lang w:val="en-US"/>
        </w:rPr>
        <w:t xml:space="preserve"> </w:t>
      </w:r>
      <w:r w:rsidR="002A6915" w:rsidRPr="00D80556">
        <w:rPr>
          <w:b/>
          <w:lang w:val="en-US"/>
        </w:rPr>
        <w:t xml:space="preserve">Infections, </w:t>
      </w:r>
      <w:r w:rsidR="00D00136" w:rsidRPr="00D80556">
        <w:rPr>
          <w:b/>
          <w:lang w:val="en-US"/>
        </w:rPr>
        <w:t xml:space="preserve">Deaths, and </w:t>
      </w:r>
      <w:r w:rsidR="002A6915" w:rsidRPr="00D80556">
        <w:rPr>
          <w:b/>
          <w:lang w:val="en-US"/>
        </w:rPr>
        <w:t>Policy Stringency for OECD Countries</w:t>
      </w:r>
    </w:p>
    <w:p w:rsidR="00D06666" w:rsidRPr="00D06666" w:rsidRDefault="00D06666" w:rsidP="00D80556">
      <w:pPr>
        <w:keepNext/>
        <w:spacing w:after="0" w:line="288" w:lineRule="auto"/>
        <w:jc w:val="both"/>
        <w:rPr>
          <w:b/>
          <w:sz w:val="12"/>
          <w:szCs w:val="12"/>
          <w:lang w:val="en-US"/>
        </w:rPr>
      </w:pPr>
    </w:p>
    <w:p w:rsidR="000D5669" w:rsidRDefault="002A6915" w:rsidP="00D80556">
      <w:pPr>
        <w:widowControl w:val="0"/>
        <w:spacing w:after="0" w:line="288" w:lineRule="auto"/>
        <w:jc w:val="both"/>
        <w:rPr>
          <w:bCs/>
          <w:lang w:val="en-US"/>
        </w:rPr>
      </w:pPr>
      <w:r w:rsidRPr="00D80556">
        <w:rPr>
          <w:bCs/>
          <w:lang w:val="en-US"/>
        </w:rPr>
        <w:t>It is hard to directly study spread of SARS-CoV-2 given systematic pop</w:t>
      </w:r>
      <w:r w:rsidR="000D5669" w:rsidRPr="00D80556">
        <w:rPr>
          <w:bCs/>
          <w:lang w:val="en-US"/>
        </w:rPr>
        <w:t>ulation-based testing was not</w:t>
      </w:r>
      <w:r w:rsidRPr="00D80556">
        <w:rPr>
          <w:bCs/>
          <w:lang w:val="en-US"/>
        </w:rPr>
        <w:t xml:space="preserve"> implemented, </w:t>
      </w:r>
      <w:r w:rsidR="000D5669" w:rsidRPr="00D80556">
        <w:rPr>
          <w:bCs/>
          <w:lang w:val="en-US"/>
        </w:rPr>
        <w:t>with</w:t>
      </w:r>
      <w:r w:rsidRPr="00D80556">
        <w:rPr>
          <w:bCs/>
          <w:lang w:val="en-US"/>
        </w:rPr>
        <w:t xml:space="preserve"> reported </w:t>
      </w:r>
      <w:r w:rsidR="004A2F9C" w:rsidRPr="00D80556">
        <w:rPr>
          <w:bCs/>
          <w:lang w:val="en-US"/>
        </w:rPr>
        <w:t xml:space="preserve">cases </w:t>
      </w:r>
      <w:r w:rsidRPr="00D80556">
        <w:rPr>
          <w:bCs/>
          <w:lang w:val="en-US"/>
        </w:rPr>
        <w:t>partly reflect</w:t>
      </w:r>
      <w:r w:rsidR="000D5669" w:rsidRPr="00D80556">
        <w:rPr>
          <w:bCs/>
          <w:lang w:val="en-US"/>
        </w:rPr>
        <w:t>ing</w:t>
      </w:r>
      <w:r w:rsidRPr="00D80556">
        <w:rPr>
          <w:bCs/>
          <w:lang w:val="en-US"/>
        </w:rPr>
        <w:t xml:space="preserve"> variation </w:t>
      </w:r>
      <w:r w:rsidR="000D5669" w:rsidRPr="00D80556">
        <w:rPr>
          <w:bCs/>
          <w:lang w:val="en-US"/>
        </w:rPr>
        <w:t>in testing effort</w:t>
      </w:r>
      <w:r w:rsidRPr="00D80556">
        <w:rPr>
          <w:bCs/>
          <w:lang w:val="en-US"/>
        </w:rPr>
        <w:t>.</w:t>
      </w:r>
      <w:r w:rsidR="004A2F9C" w:rsidRPr="00D80556">
        <w:rPr>
          <w:bCs/>
          <w:lang w:val="en-US"/>
        </w:rPr>
        <w:t xml:space="preserve"> While </w:t>
      </w:r>
      <w:r w:rsidR="004A2F9C" w:rsidRPr="00D80556">
        <w:rPr>
          <w:bCs/>
          <w:lang w:val="en-US"/>
        </w:rPr>
        <w:lastRenderedPageBreak/>
        <w:t>data on Covid-19 deaths are also subject to variation in reporting standards, they are more informative than cross-country data on cases</w:t>
      </w:r>
      <w:r w:rsidR="000D5669" w:rsidRPr="00D80556">
        <w:rPr>
          <w:bCs/>
          <w:lang w:val="en-US"/>
        </w:rPr>
        <w:t xml:space="preserve"> and can be used to infer the </w:t>
      </w:r>
      <w:r w:rsidR="00A45B1A">
        <w:rPr>
          <w:bCs/>
          <w:lang w:val="en-US"/>
        </w:rPr>
        <w:t>timing of infections (Homburg</w:t>
      </w:r>
      <w:r w:rsidR="004A2F9C" w:rsidRPr="00D80556">
        <w:rPr>
          <w:bCs/>
          <w:lang w:val="en-US"/>
        </w:rPr>
        <w:t xml:space="preserve"> 2020).</w:t>
      </w:r>
      <w:r w:rsidR="00D00136" w:rsidRPr="00D80556">
        <w:rPr>
          <w:rStyle w:val="FootnoteReference"/>
          <w:bCs/>
          <w:lang w:val="en-US"/>
        </w:rPr>
        <w:footnoteReference w:id="2"/>
      </w:r>
      <w:r w:rsidR="004A2F9C" w:rsidRPr="00D80556">
        <w:rPr>
          <w:bCs/>
          <w:lang w:val="en-US"/>
        </w:rPr>
        <w:t xml:space="preserve"> </w:t>
      </w:r>
      <w:r w:rsidR="000D5669" w:rsidRPr="00D80556">
        <w:rPr>
          <w:bCs/>
          <w:lang w:val="en-US"/>
        </w:rPr>
        <w:t>Figure 2 shows how t</w:t>
      </w:r>
      <w:r w:rsidR="004A2F9C" w:rsidRPr="00D80556">
        <w:rPr>
          <w:bCs/>
          <w:lang w:val="en-US"/>
        </w:rPr>
        <w:t xml:space="preserve">he </w:t>
      </w:r>
      <w:r w:rsidR="000D5669" w:rsidRPr="00D80556">
        <w:rPr>
          <w:bCs/>
          <w:lang w:val="en-US"/>
        </w:rPr>
        <w:t xml:space="preserve">peak of the </w:t>
      </w:r>
      <w:r w:rsidR="004A2F9C" w:rsidRPr="00D80556">
        <w:rPr>
          <w:bCs/>
          <w:lang w:val="en-US"/>
        </w:rPr>
        <w:t>unobserved distribution of new infections can be inferred from the observed distribution of new deaths (or cumulative deaths)</w:t>
      </w:r>
      <w:r w:rsidR="009013F2" w:rsidRPr="00D80556">
        <w:rPr>
          <w:bCs/>
          <w:lang w:val="en-US"/>
        </w:rPr>
        <w:t xml:space="preserve">. Note that with almost 400 infections per death, according to </w:t>
      </w:r>
      <w:proofErr w:type="spellStart"/>
      <w:r w:rsidR="009013F2" w:rsidRPr="00D80556">
        <w:t>seroprevalence</w:t>
      </w:r>
      <w:proofErr w:type="spellEnd"/>
      <w:r w:rsidR="009013F2" w:rsidRPr="00D80556">
        <w:t xml:space="preserve"> studies from population samples (</w:t>
      </w:r>
      <w:r w:rsidR="009013F2" w:rsidRPr="00D80556">
        <w:rPr>
          <w:rFonts w:asciiTheme="majorBidi" w:eastAsia="Times New Roman" w:hAnsiTheme="majorBidi" w:cstheme="majorBidi"/>
          <w:lang w:bidi="he-IL"/>
        </w:rPr>
        <w:t>Ioannidis 2020), the deaths data in Figure 2 are multiplied by 100 to make the two distributions visible on the same scale.</w:t>
      </w:r>
      <w:r w:rsidR="004A2F9C" w:rsidRPr="00D80556">
        <w:rPr>
          <w:bCs/>
          <w:lang w:val="en-US"/>
        </w:rPr>
        <w:t xml:space="preserve"> </w:t>
      </w:r>
      <w:r w:rsidR="009013F2" w:rsidRPr="00D80556">
        <w:rPr>
          <w:bCs/>
          <w:lang w:val="en-US"/>
        </w:rPr>
        <w:t>The typical lag of about four weeks between infection and death is used to identify the distribution of unobserved infections</w:t>
      </w:r>
      <w:r w:rsidR="004A2F9C" w:rsidRPr="00D80556">
        <w:rPr>
          <w:bCs/>
          <w:lang w:val="en-US"/>
        </w:rPr>
        <w:t>.</w:t>
      </w:r>
      <w:r w:rsidR="004A2F9C" w:rsidRPr="00D80556">
        <w:rPr>
          <w:rStyle w:val="FootnoteReference"/>
          <w:bCs/>
          <w:lang w:val="en-US"/>
        </w:rPr>
        <w:footnoteReference w:id="3"/>
      </w:r>
      <w:r w:rsidR="000D5669" w:rsidRPr="00D80556">
        <w:rPr>
          <w:bCs/>
          <w:lang w:val="en-US"/>
        </w:rPr>
        <w:t xml:space="preserve"> </w:t>
      </w:r>
    </w:p>
    <w:p w:rsidR="00F43B9E" w:rsidRPr="00D80556" w:rsidRDefault="00F43B9E" w:rsidP="00D80556">
      <w:pPr>
        <w:widowControl w:val="0"/>
        <w:spacing w:after="0" w:line="288" w:lineRule="auto"/>
        <w:jc w:val="both"/>
        <w:rPr>
          <w:rFonts w:asciiTheme="majorBidi" w:eastAsia="Times New Roman" w:hAnsiTheme="majorBidi" w:cstheme="majorBidi"/>
          <w:lang w:bidi="he-IL"/>
        </w:rPr>
      </w:pPr>
    </w:p>
    <w:p w:rsidR="009C25C6" w:rsidRPr="00D80556" w:rsidRDefault="009C25C6" w:rsidP="00D06666">
      <w:pPr>
        <w:widowControl w:val="0"/>
        <w:spacing w:after="0" w:line="288" w:lineRule="auto"/>
        <w:jc w:val="center"/>
        <w:rPr>
          <w:rFonts w:asciiTheme="majorBidi" w:eastAsia="Times New Roman" w:hAnsiTheme="majorBidi" w:cstheme="majorBidi"/>
          <w:lang w:bidi="he-IL"/>
        </w:rPr>
      </w:pPr>
      <w:r w:rsidRPr="00D80556">
        <w:rPr>
          <w:noProof/>
          <w:lang w:eastAsia="zh-CN"/>
        </w:rPr>
        <w:drawing>
          <wp:inline distT="0" distB="0" distL="0" distR="0" wp14:anchorId="334741E6" wp14:editId="4F2D946B">
            <wp:extent cx="5303520" cy="37414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6666" w:rsidRDefault="00D06666" w:rsidP="00D80556">
      <w:pPr>
        <w:widowControl w:val="0"/>
        <w:spacing w:after="0" w:line="288" w:lineRule="auto"/>
        <w:ind w:firstLine="720"/>
        <w:jc w:val="both"/>
        <w:rPr>
          <w:bCs/>
          <w:lang w:val="en-US"/>
        </w:rPr>
      </w:pPr>
    </w:p>
    <w:p w:rsidR="0018120B" w:rsidRDefault="00973A2D" w:rsidP="00D80556">
      <w:pPr>
        <w:widowControl w:val="0"/>
        <w:spacing w:after="0" w:line="288" w:lineRule="auto"/>
        <w:ind w:firstLine="720"/>
        <w:jc w:val="both"/>
        <w:rPr>
          <w:bCs/>
          <w:lang w:val="en-US"/>
        </w:rPr>
      </w:pPr>
      <w:r w:rsidRPr="00D80556">
        <w:rPr>
          <w:bCs/>
          <w:lang w:val="en-US"/>
        </w:rPr>
        <w:t xml:space="preserve">The approach shown in Figure 2 was used by Homburg (2020) to date turning points in new infections for nine countries. </w:t>
      </w:r>
      <w:r w:rsidR="00A8428F" w:rsidRPr="00D80556">
        <w:rPr>
          <w:bCs/>
          <w:lang w:val="en-US"/>
        </w:rPr>
        <w:t xml:space="preserve">A logistic function: </w:t>
      </w:r>
      <m:oMath>
        <m:r>
          <w:rPr>
            <w:rFonts w:ascii="Cambria Math" w:hAnsi="Cambria Math"/>
            <w:lang w:val="en-US"/>
          </w:rPr>
          <m:t>f</m:t>
        </m:r>
        <m:d>
          <m:dPr>
            <m:ctrlPr>
              <w:rPr>
                <w:rFonts w:ascii="Cambria Math" w:hAnsi="Cambria Math"/>
                <w:bCs/>
                <w:i/>
                <w:lang w:val="en-US"/>
              </w:rPr>
            </m:ctrlPr>
          </m:dPr>
          <m:e>
            <m:r>
              <w:rPr>
                <w:rFonts w:ascii="Cambria Math" w:hAnsi="Cambria Math"/>
                <w:lang w:val="en-US"/>
              </w:rPr>
              <m:t>t</m:t>
            </m:r>
          </m:e>
        </m:d>
        <m:r>
          <w:rPr>
            <w:rFonts w:ascii="Cambria Math" w:hAnsi="Cambria Math"/>
            <w:lang w:val="en-US"/>
          </w:rPr>
          <m:t>=</m:t>
        </m:r>
        <m:f>
          <m:fPr>
            <m:type m:val="lin"/>
            <m:ctrlPr>
              <w:rPr>
                <w:rFonts w:ascii="Cambria Math" w:hAnsi="Cambria Math"/>
                <w:bCs/>
                <w:i/>
                <w:lang w:val="en-US"/>
              </w:rPr>
            </m:ctrlPr>
          </m:fPr>
          <m:num>
            <m:r>
              <w:rPr>
                <w:rFonts w:ascii="Cambria Math" w:hAnsi="Cambria Math"/>
                <w:lang w:val="en-US"/>
              </w:rPr>
              <m:t>S</m:t>
            </m:r>
          </m:num>
          <m:den>
            <m:d>
              <m:dPr>
                <m:ctrlPr>
                  <w:rPr>
                    <w:rFonts w:ascii="Cambria Math" w:hAnsi="Cambria Math"/>
                    <w:bCs/>
                    <w:i/>
                    <w:lang w:val="en-US"/>
                  </w:rPr>
                </m:ctrlPr>
              </m:dPr>
              <m:e>
                <m:r>
                  <w:rPr>
                    <w:rFonts w:ascii="Cambria Math" w:hAnsi="Cambria Math"/>
                    <w:lang w:val="en-US"/>
                  </w:rPr>
                  <m:t>1+</m:t>
                </m:r>
                <m:sSup>
                  <m:sSupPr>
                    <m:ctrlPr>
                      <w:rPr>
                        <w:rFonts w:ascii="Cambria Math" w:hAnsi="Cambria Math"/>
                        <w:bCs/>
                        <w:i/>
                        <w:lang w:val="en-US"/>
                      </w:rPr>
                    </m:ctrlPr>
                  </m:sSupPr>
                  <m:e>
                    <m:r>
                      <w:rPr>
                        <w:rFonts w:ascii="Cambria Math" w:hAnsi="Cambria Math"/>
                        <w:lang w:val="en-US"/>
                      </w:rPr>
                      <m:t>ae</m:t>
                    </m:r>
                  </m:e>
                  <m:sup>
                    <m:r>
                      <w:rPr>
                        <w:rFonts w:ascii="Cambria Math" w:hAnsi="Cambria Math"/>
                        <w:lang w:val="en-US"/>
                      </w:rPr>
                      <m:t>-bt</m:t>
                    </m:r>
                  </m:sup>
                </m:sSup>
              </m:e>
            </m:d>
          </m:den>
        </m:f>
      </m:oMath>
      <w:r w:rsidR="00A8428F" w:rsidRPr="00D80556">
        <w:rPr>
          <w:rFonts w:eastAsiaTheme="minorEastAsia"/>
          <w:bCs/>
          <w:lang w:val="en-US"/>
        </w:rPr>
        <w:t xml:space="preserve"> was applied to the time series of cumulative daily deaths, where </w:t>
      </w:r>
      <w:r w:rsidR="00A8428F" w:rsidRPr="00D80556">
        <w:rPr>
          <w:rFonts w:eastAsiaTheme="minorEastAsia"/>
          <w:bCs/>
          <w:i/>
          <w:iCs/>
          <w:lang w:val="en-US"/>
        </w:rPr>
        <w:t xml:space="preserve">S </w:t>
      </w:r>
      <w:r w:rsidR="00A8428F" w:rsidRPr="00D80556">
        <w:rPr>
          <w:rFonts w:eastAsiaTheme="minorEastAsia"/>
          <w:bCs/>
          <w:lang w:val="en-US"/>
        </w:rPr>
        <w:t xml:space="preserve">is the asymptote, </w:t>
      </w:r>
      <w:r w:rsidR="00A8428F" w:rsidRPr="00D80556">
        <w:rPr>
          <w:rFonts w:eastAsiaTheme="minorEastAsia"/>
          <w:bCs/>
          <w:i/>
          <w:iCs/>
          <w:lang w:val="en-US"/>
        </w:rPr>
        <w:t xml:space="preserve">a </w:t>
      </w:r>
      <w:r w:rsidR="00A8428F" w:rsidRPr="00D80556">
        <w:rPr>
          <w:rFonts w:eastAsiaTheme="minorEastAsia"/>
          <w:bCs/>
          <w:lang w:val="en-US"/>
        </w:rPr>
        <w:t xml:space="preserve">the displacement (in time) and </w:t>
      </w:r>
      <w:r w:rsidR="00A8428F" w:rsidRPr="00D80556">
        <w:rPr>
          <w:rFonts w:eastAsiaTheme="minorEastAsia"/>
          <w:bCs/>
          <w:i/>
          <w:iCs/>
          <w:lang w:val="en-US"/>
        </w:rPr>
        <w:t xml:space="preserve">b </w:t>
      </w:r>
      <w:r w:rsidR="00A8428F" w:rsidRPr="00D80556">
        <w:rPr>
          <w:rFonts w:eastAsiaTheme="minorEastAsia"/>
          <w:bCs/>
          <w:lang w:val="en-US"/>
        </w:rPr>
        <w:t xml:space="preserve">the growth rate, with the inflection point occurring when </w:t>
      </w:r>
      <m:oMath>
        <m:r>
          <w:rPr>
            <w:rFonts w:ascii="Cambria Math" w:eastAsiaTheme="minorEastAsia" w:hAnsi="Cambria Math"/>
            <w:lang w:val="en-US"/>
          </w:rPr>
          <m:t>t=-</m:t>
        </m:r>
        <m:f>
          <m:fPr>
            <m:type m:val="lin"/>
            <m:ctrlPr>
              <w:rPr>
                <w:rFonts w:ascii="Cambria Math" w:eastAsiaTheme="minorEastAsia" w:hAnsi="Cambria Math"/>
                <w:bCs/>
                <w:i/>
                <w:lang w:val="en-US"/>
              </w:rPr>
            </m:ctrlPr>
          </m:fPr>
          <m:num>
            <m:r>
              <w:rPr>
                <w:rFonts w:ascii="Cambria Math" w:eastAsiaTheme="minorEastAsia" w:hAnsi="Cambria Math"/>
                <w:lang w:val="en-US"/>
              </w:rPr>
              <m:t>ln</m:t>
            </m:r>
            <m:d>
              <m:dPr>
                <m:ctrlPr>
                  <w:rPr>
                    <w:rFonts w:ascii="Cambria Math" w:eastAsiaTheme="minorEastAsia" w:hAnsi="Cambria Math"/>
                    <w:bCs/>
                    <w:i/>
                    <w:lang w:val="en-US"/>
                  </w:rPr>
                </m:ctrlPr>
              </m:dPr>
              <m:e>
                <m:box>
                  <m:boxPr>
                    <m:ctrlPr>
                      <w:rPr>
                        <w:rFonts w:ascii="Cambria Math" w:eastAsiaTheme="minorEastAsia" w:hAnsi="Cambria Math"/>
                        <w:bCs/>
                        <w:i/>
                        <w:lang w:val="en-US"/>
                      </w:rPr>
                    </m:ctrlPr>
                  </m:boxPr>
                  <m:e>
                    <m:argPr>
                      <m:argSz m:val="-1"/>
                    </m:argPr>
                    <m:f>
                      <m:fPr>
                        <m:ctrlPr>
                          <w:rPr>
                            <w:rFonts w:ascii="Cambria Math" w:eastAsiaTheme="minorEastAsia" w:hAnsi="Cambria Math"/>
                            <w:bCs/>
                            <w:i/>
                            <w:lang w:val="en-US"/>
                          </w:rPr>
                        </m:ctrlPr>
                      </m:fPr>
                      <m:num>
                        <m:r>
                          <w:rPr>
                            <w:rFonts w:ascii="Cambria Math" w:eastAsiaTheme="minorEastAsia" w:hAnsi="Cambria Math"/>
                            <w:lang w:val="en-US"/>
                          </w:rPr>
                          <m:t>1</m:t>
                        </m:r>
                      </m:num>
                      <m:den>
                        <m:r>
                          <w:rPr>
                            <w:rFonts w:ascii="Cambria Math" w:eastAsiaTheme="minorEastAsia" w:hAnsi="Cambria Math"/>
                            <w:lang w:val="en-US"/>
                          </w:rPr>
                          <m:t>a</m:t>
                        </m:r>
                      </m:den>
                    </m:f>
                  </m:e>
                </m:box>
              </m:e>
            </m:d>
          </m:num>
          <m:den>
            <m:r>
              <w:rPr>
                <w:rFonts w:ascii="Cambria Math" w:eastAsiaTheme="minorEastAsia" w:hAnsi="Cambria Math"/>
                <w:lang w:val="en-US"/>
              </w:rPr>
              <m:t>b.</m:t>
            </m:r>
          </m:den>
        </m:f>
      </m:oMath>
      <w:r w:rsidR="00A8428F" w:rsidRPr="00D80556">
        <w:rPr>
          <w:rFonts w:eastAsiaTheme="minorEastAsia"/>
          <w:bCs/>
          <w:lang w:val="en-US"/>
        </w:rPr>
        <w:t xml:space="preserve"> </w:t>
      </w:r>
      <w:r w:rsidR="00A8428F" w:rsidRPr="00D80556">
        <w:rPr>
          <w:bCs/>
          <w:lang w:val="en-US"/>
        </w:rPr>
        <w:t>With the lag from infection to death, the</w:t>
      </w:r>
      <w:r w:rsidRPr="00D80556">
        <w:rPr>
          <w:bCs/>
          <w:lang w:val="en-US"/>
        </w:rPr>
        <w:t xml:space="preserve"> median turning point </w:t>
      </w:r>
      <w:r w:rsidR="00A8428F" w:rsidRPr="00D80556">
        <w:rPr>
          <w:bCs/>
          <w:lang w:val="en-US"/>
        </w:rPr>
        <w:t xml:space="preserve">in new infections </w:t>
      </w:r>
      <w:r w:rsidRPr="00D80556">
        <w:rPr>
          <w:bCs/>
          <w:lang w:val="en-US"/>
        </w:rPr>
        <w:t>was</w:t>
      </w:r>
      <w:r w:rsidR="00DB0D33" w:rsidRPr="00D80556">
        <w:rPr>
          <w:bCs/>
          <w:lang w:val="en-US"/>
        </w:rPr>
        <w:t xml:space="preserve"> estimated to be</w:t>
      </w:r>
      <w:r w:rsidRPr="00D80556">
        <w:rPr>
          <w:bCs/>
          <w:lang w:val="en-US"/>
        </w:rPr>
        <w:t xml:space="preserve"> March 14</w:t>
      </w:r>
      <w:r w:rsidR="009013F2" w:rsidRPr="00D80556">
        <w:rPr>
          <w:bCs/>
          <w:lang w:val="en-US"/>
        </w:rPr>
        <w:t>. A</w:t>
      </w:r>
      <w:r w:rsidR="00052767" w:rsidRPr="00D80556">
        <w:rPr>
          <w:bCs/>
          <w:lang w:val="en-US"/>
        </w:rPr>
        <w:t>ll</w:t>
      </w:r>
      <w:r w:rsidRPr="00D80556">
        <w:rPr>
          <w:bCs/>
          <w:lang w:val="en-US"/>
        </w:rPr>
        <w:t xml:space="preserve"> seven</w:t>
      </w:r>
      <w:r w:rsidR="009013F2" w:rsidRPr="00D80556">
        <w:rPr>
          <w:bCs/>
          <w:lang w:val="en-US"/>
        </w:rPr>
        <w:t xml:space="preserve"> countries with lockdowns in Homburg’s</w:t>
      </w:r>
      <w:r w:rsidRPr="00D80556">
        <w:rPr>
          <w:bCs/>
          <w:lang w:val="en-US"/>
        </w:rPr>
        <w:t xml:space="preserve"> sample had turning points before lockdown, </w:t>
      </w:r>
      <w:r w:rsidR="00052767" w:rsidRPr="00D80556">
        <w:rPr>
          <w:bCs/>
          <w:lang w:val="en-US"/>
        </w:rPr>
        <w:t>leading to his</w:t>
      </w:r>
      <w:r w:rsidRPr="00D80556">
        <w:rPr>
          <w:bCs/>
          <w:lang w:val="en-US"/>
        </w:rPr>
        <w:t xml:space="preserve"> conclusion that lockdowns were superfluous. </w:t>
      </w:r>
    </w:p>
    <w:p w:rsidR="0018120B" w:rsidRDefault="0018120B" w:rsidP="00D80556">
      <w:pPr>
        <w:widowControl w:val="0"/>
        <w:spacing w:after="0" w:line="288" w:lineRule="auto"/>
        <w:ind w:firstLine="720"/>
        <w:jc w:val="both"/>
        <w:rPr>
          <w:bCs/>
          <w:lang w:val="en-US"/>
        </w:rPr>
      </w:pPr>
    </w:p>
    <w:p w:rsidR="000D5669" w:rsidRDefault="00C40988" w:rsidP="00D80556">
      <w:pPr>
        <w:widowControl w:val="0"/>
        <w:spacing w:after="0" w:line="288" w:lineRule="auto"/>
        <w:ind w:firstLine="720"/>
        <w:jc w:val="both"/>
        <w:rPr>
          <w:bCs/>
          <w:lang w:val="en-US"/>
        </w:rPr>
      </w:pPr>
      <w:r w:rsidRPr="00D80556">
        <w:rPr>
          <w:bCs/>
          <w:lang w:val="en-US"/>
        </w:rPr>
        <w:lastRenderedPageBreak/>
        <w:t>In contrast to</w:t>
      </w:r>
      <w:r w:rsidR="00284373" w:rsidRPr="00D80556">
        <w:rPr>
          <w:bCs/>
          <w:lang w:val="en-US"/>
        </w:rPr>
        <w:t xml:space="preserve"> Homburg</w:t>
      </w:r>
      <w:r w:rsidRPr="00D80556">
        <w:rPr>
          <w:bCs/>
          <w:lang w:val="en-US"/>
        </w:rPr>
        <w:t>,</w:t>
      </w:r>
      <w:r w:rsidR="00052767" w:rsidRPr="00D80556">
        <w:rPr>
          <w:bCs/>
          <w:lang w:val="en-US"/>
        </w:rPr>
        <w:t xml:space="preserve"> who had just six weeks of data,</w:t>
      </w:r>
      <w:r w:rsidR="00284373" w:rsidRPr="00D80556">
        <w:rPr>
          <w:bCs/>
          <w:lang w:val="en-US"/>
        </w:rPr>
        <w:t xml:space="preserve"> I use </w:t>
      </w:r>
      <w:r w:rsidR="00052767" w:rsidRPr="00D80556">
        <w:rPr>
          <w:bCs/>
          <w:lang w:val="en-US"/>
        </w:rPr>
        <w:t xml:space="preserve">daily </w:t>
      </w:r>
      <w:r w:rsidR="00C61197" w:rsidRPr="00D80556">
        <w:rPr>
          <w:bCs/>
          <w:lang w:val="en-US"/>
        </w:rPr>
        <w:t xml:space="preserve">data on </w:t>
      </w:r>
      <w:r w:rsidR="00052767" w:rsidRPr="00D80556">
        <w:rPr>
          <w:bCs/>
          <w:lang w:val="en-US"/>
        </w:rPr>
        <w:t>deaths for six months, from mid-February until 18 August, from the Oxford Covid-19 Government Response Tracker (</w:t>
      </w:r>
      <w:proofErr w:type="spellStart"/>
      <w:r w:rsidR="00052767" w:rsidRPr="00D80556">
        <w:rPr>
          <w:bCs/>
          <w:lang w:val="en-US"/>
        </w:rPr>
        <w:t>OxCGRT</w:t>
      </w:r>
      <w:proofErr w:type="spellEnd"/>
      <w:r w:rsidR="00052767" w:rsidRPr="00D80556">
        <w:rPr>
          <w:bCs/>
          <w:lang w:val="en-US"/>
        </w:rPr>
        <w:t xml:space="preserve">). I estimate a three-parameter logistic </w:t>
      </w:r>
      <w:r w:rsidR="00284373" w:rsidRPr="00D80556">
        <w:rPr>
          <w:bCs/>
          <w:lang w:val="en-US"/>
        </w:rPr>
        <w:t xml:space="preserve">function </w:t>
      </w:r>
      <w:r w:rsidR="00052767" w:rsidRPr="00D80556">
        <w:rPr>
          <w:bCs/>
          <w:lang w:val="en-US"/>
        </w:rPr>
        <w:t>(the same distribution used by Homburg) for cumulative deaths for each OECD country, using non-linear least squares</w:t>
      </w:r>
      <w:r w:rsidR="00153566" w:rsidRPr="00D80556">
        <w:rPr>
          <w:bCs/>
          <w:lang w:val="en-US"/>
        </w:rPr>
        <w:t xml:space="preserve"> (NLS)</w:t>
      </w:r>
      <w:r w:rsidR="00052767" w:rsidRPr="00D80556">
        <w:rPr>
          <w:bCs/>
          <w:lang w:val="en-US"/>
        </w:rPr>
        <w:t xml:space="preserve">. </w:t>
      </w:r>
      <w:r w:rsidR="00153566" w:rsidRPr="00D80556">
        <w:rPr>
          <w:bCs/>
          <w:lang w:val="en-US"/>
        </w:rPr>
        <w:t xml:space="preserve">Results are </w:t>
      </w:r>
      <w:r w:rsidR="00DB0D33" w:rsidRPr="00D80556">
        <w:rPr>
          <w:bCs/>
          <w:lang w:val="en-US"/>
        </w:rPr>
        <w:t xml:space="preserve">available </w:t>
      </w:r>
      <w:r w:rsidR="00153566" w:rsidRPr="00D80556">
        <w:rPr>
          <w:bCs/>
          <w:lang w:val="en-US"/>
        </w:rPr>
        <w:t>for 34 countries</w:t>
      </w:r>
      <w:r w:rsidR="004F3FCB" w:rsidRPr="00D80556">
        <w:rPr>
          <w:bCs/>
          <w:lang w:val="en-US"/>
        </w:rPr>
        <w:t>, as there was</w:t>
      </w:r>
      <w:r w:rsidR="00153566" w:rsidRPr="00D80556">
        <w:rPr>
          <w:bCs/>
          <w:lang w:val="en-US"/>
        </w:rPr>
        <w:t xml:space="preserve"> non-convergence of the NLS routine for Australia, Colombia and Israel.</w:t>
      </w:r>
    </w:p>
    <w:p w:rsidR="00A45B1A" w:rsidRPr="00A45B1A" w:rsidRDefault="00A45B1A" w:rsidP="00D80556">
      <w:pPr>
        <w:widowControl w:val="0"/>
        <w:spacing w:after="0" w:line="288" w:lineRule="auto"/>
        <w:ind w:firstLine="720"/>
        <w:jc w:val="both"/>
        <w:rPr>
          <w:bCs/>
          <w:sz w:val="20"/>
          <w:szCs w:val="20"/>
          <w:lang w:val="en-US"/>
        </w:rPr>
      </w:pPr>
    </w:p>
    <w:p w:rsidR="00153566" w:rsidRDefault="00153566" w:rsidP="00D80556">
      <w:pPr>
        <w:widowControl w:val="0"/>
        <w:spacing w:after="0" w:line="288" w:lineRule="auto"/>
        <w:ind w:firstLine="720"/>
        <w:jc w:val="both"/>
        <w:rPr>
          <w:bCs/>
          <w:lang w:val="en-US"/>
        </w:rPr>
      </w:pPr>
      <w:r w:rsidRPr="00D80556">
        <w:rPr>
          <w:bCs/>
          <w:lang w:val="en-US"/>
        </w:rPr>
        <w:t>The results in Table 1 show that the inferred inflection date in infections ranges from February 23 to 4 June, and for the median OECD country occurred on 23 March. For New Zealand, the approach in Figure 2 sugg</w:t>
      </w:r>
      <w:r w:rsidR="007B5B95" w:rsidRPr="00D80556">
        <w:rPr>
          <w:bCs/>
          <w:lang w:val="en-US"/>
        </w:rPr>
        <w:t xml:space="preserve">ests </w:t>
      </w:r>
      <w:r w:rsidR="0037378E" w:rsidRPr="00D80556">
        <w:rPr>
          <w:bCs/>
          <w:lang w:val="en-US"/>
        </w:rPr>
        <w:t xml:space="preserve">new </w:t>
      </w:r>
      <w:r w:rsidRPr="00D80556">
        <w:rPr>
          <w:bCs/>
          <w:lang w:val="en-US"/>
        </w:rPr>
        <w:t xml:space="preserve">infections peaked on March 16, over a week before the </w:t>
      </w:r>
      <w:r w:rsidR="007B5B95" w:rsidRPr="00D80556">
        <w:rPr>
          <w:bCs/>
          <w:lang w:val="en-US"/>
        </w:rPr>
        <w:t>strictest</w:t>
      </w:r>
      <w:r w:rsidRPr="00D80556">
        <w:rPr>
          <w:bCs/>
          <w:lang w:val="en-US"/>
        </w:rPr>
        <w:t xml:space="preserve"> restrictions began on 26 March. </w:t>
      </w:r>
      <w:r w:rsidR="00DB0D33" w:rsidRPr="00D80556">
        <w:rPr>
          <w:bCs/>
          <w:lang w:val="en-US"/>
        </w:rPr>
        <w:t xml:space="preserve">Even if a shorter lag from infections to deaths is assumed, the peak in new infections in New Zealand still will have occurred before the Level 4 lockdown began. </w:t>
      </w:r>
      <w:r w:rsidR="009013F2" w:rsidRPr="00D80556">
        <w:rPr>
          <w:bCs/>
          <w:lang w:val="en-US"/>
        </w:rPr>
        <w:t xml:space="preserve">New Zealand </w:t>
      </w:r>
      <w:r w:rsidR="00C61197" w:rsidRPr="00D80556">
        <w:rPr>
          <w:bCs/>
          <w:lang w:val="en-US"/>
        </w:rPr>
        <w:t xml:space="preserve">is </w:t>
      </w:r>
      <w:r w:rsidR="00DB0D33" w:rsidRPr="00D80556">
        <w:rPr>
          <w:bCs/>
          <w:lang w:val="en-US"/>
        </w:rPr>
        <w:t>amongst 17 countries whose</w:t>
      </w:r>
      <w:r w:rsidR="009013F2" w:rsidRPr="00D80556">
        <w:rPr>
          <w:bCs/>
          <w:lang w:val="en-US"/>
        </w:rPr>
        <w:t xml:space="preserve"> </w:t>
      </w:r>
      <w:r w:rsidR="00DB0D33" w:rsidRPr="00D80556">
        <w:rPr>
          <w:bCs/>
          <w:lang w:val="en-US"/>
        </w:rPr>
        <w:t>peak policy stringency occurred</w:t>
      </w:r>
      <w:r w:rsidR="009013F2" w:rsidRPr="00D80556">
        <w:rPr>
          <w:bCs/>
          <w:lang w:val="en-US"/>
        </w:rPr>
        <w:t xml:space="preserve"> after the likely turning point in infecti</w:t>
      </w:r>
      <w:r w:rsidR="007B5B95" w:rsidRPr="00D80556">
        <w:rPr>
          <w:bCs/>
          <w:lang w:val="en-US"/>
        </w:rPr>
        <w:t>ons. So based on comparing policy timing with likely progress of t</w:t>
      </w:r>
      <w:r w:rsidR="00E65FAE" w:rsidRPr="00D80556">
        <w:rPr>
          <w:bCs/>
          <w:lang w:val="en-US"/>
        </w:rPr>
        <w:t xml:space="preserve">he virus, the </w:t>
      </w:r>
      <w:r w:rsidR="00D80556">
        <w:rPr>
          <w:bCs/>
          <w:lang w:val="en-US"/>
        </w:rPr>
        <w:t>‘</w:t>
      </w:r>
      <w:r w:rsidR="00E65FAE" w:rsidRPr="00D80556">
        <w:rPr>
          <w:bCs/>
          <w:lang w:val="en-US"/>
        </w:rPr>
        <w:t>go early</w:t>
      </w:r>
      <w:r w:rsidR="00D80556">
        <w:rPr>
          <w:bCs/>
          <w:lang w:val="en-US"/>
        </w:rPr>
        <w:t>’</w:t>
      </w:r>
      <w:r w:rsidR="00E65FAE" w:rsidRPr="00D80556">
        <w:rPr>
          <w:bCs/>
          <w:lang w:val="en-US"/>
        </w:rPr>
        <w:t xml:space="preserve"> claim </w:t>
      </w:r>
      <w:r w:rsidR="007B5B95" w:rsidRPr="00D80556">
        <w:rPr>
          <w:bCs/>
          <w:lang w:val="en-US"/>
        </w:rPr>
        <w:t>s</w:t>
      </w:r>
      <w:r w:rsidR="00E65FAE" w:rsidRPr="00D80556">
        <w:rPr>
          <w:bCs/>
          <w:lang w:val="en-US"/>
        </w:rPr>
        <w:t>eems</w:t>
      </w:r>
      <w:r w:rsidR="007B5B95" w:rsidRPr="00D80556">
        <w:rPr>
          <w:bCs/>
          <w:lang w:val="en-US"/>
        </w:rPr>
        <w:t xml:space="preserve"> untrue.</w:t>
      </w:r>
    </w:p>
    <w:p w:rsidR="00A45B1A" w:rsidRPr="00A45B1A" w:rsidRDefault="00A45B1A" w:rsidP="00D80556">
      <w:pPr>
        <w:widowControl w:val="0"/>
        <w:spacing w:after="0" w:line="288" w:lineRule="auto"/>
        <w:ind w:firstLine="720"/>
        <w:jc w:val="both"/>
        <w:rPr>
          <w:bCs/>
          <w:sz w:val="20"/>
          <w:szCs w:val="20"/>
          <w:lang w:val="en-US"/>
        </w:rPr>
      </w:pPr>
    </w:p>
    <w:p w:rsidR="00A45B1A" w:rsidRPr="00D80556" w:rsidRDefault="00A45B1A" w:rsidP="00A45B1A">
      <w:pPr>
        <w:widowControl w:val="0"/>
        <w:spacing w:after="0" w:line="288" w:lineRule="auto"/>
        <w:ind w:firstLine="720"/>
        <w:jc w:val="both"/>
        <w:rPr>
          <w:bCs/>
          <w:lang w:val="en-US"/>
        </w:rPr>
      </w:pPr>
      <w:r w:rsidRPr="00D80556">
        <w:rPr>
          <w:bCs/>
          <w:lang w:val="en-US"/>
        </w:rPr>
        <w:t xml:space="preserve">It matters that policy restrictions are applied too late. Over two-thirds of variation in Covid-19 death rates (as of August 18) across these 34 OECD countries is due to baseline characteristics: deaths are higher in more populous countries, with higher density, higher shares of elderly, immigrants and urbanites, and fewer hospital beds per capita and having land borders (Table 2). If the country-specific mean of the </w:t>
      </w:r>
      <w:proofErr w:type="spellStart"/>
      <w:r w:rsidRPr="00D80556">
        <w:rPr>
          <w:bCs/>
          <w:lang w:val="en-US"/>
        </w:rPr>
        <w:t>OxCGRT</w:t>
      </w:r>
      <w:proofErr w:type="spellEnd"/>
      <w:r w:rsidRPr="00D80556">
        <w:rPr>
          <w:bCs/>
          <w:lang w:val="en-US"/>
        </w:rPr>
        <w:t xml:space="preserve"> policy stringency index is included it provides no additional predictive power. However, if the time-series of policy stringency is split at the inflection point in infections for each country (based on Table 1), pre-peak policy stringency is negatively associated with Covid-19 death rates while post-peak policy stringency has no statistically significant effect on death rates.</w:t>
      </w:r>
      <w:r w:rsidRPr="00D80556">
        <w:rPr>
          <w:rStyle w:val="FootnoteReference"/>
          <w:bCs/>
          <w:lang w:val="en-US"/>
        </w:rPr>
        <w:footnoteReference w:id="4"/>
      </w:r>
      <w:r w:rsidRPr="00D80556">
        <w:rPr>
          <w:bCs/>
          <w:lang w:val="en-US"/>
        </w:rPr>
        <w:t xml:space="preserve"> A similar pattern is apparent if the (likely) dates of peak new infections are controlled for, or if the maximums of the stringency index are used rather than the means. Thus, it seems to matter more to </w:t>
      </w:r>
      <w:r>
        <w:rPr>
          <w:bCs/>
          <w:lang w:val="en-US"/>
        </w:rPr>
        <w:t>‘</w:t>
      </w:r>
      <w:r w:rsidRPr="00D80556">
        <w:rPr>
          <w:bCs/>
          <w:lang w:val="en-US"/>
        </w:rPr>
        <w:t>go early</w:t>
      </w:r>
      <w:r>
        <w:rPr>
          <w:bCs/>
          <w:lang w:val="en-US"/>
        </w:rPr>
        <w:t>’</w:t>
      </w:r>
      <w:r w:rsidRPr="00D80556">
        <w:rPr>
          <w:bCs/>
          <w:lang w:val="en-US"/>
        </w:rPr>
        <w:t xml:space="preserve"> than to </w:t>
      </w:r>
      <w:r>
        <w:rPr>
          <w:bCs/>
          <w:lang w:val="en-US"/>
        </w:rPr>
        <w:t>‘</w:t>
      </w:r>
      <w:r w:rsidRPr="00D80556">
        <w:rPr>
          <w:bCs/>
          <w:lang w:val="en-US"/>
        </w:rPr>
        <w:t>go hard</w:t>
      </w:r>
      <w:r>
        <w:rPr>
          <w:bCs/>
          <w:lang w:val="en-US"/>
        </w:rPr>
        <w:t>’</w:t>
      </w:r>
      <w:r w:rsidRPr="00D80556">
        <w:rPr>
          <w:bCs/>
          <w:lang w:val="en-US"/>
        </w:rPr>
        <w:t>.</w:t>
      </w:r>
    </w:p>
    <w:p w:rsidR="00B76210" w:rsidRPr="00A45B1A" w:rsidRDefault="00B76210" w:rsidP="00D80556">
      <w:pPr>
        <w:widowControl w:val="0"/>
        <w:spacing w:after="0" w:line="288" w:lineRule="auto"/>
        <w:jc w:val="both"/>
        <w:rPr>
          <w:bCs/>
          <w:sz w:val="20"/>
          <w:szCs w:val="20"/>
          <w:lang w:val="en-US"/>
        </w:rPr>
      </w:pPr>
    </w:p>
    <w:p w:rsidR="00A45B1A" w:rsidRPr="00D80556" w:rsidRDefault="00A45B1A" w:rsidP="00A45B1A">
      <w:pPr>
        <w:widowControl w:val="0"/>
        <w:spacing w:after="0" w:line="288" w:lineRule="auto"/>
        <w:ind w:firstLine="720"/>
        <w:jc w:val="both"/>
        <w:rPr>
          <w:bCs/>
          <w:lang w:val="en-US"/>
        </w:rPr>
      </w:pPr>
      <w:r w:rsidRPr="00D80556">
        <w:rPr>
          <w:bCs/>
          <w:lang w:val="en-US"/>
        </w:rPr>
        <w:t xml:space="preserve">One worry about these OLS results is that policy stringency may be endogenous. The homogeneous government response to Covid-19 across heterogeneous settings, that </w:t>
      </w:r>
      <w:proofErr w:type="spellStart"/>
      <w:r w:rsidRPr="00D80556">
        <w:rPr>
          <w:bCs/>
          <w:lang w:val="en-US"/>
        </w:rPr>
        <w:t>Sebhatu</w:t>
      </w:r>
      <w:proofErr w:type="spellEnd"/>
      <w:r w:rsidRPr="00D80556">
        <w:rPr>
          <w:bCs/>
          <w:lang w:val="en-US"/>
        </w:rPr>
        <w:t xml:space="preserve"> </w:t>
      </w:r>
      <w:r w:rsidRPr="00A45B1A">
        <w:rPr>
          <w:bCs/>
          <w:i/>
          <w:iCs/>
          <w:lang w:val="en-US"/>
        </w:rPr>
        <w:t>et al</w:t>
      </w:r>
      <w:r>
        <w:rPr>
          <w:bCs/>
          <w:lang w:val="en-US"/>
        </w:rPr>
        <w:t>.</w:t>
      </w:r>
      <w:r w:rsidRPr="00D80556">
        <w:rPr>
          <w:bCs/>
          <w:lang w:val="en-US"/>
        </w:rPr>
        <w:t xml:space="preserve"> (2020) ascribe to mimicry, suggests an instrumental variables (IV) strategy; the average policy response of nearby countries can be used as an instrument for own-response.</w:t>
      </w:r>
      <w:r w:rsidRPr="00D80556">
        <w:rPr>
          <w:rStyle w:val="FootnoteReference"/>
          <w:bCs/>
          <w:lang w:val="en-US"/>
        </w:rPr>
        <w:footnoteReference w:id="5"/>
      </w:r>
      <w:r w:rsidRPr="00D80556">
        <w:rPr>
          <w:bCs/>
          <w:lang w:val="en-US"/>
        </w:rPr>
        <w:t xml:space="preserve"> The IV results in the last three columns of Table 2, and the corresponding Wu-</w:t>
      </w:r>
      <w:proofErr w:type="spellStart"/>
      <w:r w:rsidRPr="00D80556">
        <w:rPr>
          <w:bCs/>
          <w:lang w:val="en-US"/>
        </w:rPr>
        <w:t>Hausman</w:t>
      </w:r>
      <w:proofErr w:type="spellEnd"/>
      <w:r w:rsidRPr="00D80556">
        <w:rPr>
          <w:bCs/>
          <w:lang w:val="en-US"/>
        </w:rPr>
        <w:t xml:space="preserve"> tests, allay the concern about endogeneity. Moreover, the same pattern is found using IV as was found with OLS: there is a precisely estimated negative elasticity of death rates with respect to the policy stringency that was in place prior to the peak of new infections and an insignificant effect of policy stringency after the inflection point in infections has occurred.</w:t>
      </w:r>
    </w:p>
    <w:p w:rsidR="004F64A3" w:rsidRPr="00D80556" w:rsidRDefault="00C35C3A" w:rsidP="0018120B">
      <w:pPr>
        <w:rPr>
          <w:bCs/>
          <w:lang w:val="en-US"/>
        </w:rPr>
        <w:sectPr w:rsidR="004F64A3" w:rsidRPr="00D80556" w:rsidSect="00CA74A5">
          <w:footerReference w:type="default" r:id="rId10"/>
          <w:pgSz w:w="11906" w:h="16838"/>
          <w:pgMar w:top="1440" w:right="1440" w:bottom="1440" w:left="1440" w:header="708" w:footer="708" w:gutter="0"/>
          <w:cols w:space="708"/>
          <w:titlePg/>
          <w:docGrid w:linePitch="360"/>
        </w:sectPr>
      </w:pPr>
      <w:r>
        <w:rPr>
          <w:bCs/>
          <w:lang w:val="en-US"/>
        </w:rPr>
        <w:br w:type="page"/>
      </w:r>
      <w:r w:rsidR="0035339A" w:rsidRPr="0035339A">
        <w:rPr>
          <w:bCs/>
          <w:noProof/>
          <w:lang w:eastAsia="zh-CN"/>
        </w:rPr>
        <w:lastRenderedPageBreak/>
        <w:drawing>
          <wp:inline distT="0" distB="0" distL="0" distR="0">
            <wp:extent cx="5731510" cy="6698702"/>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698702"/>
                    </a:xfrm>
                    <a:prstGeom prst="rect">
                      <a:avLst/>
                    </a:prstGeom>
                    <a:noFill/>
                    <a:ln>
                      <a:noFill/>
                    </a:ln>
                  </pic:spPr>
                </pic:pic>
              </a:graphicData>
            </a:graphic>
          </wp:inline>
        </w:drawing>
      </w:r>
    </w:p>
    <w:tbl>
      <w:tblPr>
        <w:tblStyle w:val="TableGrid"/>
        <w:tblW w:w="13948" w:type="dxa"/>
        <w:tblLook w:val="04A0" w:firstRow="1" w:lastRow="0" w:firstColumn="1" w:lastColumn="0" w:noHBand="0" w:noVBand="1"/>
      </w:tblPr>
      <w:tblGrid>
        <w:gridCol w:w="3397"/>
        <w:gridCol w:w="1507"/>
        <w:gridCol w:w="1507"/>
        <w:gridCol w:w="1507"/>
        <w:gridCol w:w="1508"/>
        <w:gridCol w:w="1507"/>
        <w:gridCol w:w="1507"/>
        <w:gridCol w:w="1508"/>
      </w:tblGrid>
      <w:tr w:rsidR="00C77628" w:rsidRPr="00DD3DAC" w:rsidTr="00764725">
        <w:tc>
          <w:tcPr>
            <w:tcW w:w="13948" w:type="dxa"/>
            <w:gridSpan w:val="8"/>
            <w:tcBorders>
              <w:top w:val="nil"/>
              <w:left w:val="nil"/>
              <w:bottom w:val="single" w:sz="4" w:space="0" w:color="auto"/>
              <w:right w:val="nil"/>
            </w:tcBorders>
          </w:tcPr>
          <w:p w:rsidR="00C77628" w:rsidRPr="00DD3DAC" w:rsidRDefault="00C77628" w:rsidP="00DD3DAC">
            <w:pPr>
              <w:pStyle w:val="PlainText"/>
              <w:spacing w:line="288" w:lineRule="auto"/>
              <w:jc w:val="center"/>
              <w:rPr>
                <w:rFonts w:asciiTheme="majorBidi" w:hAnsiTheme="majorBidi" w:cstheme="majorBidi"/>
                <w:b/>
                <w:bCs/>
              </w:rPr>
            </w:pPr>
            <w:r w:rsidRPr="00DD3DAC">
              <w:rPr>
                <w:rFonts w:asciiTheme="majorBidi" w:hAnsiTheme="majorBidi" w:cstheme="majorBidi"/>
                <w:b/>
                <w:bCs/>
              </w:rPr>
              <w:lastRenderedPageBreak/>
              <w:t>Table 2: Determinants of Covid-19 Death Rates in OECD Countries</w:t>
            </w:r>
          </w:p>
        </w:tc>
      </w:tr>
      <w:tr w:rsidR="00C77628" w:rsidRPr="00DD3DAC" w:rsidTr="00764725">
        <w:tc>
          <w:tcPr>
            <w:tcW w:w="3397" w:type="dxa"/>
            <w:tcBorders>
              <w:top w:val="single" w:sz="4" w:space="0" w:color="auto"/>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6029" w:type="dxa"/>
            <w:gridSpan w:val="4"/>
            <w:tcBorders>
              <w:top w:val="single" w:sz="4" w:space="0" w:color="auto"/>
              <w:left w:val="nil"/>
              <w:bottom w:val="nil"/>
              <w:right w:val="nil"/>
            </w:tcBorders>
          </w:tcPr>
          <w:p w:rsidR="00C77628" w:rsidRPr="00DD3DAC" w:rsidRDefault="00C77628" w:rsidP="00D80556">
            <w:pPr>
              <w:pStyle w:val="PlainText"/>
              <w:tabs>
                <w:tab w:val="left" w:pos="3498"/>
              </w:tabs>
              <w:spacing w:line="288" w:lineRule="auto"/>
              <w:jc w:val="both"/>
              <w:rPr>
                <w:rFonts w:asciiTheme="majorBidi" w:hAnsiTheme="majorBidi" w:cstheme="majorBidi"/>
              </w:rPr>
            </w:pPr>
            <w:r w:rsidRPr="00DD3DAC">
              <w:rPr>
                <w:rFonts w:asciiTheme="majorBidi" w:hAnsiTheme="majorBidi" w:cstheme="majorBidi"/>
              </w:rPr>
              <w:t>--------------- Ordinary Least Squares ---------------</w:t>
            </w:r>
          </w:p>
        </w:tc>
        <w:tc>
          <w:tcPr>
            <w:tcW w:w="4522" w:type="dxa"/>
            <w:gridSpan w:val="3"/>
            <w:tcBorders>
              <w:top w:val="single" w:sz="4" w:space="0" w:color="auto"/>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 Instrumental Variables ----------</w:t>
            </w:r>
          </w:p>
        </w:tc>
      </w:tr>
      <w:tr w:rsidR="00C77628" w:rsidRPr="00DD3DAC" w:rsidTr="00764725">
        <w:tc>
          <w:tcPr>
            <w:tcW w:w="3397"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(1)</w:t>
            </w:r>
          </w:p>
        </w:tc>
        <w:tc>
          <w:tcPr>
            <w:tcW w:w="1507"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(2)</w:t>
            </w:r>
          </w:p>
        </w:tc>
        <w:tc>
          <w:tcPr>
            <w:tcW w:w="1507"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(3)</w:t>
            </w:r>
          </w:p>
        </w:tc>
        <w:tc>
          <w:tcPr>
            <w:tcW w:w="1508"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(4)</w:t>
            </w:r>
          </w:p>
        </w:tc>
        <w:tc>
          <w:tcPr>
            <w:tcW w:w="1507"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(5)</w:t>
            </w:r>
          </w:p>
        </w:tc>
        <w:tc>
          <w:tcPr>
            <w:tcW w:w="1507"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(6)</w:t>
            </w:r>
          </w:p>
        </w:tc>
        <w:tc>
          <w:tcPr>
            <w:tcW w:w="1508" w:type="dxa"/>
            <w:tcBorders>
              <w:top w:val="nil"/>
              <w:left w:val="nil"/>
              <w:bottom w:val="single" w:sz="4" w:space="0" w:color="auto"/>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(7)</w:t>
            </w:r>
          </w:p>
        </w:tc>
      </w:tr>
      <w:tr w:rsidR="00C77628" w:rsidRPr="00DD3DAC" w:rsidTr="00764725">
        <w:tc>
          <w:tcPr>
            <w:tcW w:w="3397" w:type="dxa"/>
            <w:tcBorders>
              <w:top w:val="single" w:sz="4" w:space="0" w:color="auto"/>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Mean policy stringency</w:t>
            </w:r>
          </w:p>
        </w:tc>
        <w:tc>
          <w:tcPr>
            <w:tcW w:w="1507" w:type="dxa"/>
            <w:tcBorders>
              <w:top w:val="single" w:sz="4" w:space="0" w:color="auto"/>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single" w:sz="4" w:space="0" w:color="auto"/>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1.050</w:t>
            </w:r>
          </w:p>
        </w:tc>
        <w:tc>
          <w:tcPr>
            <w:tcW w:w="1507" w:type="dxa"/>
            <w:tcBorders>
              <w:top w:val="single" w:sz="4" w:space="0" w:color="auto"/>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single" w:sz="4" w:space="0" w:color="auto"/>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single" w:sz="4" w:space="0" w:color="auto"/>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1.786</w:t>
            </w:r>
          </w:p>
        </w:tc>
        <w:tc>
          <w:tcPr>
            <w:tcW w:w="1507" w:type="dxa"/>
            <w:tcBorders>
              <w:top w:val="single" w:sz="4" w:space="0" w:color="auto"/>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single" w:sz="4" w:space="0" w:color="auto"/>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(0.75)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(0.27)</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Pre-peak mean policy stringency</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-0.482*</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-0.930**</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(1.91)</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(2.09)</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Post-peak mean policy stringency</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1.540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2.431</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(1.24)</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(0.74)</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Country population (log)</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0.350***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0.299*</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0.391***</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0.273*</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0.263</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0.428***</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0.228</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(3.12)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(2.01)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(3.66)</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(1.89)</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(0.77)</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(3.56)</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(1.14)</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Population density</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0.146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0.110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0.079</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0.097</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0.085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0.016</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0.068</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(1.13)</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(0.80)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(0.52)</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(0.70)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(0.31)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(0.10)</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(0.36)</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 of population age 65+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0.058</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0.063</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0.047</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0.067</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0.066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0.037</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0.073</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(1.13)</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(1.20)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(0.89)</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(1.31)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(1.30)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(0.88)</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(1.60)</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 foreign born</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0.044**</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0.044**</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0.025</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0.042**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0.045*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0.010</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0.042**</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(2.05)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(2.16)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(1.26)</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(2.10)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(1.87)</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(0.40)</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(2.28)</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 living in urban areas</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0.033*</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0.037**</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0.031**</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0.036**</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contextualSpacing/>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contextualSpacing/>
              <w:jc w:val="both"/>
              <w:rPr>
                <w:rFonts w:asciiTheme="majorBidi" w:hAnsiTheme="majorBidi" w:cstheme="majorBidi"/>
              </w:rPr>
            </w:pPr>
            <w:r w:rsidRPr="00DD3DAC">
              <w:rPr>
                <w:rFonts w:asciiTheme="majorBidi" w:hAnsiTheme="majorBidi" w:cstheme="majorBidi"/>
              </w:rPr>
              <w:t>(1.82)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(1.88)</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(1.74)</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(1.94)</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(2.18)</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(2.10)</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(2.46)</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Hospital beds/1000 people</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-0.308***</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-0.281**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-0.298***</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-0.252**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-0.262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-0.289***</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-0.219</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(3.23)</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(2.62)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(3.10)</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(2.25)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(1.40)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(3.69)</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(1.53)</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No land border</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-2.144*</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-2.012*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-2.175*</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-1.840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-1.920*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-2.204***</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-1.664*</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(1.93)</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(1.71)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(2.04)</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(1.57)</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(1.86)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(3.53)</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(1.86)</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Constant</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0.476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-3.561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2.497</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-5.851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-6.390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4.376*</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-9.507</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(0.28)</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(0.62)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(1.19)</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(1.09)</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(0.25)</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(1.91)</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(0.70)</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R-squared</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0.686</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0.692</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0.712</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0.700</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0.689</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0.689</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0.695</w:t>
            </w:r>
          </w:p>
        </w:tc>
      </w:tr>
      <w:tr w:rsidR="00C77628" w:rsidRPr="00DD3DAC" w:rsidTr="00764725">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Wu-</w:t>
            </w:r>
            <w:proofErr w:type="spellStart"/>
            <w:r w:rsidRPr="00DD3DAC">
              <w:rPr>
                <w:rFonts w:asciiTheme="majorBidi" w:hAnsiTheme="majorBidi" w:cstheme="majorBidi"/>
              </w:rPr>
              <w:t>Hausman</w:t>
            </w:r>
            <w:proofErr w:type="spellEnd"/>
            <w:r w:rsidRPr="00DD3DAC">
              <w:rPr>
                <w:rFonts w:asciiTheme="majorBidi" w:hAnsiTheme="majorBidi" w:cstheme="majorBidi"/>
              </w:rPr>
              <w:t xml:space="preserve"> </w:t>
            </w:r>
            <w:proofErr w:type="spellStart"/>
            <w:r w:rsidRPr="00DD3DAC">
              <w:rPr>
                <w:rFonts w:asciiTheme="majorBidi" w:hAnsiTheme="majorBidi" w:cstheme="majorBidi"/>
              </w:rPr>
              <w:t>Exogeneity</w:t>
            </w:r>
            <w:proofErr w:type="spellEnd"/>
            <w:r w:rsidRPr="00DD3DAC">
              <w:rPr>
                <w:rFonts w:asciiTheme="majorBidi" w:hAnsiTheme="majorBidi" w:cstheme="majorBidi"/>
              </w:rPr>
              <w:t xml:space="preserve"> Test </w:t>
            </w:r>
            <w:r w:rsidRPr="00DD3DAC">
              <w:rPr>
                <w:rFonts w:asciiTheme="majorBidi" w:hAnsiTheme="majorBidi" w:cstheme="majorBidi"/>
                <w:i/>
                <w:iCs/>
              </w:rPr>
              <w:t>F</w:t>
            </w:r>
            <w:r w:rsidRPr="00DD3DAC">
              <w:rPr>
                <w:rFonts w:asciiTheme="majorBidi" w:hAnsiTheme="majorBidi" w:cstheme="majorBidi"/>
                <w:vertAlign w:val="subscript"/>
              </w:rPr>
              <w:t>(1,24)</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0.009</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1.376</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0.061</w:t>
            </w:r>
          </w:p>
        </w:tc>
      </w:tr>
      <w:tr w:rsidR="00C77628" w:rsidRPr="00DD3DAC" w:rsidTr="00DD3DAC">
        <w:trPr>
          <w:trHeight w:val="333"/>
        </w:trPr>
        <w:tc>
          <w:tcPr>
            <w:tcW w:w="3397" w:type="dxa"/>
            <w:tcBorders>
              <w:top w:val="nil"/>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rPr>
            </w:pPr>
            <w:r w:rsidRPr="00DD3DAC">
              <w:rPr>
                <w:rFonts w:asciiTheme="majorBidi" w:hAnsiTheme="majorBidi" w:cstheme="majorBidi"/>
              </w:rPr>
              <w:t xml:space="preserve">First-stage </w:t>
            </w:r>
            <w:r w:rsidRPr="00DD3DAC">
              <w:rPr>
                <w:rFonts w:asciiTheme="majorBidi" w:hAnsiTheme="majorBidi" w:cstheme="majorBidi"/>
                <w:i/>
                <w:iCs/>
              </w:rPr>
              <w:t>F</w:t>
            </w:r>
            <w:r w:rsidRPr="00DD3DAC">
              <w:rPr>
                <w:rFonts w:asciiTheme="majorBidi" w:hAnsiTheme="majorBidi" w:cstheme="majorBidi"/>
              </w:rPr>
              <w:t>-statistic</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1.021</w:t>
            </w:r>
          </w:p>
        </w:tc>
        <w:tc>
          <w:tcPr>
            <w:tcW w:w="1507"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17.020***</w:t>
            </w:r>
          </w:p>
        </w:tc>
        <w:tc>
          <w:tcPr>
            <w:tcW w:w="1508" w:type="dxa"/>
            <w:tcBorders>
              <w:top w:val="nil"/>
              <w:left w:val="nil"/>
              <w:bottom w:val="nil"/>
              <w:right w:val="nil"/>
            </w:tcBorders>
          </w:tcPr>
          <w:p w:rsidR="00C77628" w:rsidRPr="00DD3DAC" w:rsidRDefault="00C77628" w:rsidP="00D80556">
            <w:pPr>
              <w:pStyle w:val="PlainText"/>
              <w:tabs>
                <w:tab w:val="decimal" w:pos="454"/>
              </w:tabs>
              <w:spacing w:line="288" w:lineRule="auto"/>
              <w:jc w:val="both"/>
              <w:rPr>
                <w:rFonts w:asciiTheme="majorBidi" w:hAnsiTheme="majorBidi" w:cstheme="majorBidi"/>
              </w:rPr>
            </w:pPr>
            <w:r w:rsidRPr="00DD3DAC">
              <w:rPr>
                <w:rFonts w:asciiTheme="majorBidi" w:hAnsiTheme="majorBidi" w:cstheme="majorBidi"/>
              </w:rPr>
              <w:t>4.014*</w:t>
            </w:r>
          </w:p>
        </w:tc>
      </w:tr>
      <w:tr w:rsidR="00C77628" w:rsidRPr="00DD3DAC" w:rsidTr="00764725">
        <w:tc>
          <w:tcPr>
            <w:tcW w:w="13948" w:type="dxa"/>
            <w:gridSpan w:val="8"/>
            <w:tcBorders>
              <w:top w:val="single" w:sz="4" w:space="0" w:color="auto"/>
              <w:left w:val="nil"/>
              <w:bottom w:val="nil"/>
              <w:right w:val="nil"/>
            </w:tcBorders>
          </w:tcPr>
          <w:p w:rsidR="00C77628" w:rsidRPr="00DD3DAC" w:rsidRDefault="00C77628" w:rsidP="00D80556">
            <w:pPr>
              <w:pStyle w:val="PlainText"/>
              <w:spacing w:line="288" w:lineRule="auto"/>
              <w:jc w:val="both"/>
              <w:rPr>
                <w:rFonts w:asciiTheme="majorBidi" w:hAnsiTheme="majorBidi" w:cstheme="majorBidi"/>
                <w:sz w:val="18"/>
                <w:szCs w:val="18"/>
              </w:rPr>
            </w:pPr>
            <w:r w:rsidRPr="00DD3DAC">
              <w:rPr>
                <w:rFonts w:asciiTheme="majorBidi" w:hAnsiTheme="majorBidi" w:cstheme="majorBidi"/>
                <w:i/>
                <w:iCs/>
                <w:sz w:val="18"/>
                <w:szCs w:val="18"/>
              </w:rPr>
              <w:t>Notes:</w:t>
            </w:r>
            <w:r w:rsidRPr="00DD3DAC">
              <w:rPr>
                <w:rFonts w:asciiTheme="majorBidi" w:hAnsiTheme="majorBidi" w:cstheme="majorBidi"/>
                <w:sz w:val="18"/>
                <w:szCs w:val="18"/>
              </w:rPr>
              <w:t xml:space="preserve"> The dependent variable is the log of Covid-19 deaths per million (as of August 18, 2020). The mean policy stringency for each country is from daily records from January 7 until August 18, from the </w:t>
            </w:r>
            <w:proofErr w:type="spellStart"/>
            <w:r w:rsidRPr="00DD3DAC">
              <w:rPr>
                <w:rFonts w:asciiTheme="majorBidi" w:hAnsiTheme="majorBidi" w:cstheme="majorBidi"/>
                <w:sz w:val="18"/>
                <w:szCs w:val="18"/>
              </w:rPr>
              <w:t>OxCGRT</w:t>
            </w:r>
            <w:proofErr w:type="spellEnd"/>
            <w:r w:rsidRPr="00DD3DAC">
              <w:rPr>
                <w:rFonts w:asciiTheme="majorBidi" w:hAnsiTheme="majorBidi" w:cstheme="majorBidi"/>
                <w:sz w:val="18"/>
                <w:szCs w:val="18"/>
              </w:rPr>
              <w:t xml:space="preserve"> stringency index, or for the sub-periods defined by the inflection points in new infections reported in Table 1. The instrumental variables for columns (5) to (7) are the (period-specific) mean policy stringency for other OECD countries in the same region. </w:t>
            </w:r>
            <w:r w:rsidRPr="00DD3DAC">
              <w:rPr>
                <w:rFonts w:asciiTheme="majorBidi" w:hAnsiTheme="majorBidi" w:cstheme="majorBidi"/>
                <w:i/>
                <w:iCs/>
                <w:sz w:val="18"/>
                <w:szCs w:val="18"/>
              </w:rPr>
              <w:t>N</w:t>
            </w:r>
            <w:r w:rsidRPr="00DD3DAC">
              <w:rPr>
                <w:rFonts w:asciiTheme="majorBidi" w:hAnsiTheme="majorBidi" w:cstheme="majorBidi"/>
                <w:sz w:val="18"/>
                <w:szCs w:val="18"/>
              </w:rPr>
              <w:t xml:space="preserve">=34, </w:t>
            </w:r>
            <w:r w:rsidRPr="00DD3DAC">
              <w:rPr>
                <w:rFonts w:asciiTheme="majorBidi" w:hAnsiTheme="majorBidi" w:cstheme="majorBidi"/>
                <w:i/>
                <w:iCs/>
                <w:sz w:val="18"/>
                <w:szCs w:val="18"/>
              </w:rPr>
              <w:t>t</w:t>
            </w:r>
            <w:r w:rsidRPr="00DD3DAC">
              <w:rPr>
                <w:rFonts w:asciiTheme="majorBidi" w:hAnsiTheme="majorBidi" w:cstheme="majorBidi"/>
                <w:sz w:val="18"/>
                <w:szCs w:val="18"/>
              </w:rPr>
              <w:t xml:space="preserve"> statistics from robust standard errors in ( ), *,**, *** denote statistical significance at the 10%, 5% and 1% level.</w:t>
            </w:r>
          </w:p>
        </w:tc>
      </w:tr>
    </w:tbl>
    <w:p w:rsidR="004F64A3" w:rsidRPr="00D80556" w:rsidRDefault="004F64A3" w:rsidP="00D80556">
      <w:pPr>
        <w:widowControl w:val="0"/>
        <w:spacing w:after="0" w:line="288" w:lineRule="auto"/>
        <w:jc w:val="both"/>
        <w:rPr>
          <w:bCs/>
          <w:lang w:val="en-US"/>
        </w:rPr>
        <w:sectPr w:rsidR="004F64A3" w:rsidRPr="00D80556" w:rsidSect="00CA74A5">
          <w:pgSz w:w="16838" w:h="11906" w:orient="landscape"/>
          <w:pgMar w:top="1440" w:right="1440" w:bottom="1276" w:left="1440" w:header="708" w:footer="708" w:gutter="0"/>
          <w:cols w:space="708"/>
          <w:titlePg/>
          <w:docGrid w:linePitch="360"/>
        </w:sectPr>
      </w:pPr>
    </w:p>
    <w:p w:rsidR="00647CE4" w:rsidRPr="00D80556" w:rsidRDefault="00E556CC" w:rsidP="00E556CC">
      <w:pPr>
        <w:widowControl w:val="0"/>
        <w:bidi/>
        <w:spacing w:after="0" w:line="288" w:lineRule="auto"/>
        <w:ind w:hanging="46"/>
        <w:jc w:val="both"/>
        <w:rPr>
          <w:bCs/>
          <w:lang w:val="en-US"/>
        </w:rPr>
      </w:pPr>
      <w:r>
        <w:rPr>
          <w:bCs/>
          <w:lang w:val="en-US"/>
        </w:rPr>
        <w:lastRenderedPageBreak/>
        <w:tab/>
        <w:t xml:space="preserve">         Notwi</w:t>
      </w:r>
      <w:r w:rsidR="008A4CFC">
        <w:rPr>
          <w:bCs/>
          <w:lang w:val="en-US"/>
        </w:rPr>
        <w:t>thstanding</w:t>
      </w:r>
      <w:r w:rsidR="0090557B" w:rsidRPr="00D80556">
        <w:rPr>
          <w:bCs/>
          <w:lang w:val="en-US"/>
        </w:rPr>
        <w:t xml:space="preserve"> these results, policy responses do not</w:t>
      </w:r>
      <w:r>
        <w:rPr>
          <w:bCs/>
          <w:lang w:val="en-US"/>
        </w:rPr>
        <w:t xml:space="preserve"> appear to be that important in </w:t>
      </w:r>
      <w:r w:rsidR="0090557B" w:rsidRPr="00D80556">
        <w:rPr>
          <w:bCs/>
          <w:lang w:val="en-US"/>
        </w:rPr>
        <w:t xml:space="preserve">causing variation in the Covid-19 death tolls. The incremental </w:t>
      </w:r>
      <w:r w:rsidR="0090557B" w:rsidRPr="00D80556">
        <w:rPr>
          <w:bCs/>
          <w:i/>
          <w:iCs/>
          <w:lang w:val="en-US"/>
        </w:rPr>
        <w:t>R</w:t>
      </w:r>
      <w:r w:rsidR="0090557B" w:rsidRPr="00D80556">
        <w:rPr>
          <w:bCs/>
          <w:vertAlign w:val="superscript"/>
          <w:lang w:val="en-US"/>
        </w:rPr>
        <w:t>2</w:t>
      </w:r>
      <w:r w:rsidR="0090557B" w:rsidRPr="00D80556">
        <w:rPr>
          <w:bCs/>
          <w:lang w:val="en-US"/>
        </w:rPr>
        <w:t xml:space="preserve"> is at best four percent, from adding policy stringency variables to</w:t>
      </w:r>
      <w:r w:rsidR="00ED61F1">
        <w:rPr>
          <w:bCs/>
          <w:lang w:val="en-US"/>
        </w:rPr>
        <w:t xml:space="preserve"> the baseline specification in C</w:t>
      </w:r>
      <w:r w:rsidR="0090557B" w:rsidRPr="00D80556">
        <w:rPr>
          <w:bCs/>
          <w:lang w:val="en-US"/>
        </w:rPr>
        <w:t xml:space="preserve">olumn (1). If the log death rate is regressed on pre-peak policy stringency alone, the </w:t>
      </w:r>
      <w:r w:rsidR="0090557B" w:rsidRPr="00D80556">
        <w:rPr>
          <w:bCs/>
          <w:i/>
          <w:iCs/>
          <w:lang w:val="en-US"/>
        </w:rPr>
        <w:t>R</w:t>
      </w:r>
      <w:r w:rsidR="0090557B" w:rsidRPr="00D80556">
        <w:rPr>
          <w:bCs/>
          <w:vertAlign w:val="superscript"/>
          <w:lang w:val="en-US"/>
        </w:rPr>
        <w:t>2</w:t>
      </w:r>
      <w:r w:rsidR="0090557B" w:rsidRPr="00D80556">
        <w:rPr>
          <w:bCs/>
          <w:lang w:val="en-US"/>
        </w:rPr>
        <w:t xml:space="preserve"> is only five percent</w:t>
      </w:r>
      <w:r w:rsidR="00C61197" w:rsidRPr="00D80556">
        <w:rPr>
          <w:bCs/>
          <w:lang w:val="en-US"/>
        </w:rPr>
        <w:t>,</w:t>
      </w:r>
      <w:r w:rsidR="0090557B" w:rsidRPr="00D80556">
        <w:rPr>
          <w:bCs/>
          <w:lang w:val="en-US"/>
        </w:rPr>
        <w:t xml:space="preserve"> so the low value </w:t>
      </w:r>
      <w:r w:rsidR="004C47DB" w:rsidRPr="00D80556">
        <w:rPr>
          <w:bCs/>
          <w:lang w:val="en-US"/>
        </w:rPr>
        <w:t xml:space="preserve">of </w:t>
      </w:r>
      <w:r w:rsidR="0090557B" w:rsidRPr="00D80556">
        <w:rPr>
          <w:bCs/>
          <w:lang w:val="en-US"/>
        </w:rPr>
        <w:t xml:space="preserve">incremental </w:t>
      </w:r>
      <w:r w:rsidR="0090557B" w:rsidRPr="00D80556">
        <w:rPr>
          <w:bCs/>
          <w:i/>
          <w:iCs/>
          <w:lang w:val="en-US"/>
        </w:rPr>
        <w:t>R</w:t>
      </w:r>
      <w:r w:rsidR="0090557B" w:rsidRPr="00D80556">
        <w:rPr>
          <w:bCs/>
          <w:vertAlign w:val="superscript"/>
          <w:lang w:val="en-US"/>
        </w:rPr>
        <w:t>2</w:t>
      </w:r>
      <w:r w:rsidR="0090557B" w:rsidRPr="00D80556">
        <w:rPr>
          <w:bCs/>
          <w:lang w:val="en-US"/>
        </w:rPr>
        <w:t xml:space="preserve"> is not because policy stringency is highly correlated with the baseline characteristics</w:t>
      </w:r>
      <w:r w:rsidR="00ED61F1">
        <w:rPr>
          <w:bCs/>
          <w:lang w:val="en-US"/>
        </w:rPr>
        <w:t xml:space="preserve">.  This view </w:t>
      </w:r>
      <w:r w:rsidR="004C47DB" w:rsidRPr="00D80556">
        <w:rPr>
          <w:bCs/>
          <w:lang w:val="en-US"/>
        </w:rPr>
        <w:t xml:space="preserve">also supports the point made by </w:t>
      </w:r>
      <w:proofErr w:type="spellStart"/>
      <w:r w:rsidR="004C47DB" w:rsidRPr="00D80556">
        <w:rPr>
          <w:bCs/>
          <w:lang w:val="en-US"/>
        </w:rPr>
        <w:t>Sebhatu</w:t>
      </w:r>
      <w:proofErr w:type="spellEnd"/>
      <w:r w:rsidR="004C47DB" w:rsidRPr="00D80556">
        <w:rPr>
          <w:bCs/>
          <w:lang w:val="en-US"/>
        </w:rPr>
        <w:t xml:space="preserve"> </w:t>
      </w:r>
      <w:r w:rsidR="004C47DB" w:rsidRPr="00ED61F1">
        <w:rPr>
          <w:bCs/>
          <w:i/>
          <w:iCs/>
          <w:lang w:val="en-US"/>
        </w:rPr>
        <w:t xml:space="preserve">et al </w:t>
      </w:r>
      <w:r w:rsidR="00ED61F1">
        <w:rPr>
          <w:bCs/>
          <w:lang w:val="en-US"/>
        </w:rPr>
        <w:t>(2020), that there was considerable</w:t>
      </w:r>
      <w:r w:rsidR="004C47DB" w:rsidRPr="00D80556">
        <w:rPr>
          <w:bCs/>
          <w:lang w:val="en-US"/>
        </w:rPr>
        <w:t xml:space="preserve"> policy mimicry, rather than policy designed to reflec</w:t>
      </w:r>
      <w:r w:rsidR="00ED61F1">
        <w:rPr>
          <w:bCs/>
          <w:lang w:val="en-US"/>
        </w:rPr>
        <w:t>t circumstances of each country</w:t>
      </w:r>
      <w:r w:rsidR="004C47DB" w:rsidRPr="00D80556">
        <w:rPr>
          <w:bCs/>
          <w:lang w:val="en-US"/>
        </w:rPr>
        <w:t>.</w:t>
      </w:r>
      <w:r w:rsidR="00EC6AA7" w:rsidRPr="00D80556">
        <w:rPr>
          <w:bCs/>
          <w:lang w:val="en-US"/>
        </w:rPr>
        <w:t xml:space="preserve"> One way to show this relatively small impact </w:t>
      </w:r>
      <w:r w:rsidR="00ED61F1">
        <w:rPr>
          <w:bCs/>
          <w:lang w:val="en-US"/>
        </w:rPr>
        <w:t>of policy is to use the model in C</w:t>
      </w:r>
      <w:r w:rsidR="00EC6AA7" w:rsidRPr="00D80556">
        <w:rPr>
          <w:bCs/>
          <w:lang w:val="en-US"/>
        </w:rPr>
        <w:t>olumn (3) for the counterfactual exercise of setting policy stringency for New Zealand at the more relaxed level adopted by Sweden over the same period, which increases predicted Covid-19 deaths by 62 per million, or an additional 310 deaths in total, whi</w:t>
      </w:r>
      <w:r w:rsidR="00ED61F1">
        <w:rPr>
          <w:bCs/>
          <w:lang w:val="en-US"/>
        </w:rPr>
        <w:t>ch is a relatively small impac</w:t>
      </w:r>
      <w:r w:rsidR="008A4CFC">
        <w:rPr>
          <w:bCs/>
          <w:lang w:val="en-US"/>
        </w:rPr>
        <w:t>t.</w:t>
      </w:r>
      <w:r w:rsidR="003A73A8">
        <w:rPr>
          <w:rStyle w:val="FootnoteReference"/>
          <w:bCs/>
          <w:lang w:val="en-US"/>
        </w:rPr>
        <w:footnoteReference w:id="6"/>
      </w:r>
    </w:p>
    <w:p w:rsidR="00ED61F1" w:rsidRDefault="00ED61F1" w:rsidP="00D80556">
      <w:pPr>
        <w:keepNext/>
        <w:spacing w:after="0" w:line="288" w:lineRule="auto"/>
        <w:jc w:val="both"/>
        <w:rPr>
          <w:b/>
          <w:lang w:val="en-US"/>
        </w:rPr>
      </w:pPr>
    </w:p>
    <w:p w:rsidR="000679C1" w:rsidRPr="00D80556" w:rsidRDefault="00FF63BA" w:rsidP="00FF63BA">
      <w:pPr>
        <w:keepNext/>
        <w:tabs>
          <w:tab w:val="left" w:pos="284"/>
        </w:tabs>
        <w:spacing w:after="0" w:line="288" w:lineRule="auto"/>
        <w:jc w:val="both"/>
        <w:rPr>
          <w:b/>
          <w:lang w:val="en-US"/>
        </w:rPr>
      </w:pPr>
      <w:r>
        <w:rPr>
          <w:b/>
          <w:lang w:val="en-US"/>
        </w:rPr>
        <w:t>4</w:t>
      </w:r>
      <w:r w:rsidR="002A6915" w:rsidRPr="00D80556">
        <w:rPr>
          <w:b/>
          <w:lang w:val="en-US"/>
        </w:rPr>
        <w:t>.</w:t>
      </w:r>
      <w:r w:rsidR="002A6915" w:rsidRPr="00D80556">
        <w:rPr>
          <w:b/>
          <w:lang w:val="en-US"/>
        </w:rPr>
        <w:tab/>
      </w:r>
      <w:r w:rsidR="00807C5A" w:rsidRPr="00D80556">
        <w:rPr>
          <w:b/>
          <w:lang w:val="en-US"/>
        </w:rPr>
        <w:t>Policy</w:t>
      </w:r>
      <w:r w:rsidR="00BE5437" w:rsidRPr="00D80556">
        <w:rPr>
          <w:b/>
          <w:lang w:val="en-US"/>
        </w:rPr>
        <w:t xml:space="preserve"> </w:t>
      </w:r>
      <w:r w:rsidR="00670752" w:rsidRPr="00D80556">
        <w:rPr>
          <w:b/>
          <w:lang w:val="en-US"/>
        </w:rPr>
        <w:t xml:space="preserve">Implications </w:t>
      </w:r>
    </w:p>
    <w:p w:rsidR="00ED61F1" w:rsidRPr="00ED61F1" w:rsidRDefault="00ED61F1" w:rsidP="00D80556">
      <w:pPr>
        <w:widowControl w:val="0"/>
        <w:spacing w:after="0" w:line="288" w:lineRule="auto"/>
        <w:jc w:val="both"/>
        <w:rPr>
          <w:bCs/>
          <w:sz w:val="12"/>
          <w:szCs w:val="12"/>
          <w:lang w:val="en-AU"/>
        </w:rPr>
      </w:pPr>
    </w:p>
    <w:p w:rsidR="0073232E" w:rsidRDefault="00066F0C" w:rsidP="00D80556">
      <w:pPr>
        <w:widowControl w:val="0"/>
        <w:spacing w:after="0" w:line="288" w:lineRule="auto"/>
        <w:jc w:val="both"/>
        <w:rPr>
          <w:bCs/>
          <w:lang w:val="en-AU"/>
        </w:rPr>
      </w:pPr>
      <w:r w:rsidRPr="00D80556">
        <w:rPr>
          <w:bCs/>
          <w:lang w:val="en-AU"/>
        </w:rPr>
        <w:t xml:space="preserve">New Zealand went hard but not early in responding to Covid-19. This is apparent from comparing with responses in other countries and from comparing with likely progress of the virus. This </w:t>
      </w:r>
      <w:r w:rsidR="0073232E" w:rsidRPr="00D80556">
        <w:rPr>
          <w:bCs/>
          <w:lang w:val="en-AU"/>
        </w:rPr>
        <w:t xml:space="preserve">lagged response </w:t>
      </w:r>
      <w:r w:rsidRPr="00D80556">
        <w:rPr>
          <w:bCs/>
          <w:lang w:val="en-AU"/>
        </w:rPr>
        <w:t>matters because policy restrictions that are imposed after the peak in new infections is reached appear to have no effect on Covid-19 death rates</w:t>
      </w:r>
      <w:r w:rsidR="0073232E" w:rsidRPr="00D80556">
        <w:rPr>
          <w:bCs/>
          <w:lang w:val="en-AU"/>
        </w:rPr>
        <w:t xml:space="preserve"> even while earlier policy stringency</w:t>
      </w:r>
      <w:r w:rsidR="00F902A7" w:rsidRPr="00D80556">
        <w:rPr>
          <w:bCs/>
          <w:lang w:val="en-AU"/>
        </w:rPr>
        <w:t xml:space="preserve"> does matter</w:t>
      </w:r>
      <w:r w:rsidR="0073232E" w:rsidRPr="00D80556">
        <w:rPr>
          <w:bCs/>
          <w:lang w:val="en-AU"/>
        </w:rPr>
        <w:t>. Thus, any review of New Zealand’s</w:t>
      </w:r>
      <w:r w:rsidR="001347AC" w:rsidRPr="00D80556">
        <w:rPr>
          <w:bCs/>
          <w:lang w:val="en-AU"/>
        </w:rPr>
        <w:t xml:space="preserve"> decision-making </w:t>
      </w:r>
      <w:r w:rsidR="007E1017" w:rsidRPr="00D80556">
        <w:rPr>
          <w:bCs/>
          <w:lang w:val="en-AU"/>
        </w:rPr>
        <w:t>about Covid-19</w:t>
      </w:r>
      <w:r w:rsidR="0073232E" w:rsidRPr="00D80556">
        <w:rPr>
          <w:bCs/>
          <w:lang w:val="en-AU"/>
        </w:rPr>
        <w:t xml:space="preserve"> should especially focus on</w:t>
      </w:r>
      <w:r w:rsidR="00352283" w:rsidRPr="00D80556">
        <w:rPr>
          <w:bCs/>
          <w:lang w:val="en-AU"/>
        </w:rPr>
        <w:t xml:space="preserve"> what was </w:t>
      </w:r>
      <w:r w:rsidR="0073232E" w:rsidRPr="00D80556">
        <w:rPr>
          <w:bCs/>
          <w:lang w:val="en-AU"/>
        </w:rPr>
        <w:t xml:space="preserve">(not) </w:t>
      </w:r>
      <w:r w:rsidR="00352283" w:rsidRPr="00D80556">
        <w:rPr>
          <w:bCs/>
          <w:lang w:val="en-AU"/>
        </w:rPr>
        <w:t xml:space="preserve">being done in February and early March. The </w:t>
      </w:r>
      <w:r w:rsidR="00F902A7" w:rsidRPr="00D80556">
        <w:rPr>
          <w:bCs/>
          <w:lang w:val="en-AU"/>
        </w:rPr>
        <w:t xml:space="preserve">repetition </w:t>
      </w:r>
      <w:r w:rsidR="00352283" w:rsidRPr="00D80556">
        <w:rPr>
          <w:bCs/>
          <w:lang w:val="en-AU"/>
        </w:rPr>
        <w:t xml:space="preserve">of the </w:t>
      </w:r>
      <w:r w:rsidR="00D80556">
        <w:rPr>
          <w:bCs/>
          <w:lang w:val="en-AU"/>
        </w:rPr>
        <w:t>‘</w:t>
      </w:r>
      <w:r w:rsidR="00352283" w:rsidRPr="00D80556">
        <w:rPr>
          <w:bCs/>
          <w:lang w:val="en-AU"/>
        </w:rPr>
        <w:t>go hard, go early</w:t>
      </w:r>
      <w:r w:rsidR="00D80556">
        <w:rPr>
          <w:bCs/>
          <w:lang w:val="en-AU"/>
        </w:rPr>
        <w:t>’</w:t>
      </w:r>
      <w:r w:rsidR="00352283" w:rsidRPr="00D80556">
        <w:rPr>
          <w:bCs/>
          <w:lang w:val="en-AU"/>
        </w:rPr>
        <w:t xml:space="preserve"> phrase should not </w:t>
      </w:r>
      <w:r w:rsidR="0073232E" w:rsidRPr="00D80556">
        <w:rPr>
          <w:bCs/>
          <w:lang w:val="en-AU"/>
        </w:rPr>
        <w:t xml:space="preserve">distract from this task. </w:t>
      </w:r>
    </w:p>
    <w:p w:rsidR="00ED61F1" w:rsidRPr="00D80556" w:rsidRDefault="00ED61F1" w:rsidP="00D80556">
      <w:pPr>
        <w:widowControl w:val="0"/>
        <w:spacing w:after="0" w:line="288" w:lineRule="auto"/>
        <w:jc w:val="both"/>
        <w:rPr>
          <w:bCs/>
          <w:lang w:val="en-AU"/>
        </w:rPr>
      </w:pPr>
    </w:p>
    <w:p w:rsidR="00C61197" w:rsidRPr="00D80556" w:rsidRDefault="00C61197" w:rsidP="00D80556">
      <w:pPr>
        <w:widowControl w:val="0"/>
        <w:spacing w:after="0" w:line="288" w:lineRule="auto"/>
        <w:ind w:firstLine="720"/>
        <w:jc w:val="both"/>
        <w:rPr>
          <w:bCs/>
          <w:lang w:val="en-AU"/>
        </w:rPr>
      </w:pPr>
      <w:r w:rsidRPr="00D80556">
        <w:rPr>
          <w:bCs/>
          <w:lang w:val="en-AU"/>
        </w:rPr>
        <w:t xml:space="preserve">The debates in New Zealand about the response to Covid-19 also should recognize the key role of baseline characteristics in accounting for cross-country variation in the death toll. Factors such as population size, density and distribution, hospital beds per capita and </w:t>
      </w:r>
      <w:r w:rsidR="000841D6" w:rsidRPr="00D80556">
        <w:rPr>
          <w:bCs/>
          <w:lang w:val="en-AU"/>
        </w:rPr>
        <w:t xml:space="preserve">having a land border are not things that policy makers can change either quickly or at all. The things that policy makers can alter, such as the stringency of the restrictions they put in place to deal with Covid-19, account for only a small part of the variation in the death toll, even when the policy responses are timely. For example, if Sweden’s more relaxed restrictions had been in place, New Zealand might have had an additional 300 Covid-19 deaths, which is far less than the claims made in the media about </w:t>
      </w:r>
      <w:r w:rsidR="00D80556">
        <w:rPr>
          <w:bCs/>
          <w:lang w:val="en-AU"/>
        </w:rPr>
        <w:t>‘</w:t>
      </w:r>
      <w:r w:rsidR="000841D6" w:rsidRPr="00D80556">
        <w:rPr>
          <w:bCs/>
          <w:lang w:val="en-AU"/>
        </w:rPr>
        <w:t>thousands of deaths</w:t>
      </w:r>
      <w:r w:rsidR="00D80556">
        <w:rPr>
          <w:bCs/>
          <w:lang w:val="en-AU"/>
        </w:rPr>
        <w:t>’</w:t>
      </w:r>
      <w:r w:rsidR="000841D6" w:rsidRPr="00D80556">
        <w:rPr>
          <w:bCs/>
          <w:lang w:val="en-AU"/>
        </w:rPr>
        <w:t xml:space="preserve"> that reflect lazy comparisons of death rates across very different settings without allowing for this heterogeneity.</w:t>
      </w:r>
    </w:p>
    <w:p w:rsidR="00AA73A5" w:rsidRPr="00D80556" w:rsidRDefault="00AA73A5" w:rsidP="00D80556">
      <w:pPr>
        <w:widowControl w:val="0"/>
        <w:spacing w:after="0" w:line="288" w:lineRule="auto"/>
        <w:ind w:firstLine="720"/>
        <w:jc w:val="both"/>
        <w:rPr>
          <w:bCs/>
          <w:lang w:val="en-AU"/>
        </w:rPr>
      </w:pPr>
    </w:p>
    <w:p w:rsidR="00F67B28" w:rsidRDefault="00F67B28">
      <w:pPr>
        <w:rPr>
          <w:b/>
        </w:rPr>
      </w:pPr>
      <w:r>
        <w:rPr>
          <w:b/>
        </w:rPr>
        <w:br w:type="page"/>
      </w:r>
    </w:p>
    <w:p w:rsidR="006D28EA" w:rsidRDefault="006D28EA" w:rsidP="00D80556">
      <w:pPr>
        <w:spacing w:after="0" w:line="288" w:lineRule="auto"/>
        <w:jc w:val="both"/>
        <w:rPr>
          <w:b/>
        </w:rPr>
      </w:pPr>
      <w:r w:rsidRPr="00D80556">
        <w:rPr>
          <w:b/>
        </w:rPr>
        <w:lastRenderedPageBreak/>
        <w:t>References</w:t>
      </w:r>
    </w:p>
    <w:p w:rsidR="00DF7CF6" w:rsidRPr="00DF7CF6" w:rsidRDefault="00DF7CF6" w:rsidP="00D80556">
      <w:pPr>
        <w:spacing w:after="0" w:line="288" w:lineRule="auto"/>
        <w:jc w:val="both"/>
        <w:rPr>
          <w:b/>
          <w:sz w:val="12"/>
          <w:szCs w:val="12"/>
        </w:rPr>
      </w:pPr>
    </w:p>
    <w:p w:rsidR="00D45821" w:rsidRPr="00F67B28" w:rsidRDefault="00D45821" w:rsidP="00F67B28">
      <w:pPr>
        <w:widowControl w:val="0"/>
        <w:spacing w:after="200" w:line="240" w:lineRule="auto"/>
        <w:ind w:left="567" w:hanging="567"/>
        <w:jc w:val="both"/>
        <w:rPr>
          <w:rStyle w:val="Hyperlink"/>
          <w:sz w:val="22"/>
          <w:szCs w:val="22"/>
        </w:rPr>
      </w:pPr>
      <w:r w:rsidRPr="00F67B28">
        <w:rPr>
          <w:rFonts w:asciiTheme="majorBidi" w:eastAsia="Times New Roman" w:hAnsiTheme="majorBidi" w:cstheme="majorBidi"/>
          <w:sz w:val="22"/>
          <w:szCs w:val="22"/>
          <w:lang w:bidi="he-IL"/>
        </w:rPr>
        <w:t xml:space="preserve">Asian Development Bank [ADB]. 2020. </w:t>
      </w:r>
      <w:r w:rsidRPr="00F67B28">
        <w:rPr>
          <w:rFonts w:asciiTheme="majorBidi" w:eastAsia="Times New Roman" w:hAnsiTheme="majorBidi"/>
          <w:i/>
          <w:iCs/>
          <w:sz w:val="22"/>
          <w:szCs w:val="22"/>
          <w:lang w:bidi="he-IL"/>
        </w:rPr>
        <w:t>Asian Development Outlook 2020 Supplement: Lockdown, Loosening, and Asia’s Growth Prospects</w:t>
      </w:r>
      <w:r w:rsidRPr="00F67B28">
        <w:rPr>
          <w:rFonts w:asciiTheme="majorBidi" w:eastAsia="Times New Roman" w:hAnsiTheme="majorBidi"/>
          <w:sz w:val="22"/>
          <w:szCs w:val="22"/>
          <w:lang w:bidi="he-IL"/>
        </w:rPr>
        <w:t xml:space="preserve"> </w:t>
      </w:r>
      <w:hyperlink r:id="rId12" w:history="1">
        <w:r w:rsidRPr="00F67B28">
          <w:rPr>
            <w:rStyle w:val="Hyperlink"/>
            <w:sz w:val="22"/>
            <w:szCs w:val="22"/>
          </w:rPr>
          <w:t>https://www.adb.org/publications/ado-supplement-june-2020</w:t>
        </w:r>
      </w:hyperlink>
    </w:p>
    <w:p w:rsidR="00EC6AA7" w:rsidRPr="00F67B28" w:rsidRDefault="00EC6AA7" w:rsidP="00F67B28">
      <w:pPr>
        <w:widowControl w:val="0"/>
        <w:spacing w:after="200" w:line="240" w:lineRule="auto"/>
        <w:ind w:left="567" w:hanging="567"/>
        <w:jc w:val="both"/>
        <w:rPr>
          <w:rFonts w:asciiTheme="majorBidi" w:eastAsia="Times New Roman" w:hAnsiTheme="majorBidi"/>
          <w:sz w:val="22"/>
          <w:szCs w:val="22"/>
          <w:lang w:bidi="he-IL"/>
        </w:rPr>
      </w:pPr>
      <w:proofErr w:type="spellStart"/>
      <w:r w:rsidRPr="00F67B28">
        <w:rPr>
          <w:rFonts w:asciiTheme="majorBidi" w:eastAsia="Times New Roman" w:hAnsiTheme="majorBidi"/>
          <w:sz w:val="22"/>
          <w:szCs w:val="22"/>
          <w:lang w:bidi="he-IL"/>
        </w:rPr>
        <w:t>Duan</w:t>
      </w:r>
      <w:proofErr w:type="spellEnd"/>
      <w:r w:rsidRPr="00F67B28">
        <w:rPr>
          <w:rFonts w:asciiTheme="majorBidi" w:eastAsia="Times New Roman" w:hAnsiTheme="majorBidi"/>
          <w:sz w:val="22"/>
          <w:szCs w:val="22"/>
          <w:lang w:bidi="he-IL"/>
        </w:rPr>
        <w:t>, N. 1983. Smearing estimate: a nonparametric retransformation method. </w:t>
      </w:r>
      <w:r w:rsidRPr="00F67B28">
        <w:rPr>
          <w:rFonts w:asciiTheme="majorBidi" w:eastAsia="Times New Roman" w:hAnsiTheme="majorBidi"/>
          <w:i/>
          <w:iCs/>
          <w:sz w:val="22"/>
          <w:szCs w:val="22"/>
          <w:lang w:bidi="he-IL"/>
        </w:rPr>
        <w:t>Journal of the American Statistical Association</w:t>
      </w:r>
      <w:r w:rsidRPr="00F67B28">
        <w:rPr>
          <w:rFonts w:asciiTheme="majorBidi" w:eastAsia="Times New Roman" w:hAnsiTheme="majorBidi"/>
          <w:sz w:val="22"/>
          <w:szCs w:val="22"/>
          <w:lang w:bidi="he-IL"/>
        </w:rPr>
        <w:t>, </w:t>
      </w:r>
      <w:r w:rsidRPr="00F67B28">
        <w:rPr>
          <w:rFonts w:asciiTheme="majorBidi" w:eastAsia="Times New Roman" w:hAnsiTheme="majorBidi"/>
          <w:i/>
          <w:iCs/>
          <w:sz w:val="22"/>
          <w:szCs w:val="22"/>
          <w:lang w:bidi="he-IL"/>
        </w:rPr>
        <w:t>78</w:t>
      </w:r>
      <w:r w:rsidRPr="00F67B28">
        <w:rPr>
          <w:rFonts w:asciiTheme="majorBidi" w:eastAsia="Times New Roman" w:hAnsiTheme="majorBidi"/>
          <w:sz w:val="22"/>
          <w:szCs w:val="22"/>
          <w:lang w:bidi="he-IL"/>
        </w:rPr>
        <w:t>(383): 605-610.</w:t>
      </w:r>
    </w:p>
    <w:p w:rsidR="00F56C2F" w:rsidRPr="00F67B28" w:rsidRDefault="00923A3D" w:rsidP="00F67B28">
      <w:pPr>
        <w:widowControl w:val="0"/>
        <w:spacing w:after="200" w:line="240" w:lineRule="auto"/>
        <w:ind w:left="567" w:hanging="567"/>
        <w:jc w:val="both"/>
        <w:rPr>
          <w:rFonts w:asciiTheme="majorBidi" w:eastAsia="Times New Roman" w:hAnsiTheme="majorBidi" w:cstheme="majorBidi"/>
          <w:sz w:val="22"/>
          <w:szCs w:val="22"/>
          <w:lang w:bidi="he-IL"/>
        </w:rPr>
      </w:pPr>
      <w:proofErr w:type="spellStart"/>
      <w:r w:rsidRPr="00F67B28">
        <w:rPr>
          <w:rFonts w:asciiTheme="majorBidi" w:eastAsia="Times New Roman" w:hAnsiTheme="majorBidi" w:cstheme="majorBidi"/>
          <w:sz w:val="22"/>
          <w:szCs w:val="22"/>
          <w:lang w:bidi="he-IL"/>
        </w:rPr>
        <w:t>Geoghegan</w:t>
      </w:r>
      <w:proofErr w:type="spellEnd"/>
      <w:r w:rsidRPr="00F67B28">
        <w:rPr>
          <w:rFonts w:asciiTheme="majorBidi" w:eastAsia="Times New Roman" w:hAnsiTheme="majorBidi" w:cstheme="majorBidi"/>
          <w:sz w:val="22"/>
          <w:szCs w:val="22"/>
          <w:lang w:bidi="he-IL"/>
        </w:rPr>
        <w:t xml:space="preserve">, J., Ren, X., Storey, M., Hadfield, J. and 17 others. 2020. Genomic epidemiology reveals transmission patterns and dynamics of SARS-CoV-2 in </w:t>
      </w:r>
      <w:proofErr w:type="spellStart"/>
      <w:r w:rsidRPr="00F67B28">
        <w:rPr>
          <w:rFonts w:asciiTheme="majorBidi" w:eastAsia="Times New Roman" w:hAnsiTheme="majorBidi" w:cstheme="majorBidi"/>
          <w:sz w:val="22"/>
          <w:szCs w:val="22"/>
          <w:lang w:bidi="he-IL"/>
        </w:rPr>
        <w:t>Aotearoa</w:t>
      </w:r>
      <w:proofErr w:type="spellEnd"/>
      <w:r w:rsidRPr="00F67B28">
        <w:rPr>
          <w:rFonts w:asciiTheme="majorBidi" w:eastAsia="Times New Roman" w:hAnsiTheme="majorBidi" w:cstheme="majorBidi"/>
          <w:sz w:val="22"/>
          <w:szCs w:val="22"/>
          <w:lang w:bidi="he-IL"/>
        </w:rPr>
        <w:t xml:space="preserve"> New Zealand. </w:t>
      </w:r>
      <w:proofErr w:type="spellStart"/>
      <w:r w:rsidRPr="00F67B28">
        <w:rPr>
          <w:rFonts w:asciiTheme="majorBidi" w:eastAsia="Times New Roman" w:hAnsiTheme="majorBidi" w:cstheme="majorBidi"/>
          <w:i/>
          <w:iCs/>
          <w:sz w:val="22"/>
          <w:szCs w:val="22"/>
          <w:lang w:bidi="he-IL"/>
        </w:rPr>
        <w:t>medRxiv</w:t>
      </w:r>
      <w:proofErr w:type="spellEnd"/>
      <w:r w:rsidRPr="00F67B28">
        <w:rPr>
          <w:rFonts w:asciiTheme="majorBidi" w:eastAsia="Times New Roman" w:hAnsiTheme="majorBidi" w:cstheme="majorBidi"/>
          <w:sz w:val="22"/>
          <w:szCs w:val="22"/>
          <w:lang w:bidi="he-IL"/>
        </w:rPr>
        <w:t xml:space="preserve">. </w:t>
      </w:r>
      <w:hyperlink r:id="rId13" w:history="1">
        <w:r w:rsidRPr="00F67B28">
          <w:rPr>
            <w:rStyle w:val="Hyperlink"/>
            <w:rFonts w:asciiTheme="majorBidi" w:eastAsia="Times New Roman" w:hAnsiTheme="majorBidi" w:cstheme="majorBidi"/>
            <w:sz w:val="22"/>
            <w:szCs w:val="22"/>
            <w:lang w:bidi="he-IL"/>
          </w:rPr>
          <w:t>https://doi.org/10.1101/2020.08.05.20168930</w:t>
        </w:r>
      </w:hyperlink>
      <w:r w:rsidRPr="00F67B28">
        <w:rPr>
          <w:rFonts w:asciiTheme="majorBidi" w:eastAsia="Times New Roman" w:hAnsiTheme="majorBidi" w:cstheme="majorBidi"/>
          <w:sz w:val="22"/>
          <w:szCs w:val="22"/>
          <w:lang w:bidi="he-IL"/>
        </w:rPr>
        <w:t xml:space="preserve"> </w:t>
      </w:r>
    </w:p>
    <w:p w:rsidR="006E1A33" w:rsidRPr="00F67B28" w:rsidRDefault="006E1A33" w:rsidP="00F67B28">
      <w:pPr>
        <w:widowControl w:val="0"/>
        <w:spacing w:after="200" w:line="240" w:lineRule="auto"/>
        <w:ind w:left="567" w:hanging="567"/>
        <w:jc w:val="both"/>
        <w:rPr>
          <w:rFonts w:asciiTheme="majorBidi" w:eastAsia="Times New Roman" w:hAnsiTheme="majorBidi" w:cstheme="majorBidi"/>
          <w:sz w:val="22"/>
          <w:szCs w:val="22"/>
          <w:lang w:bidi="he-IL"/>
        </w:rPr>
      </w:pPr>
      <w:r w:rsidRPr="00F67B28">
        <w:rPr>
          <w:rFonts w:asciiTheme="majorBidi" w:eastAsia="Times New Roman" w:hAnsiTheme="majorBidi" w:cstheme="majorBidi"/>
          <w:sz w:val="22"/>
          <w:szCs w:val="22"/>
          <w:lang w:bidi="he-IL"/>
        </w:rPr>
        <w:t xml:space="preserve">Gibson, J. 2020. Government Mandated Lockdowns Do Not Reduce Covid-19 Deaths: Implications for Evaluating the Stringent New Zealand Response. </w:t>
      </w:r>
      <w:r w:rsidRPr="00F67B28">
        <w:rPr>
          <w:rFonts w:asciiTheme="majorBidi" w:eastAsia="Times New Roman" w:hAnsiTheme="majorBidi" w:cstheme="majorBidi"/>
          <w:i/>
          <w:iCs/>
          <w:sz w:val="22"/>
          <w:szCs w:val="22"/>
          <w:lang w:bidi="he-IL"/>
        </w:rPr>
        <w:t xml:space="preserve">Working Paper </w:t>
      </w:r>
      <w:r w:rsidRPr="00F67B28">
        <w:rPr>
          <w:rFonts w:asciiTheme="majorBidi" w:eastAsia="Times New Roman" w:hAnsiTheme="majorBidi" w:cstheme="majorBidi"/>
          <w:sz w:val="22"/>
          <w:szCs w:val="22"/>
          <w:lang w:bidi="he-IL"/>
        </w:rPr>
        <w:t>No.</w:t>
      </w:r>
      <w:r w:rsidR="00EC6AA7" w:rsidRPr="00F67B28">
        <w:rPr>
          <w:rFonts w:asciiTheme="majorBidi" w:eastAsia="Times New Roman" w:hAnsiTheme="majorBidi" w:cstheme="majorBidi"/>
          <w:sz w:val="22"/>
          <w:szCs w:val="22"/>
          <w:lang w:bidi="he-IL"/>
        </w:rPr>
        <w:t> </w:t>
      </w:r>
      <w:r w:rsidRPr="00F67B28">
        <w:rPr>
          <w:rFonts w:asciiTheme="majorBidi" w:eastAsia="Times New Roman" w:hAnsiTheme="majorBidi" w:cstheme="majorBidi"/>
          <w:sz w:val="22"/>
          <w:szCs w:val="22"/>
          <w:lang w:bidi="he-IL"/>
        </w:rPr>
        <w:t>20/06, Department of Economics, University of Waikato.</w:t>
      </w:r>
      <w:r w:rsidR="00B22682" w:rsidRPr="00F67B28">
        <w:rPr>
          <w:rFonts w:asciiTheme="majorBidi" w:eastAsia="Times New Roman" w:hAnsiTheme="majorBidi" w:cstheme="majorBidi"/>
          <w:sz w:val="22"/>
          <w:szCs w:val="22"/>
          <w:lang w:bidi="he-IL"/>
        </w:rPr>
        <w:t xml:space="preserve"> </w:t>
      </w:r>
      <w:hyperlink r:id="rId14" w:history="1">
        <w:r w:rsidR="00B22682" w:rsidRPr="00F67B28">
          <w:rPr>
            <w:rStyle w:val="Hyperlink"/>
            <w:sz w:val="22"/>
            <w:szCs w:val="22"/>
          </w:rPr>
          <w:t>https://ideas.repec.org/p/wai/econwp/20-06.html</w:t>
        </w:r>
      </w:hyperlink>
    </w:p>
    <w:p w:rsidR="00851883" w:rsidRPr="00F67B28" w:rsidRDefault="00851883" w:rsidP="00F67B28">
      <w:pPr>
        <w:widowControl w:val="0"/>
        <w:spacing w:after="200" w:line="240" w:lineRule="auto"/>
        <w:ind w:left="567" w:hanging="567"/>
        <w:jc w:val="both"/>
        <w:rPr>
          <w:rFonts w:asciiTheme="majorBidi" w:eastAsia="Times New Roman" w:hAnsiTheme="majorBidi" w:cstheme="majorBidi"/>
          <w:sz w:val="22"/>
          <w:szCs w:val="22"/>
          <w:lang w:bidi="he-IL"/>
        </w:rPr>
      </w:pPr>
      <w:r w:rsidRPr="00F67B28">
        <w:rPr>
          <w:rFonts w:asciiTheme="majorBidi" w:eastAsia="Times New Roman" w:hAnsiTheme="majorBidi" w:cstheme="majorBidi"/>
          <w:sz w:val="22"/>
          <w:szCs w:val="22"/>
          <w:lang w:bidi="he-IL"/>
        </w:rPr>
        <w:t xml:space="preserve">Hale, T., Webster, S., Petherick, A., Phillips, T. and Kira B. 2020. </w:t>
      </w:r>
      <w:r w:rsidRPr="00F67B28">
        <w:rPr>
          <w:rFonts w:asciiTheme="majorBidi" w:eastAsia="Times New Roman" w:hAnsiTheme="majorBidi" w:cstheme="majorBidi"/>
          <w:i/>
          <w:iCs/>
          <w:sz w:val="22"/>
          <w:szCs w:val="22"/>
          <w:lang w:bidi="he-IL"/>
        </w:rPr>
        <w:t>Oxford COVID-19 Government Response Tracker</w:t>
      </w:r>
      <w:r w:rsidRPr="00F67B28">
        <w:rPr>
          <w:rFonts w:asciiTheme="majorBidi" w:eastAsia="Times New Roman" w:hAnsiTheme="majorBidi" w:cstheme="majorBidi"/>
          <w:sz w:val="22"/>
          <w:szCs w:val="22"/>
          <w:lang w:bidi="he-IL"/>
        </w:rPr>
        <w:t xml:space="preserve">, </w:t>
      </w:r>
      <w:proofErr w:type="spellStart"/>
      <w:r w:rsidRPr="00F67B28">
        <w:rPr>
          <w:rFonts w:asciiTheme="majorBidi" w:eastAsia="Times New Roman" w:hAnsiTheme="majorBidi" w:cstheme="majorBidi"/>
          <w:sz w:val="22"/>
          <w:szCs w:val="22"/>
          <w:lang w:bidi="he-IL"/>
        </w:rPr>
        <w:t>Blavatnik</w:t>
      </w:r>
      <w:proofErr w:type="spellEnd"/>
      <w:r w:rsidRPr="00F67B28">
        <w:rPr>
          <w:rFonts w:asciiTheme="majorBidi" w:eastAsia="Times New Roman" w:hAnsiTheme="majorBidi" w:cstheme="majorBidi"/>
          <w:sz w:val="22"/>
          <w:szCs w:val="22"/>
          <w:lang w:bidi="he-IL"/>
        </w:rPr>
        <w:t xml:space="preserve"> School of Government.</w:t>
      </w:r>
    </w:p>
    <w:p w:rsidR="001358D4" w:rsidRPr="00F67B28" w:rsidRDefault="001358D4" w:rsidP="00F67B28">
      <w:pPr>
        <w:widowControl w:val="0"/>
        <w:spacing w:after="200" w:line="240" w:lineRule="auto"/>
        <w:ind w:left="567" w:hanging="567"/>
        <w:jc w:val="both"/>
        <w:rPr>
          <w:rFonts w:asciiTheme="majorBidi" w:eastAsia="Times New Roman" w:hAnsiTheme="majorBidi" w:cstheme="majorBidi"/>
          <w:sz w:val="22"/>
          <w:szCs w:val="22"/>
          <w:lang w:bidi="he-IL"/>
        </w:rPr>
      </w:pPr>
      <w:proofErr w:type="spellStart"/>
      <w:r w:rsidRPr="00F67B28">
        <w:rPr>
          <w:rFonts w:asciiTheme="majorBidi" w:eastAsia="Times New Roman" w:hAnsiTheme="majorBidi" w:cstheme="majorBidi"/>
          <w:sz w:val="22"/>
          <w:szCs w:val="22"/>
          <w:lang w:bidi="he-IL"/>
        </w:rPr>
        <w:t>Heneghan</w:t>
      </w:r>
      <w:proofErr w:type="spellEnd"/>
      <w:r w:rsidRPr="00F67B28">
        <w:rPr>
          <w:rFonts w:asciiTheme="majorBidi" w:eastAsia="Times New Roman" w:hAnsiTheme="majorBidi" w:cstheme="majorBidi"/>
          <w:sz w:val="22"/>
          <w:szCs w:val="22"/>
          <w:lang w:bidi="he-IL"/>
        </w:rPr>
        <w:t xml:space="preserve">, C. and Jefferson, T. 2020. COVID-19: William Farr’s way out of the Pandemic. Centre for Evidence-Based Medicine, University of Oxford. </w:t>
      </w:r>
      <w:hyperlink r:id="rId15" w:history="1">
        <w:r w:rsidRPr="00F67B28">
          <w:rPr>
            <w:rStyle w:val="Hyperlink"/>
            <w:sz w:val="22"/>
            <w:szCs w:val="22"/>
          </w:rPr>
          <w:t>https://www.cebm.net/covid-19/covid-19-william-farrs-way-out-of-the-pandemic/</w:t>
        </w:r>
      </w:hyperlink>
    </w:p>
    <w:p w:rsidR="00F65609" w:rsidRPr="00F67B28" w:rsidRDefault="00F65609" w:rsidP="00F67B28">
      <w:pPr>
        <w:widowControl w:val="0"/>
        <w:spacing w:after="200" w:line="240" w:lineRule="auto"/>
        <w:ind w:left="567" w:hanging="567"/>
        <w:jc w:val="both"/>
        <w:rPr>
          <w:rFonts w:asciiTheme="majorBidi" w:eastAsia="Times New Roman" w:hAnsiTheme="majorBidi" w:cstheme="majorBidi"/>
          <w:sz w:val="22"/>
          <w:szCs w:val="22"/>
          <w:lang w:val="de-DE" w:bidi="he-IL"/>
        </w:rPr>
      </w:pPr>
      <w:r w:rsidRPr="00F67B28">
        <w:rPr>
          <w:rFonts w:asciiTheme="majorBidi" w:eastAsia="Times New Roman" w:hAnsiTheme="majorBidi" w:cstheme="majorBidi"/>
          <w:sz w:val="22"/>
          <w:szCs w:val="22"/>
          <w:lang w:bidi="he-IL"/>
        </w:rPr>
        <w:t xml:space="preserve">Homburg, S., 2020. Effectiveness of Corona Lockdowns: Evidence for a Number of Countries. </w:t>
      </w:r>
      <w:r w:rsidRPr="00F67B28">
        <w:rPr>
          <w:rFonts w:asciiTheme="majorBidi" w:eastAsia="Times New Roman" w:hAnsiTheme="majorBidi" w:cstheme="majorBidi"/>
          <w:i/>
          <w:iCs/>
          <w:sz w:val="22"/>
          <w:szCs w:val="22"/>
          <w:lang w:val="de-DE" w:bidi="he-IL"/>
        </w:rPr>
        <w:t>Hannover Economic Papers</w:t>
      </w:r>
      <w:r w:rsidRPr="00F67B28">
        <w:rPr>
          <w:rFonts w:asciiTheme="majorBidi" w:eastAsia="Times New Roman" w:hAnsiTheme="majorBidi" w:cstheme="majorBidi"/>
          <w:sz w:val="22"/>
          <w:szCs w:val="22"/>
          <w:lang w:val="de-DE" w:bidi="he-IL"/>
        </w:rPr>
        <w:t> No. dp-671. Leibniz Universität Hannover, Wirtschafts</w:t>
      </w:r>
      <w:r w:rsidR="00F67B28">
        <w:rPr>
          <w:rFonts w:asciiTheme="majorBidi" w:eastAsia="Times New Roman" w:hAnsiTheme="majorBidi" w:cstheme="majorBidi"/>
          <w:sz w:val="22"/>
          <w:szCs w:val="22"/>
          <w:lang w:val="de-DE" w:bidi="he-IL"/>
        </w:rPr>
        <w:t>-</w:t>
      </w:r>
      <w:r w:rsidRPr="00F67B28">
        <w:rPr>
          <w:rFonts w:asciiTheme="majorBidi" w:eastAsia="Times New Roman" w:hAnsiTheme="majorBidi" w:cstheme="majorBidi"/>
          <w:sz w:val="22"/>
          <w:szCs w:val="22"/>
          <w:lang w:val="de-DE" w:bidi="he-IL"/>
        </w:rPr>
        <w:t>wissenschaftliche Fakultät.</w:t>
      </w:r>
    </w:p>
    <w:p w:rsidR="009C0D82" w:rsidRPr="00713B6B" w:rsidRDefault="009C0D82" w:rsidP="00F67B28">
      <w:pPr>
        <w:widowControl w:val="0"/>
        <w:spacing w:after="200" w:line="240" w:lineRule="auto"/>
        <w:ind w:left="567" w:hanging="567"/>
        <w:jc w:val="both"/>
        <w:rPr>
          <w:rFonts w:asciiTheme="majorBidi" w:eastAsia="Times New Roman" w:hAnsiTheme="majorBidi" w:cstheme="majorBidi"/>
          <w:sz w:val="22"/>
          <w:szCs w:val="22"/>
          <w:lang w:bidi="he-IL"/>
        </w:rPr>
      </w:pPr>
      <w:r w:rsidRPr="007B7AAE">
        <w:rPr>
          <w:rFonts w:asciiTheme="majorBidi" w:eastAsia="Times New Roman" w:hAnsiTheme="majorBidi" w:cstheme="majorBidi"/>
          <w:sz w:val="22"/>
          <w:szCs w:val="22"/>
          <w:lang w:val="de-DE" w:bidi="he-IL"/>
        </w:rPr>
        <w:t xml:space="preserve">Infometrics. 2020. Media Release 24 July, 2020. </w:t>
      </w:r>
      <w:hyperlink r:id="rId16" w:history="1">
        <w:r w:rsidRPr="00713B6B">
          <w:rPr>
            <w:rStyle w:val="Hyperlink"/>
            <w:sz w:val="22"/>
            <w:szCs w:val="22"/>
          </w:rPr>
          <w:t>https://www.infometrics.co.nz/media-release-economic-fall-out-of-covid-19-to-be-fully-felt-in-2021/</w:t>
        </w:r>
      </w:hyperlink>
    </w:p>
    <w:p w:rsidR="00763D6E" w:rsidRPr="00F67B28" w:rsidRDefault="009C0D82" w:rsidP="00F67B28">
      <w:pPr>
        <w:widowControl w:val="0"/>
        <w:spacing w:after="200" w:line="240" w:lineRule="auto"/>
        <w:ind w:left="567" w:hanging="567"/>
        <w:jc w:val="both"/>
        <w:rPr>
          <w:rFonts w:asciiTheme="majorBidi" w:eastAsia="Times New Roman" w:hAnsiTheme="majorBidi" w:cstheme="majorBidi"/>
          <w:sz w:val="22"/>
          <w:szCs w:val="22"/>
          <w:lang w:bidi="he-IL"/>
        </w:rPr>
      </w:pPr>
      <w:r w:rsidRPr="00F67B28">
        <w:rPr>
          <w:rFonts w:asciiTheme="majorBidi" w:eastAsia="Times New Roman" w:hAnsiTheme="majorBidi" w:cstheme="majorBidi"/>
          <w:sz w:val="22"/>
          <w:szCs w:val="22"/>
          <w:lang w:bidi="he-IL"/>
        </w:rPr>
        <w:t>Ioannidis, J. 2020</w:t>
      </w:r>
      <w:r w:rsidR="006E1A33" w:rsidRPr="00F67B28">
        <w:rPr>
          <w:rFonts w:asciiTheme="majorBidi" w:eastAsia="Times New Roman" w:hAnsiTheme="majorBidi" w:cstheme="majorBidi"/>
          <w:sz w:val="22"/>
          <w:szCs w:val="22"/>
          <w:lang w:bidi="he-IL"/>
        </w:rPr>
        <w:t xml:space="preserve">. The Infection Fatality Rate of COVID-19 Inferred from </w:t>
      </w:r>
      <w:proofErr w:type="spellStart"/>
      <w:r w:rsidR="006E1A33" w:rsidRPr="00F67B28">
        <w:rPr>
          <w:rFonts w:asciiTheme="majorBidi" w:eastAsia="Times New Roman" w:hAnsiTheme="majorBidi" w:cstheme="majorBidi"/>
          <w:sz w:val="22"/>
          <w:szCs w:val="22"/>
          <w:lang w:bidi="he-IL"/>
        </w:rPr>
        <w:t>Seroprevalence</w:t>
      </w:r>
      <w:proofErr w:type="spellEnd"/>
      <w:r w:rsidR="006E1A33" w:rsidRPr="00F67B28">
        <w:rPr>
          <w:rFonts w:asciiTheme="majorBidi" w:eastAsia="Times New Roman" w:hAnsiTheme="majorBidi" w:cstheme="majorBidi"/>
          <w:sz w:val="22"/>
          <w:szCs w:val="22"/>
          <w:lang w:bidi="he-IL"/>
        </w:rPr>
        <w:t xml:space="preserve"> D</w:t>
      </w:r>
      <w:r w:rsidR="00763D6E" w:rsidRPr="00F67B28">
        <w:rPr>
          <w:rFonts w:asciiTheme="majorBidi" w:eastAsia="Times New Roman" w:hAnsiTheme="majorBidi" w:cstheme="majorBidi"/>
          <w:sz w:val="22"/>
          <w:szCs w:val="22"/>
          <w:lang w:bidi="he-IL"/>
        </w:rPr>
        <w:t>ata. </w:t>
      </w:r>
      <w:proofErr w:type="spellStart"/>
      <w:r w:rsidR="00763D6E" w:rsidRPr="00F67B28">
        <w:rPr>
          <w:rFonts w:asciiTheme="majorBidi" w:eastAsia="Times New Roman" w:hAnsiTheme="majorBidi" w:cstheme="majorBidi"/>
          <w:i/>
          <w:iCs/>
          <w:sz w:val="22"/>
          <w:szCs w:val="22"/>
          <w:lang w:bidi="he-IL"/>
        </w:rPr>
        <w:t>medRxiv</w:t>
      </w:r>
      <w:proofErr w:type="spellEnd"/>
      <w:r w:rsidR="00763D6E" w:rsidRPr="00F67B28">
        <w:rPr>
          <w:rFonts w:asciiTheme="majorBidi" w:eastAsia="Times New Roman" w:hAnsiTheme="majorBidi" w:cstheme="majorBidi"/>
          <w:sz w:val="22"/>
          <w:szCs w:val="22"/>
          <w:lang w:bidi="he-IL"/>
        </w:rPr>
        <w:t xml:space="preserve">. </w:t>
      </w:r>
      <w:hyperlink r:id="rId17" w:history="1">
        <w:r w:rsidR="00763D6E" w:rsidRPr="00F67B28">
          <w:rPr>
            <w:rStyle w:val="Hyperlink"/>
            <w:rFonts w:asciiTheme="majorBidi" w:eastAsia="Times New Roman" w:hAnsiTheme="majorBidi" w:cstheme="majorBidi"/>
            <w:sz w:val="22"/>
            <w:szCs w:val="22"/>
            <w:lang w:bidi="he-IL"/>
          </w:rPr>
          <w:t>https://doi.org/10.1101/2020.05.13.20101253</w:t>
        </w:r>
      </w:hyperlink>
      <w:r w:rsidR="00763D6E" w:rsidRPr="00F67B28">
        <w:rPr>
          <w:rFonts w:asciiTheme="majorBidi" w:eastAsia="Times New Roman" w:hAnsiTheme="majorBidi" w:cstheme="majorBidi"/>
          <w:sz w:val="22"/>
          <w:szCs w:val="22"/>
          <w:lang w:bidi="he-IL"/>
        </w:rPr>
        <w:t xml:space="preserve"> </w:t>
      </w:r>
    </w:p>
    <w:p w:rsidR="00F67B28" w:rsidRDefault="00D96F7E" w:rsidP="00F67B28">
      <w:pPr>
        <w:widowControl w:val="0"/>
        <w:spacing w:after="0" w:line="240" w:lineRule="auto"/>
        <w:ind w:left="567" w:hanging="567"/>
        <w:jc w:val="both"/>
        <w:rPr>
          <w:rFonts w:asciiTheme="majorBidi" w:eastAsia="Times New Roman" w:hAnsiTheme="majorBidi" w:cstheme="majorBidi"/>
          <w:sz w:val="22"/>
          <w:szCs w:val="22"/>
          <w:lang w:bidi="he-IL"/>
        </w:rPr>
      </w:pPr>
      <w:proofErr w:type="spellStart"/>
      <w:r w:rsidRPr="00F67B28">
        <w:rPr>
          <w:rFonts w:asciiTheme="majorBidi" w:eastAsia="Times New Roman" w:hAnsiTheme="majorBidi" w:cstheme="majorBidi"/>
          <w:sz w:val="22"/>
          <w:szCs w:val="22"/>
          <w:lang w:bidi="he-IL"/>
        </w:rPr>
        <w:t>Sebhatu</w:t>
      </w:r>
      <w:proofErr w:type="spellEnd"/>
      <w:r w:rsidRPr="00F67B28">
        <w:rPr>
          <w:rFonts w:asciiTheme="majorBidi" w:eastAsia="Times New Roman" w:hAnsiTheme="majorBidi" w:cstheme="majorBidi"/>
          <w:sz w:val="22"/>
          <w:szCs w:val="22"/>
          <w:lang w:bidi="he-IL"/>
        </w:rPr>
        <w:t xml:space="preserve">, A., </w:t>
      </w:r>
      <w:proofErr w:type="spellStart"/>
      <w:r w:rsidRPr="00F67B28">
        <w:rPr>
          <w:rFonts w:asciiTheme="majorBidi" w:eastAsia="Times New Roman" w:hAnsiTheme="majorBidi" w:cstheme="majorBidi"/>
          <w:sz w:val="22"/>
          <w:szCs w:val="22"/>
          <w:lang w:bidi="he-IL"/>
        </w:rPr>
        <w:t>Wennberg</w:t>
      </w:r>
      <w:proofErr w:type="spellEnd"/>
      <w:r w:rsidRPr="00F67B28">
        <w:rPr>
          <w:rFonts w:asciiTheme="majorBidi" w:eastAsia="Times New Roman" w:hAnsiTheme="majorBidi" w:cstheme="majorBidi"/>
          <w:sz w:val="22"/>
          <w:szCs w:val="22"/>
          <w:lang w:bidi="he-IL"/>
        </w:rPr>
        <w:t>, K., Aror</w:t>
      </w:r>
      <w:r w:rsidR="00D3266D" w:rsidRPr="00F67B28">
        <w:rPr>
          <w:rFonts w:asciiTheme="majorBidi" w:eastAsia="Times New Roman" w:hAnsiTheme="majorBidi" w:cstheme="majorBidi"/>
          <w:sz w:val="22"/>
          <w:szCs w:val="22"/>
          <w:lang w:bidi="he-IL"/>
        </w:rPr>
        <w:t>a-</w:t>
      </w:r>
      <w:proofErr w:type="spellStart"/>
      <w:r w:rsidR="00D3266D" w:rsidRPr="00F67B28">
        <w:rPr>
          <w:rFonts w:asciiTheme="majorBidi" w:eastAsia="Times New Roman" w:hAnsiTheme="majorBidi" w:cstheme="majorBidi"/>
          <w:sz w:val="22"/>
          <w:szCs w:val="22"/>
          <w:lang w:bidi="he-IL"/>
        </w:rPr>
        <w:t>Jonsson</w:t>
      </w:r>
      <w:proofErr w:type="spellEnd"/>
      <w:r w:rsidR="00D3266D" w:rsidRPr="00F67B28">
        <w:rPr>
          <w:rFonts w:asciiTheme="majorBidi" w:eastAsia="Times New Roman" w:hAnsiTheme="majorBidi" w:cstheme="majorBidi"/>
          <w:sz w:val="22"/>
          <w:szCs w:val="22"/>
          <w:lang w:bidi="he-IL"/>
        </w:rPr>
        <w:t>, S. and Lindberg, S.</w:t>
      </w:r>
      <w:r w:rsidRPr="00F67B28">
        <w:rPr>
          <w:rFonts w:asciiTheme="majorBidi" w:eastAsia="Times New Roman" w:hAnsiTheme="majorBidi" w:cstheme="majorBidi"/>
          <w:sz w:val="22"/>
          <w:szCs w:val="22"/>
          <w:lang w:bidi="he-IL"/>
        </w:rPr>
        <w:t xml:space="preserve">, 2020. Explaining the homogeneous diffusion of COVID-19 </w:t>
      </w:r>
      <w:proofErr w:type="spellStart"/>
      <w:r w:rsidRPr="00F67B28">
        <w:rPr>
          <w:rFonts w:asciiTheme="majorBidi" w:eastAsia="Times New Roman" w:hAnsiTheme="majorBidi" w:cstheme="majorBidi"/>
          <w:sz w:val="22"/>
          <w:szCs w:val="22"/>
          <w:lang w:bidi="he-IL"/>
        </w:rPr>
        <w:t>nonpharmaceutical</w:t>
      </w:r>
      <w:proofErr w:type="spellEnd"/>
      <w:r w:rsidRPr="00F67B28">
        <w:rPr>
          <w:rFonts w:asciiTheme="majorBidi" w:eastAsia="Times New Roman" w:hAnsiTheme="majorBidi" w:cstheme="majorBidi"/>
          <w:sz w:val="22"/>
          <w:szCs w:val="22"/>
          <w:lang w:bidi="he-IL"/>
        </w:rPr>
        <w:t xml:space="preserve"> interventions across heterogeneous countries. </w:t>
      </w:r>
      <w:r w:rsidR="00F67B28">
        <w:rPr>
          <w:rFonts w:asciiTheme="majorBidi" w:eastAsia="Times New Roman" w:hAnsiTheme="majorBidi" w:cstheme="majorBidi"/>
          <w:sz w:val="22"/>
          <w:szCs w:val="22"/>
          <w:lang w:bidi="he-IL"/>
        </w:rPr>
        <w:t xml:space="preserve"> </w:t>
      </w:r>
      <w:r w:rsidRPr="00F67B28">
        <w:rPr>
          <w:rFonts w:asciiTheme="majorBidi" w:eastAsia="Times New Roman" w:hAnsiTheme="majorBidi" w:cstheme="majorBidi"/>
          <w:i/>
          <w:iCs/>
          <w:sz w:val="22"/>
          <w:szCs w:val="22"/>
          <w:lang w:bidi="he-IL"/>
        </w:rPr>
        <w:t>Proceedings of the National Academy of Sciences</w:t>
      </w:r>
      <w:r w:rsidRPr="00F67B28">
        <w:rPr>
          <w:rFonts w:asciiTheme="majorBidi" w:eastAsia="Times New Roman" w:hAnsiTheme="majorBidi" w:cstheme="majorBidi"/>
          <w:sz w:val="22"/>
          <w:szCs w:val="22"/>
          <w:lang w:bidi="he-IL"/>
        </w:rPr>
        <w:t>.</w:t>
      </w:r>
    </w:p>
    <w:p w:rsidR="00D96F7E" w:rsidRPr="00F67B28" w:rsidRDefault="00F67B28" w:rsidP="00F67B28">
      <w:pPr>
        <w:widowControl w:val="0"/>
        <w:spacing w:after="200" w:line="240" w:lineRule="auto"/>
        <w:ind w:left="567" w:hanging="567"/>
        <w:jc w:val="both"/>
        <w:rPr>
          <w:rFonts w:asciiTheme="majorBidi" w:eastAsia="Times New Roman" w:hAnsiTheme="majorBidi" w:cstheme="majorBidi"/>
          <w:sz w:val="22"/>
          <w:szCs w:val="22"/>
          <w:lang w:bidi="he-IL"/>
        </w:rPr>
      </w:pPr>
      <w:r>
        <w:rPr>
          <w:rFonts w:asciiTheme="majorBidi" w:eastAsia="Times New Roman" w:hAnsiTheme="majorBidi" w:cstheme="majorBidi"/>
          <w:sz w:val="22"/>
          <w:szCs w:val="22"/>
          <w:lang w:bidi="he-IL"/>
        </w:rPr>
        <w:tab/>
      </w:r>
      <w:r w:rsidR="00D3266D" w:rsidRPr="00F67B28">
        <w:rPr>
          <w:rFonts w:asciiTheme="majorBidi" w:eastAsia="Times New Roman" w:hAnsiTheme="majorBidi" w:cstheme="majorBidi"/>
          <w:sz w:val="22"/>
          <w:szCs w:val="22"/>
          <w:lang w:bidi="he-IL"/>
        </w:rPr>
        <w:t xml:space="preserve"> </w:t>
      </w:r>
      <w:hyperlink r:id="rId18" w:history="1">
        <w:r w:rsidR="00D3266D" w:rsidRPr="00F67B28">
          <w:rPr>
            <w:rStyle w:val="Hyperlink"/>
            <w:sz w:val="22"/>
            <w:szCs w:val="22"/>
          </w:rPr>
          <w:t>https://www.pnas.org/content/early/2020/08/10/2010625117</w:t>
        </w:r>
      </w:hyperlink>
    </w:p>
    <w:p w:rsidR="006E1A33" w:rsidRPr="00F67B28" w:rsidRDefault="00821D4F" w:rsidP="00F67B28">
      <w:pPr>
        <w:widowControl w:val="0"/>
        <w:spacing w:after="200" w:line="240" w:lineRule="auto"/>
        <w:ind w:left="567" w:hanging="567"/>
        <w:jc w:val="both"/>
        <w:rPr>
          <w:rFonts w:asciiTheme="majorBidi" w:hAnsiTheme="majorBidi" w:cstheme="majorBidi"/>
          <w:color w:val="F5662D"/>
          <w:sz w:val="22"/>
          <w:szCs w:val="22"/>
          <w:u w:val="single"/>
          <w:shd w:val="clear" w:color="auto" w:fill="FFFFFF"/>
        </w:rPr>
      </w:pPr>
      <w:r w:rsidRPr="00F67B28">
        <w:rPr>
          <w:rFonts w:asciiTheme="majorBidi" w:hAnsiTheme="majorBidi" w:cstheme="majorBidi"/>
          <w:sz w:val="22"/>
          <w:szCs w:val="22"/>
          <w:shd w:val="clear" w:color="auto" w:fill="FFFFFF"/>
        </w:rPr>
        <w:t>Williams, S., Crookes, A., Glass, K. and Glass, A., 2020. An Improved Measure of Deaths due to COVID-19 in England and Wales. </w:t>
      </w:r>
      <w:r w:rsidRPr="00F67B28">
        <w:rPr>
          <w:rFonts w:asciiTheme="majorBidi" w:hAnsiTheme="majorBidi" w:cstheme="majorBidi"/>
          <w:i/>
          <w:iCs/>
          <w:sz w:val="22"/>
          <w:szCs w:val="22"/>
          <w:shd w:val="clear" w:color="auto" w:fill="FFFFFF"/>
        </w:rPr>
        <w:t xml:space="preserve">Working Paper </w:t>
      </w:r>
      <w:r w:rsidRPr="00F67B28">
        <w:rPr>
          <w:rFonts w:asciiTheme="majorBidi" w:hAnsiTheme="majorBidi" w:cstheme="majorBidi"/>
          <w:sz w:val="22"/>
          <w:szCs w:val="22"/>
          <w:shd w:val="clear" w:color="auto" w:fill="FFFFFF"/>
        </w:rPr>
        <w:t>No</w:t>
      </w:r>
      <w:r w:rsidR="00EC6AA7" w:rsidRPr="00F67B28">
        <w:rPr>
          <w:rFonts w:asciiTheme="majorBidi" w:hAnsiTheme="majorBidi" w:cstheme="majorBidi"/>
          <w:sz w:val="22"/>
          <w:szCs w:val="22"/>
          <w:shd w:val="clear" w:color="auto" w:fill="FFFFFF"/>
        </w:rPr>
        <w:t>.</w:t>
      </w:r>
      <w:r w:rsidRPr="00F67B28">
        <w:rPr>
          <w:rFonts w:asciiTheme="majorBidi" w:hAnsiTheme="majorBidi" w:cstheme="majorBidi"/>
          <w:i/>
          <w:iCs/>
          <w:sz w:val="22"/>
          <w:szCs w:val="22"/>
          <w:shd w:val="clear" w:color="auto" w:fill="FFFFFF"/>
        </w:rPr>
        <w:t xml:space="preserve"> </w:t>
      </w:r>
      <w:r w:rsidRPr="00F67B28">
        <w:rPr>
          <w:rFonts w:asciiTheme="majorBidi" w:hAnsiTheme="majorBidi" w:cstheme="majorBidi"/>
          <w:sz w:val="22"/>
          <w:szCs w:val="22"/>
          <w:shd w:val="clear" w:color="auto" w:fill="FFFFFF"/>
        </w:rPr>
        <w:t xml:space="preserve">3635548, SSRN. </w:t>
      </w:r>
      <w:hyperlink r:id="rId19" w:tgtFrame="_blank" w:history="1">
        <w:r w:rsidRPr="00F67B28">
          <w:rPr>
            <w:rStyle w:val="Hyperlink"/>
            <w:rFonts w:asciiTheme="majorBidi" w:hAnsiTheme="majorBidi" w:cstheme="majorBidi"/>
            <w:color w:val="F5662D"/>
            <w:sz w:val="22"/>
            <w:szCs w:val="22"/>
            <w:shd w:val="clear" w:color="auto" w:fill="FFFFFF"/>
          </w:rPr>
          <w:t>http://dx.doi.org/10.2139/ssrn.3635548</w:t>
        </w:r>
      </w:hyperlink>
    </w:p>
    <w:p w:rsidR="006E1A33" w:rsidRPr="00F67B28" w:rsidRDefault="006E1A33" w:rsidP="00F67B28">
      <w:pPr>
        <w:widowControl w:val="0"/>
        <w:spacing w:after="200" w:line="240" w:lineRule="auto"/>
        <w:ind w:left="567" w:hanging="567"/>
        <w:jc w:val="both"/>
        <w:rPr>
          <w:rFonts w:asciiTheme="majorBidi" w:eastAsia="Times New Roman" w:hAnsiTheme="majorBidi" w:cstheme="majorBidi"/>
          <w:sz w:val="22"/>
          <w:szCs w:val="22"/>
          <w:lang w:bidi="he-IL"/>
        </w:rPr>
      </w:pPr>
      <w:r w:rsidRPr="00F67B28">
        <w:rPr>
          <w:rFonts w:asciiTheme="majorBidi" w:eastAsia="Times New Roman" w:hAnsiTheme="majorBidi" w:cstheme="majorBidi"/>
          <w:sz w:val="22"/>
          <w:szCs w:val="22"/>
          <w:lang w:bidi="he-IL"/>
        </w:rPr>
        <w:t xml:space="preserve">World Health Organization [WHO]. 2020. New Zealand takes early and hard action to tackle </w:t>
      </w:r>
      <w:r w:rsidR="00E556CC">
        <w:rPr>
          <w:rFonts w:asciiTheme="majorBidi" w:eastAsia="Times New Roman" w:hAnsiTheme="majorBidi" w:cstheme="majorBidi"/>
          <w:sz w:val="22"/>
          <w:szCs w:val="22"/>
          <w:lang w:bidi="he-IL"/>
        </w:rPr>
        <w:br/>
      </w:r>
      <w:r w:rsidRPr="00F67B28">
        <w:rPr>
          <w:rFonts w:asciiTheme="majorBidi" w:eastAsia="Times New Roman" w:hAnsiTheme="majorBidi" w:cstheme="majorBidi"/>
          <w:sz w:val="22"/>
          <w:szCs w:val="22"/>
          <w:lang w:bidi="he-IL"/>
        </w:rPr>
        <w:t xml:space="preserve">COVID-19. </w:t>
      </w:r>
      <w:hyperlink r:id="rId20" w:history="1">
        <w:r w:rsidRPr="00F67B28">
          <w:rPr>
            <w:rStyle w:val="Hyperlink"/>
            <w:sz w:val="22"/>
            <w:szCs w:val="22"/>
          </w:rPr>
          <w:t>https://www.who.int/westernpacific/news/feature-stories/detail/new-zealand-takes-early-and-hard-action-to-tackle-covid-19</w:t>
        </w:r>
      </w:hyperlink>
    </w:p>
    <w:p w:rsidR="006E1A33" w:rsidRPr="00F67B28" w:rsidRDefault="006E1A33" w:rsidP="00F67B28">
      <w:pPr>
        <w:widowControl w:val="0"/>
        <w:spacing w:after="200" w:line="240" w:lineRule="auto"/>
        <w:ind w:left="567" w:hanging="567"/>
        <w:jc w:val="both"/>
        <w:rPr>
          <w:rFonts w:asciiTheme="majorBidi" w:eastAsia="Times New Roman" w:hAnsiTheme="majorBidi" w:cstheme="majorBidi"/>
          <w:sz w:val="22"/>
          <w:szCs w:val="22"/>
          <w:lang w:bidi="he-IL"/>
        </w:rPr>
      </w:pPr>
    </w:p>
    <w:p w:rsidR="0028356F" w:rsidRPr="00F67B28" w:rsidRDefault="0028356F" w:rsidP="00F67B28">
      <w:pPr>
        <w:spacing w:after="0" w:line="240" w:lineRule="auto"/>
        <w:ind w:left="567" w:hanging="567"/>
        <w:jc w:val="both"/>
        <w:rPr>
          <w:rFonts w:eastAsia="Times New Roman" w:cs="Arial"/>
          <w:sz w:val="22"/>
          <w:szCs w:val="22"/>
          <w:lang w:bidi="he-IL"/>
        </w:rPr>
      </w:pPr>
      <w:bookmarkStart w:id="0" w:name="_GoBack"/>
      <w:bookmarkEnd w:id="0"/>
    </w:p>
    <w:sectPr w:rsidR="0028356F" w:rsidRPr="00F67B28" w:rsidSect="000F2D36">
      <w:pgSz w:w="11906" w:h="16838"/>
      <w:pgMar w:top="1440" w:right="1440" w:bottom="1440" w:left="1440"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8DE" w:rsidRDefault="006278DE" w:rsidP="00A97771">
      <w:pPr>
        <w:spacing w:after="0" w:line="240" w:lineRule="auto"/>
      </w:pPr>
      <w:r>
        <w:separator/>
      </w:r>
    </w:p>
  </w:endnote>
  <w:endnote w:type="continuationSeparator" w:id="0">
    <w:p w:rsidR="006278DE" w:rsidRDefault="006278DE" w:rsidP="00A9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37512"/>
      <w:docPartObj>
        <w:docPartGallery w:val="Page Numbers (Bottom of Page)"/>
        <w:docPartUnique/>
      </w:docPartObj>
    </w:sdtPr>
    <w:sdtEndPr>
      <w:rPr>
        <w:noProof/>
      </w:rPr>
    </w:sdtEndPr>
    <w:sdtContent>
      <w:p w:rsidR="00CA74A5" w:rsidRDefault="00CA74A5">
        <w:pPr>
          <w:pStyle w:val="Footer"/>
          <w:jc w:val="center"/>
        </w:pPr>
        <w:r>
          <w:fldChar w:fldCharType="begin"/>
        </w:r>
        <w:r>
          <w:instrText xml:space="preserve"> PAGE   \* MERGEFORMAT </w:instrText>
        </w:r>
        <w:r>
          <w:fldChar w:fldCharType="separate"/>
        </w:r>
        <w:r w:rsidR="000F2D36">
          <w:rPr>
            <w:noProof/>
          </w:rPr>
          <w:t>10</w:t>
        </w:r>
        <w:r>
          <w:rPr>
            <w:noProof/>
          </w:rPr>
          <w:fldChar w:fldCharType="end"/>
        </w:r>
      </w:p>
    </w:sdtContent>
  </w:sdt>
  <w:p w:rsidR="004F762C" w:rsidRDefault="004F762C" w:rsidP="00FE28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8DE" w:rsidRDefault="006278DE" w:rsidP="00A97771">
      <w:pPr>
        <w:spacing w:after="0" w:line="240" w:lineRule="auto"/>
      </w:pPr>
      <w:r>
        <w:separator/>
      </w:r>
    </w:p>
  </w:footnote>
  <w:footnote w:type="continuationSeparator" w:id="0">
    <w:p w:rsidR="006278DE" w:rsidRDefault="006278DE" w:rsidP="00A97771">
      <w:pPr>
        <w:spacing w:after="0" w:line="240" w:lineRule="auto"/>
      </w:pPr>
      <w:r>
        <w:continuationSeparator/>
      </w:r>
    </w:p>
  </w:footnote>
  <w:footnote w:id="1">
    <w:p w:rsidR="00E122D0" w:rsidRPr="00D80556" w:rsidRDefault="00E122D0" w:rsidP="00D80556">
      <w:pPr>
        <w:pStyle w:val="FootnoteText"/>
        <w:ind w:left="142" w:hanging="142"/>
        <w:rPr>
          <w:sz w:val="22"/>
          <w:szCs w:val="22"/>
        </w:rPr>
      </w:pPr>
      <w:r w:rsidRPr="00D80556">
        <w:rPr>
          <w:rStyle w:val="FootnoteReference"/>
          <w:sz w:val="22"/>
          <w:szCs w:val="22"/>
        </w:rPr>
        <w:footnoteRef/>
      </w:r>
      <w:r w:rsidRPr="00D80556">
        <w:rPr>
          <w:sz w:val="22"/>
          <w:szCs w:val="22"/>
        </w:rPr>
        <w:t xml:space="preserve"> </w:t>
      </w:r>
      <w:r w:rsidR="00923A3D" w:rsidRPr="00D80556">
        <w:rPr>
          <w:sz w:val="22"/>
          <w:szCs w:val="22"/>
        </w:rPr>
        <w:t xml:space="preserve">See, for example a March 14 report: </w:t>
      </w:r>
      <w:hyperlink r:id="rId1" w:history="1">
        <w:r w:rsidR="00923A3D" w:rsidRPr="00D80556">
          <w:rPr>
            <w:rStyle w:val="Hyperlink"/>
            <w:sz w:val="22"/>
            <w:szCs w:val="22"/>
          </w:rPr>
          <w:t>https://www.newsroom.co.nz/we-must-go-hard-and-we-must-go-early</w:t>
        </w:r>
      </w:hyperlink>
    </w:p>
  </w:footnote>
  <w:footnote w:id="2">
    <w:p w:rsidR="00D00136" w:rsidRDefault="00D00136" w:rsidP="00D06666">
      <w:pPr>
        <w:pStyle w:val="FootnoteText"/>
        <w:ind w:left="142" w:hanging="142"/>
        <w:jc w:val="both"/>
        <w:rPr>
          <w:sz w:val="22"/>
          <w:szCs w:val="22"/>
        </w:rPr>
      </w:pPr>
      <w:r w:rsidRPr="00D06666">
        <w:rPr>
          <w:rStyle w:val="FootnoteReference"/>
          <w:sz w:val="22"/>
          <w:szCs w:val="22"/>
        </w:rPr>
        <w:footnoteRef/>
      </w:r>
      <w:r w:rsidRPr="00D06666">
        <w:rPr>
          <w:sz w:val="22"/>
          <w:szCs w:val="22"/>
        </w:rPr>
        <w:t xml:space="preserve"> Nevertheless, deaths data have some problems of over-counting when positive Covid-19 tests are linked with subsequent deaths from any cause (Williams </w:t>
      </w:r>
      <w:r w:rsidR="00D06666">
        <w:rPr>
          <w:i/>
          <w:iCs/>
          <w:sz w:val="22"/>
          <w:szCs w:val="22"/>
        </w:rPr>
        <w:t>et al.</w:t>
      </w:r>
      <w:r w:rsidRPr="00D06666">
        <w:rPr>
          <w:sz w:val="22"/>
          <w:szCs w:val="22"/>
        </w:rPr>
        <w:t xml:space="preserve"> 2020).</w:t>
      </w:r>
    </w:p>
    <w:p w:rsidR="00D06666" w:rsidRPr="00D06666" w:rsidRDefault="00D06666" w:rsidP="00D06666">
      <w:pPr>
        <w:pStyle w:val="FootnoteText"/>
        <w:ind w:left="142" w:hanging="142"/>
        <w:jc w:val="both"/>
        <w:rPr>
          <w:sz w:val="8"/>
          <w:szCs w:val="8"/>
        </w:rPr>
      </w:pPr>
    </w:p>
  </w:footnote>
  <w:footnote w:id="3">
    <w:p w:rsidR="004A2F9C" w:rsidRPr="00D06666" w:rsidRDefault="004A2F9C" w:rsidP="00D06666">
      <w:pPr>
        <w:pStyle w:val="FootnoteText"/>
        <w:ind w:left="142" w:hanging="142"/>
        <w:jc w:val="both"/>
        <w:rPr>
          <w:sz w:val="22"/>
          <w:szCs w:val="22"/>
        </w:rPr>
      </w:pPr>
      <w:r w:rsidRPr="00D06666">
        <w:rPr>
          <w:rStyle w:val="FootnoteReference"/>
          <w:sz w:val="22"/>
          <w:szCs w:val="22"/>
        </w:rPr>
        <w:footnoteRef/>
      </w:r>
      <w:r w:rsidRPr="00D06666">
        <w:rPr>
          <w:sz w:val="22"/>
          <w:szCs w:val="22"/>
        </w:rPr>
        <w:t xml:space="preserve"> Homburg (2020) uses a lag of 23 days</w:t>
      </w:r>
      <w:r w:rsidR="001358D4" w:rsidRPr="00D06666">
        <w:rPr>
          <w:sz w:val="22"/>
          <w:szCs w:val="22"/>
        </w:rPr>
        <w:t xml:space="preserve"> but from </w:t>
      </w:r>
      <w:r w:rsidRPr="00D06666">
        <w:rPr>
          <w:sz w:val="22"/>
          <w:szCs w:val="22"/>
        </w:rPr>
        <w:t xml:space="preserve">March and early April when treatment protocols for Covid-19 were still being developed. </w:t>
      </w:r>
      <w:r w:rsidR="001358D4" w:rsidRPr="00D06666">
        <w:rPr>
          <w:sz w:val="22"/>
          <w:szCs w:val="22"/>
        </w:rPr>
        <w:t xml:space="preserve">Improved care since then may extend the lag. </w:t>
      </w:r>
      <w:proofErr w:type="spellStart"/>
      <w:r w:rsidR="001358D4" w:rsidRPr="00D06666">
        <w:rPr>
          <w:sz w:val="22"/>
          <w:szCs w:val="22"/>
        </w:rPr>
        <w:t>Heneghan</w:t>
      </w:r>
      <w:proofErr w:type="spellEnd"/>
      <w:r w:rsidR="001358D4" w:rsidRPr="00D06666">
        <w:rPr>
          <w:sz w:val="22"/>
          <w:szCs w:val="22"/>
        </w:rPr>
        <w:t xml:space="preserve"> and Jefferson (2020) say 21-28 days and the Covid-19 tracking project (</w:t>
      </w:r>
      <w:hyperlink r:id="rId2" w:history="1">
        <w:r w:rsidR="001358D4" w:rsidRPr="00D06666">
          <w:rPr>
            <w:rStyle w:val="Hyperlink"/>
            <w:sz w:val="22"/>
            <w:szCs w:val="22"/>
          </w:rPr>
          <w:t>https://covidtracking.com</w:t>
        </w:r>
      </w:hyperlink>
      <w:r w:rsidR="001358D4" w:rsidRPr="00D06666">
        <w:rPr>
          <w:sz w:val="22"/>
          <w:szCs w:val="22"/>
        </w:rPr>
        <w:t xml:space="preserve">) suggests a </w:t>
      </w:r>
      <w:r w:rsidR="00A45B1A">
        <w:rPr>
          <w:sz w:val="22"/>
          <w:szCs w:val="22"/>
        </w:rPr>
        <w:t>four-</w:t>
      </w:r>
      <w:r w:rsidR="00EE6CE9" w:rsidRPr="00D06666">
        <w:rPr>
          <w:sz w:val="22"/>
          <w:szCs w:val="22"/>
        </w:rPr>
        <w:t xml:space="preserve">week </w:t>
      </w:r>
      <w:r w:rsidR="001358D4" w:rsidRPr="00D06666">
        <w:rPr>
          <w:sz w:val="22"/>
          <w:szCs w:val="22"/>
        </w:rPr>
        <w:t xml:space="preserve">lag. </w:t>
      </w:r>
    </w:p>
  </w:footnote>
  <w:footnote w:id="4">
    <w:p w:rsidR="00A45B1A" w:rsidRDefault="00A45B1A" w:rsidP="00A45B1A">
      <w:pPr>
        <w:pStyle w:val="FootnoteText"/>
        <w:ind w:left="142" w:hanging="142"/>
        <w:jc w:val="both"/>
        <w:rPr>
          <w:sz w:val="22"/>
          <w:szCs w:val="22"/>
        </w:rPr>
      </w:pPr>
      <w:r w:rsidRPr="00A45B1A">
        <w:rPr>
          <w:rStyle w:val="FootnoteReference"/>
          <w:sz w:val="22"/>
          <w:szCs w:val="22"/>
        </w:rPr>
        <w:footnoteRef/>
      </w:r>
      <w:r w:rsidRPr="00A45B1A">
        <w:rPr>
          <w:sz w:val="22"/>
          <w:szCs w:val="22"/>
        </w:rPr>
        <w:t xml:space="preserve"> The difference in the elasticity of death rates with respect to policy stringency prior to peak infections and the elasticity with respect to policy stringency after the peak is statistically significant at the </w:t>
      </w:r>
      <w:r w:rsidRPr="00A45B1A">
        <w:rPr>
          <w:i/>
          <w:iCs/>
          <w:sz w:val="22"/>
          <w:szCs w:val="22"/>
        </w:rPr>
        <w:t>p</w:t>
      </w:r>
      <w:r w:rsidRPr="00A45B1A">
        <w:rPr>
          <w:sz w:val="22"/>
          <w:szCs w:val="22"/>
        </w:rPr>
        <w:t>&lt;0.04 level.</w:t>
      </w:r>
    </w:p>
    <w:p w:rsidR="00A45B1A" w:rsidRPr="00A45B1A" w:rsidRDefault="00A45B1A" w:rsidP="00A45B1A">
      <w:pPr>
        <w:pStyle w:val="FootnoteText"/>
        <w:ind w:left="142" w:hanging="142"/>
        <w:jc w:val="both"/>
        <w:rPr>
          <w:sz w:val="8"/>
          <w:szCs w:val="8"/>
        </w:rPr>
      </w:pPr>
    </w:p>
  </w:footnote>
  <w:footnote w:id="5">
    <w:p w:rsidR="00A45B1A" w:rsidRPr="00A45B1A" w:rsidRDefault="00A45B1A" w:rsidP="00A45B1A">
      <w:pPr>
        <w:pStyle w:val="FootnoteText"/>
        <w:ind w:left="142" w:hanging="142"/>
        <w:rPr>
          <w:sz w:val="22"/>
          <w:szCs w:val="22"/>
        </w:rPr>
      </w:pPr>
      <w:r>
        <w:rPr>
          <w:rStyle w:val="FootnoteReference"/>
        </w:rPr>
        <w:footnoteRef/>
      </w:r>
      <w:r>
        <w:t xml:space="preserve"> </w:t>
      </w:r>
      <w:r>
        <w:tab/>
      </w:r>
      <w:r w:rsidRPr="00A45B1A">
        <w:rPr>
          <w:sz w:val="22"/>
          <w:szCs w:val="22"/>
        </w:rPr>
        <w:t xml:space="preserve">I calculate leave-out means for the same six OECD regions that </w:t>
      </w:r>
      <w:proofErr w:type="spellStart"/>
      <w:r w:rsidRPr="00A45B1A">
        <w:rPr>
          <w:sz w:val="22"/>
          <w:szCs w:val="22"/>
        </w:rPr>
        <w:t>Sebhatu</w:t>
      </w:r>
      <w:proofErr w:type="spellEnd"/>
      <w:r w:rsidRPr="00A45B1A">
        <w:rPr>
          <w:sz w:val="22"/>
          <w:szCs w:val="22"/>
        </w:rPr>
        <w:t xml:space="preserve"> et al (2020) use.</w:t>
      </w:r>
    </w:p>
  </w:footnote>
  <w:footnote w:id="6">
    <w:p w:rsidR="003A73A8" w:rsidRPr="003A73A8" w:rsidRDefault="003A73A8" w:rsidP="003A73A8">
      <w:pPr>
        <w:pStyle w:val="FootnoteText"/>
        <w:ind w:left="142" w:hanging="142"/>
        <w:rPr>
          <w:sz w:val="22"/>
          <w:szCs w:val="22"/>
        </w:rPr>
      </w:pPr>
      <w:r w:rsidRPr="003A73A8">
        <w:rPr>
          <w:rStyle w:val="FootnoteReference"/>
          <w:sz w:val="22"/>
          <w:szCs w:val="22"/>
        </w:rPr>
        <w:footnoteRef/>
      </w:r>
      <w:r w:rsidRPr="003A73A8">
        <w:rPr>
          <w:sz w:val="22"/>
          <w:szCs w:val="22"/>
        </w:rPr>
        <w:t xml:space="preserve"> To predict death rates from a regression with log death rates as the dependent variable, I use the </w:t>
      </w:r>
      <w:proofErr w:type="spellStart"/>
      <w:r w:rsidRPr="003A73A8">
        <w:rPr>
          <w:sz w:val="22"/>
          <w:szCs w:val="22"/>
        </w:rPr>
        <w:t>Duan</w:t>
      </w:r>
      <w:proofErr w:type="spellEnd"/>
      <w:r w:rsidRPr="003A73A8">
        <w:rPr>
          <w:sz w:val="22"/>
          <w:szCs w:val="22"/>
        </w:rPr>
        <w:t xml:space="preserve"> (1983) smearing estimate.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46F1A"/>
    <w:multiLevelType w:val="hybridMultilevel"/>
    <w:tmpl w:val="67E2E9C6"/>
    <w:lvl w:ilvl="0" w:tplc="FBBC02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8B"/>
    <w:rsid w:val="00001B7E"/>
    <w:rsid w:val="00002279"/>
    <w:rsid w:val="00004403"/>
    <w:rsid w:val="00004567"/>
    <w:rsid w:val="000053DA"/>
    <w:rsid w:val="000065F2"/>
    <w:rsid w:val="00007462"/>
    <w:rsid w:val="00007A41"/>
    <w:rsid w:val="00010C53"/>
    <w:rsid w:val="00012246"/>
    <w:rsid w:val="00013328"/>
    <w:rsid w:val="0001424F"/>
    <w:rsid w:val="0001456C"/>
    <w:rsid w:val="000150BC"/>
    <w:rsid w:val="00016A72"/>
    <w:rsid w:val="000200EC"/>
    <w:rsid w:val="00020BEC"/>
    <w:rsid w:val="00023C81"/>
    <w:rsid w:val="00023ED8"/>
    <w:rsid w:val="0002469C"/>
    <w:rsid w:val="0002493E"/>
    <w:rsid w:val="00025317"/>
    <w:rsid w:val="00026615"/>
    <w:rsid w:val="000271F1"/>
    <w:rsid w:val="00027ABC"/>
    <w:rsid w:val="00027AC8"/>
    <w:rsid w:val="000302A6"/>
    <w:rsid w:val="000304BD"/>
    <w:rsid w:val="00031CE0"/>
    <w:rsid w:val="00031EE7"/>
    <w:rsid w:val="00032873"/>
    <w:rsid w:val="00032B6E"/>
    <w:rsid w:val="00032F1D"/>
    <w:rsid w:val="000359F4"/>
    <w:rsid w:val="00036F59"/>
    <w:rsid w:val="00041814"/>
    <w:rsid w:val="00041C56"/>
    <w:rsid w:val="000429B6"/>
    <w:rsid w:val="000430B4"/>
    <w:rsid w:val="00044576"/>
    <w:rsid w:val="0004457F"/>
    <w:rsid w:val="00044689"/>
    <w:rsid w:val="00045373"/>
    <w:rsid w:val="00047C60"/>
    <w:rsid w:val="0005182B"/>
    <w:rsid w:val="00051CFA"/>
    <w:rsid w:val="00052401"/>
    <w:rsid w:val="00052767"/>
    <w:rsid w:val="00055721"/>
    <w:rsid w:val="00056FE0"/>
    <w:rsid w:val="00057774"/>
    <w:rsid w:val="000663C4"/>
    <w:rsid w:val="00066616"/>
    <w:rsid w:val="00066A91"/>
    <w:rsid w:val="00066F0C"/>
    <w:rsid w:val="000679C1"/>
    <w:rsid w:val="00070934"/>
    <w:rsid w:val="00070E29"/>
    <w:rsid w:val="00071E99"/>
    <w:rsid w:val="000728C5"/>
    <w:rsid w:val="00072F37"/>
    <w:rsid w:val="00074ECB"/>
    <w:rsid w:val="00075D6D"/>
    <w:rsid w:val="000766F8"/>
    <w:rsid w:val="00080123"/>
    <w:rsid w:val="0008015C"/>
    <w:rsid w:val="00081B74"/>
    <w:rsid w:val="0008350E"/>
    <w:rsid w:val="000841D6"/>
    <w:rsid w:val="00084D97"/>
    <w:rsid w:val="000875B9"/>
    <w:rsid w:val="00087C02"/>
    <w:rsid w:val="000900CE"/>
    <w:rsid w:val="00091BAC"/>
    <w:rsid w:val="00092079"/>
    <w:rsid w:val="000A3580"/>
    <w:rsid w:val="000A3E9C"/>
    <w:rsid w:val="000A4237"/>
    <w:rsid w:val="000A5474"/>
    <w:rsid w:val="000A6977"/>
    <w:rsid w:val="000A75AB"/>
    <w:rsid w:val="000A7729"/>
    <w:rsid w:val="000B11EE"/>
    <w:rsid w:val="000B26C3"/>
    <w:rsid w:val="000B384A"/>
    <w:rsid w:val="000B69D0"/>
    <w:rsid w:val="000B78E9"/>
    <w:rsid w:val="000B7C0F"/>
    <w:rsid w:val="000C0044"/>
    <w:rsid w:val="000C0821"/>
    <w:rsid w:val="000C096F"/>
    <w:rsid w:val="000C0A63"/>
    <w:rsid w:val="000C1545"/>
    <w:rsid w:val="000C1DA7"/>
    <w:rsid w:val="000C2308"/>
    <w:rsid w:val="000C2DBE"/>
    <w:rsid w:val="000C368B"/>
    <w:rsid w:val="000C572C"/>
    <w:rsid w:val="000C5757"/>
    <w:rsid w:val="000C6826"/>
    <w:rsid w:val="000D158E"/>
    <w:rsid w:val="000D4B3C"/>
    <w:rsid w:val="000D5669"/>
    <w:rsid w:val="000D727D"/>
    <w:rsid w:val="000D79D7"/>
    <w:rsid w:val="000E0071"/>
    <w:rsid w:val="000E00AD"/>
    <w:rsid w:val="000E1BF8"/>
    <w:rsid w:val="000E4023"/>
    <w:rsid w:val="000E4879"/>
    <w:rsid w:val="000E4A01"/>
    <w:rsid w:val="000E5AC1"/>
    <w:rsid w:val="000E5ACF"/>
    <w:rsid w:val="000E6DC9"/>
    <w:rsid w:val="000E752E"/>
    <w:rsid w:val="000E75E5"/>
    <w:rsid w:val="000E7DE0"/>
    <w:rsid w:val="000F0020"/>
    <w:rsid w:val="000F06D5"/>
    <w:rsid w:val="000F0817"/>
    <w:rsid w:val="000F0884"/>
    <w:rsid w:val="000F0F9C"/>
    <w:rsid w:val="000F170D"/>
    <w:rsid w:val="000F180D"/>
    <w:rsid w:val="000F1892"/>
    <w:rsid w:val="000F199B"/>
    <w:rsid w:val="000F2D36"/>
    <w:rsid w:val="000F5A73"/>
    <w:rsid w:val="000F5EB6"/>
    <w:rsid w:val="000F622A"/>
    <w:rsid w:val="000F63D2"/>
    <w:rsid w:val="00100D22"/>
    <w:rsid w:val="00101073"/>
    <w:rsid w:val="0010124A"/>
    <w:rsid w:val="00101C23"/>
    <w:rsid w:val="00102929"/>
    <w:rsid w:val="00104533"/>
    <w:rsid w:val="001046FC"/>
    <w:rsid w:val="001106A9"/>
    <w:rsid w:val="00110C8B"/>
    <w:rsid w:val="00112AC7"/>
    <w:rsid w:val="00114D29"/>
    <w:rsid w:val="001151B0"/>
    <w:rsid w:val="001224B2"/>
    <w:rsid w:val="00123084"/>
    <w:rsid w:val="00124D49"/>
    <w:rsid w:val="001250FD"/>
    <w:rsid w:val="00126BFD"/>
    <w:rsid w:val="00126FD2"/>
    <w:rsid w:val="001340E6"/>
    <w:rsid w:val="00134337"/>
    <w:rsid w:val="00134537"/>
    <w:rsid w:val="001347AC"/>
    <w:rsid w:val="001358D4"/>
    <w:rsid w:val="00137DC8"/>
    <w:rsid w:val="00144B68"/>
    <w:rsid w:val="00144D60"/>
    <w:rsid w:val="00147A02"/>
    <w:rsid w:val="001514FA"/>
    <w:rsid w:val="00151C20"/>
    <w:rsid w:val="001521B9"/>
    <w:rsid w:val="00152B75"/>
    <w:rsid w:val="00153566"/>
    <w:rsid w:val="001547C0"/>
    <w:rsid w:val="001548D2"/>
    <w:rsid w:val="00156B76"/>
    <w:rsid w:val="00161EE3"/>
    <w:rsid w:val="001629B2"/>
    <w:rsid w:val="00163B89"/>
    <w:rsid w:val="001653E3"/>
    <w:rsid w:val="00170A57"/>
    <w:rsid w:val="00171B42"/>
    <w:rsid w:val="00171CB6"/>
    <w:rsid w:val="001745CF"/>
    <w:rsid w:val="00176C50"/>
    <w:rsid w:val="0018120B"/>
    <w:rsid w:val="0018220C"/>
    <w:rsid w:val="00182DF0"/>
    <w:rsid w:val="0018427F"/>
    <w:rsid w:val="00184897"/>
    <w:rsid w:val="00184EBC"/>
    <w:rsid w:val="001862F5"/>
    <w:rsid w:val="0018663B"/>
    <w:rsid w:val="001879DA"/>
    <w:rsid w:val="0019091C"/>
    <w:rsid w:val="00191F05"/>
    <w:rsid w:val="001924FE"/>
    <w:rsid w:val="001936B0"/>
    <w:rsid w:val="00194405"/>
    <w:rsid w:val="00194DE6"/>
    <w:rsid w:val="001953B5"/>
    <w:rsid w:val="00196DEE"/>
    <w:rsid w:val="0019712A"/>
    <w:rsid w:val="00197D19"/>
    <w:rsid w:val="001A1111"/>
    <w:rsid w:val="001A1AE4"/>
    <w:rsid w:val="001A1E83"/>
    <w:rsid w:val="001A330D"/>
    <w:rsid w:val="001A3F51"/>
    <w:rsid w:val="001A6B9B"/>
    <w:rsid w:val="001A7193"/>
    <w:rsid w:val="001B0B56"/>
    <w:rsid w:val="001B0EFF"/>
    <w:rsid w:val="001B307F"/>
    <w:rsid w:val="001B33D1"/>
    <w:rsid w:val="001B4E73"/>
    <w:rsid w:val="001B5F59"/>
    <w:rsid w:val="001C1F4D"/>
    <w:rsid w:val="001C3FE8"/>
    <w:rsid w:val="001C7364"/>
    <w:rsid w:val="001D52FC"/>
    <w:rsid w:val="001D68E2"/>
    <w:rsid w:val="001D6BC7"/>
    <w:rsid w:val="001E0F73"/>
    <w:rsid w:val="001E1D87"/>
    <w:rsid w:val="001E2802"/>
    <w:rsid w:val="001E7415"/>
    <w:rsid w:val="001E7B15"/>
    <w:rsid w:val="001F0D09"/>
    <w:rsid w:val="001F6018"/>
    <w:rsid w:val="001F64DA"/>
    <w:rsid w:val="001F75DB"/>
    <w:rsid w:val="001F76DE"/>
    <w:rsid w:val="0020283B"/>
    <w:rsid w:val="00202E7E"/>
    <w:rsid w:val="00206140"/>
    <w:rsid w:val="002113A9"/>
    <w:rsid w:val="00213A18"/>
    <w:rsid w:val="00213C1D"/>
    <w:rsid w:val="00213D13"/>
    <w:rsid w:val="00214622"/>
    <w:rsid w:val="00214726"/>
    <w:rsid w:val="002147F0"/>
    <w:rsid w:val="00214A7D"/>
    <w:rsid w:val="00214C92"/>
    <w:rsid w:val="00214D94"/>
    <w:rsid w:val="0021726B"/>
    <w:rsid w:val="00220548"/>
    <w:rsid w:val="00221253"/>
    <w:rsid w:val="002227FE"/>
    <w:rsid w:val="002235D3"/>
    <w:rsid w:val="0022401B"/>
    <w:rsid w:val="002240A8"/>
    <w:rsid w:val="00224732"/>
    <w:rsid w:val="00225D79"/>
    <w:rsid w:val="00227BD1"/>
    <w:rsid w:val="00227D7A"/>
    <w:rsid w:val="0023069C"/>
    <w:rsid w:val="002319E5"/>
    <w:rsid w:val="00233AE6"/>
    <w:rsid w:val="00235687"/>
    <w:rsid w:val="00235A3B"/>
    <w:rsid w:val="00242CDB"/>
    <w:rsid w:val="00243BE9"/>
    <w:rsid w:val="00244069"/>
    <w:rsid w:val="00244F1A"/>
    <w:rsid w:val="002466E8"/>
    <w:rsid w:val="00250584"/>
    <w:rsid w:val="00250D8F"/>
    <w:rsid w:val="00251D61"/>
    <w:rsid w:val="002520F7"/>
    <w:rsid w:val="002524F6"/>
    <w:rsid w:val="00254DE6"/>
    <w:rsid w:val="0025570B"/>
    <w:rsid w:val="00256734"/>
    <w:rsid w:val="00261AB7"/>
    <w:rsid w:val="00267618"/>
    <w:rsid w:val="00274481"/>
    <w:rsid w:val="00275508"/>
    <w:rsid w:val="00275D16"/>
    <w:rsid w:val="00282CD9"/>
    <w:rsid w:val="0028356F"/>
    <w:rsid w:val="00284373"/>
    <w:rsid w:val="002858B5"/>
    <w:rsid w:val="002903EF"/>
    <w:rsid w:val="00291A78"/>
    <w:rsid w:val="00291F25"/>
    <w:rsid w:val="002920BD"/>
    <w:rsid w:val="0029226C"/>
    <w:rsid w:val="002936EA"/>
    <w:rsid w:val="00293F73"/>
    <w:rsid w:val="00294D67"/>
    <w:rsid w:val="00296C04"/>
    <w:rsid w:val="00296F29"/>
    <w:rsid w:val="002A1F76"/>
    <w:rsid w:val="002A21F3"/>
    <w:rsid w:val="002A2603"/>
    <w:rsid w:val="002A423A"/>
    <w:rsid w:val="002A5E2D"/>
    <w:rsid w:val="002A6915"/>
    <w:rsid w:val="002A6B07"/>
    <w:rsid w:val="002B06A5"/>
    <w:rsid w:val="002B1F34"/>
    <w:rsid w:val="002B3897"/>
    <w:rsid w:val="002B71DC"/>
    <w:rsid w:val="002B7418"/>
    <w:rsid w:val="002C1C8A"/>
    <w:rsid w:val="002C1FBF"/>
    <w:rsid w:val="002C2413"/>
    <w:rsid w:val="002C25F9"/>
    <w:rsid w:val="002C3EE7"/>
    <w:rsid w:val="002C44AA"/>
    <w:rsid w:val="002C5554"/>
    <w:rsid w:val="002C5B8B"/>
    <w:rsid w:val="002C6994"/>
    <w:rsid w:val="002C74C4"/>
    <w:rsid w:val="002D0466"/>
    <w:rsid w:val="002D05F2"/>
    <w:rsid w:val="002D2D8E"/>
    <w:rsid w:val="002D3117"/>
    <w:rsid w:val="002D31C8"/>
    <w:rsid w:val="002D50DC"/>
    <w:rsid w:val="002D59F7"/>
    <w:rsid w:val="002D6353"/>
    <w:rsid w:val="002E09AF"/>
    <w:rsid w:val="002E115F"/>
    <w:rsid w:val="002E13C3"/>
    <w:rsid w:val="002E25B7"/>
    <w:rsid w:val="002E3247"/>
    <w:rsid w:val="002E3741"/>
    <w:rsid w:val="002E5BAA"/>
    <w:rsid w:val="002E62D9"/>
    <w:rsid w:val="002F0C3F"/>
    <w:rsid w:val="002F1C9E"/>
    <w:rsid w:val="002F23D5"/>
    <w:rsid w:val="002F35F1"/>
    <w:rsid w:val="002F5BBC"/>
    <w:rsid w:val="002F6CD4"/>
    <w:rsid w:val="0030131B"/>
    <w:rsid w:val="003015B5"/>
    <w:rsid w:val="00303F15"/>
    <w:rsid w:val="00304E9C"/>
    <w:rsid w:val="00305809"/>
    <w:rsid w:val="003074FE"/>
    <w:rsid w:val="00307CB8"/>
    <w:rsid w:val="00310A4D"/>
    <w:rsid w:val="003115C3"/>
    <w:rsid w:val="00312C8D"/>
    <w:rsid w:val="003215DC"/>
    <w:rsid w:val="003226F2"/>
    <w:rsid w:val="00322983"/>
    <w:rsid w:val="00323192"/>
    <w:rsid w:val="0032325D"/>
    <w:rsid w:val="0032581D"/>
    <w:rsid w:val="0032699D"/>
    <w:rsid w:val="00326CF7"/>
    <w:rsid w:val="003270BE"/>
    <w:rsid w:val="00327A5A"/>
    <w:rsid w:val="0033098D"/>
    <w:rsid w:val="0033209F"/>
    <w:rsid w:val="0033214C"/>
    <w:rsid w:val="00332AAD"/>
    <w:rsid w:val="0033540C"/>
    <w:rsid w:val="00336CA2"/>
    <w:rsid w:val="0034053E"/>
    <w:rsid w:val="003416E7"/>
    <w:rsid w:val="00342A26"/>
    <w:rsid w:val="003466ED"/>
    <w:rsid w:val="00346E44"/>
    <w:rsid w:val="00351228"/>
    <w:rsid w:val="00351695"/>
    <w:rsid w:val="00352283"/>
    <w:rsid w:val="0035339A"/>
    <w:rsid w:val="00357070"/>
    <w:rsid w:val="0035782B"/>
    <w:rsid w:val="003639E3"/>
    <w:rsid w:val="0036420A"/>
    <w:rsid w:val="0036596F"/>
    <w:rsid w:val="00367361"/>
    <w:rsid w:val="003705EA"/>
    <w:rsid w:val="00371247"/>
    <w:rsid w:val="00372189"/>
    <w:rsid w:val="0037219C"/>
    <w:rsid w:val="0037345B"/>
    <w:rsid w:val="0037378E"/>
    <w:rsid w:val="00373DC9"/>
    <w:rsid w:val="00374734"/>
    <w:rsid w:val="00374ADC"/>
    <w:rsid w:val="00377520"/>
    <w:rsid w:val="00377714"/>
    <w:rsid w:val="003802F8"/>
    <w:rsid w:val="00381D95"/>
    <w:rsid w:val="003832DF"/>
    <w:rsid w:val="00385A0E"/>
    <w:rsid w:val="00385E02"/>
    <w:rsid w:val="00386B5A"/>
    <w:rsid w:val="00386EE0"/>
    <w:rsid w:val="00387156"/>
    <w:rsid w:val="00387464"/>
    <w:rsid w:val="0038767B"/>
    <w:rsid w:val="0039140B"/>
    <w:rsid w:val="00391E8D"/>
    <w:rsid w:val="0039259D"/>
    <w:rsid w:val="00392A11"/>
    <w:rsid w:val="003965EC"/>
    <w:rsid w:val="003967E9"/>
    <w:rsid w:val="003A0386"/>
    <w:rsid w:val="003A1456"/>
    <w:rsid w:val="003A36C0"/>
    <w:rsid w:val="003A56CD"/>
    <w:rsid w:val="003A73A8"/>
    <w:rsid w:val="003A75AA"/>
    <w:rsid w:val="003A7F49"/>
    <w:rsid w:val="003B042D"/>
    <w:rsid w:val="003B0607"/>
    <w:rsid w:val="003B0C66"/>
    <w:rsid w:val="003B1580"/>
    <w:rsid w:val="003B427C"/>
    <w:rsid w:val="003B4381"/>
    <w:rsid w:val="003B4D8E"/>
    <w:rsid w:val="003B5740"/>
    <w:rsid w:val="003B64A6"/>
    <w:rsid w:val="003B7672"/>
    <w:rsid w:val="003B7A69"/>
    <w:rsid w:val="003C2496"/>
    <w:rsid w:val="003C24DF"/>
    <w:rsid w:val="003C5D9F"/>
    <w:rsid w:val="003C60B8"/>
    <w:rsid w:val="003C66B6"/>
    <w:rsid w:val="003C7709"/>
    <w:rsid w:val="003D2AA7"/>
    <w:rsid w:val="003D33C9"/>
    <w:rsid w:val="003D33D2"/>
    <w:rsid w:val="003D4B34"/>
    <w:rsid w:val="003D5189"/>
    <w:rsid w:val="003D5D8A"/>
    <w:rsid w:val="003E023A"/>
    <w:rsid w:val="003E026B"/>
    <w:rsid w:val="003E1DEE"/>
    <w:rsid w:val="003E2175"/>
    <w:rsid w:val="003E2743"/>
    <w:rsid w:val="003E642B"/>
    <w:rsid w:val="003E73FE"/>
    <w:rsid w:val="003E7847"/>
    <w:rsid w:val="003F0198"/>
    <w:rsid w:val="003F1BC3"/>
    <w:rsid w:val="003F2177"/>
    <w:rsid w:val="003F2FD9"/>
    <w:rsid w:val="003F3282"/>
    <w:rsid w:val="003F359E"/>
    <w:rsid w:val="003F465D"/>
    <w:rsid w:val="003F490C"/>
    <w:rsid w:val="003F4B87"/>
    <w:rsid w:val="003F4C23"/>
    <w:rsid w:val="003F6961"/>
    <w:rsid w:val="004001ED"/>
    <w:rsid w:val="00404AE6"/>
    <w:rsid w:val="00405EAA"/>
    <w:rsid w:val="0041000D"/>
    <w:rsid w:val="004101BE"/>
    <w:rsid w:val="00410ABE"/>
    <w:rsid w:val="00413C37"/>
    <w:rsid w:val="0041438D"/>
    <w:rsid w:val="004148FF"/>
    <w:rsid w:val="00432473"/>
    <w:rsid w:val="004327EE"/>
    <w:rsid w:val="00433461"/>
    <w:rsid w:val="004355AB"/>
    <w:rsid w:val="00435FB9"/>
    <w:rsid w:val="00437255"/>
    <w:rsid w:val="004378F9"/>
    <w:rsid w:val="00446258"/>
    <w:rsid w:val="0044662D"/>
    <w:rsid w:val="00447027"/>
    <w:rsid w:val="00451C9A"/>
    <w:rsid w:val="00451CD2"/>
    <w:rsid w:val="00452061"/>
    <w:rsid w:val="004527A1"/>
    <w:rsid w:val="004529B6"/>
    <w:rsid w:val="00453EAA"/>
    <w:rsid w:val="0045572F"/>
    <w:rsid w:val="00456343"/>
    <w:rsid w:val="00456E61"/>
    <w:rsid w:val="00456F71"/>
    <w:rsid w:val="0045731C"/>
    <w:rsid w:val="00457FE2"/>
    <w:rsid w:val="004640A5"/>
    <w:rsid w:val="00464B9C"/>
    <w:rsid w:val="0046574C"/>
    <w:rsid w:val="004660CE"/>
    <w:rsid w:val="00467A48"/>
    <w:rsid w:val="00467E26"/>
    <w:rsid w:val="00470B2C"/>
    <w:rsid w:val="00475F32"/>
    <w:rsid w:val="00477CC3"/>
    <w:rsid w:val="0048060A"/>
    <w:rsid w:val="00482133"/>
    <w:rsid w:val="0048292E"/>
    <w:rsid w:val="0048381D"/>
    <w:rsid w:val="0048394C"/>
    <w:rsid w:val="004839DE"/>
    <w:rsid w:val="004855B9"/>
    <w:rsid w:val="004862F3"/>
    <w:rsid w:val="004872D2"/>
    <w:rsid w:val="004901F9"/>
    <w:rsid w:val="00493EE6"/>
    <w:rsid w:val="00494324"/>
    <w:rsid w:val="00496EA0"/>
    <w:rsid w:val="004976CA"/>
    <w:rsid w:val="004A1E78"/>
    <w:rsid w:val="004A2068"/>
    <w:rsid w:val="004A2F9C"/>
    <w:rsid w:val="004A3AE2"/>
    <w:rsid w:val="004A3EAC"/>
    <w:rsid w:val="004A5144"/>
    <w:rsid w:val="004A621D"/>
    <w:rsid w:val="004B0257"/>
    <w:rsid w:val="004B0396"/>
    <w:rsid w:val="004B0F83"/>
    <w:rsid w:val="004B1019"/>
    <w:rsid w:val="004B2158"/>
    <w:rsid w:val="004B48CE"/>
    <w:rsid w:val="004B4D63"/>
    <w:rsid w:val="004B6CCC"/>
    <w:rsid w:val="004C0DAC"/>
    <w:rsid w:val="004C1709"/>
    <w:rsid w:val="004C21C8"/>
    <w:rsid w:val="004C43EE"/>
    <w:rsid w:val="004C47DB"/>
    <w:rsid w:val="004C5EA1"/>
    <w:rsid w:val="004C6DA3"/>
    <w:rsid w:val="004D26F5"/>
    <w:rsid w:val="004D2BD7"/>
    <w:rsid w:val="004D315B"/>
    <w:rsid w:val="004D5A97"/>
    <w:rsid w:val="004D5CDB"/>
    <w:rsid w:val="004E6525"/>
    <w:rsid w:val="004F1F88"/>
    <w:rsid w:val="004F3372"/>
    <w:rsid w:val="004F3C54"/>
    <w:rsid w:val="004F3FCB"/>
    <w:rsid w:val="004F612E"/>
    <w:rsid w:val="004F64A3"/>
    <w:rsid w:val="004F762C"/>
    <w:rsid w:val="004F7B6C"/>
    <w:rsid w:val="004F7F1B"/>
    <w:rsid w:val="005017BD"/>
    <w:rsid w:val="00501E32"/>
    <w:rsid w:val="005046F4"/>
    <w:rsid w:val="0050594D"/>
    <w:rsid w:val="00506047"/>
    <w:rsid w:val="005063EA"/>
    <w:rsid w:val="00506830"/>
    <w:rsid w:val="00507E37"/>
    <w:rsid w:val="00510E58"/>
    <w:rsid w:val="0052052A"/>
    <w:rsid w:val="0052077C"/>
    <w:rsid w:val="00520C02"/>
    <w:rsid w:val="00522690"/>
    <w:rsid w:val="00523356"/>
    <w:rsid w:val="0052490F"/>
    <w:rsid w:val="00526A0C"/>
    <w:rsid w:val="00527085"/>
    <w:rsid w:val="00527356"/>
    <w:rsid w:val="0052796B"/>
    <w:rsid w:val="00530D91"/>
    <w:rsid w:val="00530FC8"/>
    <w:rsid w:val="00530FF0"/>
    <w:rsid w:val="005321E5"/>
    <w:rsid w:val="0053301E"/>
    <w:rsid w:val="005336B5"/>
    <w:rsid w:val="005338E9"/>
    <w:rsid w:val="00536611"/>
    <w:rsid w:val="00537144"/>
    <w:rsid w:val="00537736"/>
    <w:rsid w:val="005378DF"/>
    <w:rsid w:val="00540940"/>
    <w:rsid w:val="0054147B"/>
    <w:rsid w:val="00541F35"/>
    <w:rsid w:val="00544737"/>
    <w:rsid w:val="00544901"/>
    <w:rsid w:val="00547562"/>
    <w:rsid w:val="00547B30"/>
    <w:rsid w:val="005503B6"/>
    <w:rsid w:val="005523DF"/>
    <w:rsid w:val="00555CD4"/>
    <w:rsid w:val="00560CD2"/>
    <w:rsid w:val="00561DAD"/>
    <w:rsid w:val="00564EA6"/>
    <w:rsid w:val="00566909"/>
    <w:rsid w:val="00566FA7"/>
    <w:rsid w:val="005722DC"/>
    <w:rsid w:val="005741F4"/>
    <w:rsid w:val="0057675C"/>
    <w:rsid w:val="005769F7"/>
    <w:rsid w:val="00576CF1"/>
    <w:rsid w:val="005775C2"/>
    <w:rsid w:val="00577BF6"/>
    <w:rsid w:val="005811DF"/>
    <w:rsid w:val="00582836"/>
    <w:rsid w:val="00582C7C"/>
    <w:rsid w:val="00582FD6"/>
    <w:rsid w:val="00583170"/>
    <w:rsid w:val="00583A9D"/>
    <w:rsid w:val="00584009"/>
    <w:rsid w:val="005865E9"/>
    <w:rsid w:val="00586929"/>
    <w:rsid w:val="00587157"/>
    <w:rsid w:val="00587A31"/>
    <w:rsid w:val="00590169"/>
    <w:rsid w:val="005922B7"/>
    <w:rsid w:val="00592C8E"/>
    <w:rsid w:val="0059408F"/>
    <w:rsid w:val="005966D7"/>
    <w:rsid w:val="005977D7"/>
    <w:rsid w:val="005A0260"/>
    <w:rsid w:val="005A1042"/>
    <w:rsid w:val="005A243F"/>
    <w:rsid w:val="005A2993"/>
    <w:rsid w:val="005A461C"/>
    <w:rsid w:val="005A4794"/>
    <w:rsid w:val="005A4B57"/>
    <w:rsid w:val="005A545A"/>
    <w:rsid w:val="005A66DE"/>
    <w:rsid w:val="005B3645"/>
    <w:rsid w:val="005B4C84"/>
    <w:rsid w:val="005B59A4"/>
    <w:rsid w:val="005B6B2D"/>
    <w:rsid w:val="005B7948"/>
    <w:rsid w:val="005B7D6B"/>
    <w:rsid w:val="005C2836"/>
    <w:rsid w:val="005C3C5E"/>
    <w:rsid w:val="005C51A6"/>
    <w:rsid w:val="005C5CDA"/>
    <w:rsid w:val="005C6074"/>
    <w:rsid w:val="005C777B"/>
    <w:rsid w:val="005C7A41"/>
    <w:rsid w:val="005C7FCF"/>
    <w:rsid w:val="005D1361"/>
    <w:rsid w:val="005D1A93"/>
    <w:rsid w:val="005D1F08"/>
    <w:rsid w:val="005D2698"/>
    <w:rsid w:val="005D6CFF"/>
    <w:rsid w:val="005E0399"/>
    <w:rsid w:val="005E160E"/>
    <w:rsid w:val="005E6824"/>
    <w:rsid w:val="005E7897"/>
    <w:rsid w:val="005F0720"/>
    <w:rsid w:val="005F0E49"/>
    <w:rsid w:val="005F11CF"/>
    <w:rsid w:val="005F7860"/>
    <w:rsid w:val="006004F8"/>
    <w:rsid w:val="00600B4D"/>
    <w:rsid w:val="00601072"/>
    <w:rsid w:val="00601715"/>
    <w:rsid w:val="0060211C"/>
    <w:rsid w:val="0060230A"/>
    <w:rsid w:val="00602CB3"/>
    <w:rsid w:val="00603843"/>
    <w:rsid w:val="00604524"/>
    <w:rsid w:val="00605454"/>
    <w:rsid w:val="00605DB8"/>
    <w:rsid w:val="00607DB5"/>
    <w:rsid w:val="0061099C"/>
    <w:rsid w:val="0061127D"/>
    <w:rsid w:val="00611B1C"/>
    <w:rsid w:val="00611FE5"/>
    <w:rsid w:val="00612E4D"/>
    <w:rsid w:val="0061317E"/>
    <w:rsid w:val="00615CB9"/>
    <w:rsid w:val="00615D19"/>
    <w:rsid w:val="00616F31"/>
    <w:rsid w:val="00617583"/>
    <w:rsid w:val="00622006"/>
    <w:rsid w:val="00623641"/>
    <w:rsid w:val="00624A4E"/>
    <w:rsid w:val="006278DE"/>
    <w:rsid w:val="00630706"/>
    <w:rsid w:val="0063343D"/>
    <w:rsid w:val="006351C8"/>
    <w:rsid w:val="00637B96"/>
    <w:rsid w:val="00641F5D"/>
    <w:rsid w:val="0064256F"/>
    <w:rsid w:val="006430B8"/>
    <w:rsid w:val="006432D6"/>
    <w:rsid w:val="00645D7F"/>
    <w:rsid w:val="00646F3E"/>
    <w:rsid w:val="00647C21"/>
    <w:rsid w:val="00647CE4"/>
    <w:rsid w:val="00647F65"/>
    <w:rsid w:val="0065168B"/>
    <w:rsid w:val="00652EB5"/>
    <w:rsid w:val="00655ADB"/>
    <w:rsid w:val="00656259"/>
    <w:rsid w:val="006579F2"/>
    <w:rsid w:val="00657A8F"/>
    <w:rsid w:val="00661687"/>
    <w:rsid w:val="00663AEB"/>
    <w:rsid w:val="0066585D"/>
    <w:rsid w:val="00665FB1"/>
    <w:rsid w:val="006702A7"/>
    <w:rsid w:val="00670698"/>
    <w:rsid w:val="00670752"/>
    <w:rsid w:val="0067241A"/>
    <w:rsid w:val="00673043"/>
    <w:rsid w:val="006741F0"/>
    <w:rsid w:val="00674F26"/>
    <w:rsid w:val="00675115"/>
    <w:rsid w:val="006760E8"/>
    <w:rsid w:val="00680335"/>
    <w:rsid w:val="00681A39"/>
    <w:rsid w:val="0068603E"/>
    <w:rsid w:val="00692DA7"/>
    <w:rsid w:val="006932DE"/>
    <w:rsid w:val="00695332"/>
    <w:rsid w:val="00695ACB"/>
    <w:rsid w:val="00695E2D"/>
    <w:rsid w:val="006A0942"/>
    <w:rsid w:val="006A1853"/>
    <w:rsid w:val="006A30C2"/>
    <w:rsid w:val="006A49CA"/>
    <w:rsid w:val="006A5436"/>
    <w:rsid w:val="006A6529"/>
    <w:rsid w:val="006A7104"/>
    <w:rsid w:val="006A7767"/>
    <w:rsid w:val="006A7F30"/>
    <w:rsid w:val="006B23E4"/>
    <w:rsid w:val="006B374C"/>
    <w:rsid w:val="006B396D"/>
    <w:rsid w:val="006B3BED"/>
    <w:rsid w:val="006B4336"/>
    <w:rsid w:val="006B7C93"/>
    <w:rsid w:val="006C422F"/>
    <w:rsid w:val="006C482B"/>
    <w:rsid w:val="006C52D9"/>
    <w:rsid w:val="006C6424"/>
    <w:rsid w:val="006D18AA"/>
    <w:rsid w:val="006D1D0A"/>
    <w:rsid w:val="006D28EA"/>
    <w:rsid w:val="006D49D1"/>
    <w:rsid w:val="006D6658"/>
    <w:rsid w:val="006E1698"/>
    <w:rsid w:val="006E1A33"/>
    <w:rsid w:val="006E2F66"/>
    <w:rsid w:val="006E474F"/>
    <w:rsid w:val="006E6113"/>
    <w:rsid w:val="006E6954"/>
    <w:rsid w:val="006E6EA7"/>
    <w:rsid w:val="006F0748"/>
    <w:rsid w:val="006F1946"/>
    <w:rsid w:val="006F26DF"/>
    <w:rsid w:val="006F29EE"/>
    <w:rsid w:val="006F2CD4"/>
    <w:rsid w:val="006F4F14"/>
    <w:rsid w:val="006F6526"/>
    <w:rsid w:val="006F6B8E"/>
    <w:rsid w:val="006F707D"/>
    <w:rsid w:val="006F799B"/>
    <w:rsid w:val="00700872"/>
    <w:rsid w:val="0070376E"/>
    <w:rsid w:val="00703ED8"/>
    <w:rsid w:val="007114A4"/>
    <w:rsid w:val="00711B5B"/>
    <w:rsid w:val="0071265F"/>
    <w:rsid w:val="00713B6B"/>
    <w:rsid w:val="00714DA8"/>
    <w:rsid w:val="00715ECB"/>
    <w:rsid w:val="007177A8"/>
    <w:rsid w:val="0071780B"/>
    <w:rsid w:val="00717F08"/>
    <w:rsid w:val="00720DBF"/>
    <w:rsid w:val="00723937"/>
    <w:rsid w:val="00725EE4"/>
    <w:rsid w:val="00727528"/>
    <w:rsid w:val="0073232E"/>
    <w:rsid w:val="00733A30"/>
    <w:rsid w:val="00734351"/>
    <w:rsid w:val="00735301"/>
    <w:rsid w:val="00735A9C"/>
    <w:rsid w:val="0073600F"/>
    <w:rsid w:val="00740A96"/>
    <w:rsid w:val="00741202"/>
    <w:rsid w:val="00741776"/>
    <w:rsid w:val="007437F7"/>
    <w:rsid w:val="00744BAC"/>
    <w:rsid w:val="00745450"/>
    <w:rsid w:val="007468AF"/>
    <w:rsid w:val="00747049"/>
    <w:rsid w:val="007474C2"/>
    <w:rsid w:val="00747BA5"/>
    <w:rsid w:val="00751316"/>
    <w:rsid w:val="00756DB4"/>
    <w:rsid w:val="00757943"/>
    <w:rsid w:val="00757F22"/>
    <w:rsid w:val="007600F8"/>
    <w:rsid w:val="0076032F"/>
    <w:rsid w:val="007624DF"/>
    <w:rsid w:val="007632DB"/>
    <w:rsid w:val="00763CF9"/>
    <w:rsid w:val="00763D6E"/>
    <w:rsid w:val="00772067"/>
    <w:rsid w:val="007729F5"/>
    <w:rsid w:val="00772E71"/>
    <w:rsid w:val="007732CD"/>
    <w:rsid w:val="007737A3"/>
    <w:rsid w:val="00773D1F"/>
    <w:rsid w:val="0077567C"/>
    <w:rsid w:val="007760BF"/>
    <w:rsid w:val="007766CE"/>
    <w:rsid w:val="007813CB"/>
    <w:rsid w:val="00790CFD"/>
    <w:rsid w:val="0079186E"/>
    <w:rsid w:val="00791ABA"/>
    <w:rsid w:val="00791BEA"/>
    <w:rsid w:val="00793B70"/>
    <w:rsid w:val="007957AB"/>
    <w:rsid w:val="007968C5"/>
    <w:rsid w:val="00796B00"/>
    <w:rsid w:val="00796DC9"/>
    <w:rsid w:val="007A415D"/>
    <w:rsid w:val="007A4302"/>
    <w:rsid w:val="007A5055"/>
    <w:rsid w:val="007B0726"/>
    <w:rsid w:val="007B1338"/>
    <w:rsid w:val="007B45F3"/>
    <w:rsid w:val="007B4B54"/>
    <w:rsid w:val="007B5B95"/>
    <w:rsid w:val="007B5EEB"/>
    <w:rsid w:val="007B5F42"/>
    <w:rsid w:val="007B7AAE"/>
    <w:rsid w:val="007C0060"/>
    <w:rsid w:val="007C0AFD"/>
    <w:rsid w:val="007C1CDD"/>
    <w:rsid w:val="007C2C05"/>
    <w:rsid w:val="007C3222"/>
    <w:rsid w:val="007C3E25"/>
    <w:rsid w:val="007C4988"/>
    <w:rsid w:val="007C6206"/>
    <w:rsid w:val="007C6C7B"/>
    <w:rsid w:val="007D0313"/>
    <w:rsid w:val="007D1FD1"/>
    <w:rsid w:val="007D4367"/>
    <w:rsid w:val="007D5D0B"/>
    <w:rsid w:val="007D670F"/>
    <w:rsid w:val="007D716A"/>
    <w:rsid w:val="007D720F"/>
    <w:rsid w:val="007E1017"/>
    <w:rsid w:val="007E2BC4"/>
    <w:rsid w:val="007E3A94"/>
    <w:rsid w:val="007E3C3D"/>
    <w:rsid w:val="007E5B69"/>
    <w:rsid w:val="007E6A7D"/>
    <w:rsid w:val="007F23E7"/>
    <w:rsid w:val="007F4B11"/>
    <w:rsid w:val="007F6D64"/>
    <w:rsid w:val="007F7137"/>
    <w:rsid w:val="0080262D"/>
    <w:rsid w:val="00802A80"/>
    <w:rsid w:val="0080380C"/>
    <w:rsid w:val="00803C8B"/>
    <w:rsid w:val="00804449"/>
    <w:rsid w:val="008065A8"/>
    <w:rsid w:val="00806D4F"/>
    <w:rsid w:val="00807C5A"/>
    <w:rsid w:val="00807E7C"/>
    <w:rsid w:val="0081149C"/>
    <w:rsid w:val="0081286D"/>
    <w:rsid w:val="00813802"/>
    <w:rsid w:val="008168B6"/>
    <w:rsid w:val="00817218"/>
    <w:rsid w:val="00821D4F"/>
    <w:rsid w:val="00822078"/>
    <w:rsid w:val="00822860"/>
    <w:rsid w:val="00823957"/>
    <w:rsid w:val="0082626C"/>
    <w:rsid w:val="008268F1"/>
    <w:rsid w:val="00832B4A"/>
    <w:rsid w:val="008335F6"/>
    <w:rsid w:val="00833CB7"/>
    <w:rsid w:val="00834C3A"/>
    <w:rsid w:val="00836317"/>
    <w:rsid w:val="00837F99"/>
    <w:rsid w:val="00837F9B"/>
    <w:rsid w:val="0084159F"/>
    <w:rsid w:val="008419DE"/>
    <w:rsid w:val="00841BCF"/>
    <w:rsid w:val="00842746"/>
    <w:rsid w:val="008463EB"/>
    <w:rsid w:val="00846DD6"/>
    <w:rsid w:val="0085025E"/>
    <w:rsid w:val="00851883"/>
    <w:rsid w:val="008518B7"/>
    <w:rsid w:val="008528BF"/>
    <w:rsid w:val="00853925"/>
    <w:rsid w:val="00854781"/>
    <w:rsid w:val="00854C0C"/>
    <w:rsid w:val="00855250"/>
    <w:rsid w:val="00860C38"/>
    <w:rsid w:val="00860F17"/>
    <w:rsid w:val="0086182F"/>
    <w:rsid w:val="00865E08"/>
    <w:rsid w:val="008663AB"/>
    <w:rsid w:val="008673D0"/>
    <w:rsid w:val="0087183B"/>
    <w:rsid w:val="0087247F"/>
    <w:rsid w:val="00880F72"/>
    <w:rsid w:val="0088156A"/>
    <w:rsid w:val="00881831"/>
    <w:rsid w:val="00882924"/>
    <w:rsid w:val="00884525"/>
    <w:rsid w:val="008854F8"/>
    <w:rsid w:val="00885FF3"/>
    <w:rsid w:val="00886096"/>
    <w:rsid w:val="008866A2"/>
    <w:rsid w:val="008904AC"/>
    <w:rsid w:val="008961C1"/>
    <w:rsid w:val="008976CE"/>
    <w:rsid w:val="00897E09"/>
    <w:rsid w:val="008A06E0"/>
    <w:rsid w:val="008A070C"/>
    <w:rsid w:val="008A08FC"/>
    <w:rsid w:val="008A1FCF"/>
    <w:rsid w:val="008A34A9"/>
    <w:rsid w:val="008A36B5"/>
    <w:rsid w:val="008A4CFC"/>
    <w:rsid w:val="008A6487"/>
    <w:rsid w:val="008A6CA9"/>
    <w:rsid w:val="008B0E66"/>
    <w:rsid w:val="008B16CA"/>
    <w:rsid w:val="008B2515"/>
    <w:rsid w:val="008B5C22"/>
    <w:rsid w:val="008B6E69"/>
    <w:rsid w:val="008C2B5E"/>
    <w:rsid w:val="008C40E6"/>
    <w:rsid w:val="008D0CCD"/>
    <w:rsid w:val="008D36D0"/>
    <w:rsid w:val="008D4729"/>
    <w:rsid w:val="008D4CA7"/>
    <w:rsid w:val="008D63A2"/>
    <w:rsid w:val="008D6BA3"/>
    <w:rsid w:val="008E07BD"/>
    <w:rsid w:val="008E5462"/>
    <w:rsid w:val="008E5EBA"/>
    <w:rsid w:val="008E6427"/>
    <w:rsid w:val="008F08C9"/>
    <w:rsid w:val="008F1A12"/>
    <w:rsid w:val="008F58AB"/>
    <w:rsid w:val="008F5DB8"/>
    <w:rsid w:val="008F627B"/>
    <w:rsid w:val="009009ED"/>
    <w:rsid w:val="009013F2"/>
    <w:rsid w:val="0090187B"/>
    <w:rsid w:val="00901F58"/>
    <w:rsid w:val="00904060"/>
    <w:rsid w:val="0090557B"/>
    <w:rsid w:val="0091339E"/>
    <w:rsid w:val="00915AD8"/>
    <w:rsid w:val="0091664F"/>
    <w:rsid w:val="00920210"/>
    <w:rsid w:val="00920E18"/>
    <w:rsid w:val="009217E3"/>
    <w:rsid w:val="009238F5"/>
    <w:rsid w:val="00923A3D"/>
    <w:rsid w:val="009254ED"/>
    <w:rsid w:val="00925695"/>
    <w:rsid w:val="00926FDA"/>
    <w:rsid w:val="00927C7B"/>
    <w:rsid w:val="00927D43"/>
    <w:rsid w:val="009302E0"/>
    <w:rsid w:val="00933546"/>
    <w:rsid w:val="0093367E"/>
    <w:rsid w:val="00933E9A"/>
    <w:rsid w:val="00935460"/>
    <w:rsid w:val="00936B60"/>
    <w:rsid w:val="00936FE4"/>
    <w:rsid w:val="00937089"/>
    <w:rsid w:val="009376CD"/>
    <w:rsid w:val="00937A04"/>
    <w:rsid w:val="00937D8B"/>
    <w:rsid w:val="00942A59"/>
    <w:rsid w:val="009457EF"/>
    <w:rsid w:val="009472D2"/>
    <w:rsid w:val="009509B4"/>
    <w:rsid w:val="00951103"/>
    <w:rsid w:val="00952701"/>
    <w:rsid w:val="00952F3C"/>
    <w:rsid w:val="00955FCE"/>
    <w:rsid w:val="00956728"/>
    <w:rsid w:val="00956EED"/>
    <w:rsid w:val="0096039C"/>
    <w:rsid w:val="00960511"/>
    <w:rsid w:val="009620F3"/>
    <w:rsid w:val="0096670D"/>
    <w:rsid w:val="00967384"/>
    <w:rsid w:val="0096772C"/>
    <w:rsid w:val="00967C19"/>
    <w:rsid w:val="00970235"/>
    <w:rsid w:val="0097049A"/>
    <w:rsid w:val="0097064A"/>
    <w:rsid w:val="00970860"/>
    <w:rsid w:val="00972651"/>
    <w:rsid w:val="00973A2D"/>
    <w:rsid w:val="00974AEA"/>
    <w:rsid w:val="00975662"/>
    <w:rsid w:val="009760A6"/>
    <w:rsid w:val="0098105F"/>
    <w:rsid w:val="00981CAB"/>
    <w:rsid w:val="00983639"/>
    <w:rsid w:val="00987810"/>
    <w:rsid w:val="00991DF9"/>
    <w:rsid w:val="009928CA"/>
    <w:rsid w:val="009936F7"/>
    <w:rsid w:val="00993D21"/>
    <w:rsid w:val="0099494D"/>
    <w:rsid w:val="009954ED"/>
    <w:rsid w:val="00995DE9"/>
    <w:rsid w:val="009969BD"/>
    <w:rsid w:val="009979C0"/>
    <w:rsid w:val="00997F40"/>
    <w:rsid w:val="009A0C91"/>
    <w:rsid w:val="009A152E"/>
    <w:rsid w:val="009A15CD"/>
    <w:rsid w:val="009A2126"/>
    <w:rsid w:val="009A3C97"/>
    <w:rsid w:val="009A4271"/>
    <w:rsid w:val="009A5730"/>
    <w:rsid w:val="009A62B9"/>
    <w:rsid w:val="009B03C5"/>
    <w:rsid w:val="009B1E94"/>
    <w:rsid w:val="009B4576"/>
    <w:rsid w:val="009B47E4"/>
    <w:rsid w:val="009B5F78"/>
    <w:rsid w:val="009B64F1"/>
    <w:rsid w:val="009B66D3"/>
    <w:rsid w:val="009B68FA"/>
    <w:rsid w:val="009B6960"/>
    <w:rsid w:val="009B6F2B"/>
    <w:rsid w:val="009C0A86"/>
    <w:rsid w:val="009C0D82"/>
    <w:rsid w:val="009C1234"/>
    <w:rsid w:val="009C1A97"/>
    <w:rsid w:val="009C25C6"/>
    <w:rsid w:val="009C399B"/>
    <w:rsid w:val="009C4471"/>
    <w:rsid w:val="009C50B9"/>
    <w:rsid w:val="009C54B6"/>
    <w:rsid w:val="009D071A"/>
    <w:rsid w:val="009D12B3"/>
    <w:rsid w:val="009D1406"/>
    <w:rsid w:val="009D29A5"/>
    <w:rsid w:val="009D3011"/>
    <w:rsid w:val="009D4771"/>
    <w:rsid w:val="009D51DB"/>
    <w:rsid w:val="009D6AAB"/>
    <w:rsid w:val="009D6EB8"/>
    <w:rsid w:val="009E0BDB"/>
    <w:rsid w:val="009E1F26"/>
    <w:rsid w:val="009E3BAC"/>
    <w:rsid w:val="009E4750"/>
    <w:rsid w:val="009E5B10"/>
    <w:rsid w:val="009E5FD5"/>
    <w:rsid w:val="009F0F6F"/>
    <w:rsid w:val="009F1C24"/>
    <w:rsid w:val="009F21F4"/>
    <w:rsid w:val="009F2468"/>
    <w:rsid w:val="009F309D"/>
    <w:rsid w:val="009F5929"/>
    <w:rsid w:val="009F5AE6"/>
    <w:rsid w:val="009F6004"/>
    <w:rsid w:val="00A02C51"/>
    <w:rsid w:val="00A0302B"/>
    <w:rsid w:val="00A03203"/>
    <w:rsid w:val="00A04EEE"/>
    <w:rsid w:val="00A07280"/>
    <w:rsid w:val="00A07708"/>
    <w:rsid w:val="00A1336E"/>
    <w:rsid w:val="00A135CD"/>
    <w:rsid w:val="00A13ABC"/>
    <w:rsid w:val="00A157E3"/>
    <w:rsid w:val="00A15972"/>
    <w:rsid w:val="00A159BD"/>
    <w:rsid w:val="00A21D41"/>
    <w:rsid w:val="00A22BAB"/>
    <w:rsid w:val="00A247A1"/>
    <w:rsid w:val="00A25CCA"/>
    <w:rsid w:val="00A25F4E"/>
    <w:rsid w:val="00A312F3"/>
    <w:rsid w:val="00A320FC"/>
    <w:rsid w:val="00A3690A"/>
    <w:rsid w:val="00A419CC"/>
    <w:rsid w:val="00A43367"/>
    <w:rsid w:val="00A446C2"/>
    <w:rsid w:val="00A4478D"/>
    <w:rsid w:val="00A45B1A"/>
    <w:rsid w:val="00A47B1B"/>
    <w:rsid w:val="00A50826"/>
    <w:rsid w:val="00A53B58"/>
    <w:rsid w:val="00A547B2"/>
    <w:rsid w:val="00A55DA9"/>
    <w:rsid w:val="00A55FF2"/>
    <w:rsid w:val="00A566A9"/>
    <w:rsid w:val="00A57C1A"/>
    <w:rsid w:val="00A60D4A"/>
    <w:rsid w:val="00A62CED"/>
    <w:rsid w:val="00A63080"/>
    <w:rsid w:val="00A6622D"/>
    <w:rsid w:val="00A67CD1"/>
    <w:rsid w:val="00A71303"/>
    <w:rsid w:val="00A7220C"/>
    <w:rsid w:val="00A7229C"/>
    <w:rsid w:val="00A73ECA"/>
    <w:rsid w:val="00A76ED8"/>
    <w:rsid w:val="00A82C8D"/>
    <w:rsid w:val="00A82D8A"/>
    <w:rsid w:val="00A8428F"/>
    <w:rsid w:val="00A84E22"/>
    <w:rsid w:val="00A86049"/>
    <w:rsid w:val="00A86AF2"/>
    <w:rsid w:val="00A87A02"/>
    <w:rsid w:val="00A9155A"/>
    <w:rsid w:val="00A93490"/>
    <w:rsid w:val="00A93E81"/>
    <w:rsid w:val="00A94CA5"/>
    <w:rsid w:val="00A97771"/>
    <w:rsid w:val="00AA2444"/>
    <w:rsid w:val="00AA25FD"/>
    <w:rsid w:val="00AA39EC"/>
    <w:rsid w:val="00AA3F1F"/>
    <w:rsid w:val="00AA4CD3"/>
    <w:rsid w:val="00AA4ECC"/>
    <w:rsid w:val="00AA4FA0"/>
    <w:rsid w:val="00AA5625"/>
    <w:rsid w:val="00AA73A5"/>
    <w:rsid w:val="00AB0404"/>
    <w:rsid w:val="00AB0E57"/>
    <w:rsid w:val="00AB2207"/>
    <w:rsid w:val="00AB2378"/>
    <w:rsid w:val="00AB595B"/>
    <w:rsid w:val="00AB7015"/>
    <w:rsid w:val="00AB72C3"/>
    <w:rsid w:val="00AC0F07"/>
    <w:rsid w:val="00AC21C2"/>
    <w:rsid w:val="00AC290E"/>
    <w:rsid w:val="00AC3E52"/>
    <w:rsid w:val="00AC4D37"/>
    <w:rsid w:val="00AC50B1"/>
    <w:rsid w:val="00AC5685"/>
    <w:rsid w:val="00AC7E1F"/>
    <w:rsid w:val="00AD0A3C"/>
    <w:rsid w:val="00AD1C2A"/>
    <w:rsid w:val="00AD3145"/>
    <w:rsid w:val="00AD35AC"/>
    <w:rsid w:val="00AE131F"/>
    <w:rsid w:val="00AE2CE5"/>
    <w:rsid w:val="00AE404C"/>
    <w:rsid w:val="00AE40F5"/>
    <w:rsid w:val="00AE6EED"/>
    <w:rsid w:val="00AF07D5"/>
    <w:rsid w:val="00AF0C78"/>
    <w:rsid w:val="00AF1135"/>
    <w:rsid w:val="00AF2CB8"/>
    <w:rsid w:val="00AF32B3"/>
    <w:rsid w:val="00AF33F8"/>
    <w:rsid w:val="00AF478A"/>
    <w:rsid w:val="00AF51C8"/>
    <w:rsid w:val="00B00AA3"/>
    <w:rsid w:val="00B01003"/>
    <w:rsid w:val="00B01446"/>
    <w:rsid w:val="00B01B5E"/>
    <w:rsid w:val="00B05871"/>
    <w:rsid w:val="00B0656D"/>
    <w:rsid w:val="00B107FD"/>
    <w:rsid w:val="00B1094A"/>
    <w:rsid w:val="00B13A4D"/>
    <w:rsid w:val="00B15348"/>
    <w:rsid w:val="00B15458"/>
    <w:rsid w:val="00B15D84"/>
    <w:rsid w:val="00B16101"/>
    <w:rsid w:val="00B21CCC"/>
    <w:rsid w:val="00B22682"/>
    <w:rsid w:val="00B2284D"/>
    <w:rsid w:val="00B2300A"/>
    <w:rsid w:val="00B23263"/>
    <w:rsid w:val="00B24D38"/>
    <w:rsid w:val="00B254CE"/>
    <w:rsid w:val="00B25AD0"/>
    <w:rsid w:val="00B25BD1"/>
    <w:rsid w:val="00B2616F"/>
    <w:rsid w:val="00B3232F"/>
    <w:rsid w:val="00B33662"/>
    <w:rsid w:val="00B34841"/>
    <w:rsid w:val="00B35B11"/>
    <w:rsid w:val="00B35D0D"/>
    <w:rsid w:val="00B36FAF"/>
    <w:rsid w:val="00B4175A"/>
    <w:rsid w:val="00B42705"/>
    <w:rsid w:val="00B427C0"/>
    <w:rsid w:val="00B42B1B"/>
    <w:rsid w:val="00B430F1"/>
    <w:rsid w:val="00B43ADD"/>
    <w:rsid w:val="00B43FED"/>
    <w:rsid w:val="00B44491"/>
    <w:rsid w:val="00B45DE7"/>
    <w:rsid w:val="00B46CE8"/>
    <w:rsid w:val="00B5041D"/>
    <w:rsid w:val="00B52546"/>
    <w:rsid w:val="00B52D27"/>
    <w:rsid w:val="00B53744"/>
    <w:rsid w:val="00B566E2"/>
    <w:rsid w:val="00B576E4"/>
    <w:rsid w:val="00B5790D"/>
    <w:rsid w:val="00B57E84"/>
    <w:rsid w:val="00B61E16"/>
    <w:rsid w:val="00B63294"/>
    <w:rsid w:val="00B6383A"/>
    <w:rsid w:val="00B63D7C"/>
    <w:rsid w:val="00B64166"/>
    <w:rsid w:val="00B650E7"/>
    <w:rsid w:val="00B654A3"/>
    <w:rsid w:val="00B65675"/>
    <w:rsid w:val="00B65938"/>
    <w:rsid w:val="00B664DA"/>
    <w:rsid w:val="00B66A5C"/>
    <w:rsid w:val="00B67E99"/>
    <w:rsid w:val="00B7141B"/>
    <w:rsid w:val="00B71CDD"/>
    <w:rsid w:val="00B72AEE"/>
    <w:rsid w:val="00B732CF"/>
    <w:rsid w:val="00B76210"/>
    <w:rsid w:val="00B762C6"/>
    <w:rsid w:val="00B8066A"/>
    <w:rsid w:val="00B82C16"/>
    <w:rsid w:val="00B83E10"/>
    <w:rsid w:val="00B85B32"/>
    <w:rsid w:val="00B86F7F"/>
    <w:rsid w:val="00B910AE"/>
    <w:rsid w:val="00B91BC9"/>
    <w:rsid w:val="00B91F19"/>
    <w:rsid w:val="00B95680"/>
    <w:rsid w:val="00B95BFD"/>
    <w:rsid w:val="00B97C47"/>
    <w:rsid w:val="00BA04BD"/>
    <w:rsid w:val="00BA1121"/>
    <w:rsid w:val="00BA2AD7"/>
    <w:rsid w:val="00BA2BFB"/>
    <w:rsid w:val="00BA38DC"/>
    <w:rsid w:val="00BA4D9B"/>
    <w:rsid w:val="00BA5778"/>
    <w:rsid w:val="00BA58DD"/>
    <w:rsid w:val="00BA5C29"/>
    <w:rsid w:val="00BA66D2"/>
    <w:rsid w:val="00BA7790"/>
    <w:rsid w:val="00BB12D9"/>
    <w:rsid w:val="00BB2BAA"/>
    <w:rsid w:val="00BB5B2E"/>
    <w:rsid w:val="00BB6CD3"/>
    <w:rsid w:val="00BB70A4"/>
    <w:rsid w:val="00BB766F"/>
    <w:rsid w:val="00BB769A"/>
    <w:rsid w:val="00BB7F49"/>
    <w:rsid w:val="00BC038A"/>
    <w:rsid w:val="00BC0811"/>
    <w:rsid w:val="00BC222A"/>
    <w:rsid w:val="00BC38B5"/>
    <w:rsid w:val="00BC4E80"/>
    <w:rsid w:val="00BC5145"/>
    <w:rsid w:val="00BD103E"/>
    <w:rsid w:val="00BD25C3"/>
    <w:rsid w:val="00BD56E7"/>
    <w:rsid w:val="00BD5D45"/>
    <w:rsid w:val="00BD6111"/>
    <w:rsid w:val="00BD6660"/>
    <w:rsid w:val="00BD6E8A"/>
    <w:rsid w:val="00BD7E64"/>
    <w:rsid w:val="00BE12E6"/>
    <w:rsid w:val="00BE1A47"/>
    <w:rsid w:val="00BE4C3E"/>
    <w:rsid w:val="00BE534D"/>
    <w:rsid w:val="00BE5437"/>
    <w:rsid w:val="00BE6B4B"/>
    <w:rsid w:val="00BF1615"/>
    <w:rsid w:val="00BF5CB7"/>
    <w:rsid w:val="00BF7E70"/>
    <w:rsid w:val="00C013E5"/>
    <w:rsid w:val="00C03265"/>
    <w:rsid w:val="00C03B42"/>
    <w:rsid w:val="00C06396"/>
    <w:rsid w:val="00C063AC"/>
    <w:rsid w:val="00C06F28"/>
    <w:rsid w:val="00C079FA"/>
    <w:rsid w:val="00C1162C"/>
    <w:rsid w:val="00C122A2"/>
    <w:rsid w:val="00C13FCF"/>
    <w:rsid w:val="00C154A4"/>
    <w:rsid w:val="00C15A41"/>
    <w:rsid w:val="00C167EA"/>
    <w:rsid w:val="00C16A67"/>
    <w:rsid w:val="00C16FBB"/>
    <w:rsid w:val="00C1755C"/>
    <w:rsid w:val="00C2056D"/>
    <w:rsid w:val="00C21F7A"/>
    <w:rsid w:val="00C224CE"/>
    <w:rsid w:val="00C23955"/>
    <w:rsid w:val="00C24084"/>
    <w:rsid w:val="00C241D9"/>
    <w:rsid w:val="00C24BEB"/>
    <w:rsid w:val="00C27525"/>
    <w:rsid w:val="00C343D9"/>
    <w:rsid w:val="00C35C3A"/>
    <w:rsid w:val="00C37ADB"/>
    <w:rsid w:val="00C37F68"/>
    <w:rsid w:val="00C40988"/>
    <w:rsid w:val="00C40E8E"/>
    <w:rsid w:val="00C41B68"/>
    <w:rsid w:val="00C43A0B"/>
    <w:rsid w:val="00C45905"/>
    <w:rsid w:val="00C461E6"/>
    <w:rsid w:val="00C513B4"/>
    <w:rsid w:val="00C5177A"/>
    <w:rsid w:val="00C52D82"/>
    <w:rsid w:val="00C56785"/>
    <w:rsid w:val="00C573B4"/>
    <w:rsid w:val="00C57A3A"/>
    <w:rsid w:val="00C57C44"/>
    <w:rsid w:val="00C602AA"/>
    <w:rsid w:val="00C61197"/>
    <w:rsid w:val="00C70578"/>
    <w:rsid w:val="00C7195D"/>
    <w:rsid w:val="00C723B3"/>
    <w:rsid w:val="00C72511"/>
    <w:rsid w:val="00C75BF2"/>
    <w:rsid w:val="00C768FB"/>
    <w:rsid w:val="00C7708E"/>
    <w:rsid w:val="00C77628"/>
    <w:rsid w:val="00C77932"/>
    <w:rsid w:val="00C77CC0"/>
    <w:rsid w:val="00C8047A"/>
    <w:rsid w:val="00C81443"/>
    <w:rsid w:val="00C81E8C"/>
    <w:rsid w:val="00C84DA6"/>
    <w:rsid w:val="00C8503F"/>
    <w:rsid w:val="00C854E2"/>
    <w:rsid w:val="00C86204"/>
    <w:rsid w:val="00C90E88"/>
    <w:rsid w:val="00C9210B"/>
    <w:rsid w:val="00C933A5"/>
    <w:rsid w:val="00C942A1"/>
    <w:rsid w:val="00C943FC"/>
    <w:rsid w:val="00C94C9F"/>
    <w:rsid w:val="00C97326"/>
    <w:rsid w:val="00CA32C7"/>
    <w:rsid w:val="00CA3CF1"/>
    <w:rsid w:val="00CA426E"/>
    <w:rsid w:val="00CA74A5"/>
    <w:rsid w:val="00CB216E"/>
    <w:rsid w:val="00CB34D3"/>
    <w:rsid w:val="00CB5AC3"/>
    <w:rsid w:val="00CB5D16"/>
    <w:rsid w:val="00CC1295"/>
    <w:rsid w:val="00CC1BCF"/>
    <w:rsid w:val="00CC1F37"/>
    <w:rsid w:val="00CC22A1"/>
    <w:rsid w:val="00CC4092"/>
    <w:rsid w:val="00CC6FB3"/>
    <w:rsid w:val="00CC746F"/>
    <w:rsid w:val="00CD1075"/>
    <w:rsid w:val="00CD1F79"/>
    <w:rsid w:val="00CD23FF"/>
    <w:rsid w:val="00CD2588"/>
    <w:rsid w:val="00CD2CD3"/>
    <w:rsid w:val="00CD4930"/>
    <w:rsid w:val="00CD5653"/>
    <w:rsid w:val="00CD62A6"/>
    <w:rsid w:val="00CD7F22"/>
    <w:rsid w:val="00CE09ED"/>
    <w:rsid w:val="00CE17EB"/>
    <w:rsid w:val="00CE27EF"/>
    <w:rsid w:val="00CE5774"/>
    <w:rsid w:val="00CE6708"/>
    <w:rsid w:val="00CE6D4F"/>
    <w:rsid w:val="00CE7A5D"/>
    <w:rsid w:val="00CF1B23"/>
    <w:rsid w:val="00CF3D5C"/>
    <w:rsid w:val="00CF55C0"/>
    <w:rsid w:val="00CF5788"/>
    <w:rsid w:val="00D00136"/>
    <w:rsid w:val="00D00213"/>
    <w:rsid w:val="00D01563"/>
    <w:rsid w:val="00D01924"/>
    <w:rsid w:val="00D035A4"/>
    <w:rsid w:val="00D04893"/>
    <w:rsid w:val="00D04B9C"/>
    <w:rsid w:val="00D04BBB"/>
    <w:rsid w:val="00D06666"/>
    <w:rsid w:val="00D07231"/>
    <w:rsid w:val="00D07FD2"/>
    <w:rsid w:val="00D11745"/>
    <w:rsid w:val="00D1202F"/>
    <w:rsid w:val="00D121C1"/>
    <w:rsid w:val="00D12B69"/>
    <w:rsid w:val="00D14111"/>
    <w:rsid w:val="00D15381"/>
    <w:rsid w:val="00D16B36"/>
    <w:rsid w:val="00D1721C"/>
    <w:rsid w:val="00D20FE3"/>
    <w:rsid w:val="00D21DAA"/>
    <w:rsid w:val="00D220D6"/>
    <w:rsid w:val="00D23E5D"/>
    <w:rsid w:val="00D24303"/>
    <w:rsid w:val="00D3100C"/>
    <w:rsid w:val="00D3266D"/>
    <w:rsid w:val="00D3503B"/>
    <w:rsid w:val="00D36BF8"/>
    <w:rsid w:val="00D37747"/>
    <w:rsid w:val="00D40362"/>
    <w:rsid w:val="00D40416"/>
    <w:rsid w:val="00D406F2"/>
    <w:rsid w:val="00D409F8"/>
    <w:rsid w:val="00D4156A"/>
    <w:rsid w:val="00D41DB6"/>
    <w:rsid w:val="00D42E54"/>
    <w:rsid w:val="00D44B51"/>
    <w:rsid w:val="00D45821"/>
    <w:rsid w:val="00D468CC"/>
    <w:rsid w:val="00D47449"/>
    <w:rsid w:val="00D47958"/>
    <w:rsid w:val="00D47B5A"/>
    <w:rsid w:val="00D47F3C"/>
    <w:rsid w:val="00D5356D"/>
    <w:rsid w:val="00D5359A"/>
    <w:rsid w:val="00D55187"/>
    <w:rsid w:val="00D571E6"/>
    <w:rsid w:val="00D573D0"/>
    <w:rsid w:val="00D57494"/>
    <w:rsid w:val="00D61AC1"/>
    <w:rsid w:val="00D61BB3"/>
    <w:rsid w:val="00D633AE"/>
    <w:rsid w:val="00D63E54"/>
    <w:rsid w:val="00D646D5"/>
    <w:rsid w:val="00D676AD"/>
    <w:rsid w:val="00D71713"/>
    <w:rsid w:val="00D73BDE"/>
    <w:rsid w:val="00D73C64"/>
    <w:rsid w:val="00D7714F"/>
    <w:rsid w:val="00D77470"/>
    <w:rsid w:val="00D80556"/>
    <w:rsid w:val="00D808C0"/>
    <w:rsid w:val="00D81873"/>
    <w:rsid w:val="00D825C4"/>
    <w:rsid w:val="00D84A8B"/>
    <w:rsid w:val="00D85381"/>
    <w:rsid w:val="00D865EC"/>
    <w:rsid w:val="00D86BF6"/>
    <w:rsid w:val="00D9009D"/>
    <w:rsid w:val="00D903FA"/>
    <w:rsid w:val="00D9131E"/>
    <w:rsid w:val="00D92CF8"/>
    <w:rsid w:val="00D93F18"/>
    <w:rsid w:val="00D964B0"/>
    <w:rsid w:val="00D96F7E"/>
    <w:rsid w:val="00DA0B00"/>
    <w:rsid w:val="00DA0EA5"/>
    <w:rsid w:val="00DA34FB"/>
    <w:rsid w:val="00DA561D"/>
    <w:rsid w:val="00DA58F1"/>
    <w:rsid w:val="00DB034C"/>
    <w:rsid w:val="00DB03A4"/>
    <w:rsid w:val="00DB0D33"/>
    <w:rsid w:val="00DB3261"/>
    <w:rsid w:val="00DB47D3"/>
    <w:rsid w:val="00DB58E0"/>
    <w:rsid w:val="00DB6F71"/>
    <w:rsid w:val="00DB7E64"/>
    <w:rsid w:val="00DC0191"/>
    <w:rsid w:val="00DC0ECC"/>
    <w:rsid w:val="00DC5F98"/>
    <w:rsid w:val="00DD2768"/>
    <w:rsid w:val="00DD3DAC"/>
    <w:rsid w:val="00DD6F8E"/>
    <w:rsid w:val="00DE2107"/>
    <w:rsid w:val="00DE2529"/>
    <w:rsid w:val="00DE28EA"/>
    <w:rsid w:val="00DE3E20"/>
    <w:rsid w:val="00DE4D7F"/>
    <w:rsid w:val="00DE65D2"/>
    <w:rsid w:val="00DE6734"/>
    <w:rsid w:val="00DE7627"/>
    <w:rsid w:val="00DF10AE"/>
    <w:rsid w:val="00DF1831"/>
    <w:rsid w:val="00DF2E71"/>
    <w:rsid w:val="00DF3147"/>
    <w:rsid w:val="00DF465F"/>
    <w:rsid w:val="00DF5DA3"/>
    <w:rsid w:val="00DF7CF6"/>
    <w:rsid w:val="00E00C60"/>
    <w:rsid w:val="00E00D7C"/>
    <w:rsid w:val="00E03CEE"/>
    <w:rsid w:val="00E04D3B"/>
    <w:rsid w:val="00E05661"/>
    <w:rsid w:val="00E05CCA"/>
    <w:rsid w:val="00E07E8C"/>
    <w:rsid w:val="00E103CA"/>
    <w:rsid w:val="00E106CB"/>
    <w:rsid w:val="00E11630"/>
    <w:rsid w:val="00E11683"/>
    <w:rsid w:val="00E118C4"/>
    <w:rsid w:val="00E11DD1"/>
    <w:rsid w:val="00E122D0"/>
    <w:rsid w:val="00E137C3"/>
    <w:rsid w:val="00E20602"/>
    <w:rsid w:val="00E2232B"/>
    <w:rsid w:val="00E22B51"/>
    <w:rsid w:val="00E23253"/>
    <w:rsid w:val="00E24720"/>
    <w:rsid w:val="00E26DB3"/>
    <w:rsid w:val="00E31807"/>
    <w:rsid w:val="00E32486"/>
    <w:rsid w:val="00E32E1C"/>
    <w:rsid w:val="00E34CD1"/>
    <w:rsid w:val="00E35903"/>
    <w:rsid w:val="00E405EE"/>
    <w:rsid w:val="00E41003"/>
    <w:rsid w:val="00E43B33"/>
    <w:rsid w:val="00E43D61"/>
    <w:rsid w:val="00E45228"/>
    <w:rsid w:val="00E46AD0"/>
    <w:rsid w:val="00E47E1D"/>
    <w:rsid w:val="00E5009B"/>
    <w:rsid w:val="00E50445"/>
    <w:rsid w:val="00E5156B"/>
    <w:rsid w:val="00E52AB6"/>
    <w:rsid w:val="00E54150"/>
    <w:rsid w:val="00E5469A"/>
    <w:rsid w:val="00E556CC"/>
    <w:rsid w:val="00E56EF1"/>
    <w:rsid w:val="00E573A3"/>
    <w:rsid w:val="00E60104"/>
    <w:rsid w:val="00E60A10"/>
    <w:rsid w:val="00E635CD"/>
    <w:rsid w:val="00E63939"/>
    <w:rsid w:val="00E63F84"/>
    <w:rsid w:val="00E64A99"/>
    <w:rsid w:val="00E64D5E"/>
    <w:rsid w:val="00E65FAE"/>
    <w:rsid w:val="00E66958"/>
    <w:rsid w:val="00E72AC4"/>
    <w:rsid w:val="00E72EE2"/>
    <w:rsid w:val="00E741A9"/>
    <w:rsid w:val="00E74ADA"/>
    <w:rsid w:val="00E74E43"/>
    <w:rsid w:val="00E759C1"/>
    <w:rsid w:val="00E75A17"/>
    <w:rsid w:val="00E77E0C"/>
    <w:rsid w:val="00E80FD9"/>
    <w:rsid w:val="00E81246"/>
    <w:rsid w:val="00E8144F"/>
    <w:rsid w:val="00E81C59"/>
    <w:rsid w:val="00E82B9E"/>
    <w:rsid w:val="00E84BEE"/>
    <w:rsid w:val="00E8683A"/>
    <w:rsid w:val="00E87829"/>
    <w:rsid w:val="00E87EFC"/>
    <w:rsid w:val="00E90075"/>
    <w:rsid w:val="00E90B98"/>
    <w:rsid w:val="00E90EC3"/>
    <w:rsid w:val="00E916D5"/>
    <w:rsid w:val="00E91D2D"/>
    <w:rsid w:val="00E92719"/>
    <w:rsid w:val="00E92CE4"/>
    <w:rsid w:val="00E93ABC"/>
    <w:rsid w:val="00E95FC6"/>
    <w:rsid w:val="00EA1E0B"/>
    <w:rsid w:val="00EA273E"/>
    <w:rsid w:val="00EA41A0"/>
    <w:rsid w:val="00EA43C8"/>
    <w:rsid w:val="00EA4854"/>
    <w:rsid w:val="00EA5114"/>
    <w:rsid w:val="00EA6E1A"/>
    <w:rsid w:val="00EA7090"/>
    <w:rsid w:val="00EA7427"/>
    <w:rsid w:val="00EA769E"/>
    <w:rsid w:val="00EB221F"/>
    <w:rsid w:val="00EB36A1"/>
    <w:rsid w:val="00EB3B0A"/>
    <w:rsid w:val="00EB3D73"/>
    <w:rsid w:val="00EB5D6B"/>
    <w:rsid w:val="00EC12CF"/>
    <w:rsid w:val="00EC16E8"/>
    <w:rsid w:val="00EC595B"/>
    <w:rsid w:val="00EC5BB4"/>
    <w:rsid w:val="00EC6AA7"/>
    <w:rsid w:val="00EC735B"/>
    <w:rsid w:val="00EC7FE5"/>
    <w:rsid w:val="00ED021B"/>
    <w:rsid w:val="00ED1EB5"/>
    <w:rsid w:val="00ED5CD1"/>
    <w:rsid w:val="00ED5E9B"/>
    <w:rsid w:val="00ED61F1"/>
    <w:rsid w:val="00EE1DFD"/>
    <w:rsid w:val="00EE1EF4"/>
    <w:rsid w:val="00EE3270"/>
    <w:rsid w:val="00EE4F21"/>
    <w:rsid w:val="00EE6CE9"/>
    <w:rsid w:val="00EE7128"/>
    <w:rsid w:val="00EF1A12"/>
    <w:rsid w:val="00EF364D"/>
    <w:rsid w:val="00EF4291"/>
    <w:rsid w:val="00EF4F66"/>
    <w:rsid w:val="00EF5434"/>
    <w:rsid w:val="00EF6CE3"/>
    <w:rsid w:val="00EF7482"/>
    <w:rsid w:val="00F01264"/>
    <w:rsid w:val="00F0149A"/>
    <w:rsid w:val="00F039AC"/>
    <w:rsid w:val="00F03DB3"/>
    <w:rsid w:val="00F07464"/>
    <w:rsid w:val="00F07FEC"/>
    <w:rsid w:val="00F16FC9"/>
    <w:rsid w:val="00F201CD"/>
    <w:rsid w:val="00F212A8"/>
    <w:rsid w:val="00F221A0"/>
    <w:rsid w:val="00F23BE4"/>
    <w:rsid w:val="00F24828"/>
    <w:rsid w:val="00F24BA6"/>
    <w:rsid w:val="00F2521C"/>
    <w:rsid w:val="00F25298"/>
    <w:rsid w:val="00F2581B"/>
    <w:rsid w:val="00F3005F"/>
    <w:rsid w:val="00F327D7"/>
    <w:rsid w:val="00F33527"/>
    <w:rsid w:val="00F360E8"/>
    <w:rsid w:val="00F36B5A"/>
    <w:rsid w:val="00F40B31"/>
    <w:rsid w:val="00F40E38"/>
    <w:rsid w:val="00F43497"/>
    <w:rsid w:val="00F43B9E"/>
    <w:rsid w:val="00F4471B"/>
    <w:rsid w:val="00F4565A"/>
    <w:rsid w:val="00F465C8"/>
    <w:rsid w:val="00F47232"/>
    <w:rsid w:val="00F47606"/>
    <w:rsid w:val="00F52159"/>
    <w:rsid w:val="00F54EF0"/>
    <w:rsid w:val="00F5611B"/>
    <w:rsid w:val="00F56C2F"/>
    <w:rsid w:val="00F60D82"/>
    <w:rsid w:val="00F62AF0"/>
    <w:rsid w:val="00F65609"/>
    <w:rsid w:val="00F6666B"/>
    <w:rsid w:val="00F66849"/>
    <w:rsid w:val="00F67582"/>
    <w:rsid w:val="00F67B28"/>
    <w:rsid w:val="00F734B1"/>
    <w:rsid w:val="00F73C9C"/>
    <w:rsid w:val="00F74D9D"/>
    <w:rsid w:val="00F75524"/>
    <w:rsid w:val="00F770AD"/>
    <w:rsid w:val="00F77E67"/>
    <w:rsid w:val="00F80469"/>
    <w:rsid w:val="00F81CBB"/>
    <w:rsid w:val="00F84335"/>
    <w:rsid w:val="00F85425"/>
    <w:rsid w:val="00F902A7"/>
    <w:rsid w:val="00F90D87"/>
    <w:rsid w:val="00F914C4"/>
    <w:rsid w:val="00F92B7B"/>
    <w:rsid w:val="00F92C47"/>
    <w:rsid w:val="00F93A98"/>
    <w:rsid w:val="00F95057"/>
    <w:rsid w:val="00FA1384"/>
    <w:rsid w:val="00FA265F"/>
    <w:rsid w:val="00FA292C"/>
    <w:rsid w:val="00FA3849"/>
    <w:rsid w:val="00FB0DFC"/>
    <w:rsid w:val="00FB532F"/>
    <w:rsid w:val="00FC1095"/>
    <w:rsid w:val="00FC1242"/>
    <w:rsid w:val="00FC1CB2"/>
    <w:rsid w:val="00FC3E2B"/>
    <w:rsid w:val="00FC6A49"/>
    <w:rsid w:val="00FC73A0"/>
    <w:rsid w:val="00FC74F0"/>
    <w:rsid w:val="00FC78A0"/>
    <w:rsid w:val="00FC78D1"/>
    <w:rsid w:val="00FD0052"/>
    <w:rsid w:val="00FD22A8"/>
    <w:rsid w:val="00FD5C43"/>
    <w:rsid w:val="00FD7FB0"/>
    <w:rsid w:val="00FE1BE3"/>
    <w:rsid w:val="00FE225D"/>
    <w:rsid w:val="00FE2719"/>
    <w:rsid w:val="00FE2861"/>
    <w:rsid w:val="00FE38C9"/>
    <w:rsid w:val="00FE3CD4"/>
    <w:rsid w:val="00FE4C55"/>
    <w:rsid w:val="00FE51E0"/>
    <w:rsid w:val="00FE56C8"/>
    <w:rsid w:val="00FE6FE9"/>
    <w:rsid w:val="00FE7970"/>
    <w:rsid w:val="00FF2952"/>
    <w:rsid w:val="00FF63B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DC2003"/>
  <w14:defaultImageDpi w14:val="330"/>
  <w15:docId w15:val="{8B27B79A-E8CB-4BFF-A50D-920BEA7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6CD"/>
  </w:style>
  <w:style w:type="paragraph" w:styleId="Heading1">
    <w:name w:val="heading 1"/>
    <w:basedOn w:val="Normal"/>
    <w:next w:val="Normal"/>
    <w:link w:val="Heading1Char"/>
    <w:uiPriority w:val="9"/>
    <w:qFormat/>
    <w:rsid w:val="00AA5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A4F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2C5B8B"/>
    <w:pPr>
      <w:widowControl w:val="0"/>
      <w:tabs>
        <w:tab w:val="left" w:pos="720"/>
      </w:tabs>
      <w:spacing w:after="0" w:line="240" w:lineRule="auto"/>
      <w:ind w:left="720" w:hanging="720"/>
      <w:jc w:val="both"/>
    </w:pPr>
    <w:rPr>
      <w:rFonts w:eastAsia="Times New Roman"/>
      <w:snapToGrid w:val="0"/>
      <w:szCs w:val="20"/>
      <w:lang w:val="en-AU"/>
    </w:rPr>
  </w:style>
  <w:style w:type="paragraph" w:styleId="BalloonText">
    <w:name w:val="Balloon Text"/>
    <w:basedOn w:val="Normal"/>
    <w:link w:val="BalloonTextChar"/>
    <w:uiPriority w:val="99"/>
    <w:semiHidden/>
    <w:unhideWhenUsed/>
    <w:rsid w:val="00E10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CA"/>
    <w:rPr>
      <w:rFonts w:ascii="Segoe UI" w:hAnsi="Segoe UI" w:cs="Segoe UI"/>
      <w:sz w:val="18"/>
      <w:szCs w:val="18"/>
    </w:rPr>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iPriority w:val="99"/>
    <w:unhideWhenUsed/>
    <w:qFormat/>
    <w:rsid w:val="00A97771"/>
    <w:pPr>
      <w:spacing w:after="0" w:line="240" w:lineRule="auto"/>
    </w:pPr>
    <w:rPr>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basedOn w:val="DefaultParagraphFont"/>
    <w:link w:val="FootnoteText"/>
    <w:uiPriority w:val="99"/>
    <w:rsid w:val="00A97771"/>
    <w:rPr>
      <w:sz w:val="20"/>
      <w:szCs w:val="20"/>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iPriority w:val="99"/>
    <w:unhideWhenUsed/>
    <w:rsid w:val="00A97771"/>
    <w:rPr>
      <w:vertAlign w:val="superscript"/>
    </w:rPr>
  </w:style>
  <w:style w:type="character" w:styleId="Hyperlink">
    <w:name w:val="Hyperlink"/>
    <w:basedOn w:val="DefaultParagraphFont"/>
    <w:uiPriority w:val="99"/>
    <w:unhideWhenUsed/>
    <w:rsid w:val="00FE56C8"/>
    <w:rPr>
      <w:color w:val="0563C1" w:themeColor="hyperlink"/>
      <w:u w:val="single"/>
    </w:rPr>
  </w:style>
  <w:style w:type="character" w:customStyle="1" w:styleId="Heading1Char">
    <w:name w:val="Heading 1 Char"/>
    <w:basedOn w:val="DefaultParagraphFont"/>
    <w:link w:val="Heading1"/>
    <w:uiPriority w:val="9"/>
    <w:rsid w:val="00AA562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8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DF"/>
  </w:style>
  <w:style w:type="paragraph" w:styleId="Footer">
    <w:name w:val="footer"/>
    <w:basedOn w:val="Normal"/>
    <w:link w:val="FooterChar"/>
    <w:uiPriority w:val="99"/>
    <w:unhideWhenUsed/>
    <w:rsid w:val="0058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DF"/>
  </w:style>
  <w:style w:type="paragraph" w:styleId="ListParagraph">
    <w:name w:val="List Paragraph"/>
    <w:basedOn w:val="Normal"/>
    <w:uiPriority w:val="34"/>
    <w:qFormat/>
    <w:rsid w:val="004327EE"/>
    <w:pPr>
      <w:ind w:left="720"/>
      <w:contextualSpacing/>
    </w:pPr>
  </w:style>
  <w:style w:type="paragraph" w:styleId="BodyText3">
    <w:name w:val="Body Text 3"/>
    <w:basedOn w:val="Normal"/>
    <w:link w:val="BodyText3Char"/>
    <w:rsid w:val="0032699D"/>
    <w:pPr>
      <w:spacing w:after="120" w:line="240" w:lineRule="auto"/>
    </w:pPr>
    <w:rPr>
      <w:rFonts w:eastAsia="Times New Roman"/>
      <w:sz w:val="16"/>
      <w:szCs w:val="20"/>
      <w:lang w:val="en-US"/>
    </w:rPr>
  </w:style>
  <w:style w:type="character" w:customStyle="1" w:styleId="BodyText3Char">
    <w:name w:val="Body Text 3 Char"/>
    <w:basedOn w:val="DefaultParagraphFont"/>
    <w:link w:val="BodyText3"/>
    <w:rsid w:val="0032699D"/>
    <w:rPr>
      <w:rFonts w:eastAsia="Times New Roman"/>
      <w:sz w:val="16"/>
      <w:szCs w:val="20"/>
      <w:lang w:val="en-US"/>
    </w:rPr>
  </w:style>
  <w:style w:type="character" w:styleId="HTMLCite">
    <w:name w:val="HTML Cite"/>
    <w:basedOn w:val="DefaultParagraphFont"/>
    <w:uiPriority w:val="99"/>
    <w:semiHidden/>
    <w:unhideWhenUsed/>
    <w:rsid w:val="00467A48"/>
    <w:rPr>
      <w:i/>
      <w:iCs/>
    </w:rPr>
  </w:style>
  <w:style w:type="paragraph" w:styleId="PlainText">
    <w:name w:val="Plain Text"/>
    <w:basedOn w:val="Normal"/>
    <w:link w:val="PlainTextChar"/>
    <w:uiPriority w:val="99"/>
    <w:unhideWhenUsed/>
    <w:rsid w:val="00FE28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2861"/>
    <w:rPr>
      <w:rFonts w:ascii="Consolas" w:hAnsi="Consolas"/>
      <w:sz w:val="21"/>
      <w:szCs w:val="21"/>
    </w:rPr>
  </w:style>
  <w:style w:type="table" w:styleId="TableGrid">
    <w:name w:val="Table Grid"/>
    <w:basedOn w:val="TableNormal"/>
    <w:uiPriority w:val="39"/>
    <w:rsid w:val="00FE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uthor">
    <w:name w:val="post-author"/>
    <w:basedOn w:val="DefaultParagraphFont"/>
    <w:rsid w:val="001A3F51"/>
  </w:style>
  <w:style w:type="character" w:customStyle="1" w:styleId="apple-converted-space">
    <w:name w:val="apple-converted-space"/>
    <w:basedOn w:val="DefaultParagraphFont"/>
    <w:rsid w:val="001A3F51"/>
  </w:style>
  <w:style w:type="character" w:styleId="CommentReference">
    <w:name w:val="annotation reference"/>
    <w:basedOn w:val="DefaultParagraphFont"/>
    <w:uiPriority w:val="99"/>
    <w:semiHidden/>
    <w:unhideWhenUsed/>
    <w:rsid w:val="00C43A0B"/>
    <w:rPr>
      <w:sz w:val="16"/>
      <w:szCs w:val="16"/>
    </w:rPr>
  </w:style>
  <w:style w:type="paragraph" w:styleId="CommentText">
    <w:name w:val="annotation text"/>
    <w:basedOn w:val="Normal"/>
    <w:link w:val="CommentTextChar"/>
    <w:uiPriority w:val="99"/>
    <w:unhideWhenUsed/>
    <w:rsid w:val="00C43A0B"/>
    <w:pPr>
      <w:spacing w:line="240" w:lineRule="auto"/>
    </w:pPr>
    <w:rPr>
      <w:sz w:val="20"/>
      <w:szCs w:val="20"/>
    </w:rPr>
  </w:style>
  <w:style w:type="character" w:customStyle="1" w:styleId="CommentTextChar">
    <w:name w:val="Comment Text Char"/>
    <w:basedOn w:val="DefaultParagraphFont"/>
    <w:link w:val="CommentText"/>
    <w:uiPriority w:val="99"/>
    <w:rsid w:val="00C43A0B"/>
    <w:rPr>
      <w:sz w:val="20"/>
      <w:szCs w:val="20"/>
    </w:rPr>
  </w:style>
  <w:style w:type="paragraph" w:styleId="CommentSubject">
    <w:name w:val="annotation subject"/>
    <w:basedOn w:val="CommentText"/>
    <w:next w:val="CommentText"/>
    <w:link w:val="CommentSubjectChar"/>
    <w:uiPriority w:val="99"/>
    <w:semiHidden/>
    <w:unhideWhenUsed/>
    <w:rsid w:val="00C43A0B"/>
    <w:rPr>
      <w:b/>
      <w:bCs/>
    </w:rPr>
  </w:style>
  <w:style w:type="character" w:customStyle="1" w:styleId="CommentSubjectChar">
    <w:name w:val="Comment Subject Char"/>
    <w:basedOn w:val="CommentTextChar"/>
    <w:link w:val="CommentSubject"/>
    <w:uiPriority w:val="99"/>
    <w:semiHidden/>
    <w:rsid w:val="00C43A0B"/>
    <w:rPr>
      <w:b/>
      <w:bCs/>
      <w:sz w:val="20"/>
      <w:szCs w:val="20"/>
    </w:rPr>
  </w:style>
  <w:style w:type="character" w:styleId="PlaceholderText">
    <w:name w:val="Placeholder Text"/>
    <w:basedOn w:val="DefaultParagraphFont"/>
    <w:uiPriority w:val="99"/>
    <w:semiHidden/>
    <w:rsid w:val="00CF3D5C"/>
    <w:rPr>
      <w:color w:val="808080"/>
    </w:rPr>
  </w:style>
  <w:style w:type="paragraph" w:styleId="NormalWeb">
    <w:name w:val="Normal (Web)"/>
    <w:basedOn w:val="Normal"/>
    <w:uiPriority w:val="99"/>
    <w:unhideWhenUsed/>
    <w:rsid w:val="00B16101"/>
    <w:pPr>
      <w:spacing w:before="100" w:beforeAutospacing="1" w:after="100" w:afterAutospacing="1" w:line="240" w:lineRule="auto"/>
    </w:pPr>
    <w:rPr>
      <w:rFonts w:eastAsia="Times New Roman"/>
      <w:lang w:val="en-US"/>
    </w:rPr>
  </w:style>
  <w:style w:type="character" w:customStyle="1" w:styleId="Heading5Char">
    <w:name w:val="Heading 5 Char"/>
    <w:basedOn w:val="DefaultParagraphFont"/>
    <w:link w:val="Heading5"/>
    <w:uiPriority w:val="9"/>
    <w:semiHidden/>
    <w:rsid w:val="00AA4FA0"/>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semiHidden/>
    <w:unhideWhenUsed/>
    <w:rsid w:val="00F476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7606"/>
    <w:rPr>
      <w:rFonts w:ascii="Consolas" w:hAnsi="Consolas"/>
      <w:sz w:val="20"/>
      <w:szCs w:val="20"/>
    </w:rPr>
  </w:style>
  <w:style w:type="character" w:customStyle="1" w:styleId="PlainTextChar1">
    <w:name w:val="Plain Text Char1"/>
    <w:basedOn w:val="DefaultParagraphFont"/>
    <w:uiPriority w:val="99"/>
    <w:rsid w:val="005B7D6B"/>
    <w:rPr>
      <w:rFonts w:ascii="Consolas" w:hAnsi="Consolas" w:cs="Consolas"/>
      <w:sz w:val="21"/>
      <w:szCs w:val="21"/>
    </w:rPr>
  </w:style>
  <w:style w:type="character" w:styleId="FollowedHyperlink">
    <w:name w:val="FollowedHyperlink"/>
    <w:basedOn w:val="DefaultParagraphFont"/>
    <w:uiPriority w:val="99"/>
    <w:semiHidden/>
    <w:unhideWhenUsed/>
    <w:rsid w:val="00F40E38"/>
    <w:rPr>
      <w:color w:val="954F72" w:themeColor="followedHyperlink"/>
      <w:u w:val="single"/>
    </w:rPr>
  </w:style>
  <w:style w:type="paragraph" w:styleId="Title">
    <w:name w:val="Title"/>
    <w:basedOn w:val="Normal"/>
    <w:next w:val="Normal"/>
    <w:link w:val="TitleChar"/>
    <w:qFormat/>
    <w:rsid w:val="007B7AAE"/>
    <w:pPr>
      <w:spacing w:before="240" w:after="60" w:line="240" w:lineRule="auto"/>
      <w:jc w:val="center"/>
      <w:outlineLvl w:val="0"/>
    </w:pPr>
    <w:rPr>
      <w:rFonts w:asciiTheme="majorHAnsi" w:eastAsiaTheme="majorEastAsia" w:hAnsiTheme="majorHAnsi"/>
      <w:b/>
      <w:bCs/>
      <w:kern w:val="28"/>
      <w:sz w:val="32"/>
      <w:szCs w:val="32"/>
      <w:lang w:val="en-US" w:bidi="en-US"/>
    </w:rPr>
  </w:style>
  <w:style w:type="character" w:customStyle="1" w:styleId="TitleChar">
    <w:name w:val="Title Char"/>
    <w:basedOn w:val="DefaultParagraphFont"/>
    <w:link w:val="Title"/>
    <w:rsid w:val="007B7AAE"/>
    <w:rPr>
      <w:rFonts w:asciiTheme="majorHAnsi" w:eastAsiaTheme="majorEastAsia" w:hAnsiTheme="majorHAnsi"/>
      <w:b/>
      <w:bCs/>
      <w:kern w:val="28"/>
      <w:sz w:val="32"/>
      <w:szCs w:val="32"/>
      <w:lang w:val="en-US" w:bidi="en-US"/>
    </w:rPr>
  </w:style>
  <w:style w:type="paragraph" w:customStyle="1" w:styleId="Default">
    <w:name w:val="Default"/>
    <w:rsid w:val="007B7AAE"/>
    <w:pPr>
      <w:autoSpaceDE w:val="0"/>
      <w:autoSpaceDN w:val="0"/>
      <w:adjustRightInd w:val="0"/>
      <w:spacing w:after="0" w:line="240" w:lineRule="auto"/>
    </w:pPr>
    <w:rPr>
      <w:rFonts w:ascii="Cambria" w:eastAsia="Calibri" w:hAnsi="Cambria" w:cs="Cambria"/>
      <w:color w:val="000000"/>
      <w:lang w:eastAsia="en-NZ"/>
    </w:rPr>
  </w:style>
  <w:style w:type="paragraph" w:customStyle="1" w:styleId="CM1">
    <w:name w:val="CM1"/>
    <w:basedOn w:val="Default"/>
    <w:next w:val="Default"/>
    <w:rsid w:val="007B7AAE"/>
    <w:pPr>
      <w:widowControl w:val="0"/>
      <w:spacing w:line="323" w:lineRule="atLeast"/>
    </w:pPr>
    <w:rPr>
      <w:rFonts w:ascii="Times New Roman" w:eastAsia="Times New Roman" w:hAnsi="Times New Roman" w:cs="Times New Roman"/>
      <w:color w:val="auto"/>
      <w:lang w:val="en-US" w:eastAsia="en-US"/>
    </w:rPr>
  </w:style>
  <w:style w:type="paragraph" w:customStyle="1" w:styleId="CM20">
    <w:name w:val="CM20"/>
    <w:basedOn w:val="Default"/>
    <w:next w:val="Default"/>
    <w:rsid w:val="007B7AAE"/>
    <w:pPr>
      <w:widowControl w:val="0"/>
      <w:spacing w:after="1503"/>
    </w:pPr>
    <w:rPr>
      <w:rFonts w:ascii="Times New Roman" w:eastAsia="Times New Roman" w:hAnsi="Times New Roman" w:cs="Times New Roman"/>
      <w:color w:val="auto"/>
      <w:lang w:val="en-US" w:eastAsia="en-US"/>
    </w:rPr>
  </w:style>
  <w:style w:type="paragraph" w:customStyle="1" w:styleId="CM3">
    <w:name w:val="CM3"/>
    <w:basedOn w:val="Default"/>
    <w:next w:val="Default"/>
    <w:rsid w:val="007B7AAE"/>
    <w:pPr>
      <w:widowControl w:val="0"/>
    </w:pPr>
    <w:rPr>
      <w:rFonts w:ascii="Times New Roman" w:eastAsia="Times New Roman" w:hAnsi="Times New Roman" w:cs="Times New Roman"/>
      <w:color w:val="auto"/>
      <w:lang w:val="en-US" w:eastAsia="en-US"/>
    </w:rPr>
  </w:style>
  <w:style w:type="paragraph" w:customStyle="1" w:styleId="CM22">
    <w:name w:val="CM22"/>
    <w:basedOn w:val="Default"/>
    <w:next w:val="Default"/>
    <w:rsid w:val="007B7AAE"/>
    <w:pPr>
      <w:widowControl w:val="0"/>
      <w:spacing w:after="65"/>
    </w:pPr>
    <w:rPr>
      <w:rFonts w:ascii="Times New Roman" w:eastAsia="Times New Roman" w:hAnsi="Times New Roman" w:cs="Times New Roman"/>
      <w:color w:val="auto"/>
      <w:lang w:val="en-US" w:eastAsia="en-US"/>
    </w:rPr>
  </w:style>
  <w:style w:type="paragraph" w:customStyle="1" w:styleId="CM4">
    <w:name w:val="CM4"/>
    <w:basedOn w:val="Default"/>
    <w:next w:val="Default"/>
    <w:rsid w:val="007B7AAE"/>
    <w:pPr>
      <w:widowControl w:val="0"/>
      <w:spacing w:line="253" w:lineRule="atLeast"/>
    </w:pPr>
    <w:rPr>
      <w:rFonts w:ascii="Times New Roman" w:eastAsia="Times New Roman" w:hAnsi="Times New Roman" w:cs="Times New Roman"/>
      <w:color w:val="auto"/>
      <w:lang w:val="en-US" w:eastAsia="en-US"/>
    </w:rPr>
  </w:style>
  <w:style w:type="paragraph" w:customStyle="1" w:styleId="CM23">
    <w:name w:val="CM23"/>
    <w:basedOn w:val="Default"/>
    <w:next w:val="Default"/>
    <w:rsid w:val="007B7AAE"/>
    <w:pPr>
      <w:widowControl w:val="0"/>
      <w:spacing w:after="233"/>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775">
      <w:bodyDiv w:val="1"/>
      <w:marLeft w:val="0"/>
      <w:marRight w:val="0"/>
      <w:marTop w:val="0"/>
      <w:marBottom w:val="0"/>
      <w:divBdr>
        <w:top w:val="none" w:sz="0" w:space="0" w:color="auto"/>
        <w:left w:val="none" w:sz="0" w:space="0" w:color="auto"/>
        <w:bottom w:val="none" w:sz="0" w:space="0" w:color="auto"/>
        <w:right w:val="none" w:sz="0" w:space="0" w:color="auto"/>
      </w:divBdr>
    </w:div>
    <w:div w:id="195125462">
      <w:bodyDiv w:val="1"/>
      <w:marLeft w:val="0"/>
      <w:marRight w:val="0"/>
      <w:marTop w:val="0"/>
      <w:marBottom w:val="0"/>
      <w:divBdr>
        <w:top w:val="none" w:sz="0" w:space="0" w:color="auto"/>
        <w:left w:val="none" w:sz="0" w:space="0" w:color="auto"/>
        <w:bottom w:val="none" w:sz="0" w:space="0" w:color="auto"/>
        <w:right w:val="none" w:sz="0" w:space="0" w:color="auto"/>
      </w:divBdr>
    </w:div>
    <w:div w:id="227884796">
      <w:bodyDiv w:val="1"/>
      <w:marLeft w:val="0"/>
      <w:marRight w:val="0"/>
      <w:marTop w:val="0"/>
      <w:marBottom w:val="0"/>
      <w:divBdr>
        <w:top w:val="none" w:sz="0" w:space="0" w:color="auto"/>
        <w:left w:val="none" w:sz="0" w:space="0" w:color="auto"/>
        <w:bottom w:val="none" w:sz="0" w:space="0" w:color="auto"/>
        <w:right w:val="none" w:sz="0" w:space="0" w:color="auto"/>
      </w:divBdr>
    </w:div>
    <w:div w:id="324552745">
      <w:bodyDiv w:val="1"/>
      <w:marLeft w:val="0"/>
      <w:marRight w:val="0"/>
      <w:marTop w:val="0"/>
      <w:marBottom w:val="0"/>
      <w:divBdr>
        <w:top w:val="none" w:sz="0" w:space="0" w:color="auto"/>
        <w:left w:val="none" w:sz="0" w:space="0" w:color="auto"/>
        <w:bottom w:val="none" w:sz="0" w:space="0" w:color="auto"/>
        <w:right w:val="none" w:sz="0" w:space="0" w:color="auto"/>
      </w:divBdr>
    </w:div>
    <w:div w:id="477308404">
      <w:bodyDiv w:val="1"/>
      <w:marLeft w:val="0"/>
      <w:marRight w:val="0"/>
      <w:marTop w:val="0"/>
      <w:marBottom w:val="0"/>
      <w:divBdr>
        <w:top w:val="none" w:sz="0" w:space="0" w:color="auto"/>
        <w:left w:val="none" w:sz="0" w:space="0" w:color="auto"/>
        <w:bottom w:val="none" w:sz="0" w:space="0" w:color="auto"/>
        <w:right w:val="none" w:sz="0" w:space="0" w:color="auto"/>
      </w:divBdr>
    </w:div>
    <w:div w:id="619651659">
      <w:bodyDiv w:val="1"/>
      <w:marLeft w:val="0"/>
      <w:marRight w:val="0"/>
      <w:marTop w:val="0"/>
      <w:marBottom w:val="0"/>
      <w:divBdr>
        <w:top w:val="none" w:sz="0" w:space="0" w:color="auto"/>
        <w:left w:val="none" w:sz="0" w:space="0" w:color="auto"/>
        <w:bottom w:val="none" w:sz="0" w:space="0" w:color="auto"/>
        <w:right w:val="none" w:sz="0" w:space="0" w:color="auto"/>
      </w:divBdr>
    </w:div>
    <w:div w:id="732853316">
      <w:bodyDiv w:val="1"/>
      <w:marLeft w:val="0"/>
      <w:marRight w:val="0"/>
      <w:marTop w:val="0"/>
      <w:marBottom w:val="0"/>
      <w:divBdr>
        <w:top w:val="none" w:sz="0" w:space="0" w:color="auto"/>
        <w:left w:val="none" w:sz="0" w:space="0" w:color="auto"/>
        <w:bottom w:val="none" w:sz="0" w:space="0" w:color="auto"/>
        <w:right w:val="none" w:sz="0" w:space="0" w:color="auto"/>
      </w:divBdr>
    </w:div>
    <w:div w:id="871965759">
      <w:bodyDiv w:val="1"/>
      <w:marLeft w:val="0"/>
      <w:marRight w:val="0"/>
      <w:marTop w:val="0"/>
      <w:marBottom w:val="0"/>
      <w:divBdr>
        <w:top w:val="none" w:sz="0" w:space="0" w:color="auto"/>
        <w:left w:val="none" w:sz="0" w:space="0" w:color="auto"/>
        <w:bottom w:val="none" w:sz="0" w:space="0" w:color="auto"/>
        <w:right w:val="none" w:sz="0" w:space="0" w:color="auto"/>
      </w:divBdr>
      <w:divsChild>
        <w:div w:id="607080256">
          <w:marLeft w:val="0"/>
          <w:marRight w:val="0"/>
          <w:marTop w:val="0"/>
          <w:marBottom w:val="0"/>
          <w:divBdr>
            <w:top w:val="none" w:sz="0" w:space="0" w:color="auto"/>
            <w:left w:val="none" w:sz="0" w:space="0" w:color="auto"/>
            <w:bottom w:val="none" w:sz="0" w:space="0" w:color="auto"/>
            <w:right w:val="none" w:sz="0" w:space="0" w:color="auto"/>
          </w:divBdr>
        </w:div>
        <w:div w:id="1927416874">
          <w:marLeft w:val="0"/>
          <w:marRight w:val="0"/>
          <w:marTop w:val="0"/>
          <w:marBottom w:val="0"/>
          <w:divBdr>
            <w:top w:val="none" w:sz="0" w:space="0" w:color="auto"/>
            <w:left w:val="none" w:sz="0" w:space="0" w:color="auto"/>
            <w:bottom w:val="none" w:sz="0" w:space="0" w:color="auto"/>
            <w:right w:val="none" w:sz="0" w:space="0" w:color="auto"/>
          </w:divBdr>
        </w:div>
        <w:div w:id="698699032">
          <w:marLeft w:val="0"/>
          <w:marRight w:val="0"/>
          <w:marTop w:val="0"/>
          <w:marBottom w:val="0"/>
          <w:divBdr>
            <w:top w:val="none" w:sz="0" w:space="0" w:color="auto"/>
            <w:left w:val="none" w:sz="0" w:space="0" w:color="auto"/>
            <w:bottom w:val="none" w:sz="0" w:space="0" w:color="auto"/>
            <w:right w:val="none" w:sz="0" w:space="0" w:color="auto"/>
          </w:divBdr>
        </w:div>
      </w:divsChild>
    </w:div>
    <w:div w:id="941650059">
      <w:bodyDiv w:val="1"/>
      <w:marLeft w:val="0"/>
      <w:marRight w:val="0"/>
      <w:marTop w:val="0"/>
      <w:marBottom w:val="0"/>
      <w:divBdr>
        <w:top w:val="none" w:sz="0" w:space="0" w:color="auto"/>
        <w:left w:val="none" w:sz="0" w:space="0" w:color="auto"/>
        <w:bottom w:val="none" w:sz="0" w:space="0" w:color="auto"/>
        <w:right w:val="none" w:sz="0" w:space="0" w:color="auto"/>
      </w:divBdr>
    </w:div>
    <w:div w:id="1140876714">
      <w:bodyDiv w:val="1"/>
      <w:marLeft w:val="0"/>
      <w:marRight w:val="0"/>
      <w:marTop w:val="0"/>
      <w:marBottom w:val="0"/>
      <w:divBdr>
        <w:top w:val="none" w:sz="0" w:space="0" w:color="auto"/>
        <w:left w:val="none" w:sz="0" w:space="0" w:color="auto"/>
        <w:bottom w:val="none" w:sz="0" w:space="0" w:color="auto"/>
        <w:right w:val="none" w:sz="0" w:space="0" w:color="auto"/>
      </w:divBdr>
    </w:div>
    <w:div w:id="1210530782">
      <w:bodyDiv w:val="1"/>
      <w:marLeft w:val="0"/>
      <w:marRight w:val="0"/>
      <w:marTop w:val="0"/>
      <w:marBottom w:val="0"/>
      <w:divBdr>
        <w:top w:val="none" w:sz="0" w:space="0" w:color="auto"/>
        <w:left w:val="none" w:sz="0" w:space="0" w:color="auto"/>
        <w:bottom w:val="none" w:sz="0" w:space="0" w:color="auto"/>
        <w:right w:val="none" w:sz="0" w:space="0" w:color="auto"/>
      </w:divBdr>
    </w:div>
    <w:div w:id="1218662986">
      <w:bodyDiv w:val="1"/>
      <w:marLeft w:val="0"/>
      <w:marRight w:val="0"/>
      <w:marTop w:val="0"/>
      <w:marBottom w:val="0"/>
      <w:divBdr>
        <w:top w:val="none" w:sz="0" w:space="0" w:color="auto"/>
        <w:left w:val="none" w:sz="0" w:space="0" w:color="auto"/>
        <w:bottom w:val="none" w:sz="0" w:space="0" w:color="auto"/>
        <w:right w:val="none" w:sz="0" w:space="0" w:color="auto"/>
      </w:divBdr>
    </w:div>
    <w:div w:id="1254127886">
      <w:bodyDiv w:val="1"/>
      <w:marLeft w:val="0"/>
      <w:marRight w:val="0"/>
      <w:marTop w:val="0"/>
      <w:marBottom w:val="0"/>
      <w:divBdr>
        <w:top w:val="none" w:sz="0" w:space="0" w:color="auto"/>
        <w:left w:val="none" w:sz="0" w:space="0" w:color="auto"/>
        <w:bottom w:val="none" w:sz="0" w:space="0" w:color="auto"/>
        <w:right w:val="none" w:sz="0" w:space="0" w:color="auto"/>
      </w:divBdr>
    </w:div>
    <w:div w:id="1395619013">
      <w:bodyDiv w:val="1"/>
      <w:marLeft w:val="0"/>
      <w:marRight w:val="0"/>
      <w:marTop w:val="0"/>
      <w:marBottom w:val="0"/>
      <w:divBdr>
        <w:top w:val="none" w:sz="0" w:space="0" w:color="auto"/>
        <w:left w:val="none" w:sz="0" w:space="0" w:color="auto"/>
        <w:bottom w:val="none" w:sz="0" w:space="0" w:color="auto"/>
        <w:right w:val="none" w:sz="0" w:space="0" w:color="auto"/>
      </w:divBdr>
    </w:div>
    <w:div w:id="1486430863">
      <w:bodyDiv w:val="1"/>
      <w:marLeft w:val="0"/>
      <w:marRight w:val="0"/>
      <w:marTop w:val="0"/>
      <w:marBottom w:val="0"/>
      <w:divBdr>
        <w:top w:val="none" w:sz="0" w:space="0" w:color="auto"/>
        <w:left w:val="none" w:sz="0" w:space="0" w:color="auto"/>
        <w:bottom w:val="none" w:sz="0" w:space="0" w:color="auto"/>
        <w:right w:val="none" w:sz="0" w:space="0" w:color="auto"/>
      </w:divBdr>
      <w:divsChild>
        <w:div w:id="117336757">
          <w:marLeft w:val="0"/>
          <w:marRight w:val="0"/>
          <w:marTop w:val="0"/>
          <w:marBottom w:val="0"/>
          <w:divBdr>
            <w:top w:val="none" w:sz="0" w:space="0" w:color="auto"/>
            <w:left w:val="none" w:sz="0" w:space="0" w:color="auto"/>
            <w:bottom w:val="none" w:sz="0" w:space="0" w:color="auto"/>
            <w:right w:val="none" w:sz="0" w:space="0" w:color="auto"/>
          </w:divBdr>
        </w:div>
        <w:div w:id="1384409518">
          <w:marLeft w:val="0"/>
          <w:marRight w:val="0"/>
          <w:marTop w:val="0"/>
          <w:marBottom w:val="0"/>
          <w:divBdr>
            <w:top w:val="none" w:sz="0" w:space="0" w:color="auto"/>
            <w:left w:val="none" w:sz="0" w:space="0" w:color="auto"/>
            <w:bottom w:val="none" w:sz="0" w:space="0" w:color="auto"/>
            <w:right w:val="none" w:sz="0" w:space="0" w:color="auto"/>
          </w:divBdr>
        </w:div>
        <w:div w:id="1751462381">
          <w:marLeft w:val="0"/>
          <w:marRight w:val="0"/>
          <w:marTop w:val="0"/>
          <w:marBottom w:val="0"/>
          <w:divBdr>
            <w:top w:val="none" w:sz="0" w:space="0" w:color="auto"/>
            <w:left w:val="none" w:sz="0" w:space="0" w:color="auto"/>
            <w:bottom w:val="none" w:sz="0" w:space="0" w:color="auto"/>
            <w:right w:val="none" w:sz="0" w:space="0" w:color="auto"/>
          </w:divBdr>
        </w:div>
      </w:divsChild>
    </w:div>
    <w:div w:id="1492671403">
      <w:bodyDiv w:val="1"/>
      <w:marLeft w:val="0"/>
      <w:marRight w:val="0"/>
      <w:marTop w:val="0"/>
      <w:marBottom w:val="0"/>
      <w:divBdr>
        <w:top w:val="none" w:sz="0" w:space="0" w:color="auto"/>
        <w:left w:val="none" w:sz="0" w:space="0" w:color="auto"/>
        <w:bottom w:val="none" w:sz="0" w:space="0" w:color="auto"/>
        <w:right w:val="none" w:sz="0" w:space="0" w:color="auto"/>
      </w:divBdr>
    </w:div>
    <w:div w:id="1505197990">
      <w:bodyDiv w:val="1"/>
      <w:marLeft w:val="0"/>
      <w:marRight w:val="0"/>
      <w:marTop w:val="0"/>
      <w:marBottom w:val="0"/>
      <w:divBdr>
        <w:top w:val="none" w:sz="0" w:space="0" w:color="auto"/>
        <w:left w:val="none" w:sz="0" w:space="0" w:color="auto"/>
        <w:bottom w:val="none" w:sz="0" w:space="0" w:color="auto"/>
        <w:right w:val="none" w:sz="0" w:space="0" w:color="auto"/>
      </w:divBdr>
      <w:divsChild>
        <w:div w:id="1366251374">
          <w:marLeft w:val="0"/>
          <w:marRight w:val="0"/>
          <w:marTop w:val="0"/>
          <w:marBottom w:val="0"/>
          <w:divBdr>
            <w:top w:val="none" w:sz="0" w:space="0" w:color="auto"/>
            <w:left w:val="none" w:sz="0" w:space="0" w:color="auto"/>
            <w:bottom w:val="none" w:sz="0" w:space="0" w:color="auto"/>
            <w:right w:val="none" w:sz="0" w:space="0" w:color="auto"/>
          </w:divBdr>
        </w:div>
        <w:div w:id="834342753">
          <w:marLeft w:val="0"/>
          <w:marRight w:val="0"/>
          <w:marTop w:val="0"/>
          <w:marBottom w:val="0"/>
          <w:divBdr>
            <w:top w:val="none" w:sz="0" w:space="0" w:color="auto"/>
            <w:left w:val="none" w:sz="0" w:space="0" w:color="auto"/>
            <w:bottom w:val="none" w:sz="0" w:space="0" w:color="auto"/>
            <w:right w:val="none" w:sz="0" w:space="0" w:color="auto"/>
          </w:divBdr>
        </w:div>
        <w:div w:id="2140493335">
          <w:marLeft w:val="0"/>
          <w:marRight w:val="0"/>
          <w:marTop w:val="0"/>
          <w:marBottom w:val="0"/>
          <w:divBdr>
            <w:top w:val="none" w:sz="0" w:space="0" w:color="auto"/>
            <w:left w:val="none" w:sz="0" w:space="0" w:color="auto"/>
            <w:bottom w:val="none" w:sz="0" w:space="0" w:color="auto"/>
            <w:right w:val="none" w:sz="0" w:space="0" w:color="auto"/>
          </w:divBdr>
        </w:div>
      </w:divsChild>
    </w:div>
    <w:div w:id="1532186022">
      <w:bodyDiv w:val="1"/>
      <w:marLeft w:val="0"/>
      <w:marRight w:val="0"/>
      <w:marTop w:val="0"/>
      <w:marBottom w:val="0"/>
      <w:divBdr>
        <w:top w:val="none" w:sz="0" w:space="0" w:color="auto"/>
        <w:left w:val="none" w:sz="0" w:space="0" w:color="auto"/>
        <w:bottom w:val="none" w:sz="0" w:space="0" w:color="auto"/>
        <w:right w:val="none" w:sz="0" w:space="0" w:color="auto"/>
      </w:divBdr>
    </w:div>
    <w:div w:id="1677151941">
      <w:bodyDiv w:val="1"/>
      <w:marLeft w:val="0"/>
      <w:marRight w:val="0"/>
      <w:marTop w:val="0"/>
      <w:marBottom w:val="0"/>
      <w:divBdr>
        <w:top w:val="none" w:sz="0" w:space="0" w:color="auto"/>
        <w:left w:val="none" w:sz="0" w:space="0" w:color="auto"/>
        <w:bottom w:val="none" w:sz="0" w:space="0" w:color="auto"/>
        <w:right w:val="none" w:sz="0" w:space="0" w:color="auto"/>
      </w:divBdr>
    </w:div>
    <w:div w:id="1717895521">
      <w:bodyDiv w:val="1"/>
      <w:marLeft w:val="0"/>
      <w:marRight w:val="0"/>
      <w:marTop w:val="0"/>
      <w:marBottom w:val="0"/>
      <w:divBdr>
        <w:top w:val="none" w:sz="0" w:space="0" w:color="auto"/>
        <w:left w:val="none" w:sz="0" w:space="0" w:color="auto"/>
        <w:bottom w:val="none" w:sz="0" w:space="0" w:color="auto"/>
        <w:right w:val="none" w:sz="0" w:space="0" w:color="auto"/>
      </w:divBdr>
      <w:divsChild>
        <w:div w:id="976495324">
          <w:marLeft w:val="0"/>
          <w:marRight w:val="0"/>
          <w:marTop w:val="0"/>
          <w:marBottom w:val="150"/>
          <w:divBdr>
            <w:top w:val="none" w:sz="0" w:space="0" w:color="auto"/>
            <w:left w:val="none" w:sz="0" w:space="0" w:color="auto"/>
            <w:bottom w:val="none" w:sz="0" w:space="0" w:color="auto"/>
            <w:right w:val="none" w:sz="0" w:space="0" w:color="auto"/>
          </w:divBdr>
        </w:div>
      </w:divsChild>
    </w:div>
    <w:div w:id="20324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01/2020.08.05.20168930" TargetMode="External"/><Relationship Id="rId18" Type="http://schemas.openxmlformats.org/officeDocument/2006/relationships/hyperlink" Target="https://www.pnas.org/content/early/2020/08/10/20106251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db.org/publications/ado-supplement-june-2020" TargetMode="External"/><Relationship Id="rId17" Type="http://schemas.openxmlformats.org/officeDocument/2006/relationships/hyperlink" Target="https://doi.org/10.1101/2020.05.13.20101253" TargetMode="External"/><Relationship Id="rId2" Type="http://schemas.openxmlformats.org/officeDocument/2006/relationships/numbering" Target="numbering.xml"/><Relationship Id="rId16" Type="http://schemas.openxmlformats.org/officeDocument/2006/relationships/hyperlink" Target="https://www.infometrics.co.nz/media-release-economic-fall-out-of-covid-19-to-be-fully-felt-in-2021/" TargetMode="External"/><Relationship Id="rId20" Type="http://schemas.openxmlformats.org/officeDocument/2006/relationships/hyperlink" Target="https://www.who.int/westernpacific/news/feature-stories/detail/new-zealand-takes-early-and-hard-action-to-tackle-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cebm.net/covid-19/covid-19-william-farrs-way-out-of-the-pandemic/" TargetMode="External"/><Relationship Id="rId10" Type="http://schemas.openxmlformats.org/officeDocument/2006/relationships/footer" Target="footer1.xml"/><Relationship Id="rId19" Type="http://schemas.openxmlformats.org/officeDocument/2006/relationships/hyperlink" Target="https://dx.doi.org/10.2139/ssrn.363554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ideas.repec.org/p/wai/econwp/20-06.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vidtracking.com" TargetMode="External"/><Relationship Id="rId1" Type="http://schemas.openxmlformats.org/officeDocument/2006/relationships/hyperlink" Target="https://www.newsroom.co.nz/we-must-go-hard-and-we-must-go-earl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urrent\Referee_Reports\NZEP_2020\Granger\MayVersionOxCGRT_timeseries_a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urrent\Referee_Reports\NZEP_2020\Granger\Logistic_conceptu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stringencyindex_legacy!$B$165</c:f>
              <c:strCache>
                <c:ptCount val="1"/>
                <c:pt idx="0">
                  <c:v>NZL</c:v>
                </c:pt>
              </c:strCache>
            </c:strRef>
          </c:tx>
          <c:spPr>
            <a:ln w="53975" cap="rnd">
              <a:solidFill>
                <a:schemeClr val="tx1"/>
              </a:solidFill>
              <a:round/>
            </a:ln>
            <a:effectLst/>
          </c:spPr>
          <c:marker>
            <c:symbol val="none"/>
          </c:marker>
          <c:cat>
            <c:numRef>
              <c:f>stringencyindex_legacy!$C$164:$EF$164</c:f>
              <c:numCache>
                <c:formatCode>m/d/yyyy</c:formatCode>
                <c:ptCount val="134"/>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numCache>
            </c:numRef>
          </c:cat>
          <c:val>
            <c:numRef>
              <c:f>stringencyindex_legacy!$C$165:$EF$165</c:f>
              <c:numCache>
                <c:formatCode>0</c:formatCode>
                <c:ptCount val="1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18.100000381469727</c:v>
                </c:pt>
                <c:pt idx="33">
                  <c:v>18.100000381469727</c:v>
                </c:pt>
                <c:pt idx="34">
                  <c:v>18.100000381469727</c:v>
                </c:pt>
                <c:pt idx="35">
                  <c:v>18.100000381469727</c:v>
                </c:pt>
                <c:pt idx="36">
                  <c:v>18.100000381469727</c:v>
                </c:pt>
                <c:pt idx="37">
                  <c:v>18.100000381469727</c:v>
                </c:pt>
                <c:pt idx="38">
                  <c:v>18.100000381469727</c:v>
                </c:pt>
                <c:pt idx="39">
                  <c:v>18.100000381469727</c:v>
                </c:pt>
                <c:pt idx="40">
                  <c:v>18.100000381469727</c:v>
                </c:pt>
                <c:pt idx="41">
                  <c:v>18.100000381469727</c:v>
                </c:pt>
                <c:pt idx="42">
                  <c:v>18.100000381469727</c:v>
                </c:pt>
                <c:pt idx="43">
                  <c:v>18.100000381469727</c:v>
                </c:pt>
                <c:pt idx="44">
                  <c:v>18.100000381469727</c:v>
                </c:pt>
                <c:pt idx="45">
                  <c:v>18.100000381469727</c:v>
                </c:pt>
                <c:pt idx="46">
                  <c:v>18.100000381469727</c:v>
                </c:pt>
                <c:pt idx="47">
                  <c:v>18.100000381469727</c:v>
                </c:pt>
                <c:pt idx="48">
                  <c:v>18.100000381469727</c:v>
                </c:pt>
                <c:pt idx="49">
                  <c:v>18.100000381469727</c:v>
                </c:pt>
                <c:pt idx="50">
                  <c:v>18.100000381469727</c:v>
                </c:pt>
                <c:pt idx="51">
                  <c:v>18.100000381469727</c:v>
                </c:pt>
                <c:pt idx="52">
                  <c:v>18.100000381469727</c:v>
                </c:pt>
                <c:pt idx="53">
                  <c:v>18.100000381469727</c:v>
                </c:pt>
                <c:pt idx="54">
                  <c:v>18.100000381469727</c:v>
                </c:pt>
                <c:pt idx="55">
                  <c:v>18.100000381469727</c:v>
                </c:pt>
                <c:pt idx="56">
                  <c:v>18.100000381469727</c:v>
                </c:pt>
                <c:pt idx="57">
                  <c:v>18.100000381469727</c:v>
                </c:pt>
                <c:pt idx="58">
                  <c:v>18.100000381469727</c:v>
                </c:pt>
                <c:pt idx="59">
                  <c:v>22.860000610351563</c:v>
                </c:pt>
                <c:pt idx="60">
                  <c:v>22.860000610351563</c:v>
                </c:pt>
                <c:pt idx="61">
                  <c:v>22.860000610351563</c:v>
                </c:pt>
                <c:pt idx="62">
                  <c:v>22.860000610351563</c:v>
                </c:pt>
                <c:pt idx="63">
                  <c:v>22.860000610351563</c:v>
                </c:pt>
                <c:pt idx="64">
                  <c:v>22.860000610351563</c:v>
                </c:pt>
                <c:pt idx="65">
                  <c:v>22.860000610351563</c:v>
                </c:pt>
                <c:pt idx="66">
                  <c:v>22.860000610351563</c:v>
                </c:pt>
                <c:pt idx="67">
                  <c:v>22.860000610351563</c:v>
                </c:pt>
                <c:pt idx="68">
                  <c:v>22.860000610351563</c:v>
                </c:pt>
                <c:pt idx="69">
                  <c:v>22.860000610351563</c:v>
                </c:pt>
                <c:pt idx="70">
                  <c:v>22.860000610351563</c:v>
                </c:pt>
                <c:pt idx="71">
                  <c:v>22.860000610351563</c:v>
                </c:pt>
                <c:pt idx="72">
                  <c:v>22.860000610351563</c:v>
                </c:pt>
                <c:pt idx="73">
                  <c:v>22.860000610351563</c:v>
                </c:pt>
                <c:pt idx="74">
                  <c:v>22.860000610351563</c:v>
                </c:pt>
                <c:pt idx="75">
                  <c:v>37.139999389648438</c:v>
                </c:pt>
                <c:pt idx="76">
                  <c:v>37.139999389648438</c:v>
                </c:pt>
                <c:pt idx="77">
                  <c:v>37.139999389648438</c:v>
                </c:pt>
                <c:pt idx="78">
                  <c:v>37.139999389648438</c:v>
                </c:pt>
                <c:pt idx="79">
                  <c:v>40</c:v>
                </c:pt>
                <c:pt idx="80">
                  <c:v>56.669998168945313</c:v>
                </c:pt>
                <c:pt idx="81">
                  <c:v>56.669998168945313</c:v>
                </c:pt>
                <c:pt idx="82">
                  <c:v>74.519996643066406</c:v>
                </c:pt>
                <c:pt idx="83">
                  <c:v>88.80999755859375</c:v>
                </c:pt>
                <c:pt idx="84">
                  <c:v>92.379997253417969</c:v>
                </c:pt>
                <c:pt idx="85">
                  <c:v>97.139999389648438</c:v>
                </c:pt>
                <c:pt idx="86">
                  <c:v>97.139999389648438</c:v>
                </c:pt>
                <c:pt idx="87">
                  <c:v>97.139999389648438</c:v>
                </c:pt>
                <c:pt idx="88">
                  <c:v>97.139999389648438</c:v>
                </c:pt>
                <c:pt idx="89">
                  <c:v>97.139999389648438</c:v>
                </c:pt>
                <c:pt idx="90">
                  <c:v>97.139999389648438</c:v>
                </c:pt>
                <c:pt idx="91">
                  <c:v>97.139999389648438</c:v>
                </c:pt>
                <c:pt idx="92">
                  <c:v>97.139999389648438</c:v>
                </c:pt>
                <c:pt idx="93">
                  <c:v>97.139999389648438</c:v>
                </c:pt>
                <c:pt idx="94">
                  <c:v>97.139999389648438</c:v>
                </c:pt>
                <c:pt idx="95">
                  <c:v>97.139999389648438</c:v>
                </c:pt>
                <c:pt idx="96">
                  <c:v>97.139999389648438</c:v>
                </c:pt>
                <c:pt idx="97">
                  <c:v>97.139999389648438</c:v>
                </c:pt>
                <c:pt idx="98">
                  <c:v>97.139999389648438</c:v>
                </c:pt>
                <c:pt idx="99">
                  <c:v>97.139999389648438</c:v>
                </c:pt>
                <c:pt idx="100">
                  <c:v>97.139999389648438</c:v>
                </c:pt>
                <c:pt idx="101">
                  <c:v>97.139999389648438</c:v>
                </c:pt>
                <c:pt idx="102">
                  <c:v>97.139999389648438</c:v>
                </c:pt>
              </c:numCache>
            </c:numRef>
          </c:val>
          <c:smooth val="0"/>
          <c:extLst>
            <c:ext xmlns:c16="http://schemas.microsoft.com/office/drawing/2014/chart" uri="{C3380CC4-5D6E-409C-BE32-E72D297353CC}">
              <c16:uniqueId val="{00000000-F9AF-496F-BBF1-38BC478C3863}"/>
            </c:ext>
          </c:extLst>
        </c:ser>
        <c:ser>
          <c:idx val="1"/>
          <c:order val="1"/>
          <c:tx>
            <c:strRef>
              <c:f>stringencyindex_legacy!$B$166</c:f>
              <c:strCache>
                <c:ptCount val="1"/>
                <c:pt idx="0">
                  <c:v>AUS</c:v>
                </c:pt>
              </c:strCache>
            </c:strRef>
          </c:tx>
          <c:spPr>
            <a:ln w="31750" cap="rnd">
              <a:solidFill>
                <a:srgbClr val="66FF33">
                  <a:alpha val="80000"/>
                </a:srgbClr>
              </a:solidFill>
              <a:round/>
            </a:ln>
            <a:effectLst/>
          </c:spPr>
          <c:marker>
            <c:symbol val="none"/>
          </c:marker>
          <c:cat>
            <c:numRef>
              <c:f>stringencyindex_legacy!$C$164:$EF$164</c:f>
              <c:numCache>
                <c:formatCode>m/d/yyyy</c:formatCode>
                <c:ptCount val="134"/>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numCache>
            </c:numRef>
          </c:cat>
          <c:val>
            <c:numRef>
              <c:f>stringencyindex_legacy!$C$166:$EF$166</c:f>
              <c:numCache>
                <c:formatCode>0</c:formatCode>
                <c:ptCount val="1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9.5200004577636719</c:v>
                </c:pt>
                <c:pt idx="25">
                  <c:v>9.5200004577636719</c:v>
                </c:pt>
                <c:pt idx="26">
                  <c:v>9.5200004577636719</c:v>
                </c:pt>
                <c:pt idx="27">
                  <c:v>9.5200004577636719</c:v>
                </c:pt>
                <c:pt idx="28">
                  <c:v>9.5200004577636719</c:v>
                </c:pt>
                <c:pt idx="29">
                  <c:v>9.5200004577636719</c:v>
                </c:pt>
                <c:pt idx="30">
                  <c:v>9.5200004577636719</c:v>
                </c:pt>
                <c:pt idx="31">
                  <c:v>18.100000381469727</c:v>
                </c:pt>
                <c:pt idx="32">
                  <c:v>18.100000381469727</c:v>
                </c:pt>
                <c:pt idx="33">
                  <c:v>22.860000610351563</c:v>
                </c:pt>
                <c:pt idx="34">
                  <c:v>22.860000610351563</c:v>
                </c:pt>
                <c:pt idx="35">
                  <c:v>22.860000610351563</c:v>
                </c:pt>
                <c:pt idx="36">
                  <c:v>22.860000610351563</c:v>
                </c:pt>
                <c:pt idx="37">
                  <c:v>22.860000610351563</c:v>
                </c:pt>
                <c:pt idx="38">
                  <c:v>22.860000610351563</c:v>
                </c:pt>
                <c:pt idx="39">
                  <c:v>22.860000610351563</c:v>
                </c:pt>
                <c:pt idx="40">
                  <c:v>22.860000610351563</c:v>
                </c:pt>
                <c:pt idx="41">
                  <c:v>22.860000610351563</c:v>
                </c:pt>
                <c:pt idx="42">
                  <c:v>22.860000610351563</c:v>
                </c:pt>
                <c:pt idx="43">
                  <c:v>22.860000610351563</c:v>
                </c:pt>
                <c:pt idx="44">
                  <c:v>22.860000610351563</c:v>
                </c:pt>
                <c:pt idx="45">
                  <c:v>22.860000610351563</c:v>
                </c:pt>
                <c:pt idx="46">
                  <c:v>22.860000610351563</c:v>
                </c:pt>
                <c:pt idx="47">
                  <c:v>22.860000610351563</c:v>
                </c:pt>
                <c:pt idx="48">
                  <c:v>22.860000610351563</c:v>
                </c:pt>
                <c:pt idx="49">
                  <c:v>22.860000610351563</c:v>
                </c:pt>
                <c:pt idx="50">
                  <c:v>22.860000610351563</c:v>
                </c:pt>
                <c:pt idx="51">
                  <c:v>22.860000610351563</c:v>
                </c:pt>
                <c:pt idx="52">
                  <c:v>22.860000610351563</c:v>
                </c:pt>
                <c:pt idx="53">
                  <c:v>22.860000610351563</c:v>
                </c:pt>
                <c:pt idx="54">
                  <c:v>22.860000610351563</c:v>
                </c:pt>
                <c:pt idx="55">
                  <c:v>22.860000610351563</c:v>
                </c:pt>
                <c:pt idx="56">
                  <c:v>22.860000610351563</c:v>
                </c:pt>
                <c:pt idx="57">
                  <c:v>22.860000610351563</c:v>
                </c:pt>
                <c:pt idx="58">
                  <c:v>22.860000610351563</c:v>
                </c:pt>
                <c:pt idx="59">
                  <c:v>22.860000610351563</c:v>
                </c:pt>
                <c:pt idx="60">
                  <c:v>22.860000610351563</c:v>
                </c:pt>
                <c:pt idx="61">
                  <c:v>22.860000610351563</c:v>
                </c:pt>
                <c:pt idx="62">
                  <c:v>22.860000610351563</c:v>
                </c:pt>
                <c:pt idx="63">
                  <c:v>22.860000610351563</c:v>
                </c:pt>
                <c:pt idx="64">
                  <c:v>22.860000610351563</c:v>
                </c:pt>
                <c:pt idx="65">
                  <c:v>22.860000610351563</c:v>
                </c:pt>
                <c:pt idx="66">
                  <c:v>22.860000610351563</c:v>
                </c:pt>
                <c:pt idx="67">
                  <c:v>22.860000610351563</c:v>
                </c:pt>
                <c:pt idx="68">
                  <c:v>22.860000610351563</c:v>
                </c:pt>
                <c:pt idx="69">
                  <c:v>22.860000610351563</c:v>
                </c:pt>
                <c:pt idx="70">
                  <c:v>22.860000610351563</c:v>
                </c:pt>
                <c:pt idx="71">
                  <c:v>22.860000610351563</c:v>
                </c:pt>
                <c:pt idx="72">
                  <c:v>22.860000610351563</c:v>
                </c:pt>
                <c:pt idx="73">
                  <c:v>22.860000610351563</c:v>
                </c:pt>
                <c:pt idx="74">
                  <c:v>22.860000610351563</c:v>
                </c:pt>
                <c:pt idx="75">
                  <c:v>31.430000305175781</c:v>
                </c:pt>
                <c:pt idx="76">
                  <c:v>31.430000305175781</c:v>
                </c:pt>
                <c:pt idx="77">
                  <c:v>32.380001068115234</c:v>
                </c:pt>
                <c:pt idx="78">
                  <c:v>41.900001525878906</c:v>
                </c:pt>
                <c:pt idx="79">
                  <c:v>44.759998321533203</c:v>
                </c:pt>
                <c:pt idx="80">
                  <c:v>44.759998321533203</c:v>
                </c:pt>
                <c:pt idx="81">
                  <c:v>44.759998321533203</c:v>
                </c:pt>
                <c:pt idx="82">
                  <c:v>51.900001525878906</c:v>
                </c:pt>
                <c:pt idx="83">
                  <c:v>62.619998931884766</c:v>
                </c:pt>
                <c:pt idx="84">
                  <c:v>62.619998931884766</c:v>
                </c:pt>
                <c:pt idx="85">
                  <c:v>62.619998931884766</c:v>
                </c:pt>
                <c:pt idx="86">
                  <c:v>62.619998931884766</c:v>
                </c:pt>
                <c:pt idx="87">
                  <c:v>62.619998931884766</c:v>
                </c:pt>
                <c:pt idx="88">
                  <c:v>67.379997253417969</c:v>
                </c:pt>
                <c:pt idx="89">
                  <c:v>67.379997253417969</c:v>
                </c:pt>
                <c:pt idx="90">
                  <c:v>67.379997253417969</c:v>
                </c:pt>
                <c:pt idx="91">
                  <c:v>67.379997253417969</c:v>
                </c:pt>
                <c:pt idx="92">
                  <c:v>67.379997253417969</c:v>
                </c:pt>
                <c:pt idx="93">
                  <c:v>67.379997253417969</c:v>
                </c:pt>
                <c:pt idx="94">
                  <c:v>67.379997253417969</c:v>
                </c:pt>
                <c:pt idx="95">
                  <c:v>67.379997253417969</c:v>
                </c:pt>
                <c:pt idx="96">
                  <c:v>67.379997253417969</c:v>
                </c:pt>
                <c:pt idx="97">
                  <c:v>67.379997253417969</c:v>
                </c:pt>
                <c:pt idx="98">
                  <c:v>67.379997253417969</c:v>
                </c:pt>
                <c:pt idx="99">
                  <c:v>67.379997253417969</c:v>
                </c:pt>
                <c:pt idx="100">
                  <c:v>67.379997253417969</c:v>
                </c:pt>
                <c:pt idx="101">
                  <c:v>67.379997253417969</c:v>
                </c:pt>
                <c:pt idx="102">
                  <c:v>67.379997253417969</c:v>
                </c:pt>
              </c:numCache>
            </c:numRef>
          </c:val>
          <c:smooth val="0"/>
          <c:extLst>
            <c:ext xmlns:c16="http://schemas.microsoft.com/office/drawing/2014/chart" uri="{C3380CC4-5D6E-409C-BE32-E72D297353CC}">
              <c16:uniqueId val="{00000001-F9AF-496F-BBF1-38BC478C3863}"/>
            </c:ext>
          </c:extLst>
        </c:ser>
        <c:ser>
          <c:idx val="2"/>
          <c:order val="2"/>
          <c:tx>
            <c:strRef>
              <c:f>stringencyindex_legacy!$B$167</c:f>
              <c:strCache>
                <c:ptCount val="1"/>
                <c:pt idx="0">
                  <c:v>ISL</c:v>
                </c:pt>
              </c:strCache>
            </c:strRef>
          </c:tx>
          <c:spPr>
            <a:ln w="28575" cap="rnd">
              <a:solidFill>
                <a:srgbClr val="FF0000">
                  <a:alpha val="50196"/>
                </a:srgbClr>
              </a:solidFill>
              <a:round/>
            </a:ln>
            <a:effectLst/>
          </c:spPr>
          <c:marker>
            <c:symbol val="none"/>
          </c:marker>
          <c:cat>
            <c:numRef>
              <c:f>stringencyindex_legacy!$C$164:$EF$164</c:f>
              <c:numCache>
                <c:formatCode>m/d/yyyy</c:formatCode>
                <c:ptCount val="134"/>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numCache>
            </c:numRef>
          </c:cat>
          <c:val>
            <c:numRef>
              <c:f>stringencyindex_legacy!$C$167:$EF$167</c:f>
              <c:numCache>
                <c:formatCode>0</c:formatCode>
                <c:ptCount val="1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9.5200004577636719</c:v>
                </c:pt>
                <c:pt idx="23">
                  <c:v>9.5200004577636719</c:v>
                </c:pt>
                <c:pt idx="24">
                  <c:v>9.5200004577636719</c:v>
                </c:pt>
                <c:pt idx="25">
                  <c:v>9.5200004577636719</c:v>
                </c:pt>
                <c:pt idx="26">
                  <c:v>9.5200004577636719</c:v>
                </c:pt>
                <c:pt idx="27">
                  <c:v>14.289999961853027</c:v>
                </c:pt>
                <c:pt idx="28">
                  <c:v>20</c:v>
                </c:pt>
                <c:pt idx="29">
                  <c:v>20</c:v>
                </c:pt>
                <c:pt idx="30">
                  <c:v>20</c:v>
                </c:pt>
                <c:pt idx="31">
                  <c:v>20</c:v>
                </c:pt>
                <c:pt idx="32">
                  <c:v>20</c:v>
                </c:pt>
                <c:pt idx="33">
                  <c:v>20</c:v>
                </c:pt>
                <c:pt idx="34">
                  <c:v>20</c:v>
                </c:pt>
                <c:pt idx="35">
                  <c:v>20</c:v>
                </c:pt>
                <c:pt idx="36">
                  <c:v>20</c:v>
                </c:pt>
                <c:pt idx="37">
                  <c:v>20</c:v>
                </c:pt>
                <c:pt idx="38">
                  <c:v>20</c:v>
                </c:pt>
                <c:pt idx="39">
                  <c:v>20</c:v>
                </c:pt>
                <c:pt idx="40">
                  <c:v>20</c:v>
                </c:pt>
                <c:pt idx="41">
                  <c:v>20</c:v>
                </c:pt>
                <c:pt idx="42">
                  <c:v>20</c:v>
                </c:pt>
                <c:pt idx="43">
                  <c:v>20</c:v>
                </c:pt>
                <c:pt idx="44">
                  <c:v>20</c:v>
                </c:pt>
                <c:pt idx="45">
                  <c:v>20</c:v>
                </c:pt>
                <c:pt idx="46">
                  <c:v>20</c:v>
                </c:pt>
                <c:pt idx="47">
                  <c:v>20</c:v>
                </c:pt>
                <c:pt idx="48">
                  <c:v>20</c:v>
                </c:pt>
                <c:pt idx="49">
                  <c:v>20</c:v>
                </c:pt>
                <c:pt idx="50">
                  <c:v>20</c:v>
                </c:pt>
                <c:pt idx="51">
                  <c:v>20</c:v>
                </c:pt>
                <c:pt idx="52">
                  <c:v>20</c:v>
                </c:pt>
                <c:pt idx="53">
                  <c:v>20</c:v>
                </c:pt>
                <c:pt idx="54">
                  <c:v>20</c:v>
                </c:pt>
                <c:pt idx="55">
                  <c:v>20</c:v>
                </c:pt>
                <c:pt idx="56">
                  <c:v>20</c:v>
                </c:pt>
                <c:pt idx="57">
                  <c:v>20</c:v>
                </c:pt>
                <c:pt idx="58">
                  <c:v>20</c:v>
                </c:pt>
                <c:pt idx="59">
                  <c:v>20</c:v>
                </c:pt>
                <c:pt idx="60">
                  <c:v>20</c:v>
                </c:pt>
                <c:pt idx="61">
                  <c:v>20</c:v>
                </c:pt>
                <c:pt idx="62">
                  <c:v>20</c:v>
                </c:pt>
                <c:pt idx="63">
                  <c:v>20</c:v>
                </c:pt>
                <c:pt idx="64">
                  <c:v>20</c:v>
                </c:pt>
                <c:pt idx="65">
                  <c:v>20</c:v>
                </c:pt>
                <c:pt idx="66">
                  <c:v>20</c:v>
                </c:pt>
                <c:pt idx="67">
                  <c:v>20</c:v>
                </c:pt>
                <c:pt idx="68">
                  <c:v>20</c:v>
                </c:pt>
                <c:pt idx="69">
                  <c:v>20</c:v>
                </c:pt>
                <c:pt idx="70">
                  <c:v>20</c:v>
                </c:pt>
                <c:pt idx="71">
                  <c:v>20</c:v>
                </c:pt>
                <c:pt idx="72">
                  <c:v>20</c:v>
                </c:pt>
                <c:pt idx="73">
                  <c:v>20</c:v>
                </c:pt>
                <c:pt idx="74">
                  <c:v>31.430000305175781</c:v>
                </c:pt>
                <c:pt idx="75">
                  <c:v>55.709999084472656</c:v>
                </c:pt>
                <c:pt idx="76">
                  <c:v>55.709999084472656</c:v>
                </c:pt>
                <c:pt idx="77">
                  <c:v>55.709999084472656</c:v>
                </c:pt>
                <c:pt idx="78">
                  <c:v>55.709999084472656</c:v>
                </c:pt>
                <c:pt idx="79">
                  <c:v>55.709999084472656</c:v>
                </c:pt>
                <c:pt idx="80">
                  <c:v>55.709999084472656</c:v>
                </c:pt>
                <c:pt idx="81">
                  <c:v>55.709999084472656</c:v>
                </c:pt>
                <c:pt idx="82">
                  <c:v>55.709999084472656</c:v>
                </c:pt>
                <c:pt idx="83">
                  <c:v>55.709999084472656</c:v>
                </c:pt>
                <c:pt idx="84">
                  <c:v>55.709999084472656</c:v>
                </c:pt>
                <c:pt idx="85">
                  <c:v>55.709999084472656</c:v>
                </c:pt>
                <c:pt idx="86">
                  <c:v>55.709999084472656</c:v>
                </c:pt>
                <c:pt idx="87">
                  <c:v>55.709999084472656</c:v>
                </c:pt>
                <c:pt idx="88">
                  <c:v>55.709999084472656</c:v>
                </c:pt>
                <c:pt idx="89">
                  <c:v>55.709999084472656</c:v>
                </c:pt>
                <c:pt idx="90">
                  <c:v>55.709999084472656</c:v>
                </c:pt>
                <c:pt idx="91">
                  <c:v>55.709999084472656</c:v>
                </c:pt>
                <c:pt idx="92">
                  <c:v>55.709999084472656</c:v>
                </c:pt>
                <c:pt idx="93">
                  <c:v>55.709999084472656</c:v>
                </c:pt>
                <c:pt idx="94">
                  <c:v>55.709999084472656</c:v>
                </c:pt>
                <c:pt idx="95">
                  <c:v>55.709999084472656</c:v>
                </c:pt>
                <c:pt idx="96">
                  <c:v>55.709999084472656</c:v>
                </c:pt>
                <c:pt idx="97">
                  <c:v>55.709999084472656</c:v>
                </c:pt>
                <c:pt idx="98">
                  <c:v>55.709999084472656</c:v>
                </c:pt>
                <c:pt idx="99">
                  <c:v>55.709999084472656</c:v>
                </c:pt>
                <c:pt idx="100">
                  <c:v>55.709999084472656</c:v>
                </c:pt>
                <c:pt idx="101">
                  <c:v>55.709999084472656</c:v>
                </c:pt>
                <c:pt idx="102">
                  <c:v>55.709999084472656</c:v>
                </c:pt>
              </c:numCache>
            </c:numRef>
          </c:val>
          <c:smooth val="0"/>
          <c:extLst>
            <c:ext xmlns:c16="http://schemas.microsoft.com/office/drawing/2014/chart" uri="{C3380CC4-5D6E-409C-BE32-E72D297353CC}">
              <c16:uniqueId val="{00000002-F9AF-496F-BBF1-38BC478C3863}"/>
            </c:ext>
          </c:extLst>
        </c:ser>
        <c:ser>
          <c:idx val="3"/>
          <c:order val="3"/>
          <c:tx>
            <c:v>JPN</c:v>
          </c:tx>
          <c:spPr>
            <a:ln w="28575" cap="rnd">
              <a:solidFill>
                <a:schemeClr val="accent4"/>
              </a:solidFill>
              <a:round/>
            </a:ln>
            <a:effectLst/>
          </c:spPr>
          <c:marker>
            <c:symbol val="none"/>
          </c:marker>
          <c:val>
            <c:numRef>
              <c:f>stringencyindex_legacy!$B$168:$DA$168</c:f>
              <c:numCache>
                <c:formatCode>0</c:formatCode>
                <c:ptCount val="104"/>
                <c:pt idx="0" formatCode="General">
                  <c:v>0</c:v>
                </c:pt>
                <c:pt idx="1">
                  <c:v>0</c:v>
                </c:pt>
                <c:pt idx="2">
                  <c:v>0</c:v>
                </c:pt>
                <c:pt idx="3">
                  <c:v>0</c:v>
                </c:pt>
                <c:pt idx="4">
                  <c:v>0</c:v>
                </c:pt>
                <c:pt idx="5">
                  <c:v>0</c:v>
                </c:pt>
                <c:pt idx="6">
                  <c:v>0</c:v>
                </c:pt>
                <c:pt idx="7">
                  <c:v>2.8599998950958252</c:v>
                </c:pt>
                <c:pt idx="8">
                  <c:v>2.8599998950958252</c:v>
                </c:pt>
                <c:pt idx="9">
                  <c:v>2.8599998950958252</c:v>
                </c:pt>
                <c:pt idx="10">
                  <c:v>2.8599998950958252</c:v>
                </c:pt>
                <c:pt idx="11">
                  <c:v>2.8599998950958252</c:v>
                </c:pt>
                <c:pt idx="12">
                  <c:v>2.8599998950958252</c:v>
                </c:pt>
                <c:pt idx="13">
                  <c:v>2.8599998950958252</c:v>
                </c:pt>
                <c:pt idx="14">
                  <c:v>2.8599998950958252</c:v>
                </c:pt>
                <c:pt idx="15">
                  <c:v>2.8599998950958252</c:v>
                </c:pt>
                <c:pt idx="16">
                  <c:v>2.8599998950958252</c:v>
                </c:pt>
                <c:pt idx="17">
                  <c:v>2.8599998950958252</c:v>
                </c:pt>
                <c:pt idx="18">
                  <c:v>2.8599998950958252</c:v>
                </c:pt>
                <c:pt idx="19">
                  <c:v>2.8599998950958252</c:v>
                </c:pt>
                <c:pt idx="20">
                  <c:v>2.8599998950958252</c:v>
                </c:pt>
                <c:pt idx="21">
                  <c:v>2.8599998950958252</c:v>
                </c:pt>
                <c:pt idx="22">
                  <c:v>2.8599998950958252</c:v>
                </c:pt>
                <c:pt idx="23">
                  <c:v>2.8599998950958252</c:v>
                </c:pt>
                <c:pt idx="24">
                  <c:v>2.8599998950958252</c:v>
                </c:pt>
                <c:pt idx="25">
                  <c:v>2.8599998950958252</c:v>
                </c:pt>
                <c:pt idx="26">
                  <c:v>2.8599998950958252</c:v>
                </c:pt>
                <c:pt idx="27">
                  <c:v>2.8599998950958252</c:v>
                </c:pt>
                <c:pt idx="28">
                  <c:v>2.8599998950958252</c:v>
                </c:pt>
                <c:pt idx="29">
                  <c:v>2.8599998950958252</c:v>
                </c:pt>
                <c:pt idx="30">
                  <c:v>2.8599998950958252</c:v>
                </c:pt>
                <c:pt idx="31">
                  <c:v>2.8599998950958252</c:v>
                </c:pt>
                <c:pt idx="32">
                  <c:v>8.5699996948242188</c:v>
                </c:pt>
                <c:pt idx="33">
                  <c:v>8.5699996948242188</c:v>
                </c:pt>
                <c:pt idx="34">
                  <c:v>8.5699996948242188</c:v>
                </c:pt>
                <c:pt idx="35">
                  <c:v>22.860000610351563</c:v>
                </c:pt>
                <c:pt idx="36">
                  <c:v>17.139999389648438</c:v>
                </c:pt>
                <c:pt idx="37">
                  <c:v>17.139999389648438</c:v>
                </c:pt>
                <c:pt idx="38">
                  <c:v>17.139999389648438</c:v>
                </c:pt>
                <c:pt idx="39">
                  <c:v>17.139999389648438</c:v>
                </c:pt>
                <c:pt idx="40">
                  <c:v>17.139999389648438</c:v>
                </c:pt>
                <c:pt idx="41">
                  <c:v>17.139999389648438</c:v>
                </c:pt>
                <c:pt idx="42">
                  <c:v>17.139999389648438</c:v>
                </c:pt>
                <c:pt idx="43">
                  <c:v>17.139999389648438</c:v>
                </c:pt>
                <c:pt idx="44">
                  <c:v>17.139999389648438</c:v>
                </c:pt>
                <c:pt idx="45">
                  <c:v>17.139999389648438</c:v>
                </c:pt>
                <c:pt idx="46">
                  <c:v>17.139999389648438</c:v>
                </c:pt>
                <c:pt idx="47">
                  <c:v>17.139999389648438</c:v>
                </c:pt>
                <c:pt idx="48">
                  <c:v>17.139999389648438</c:v>
                </c:pt>
                <c:pt idx="49">
                  <c:v>17.139999389648438</c:v>
                </c:pt>
                <c:pt idx="50">
                  <c:v>17.139999389648438</c:v>
                </c:pt>
                <c:pt idx="51">
                  <c:v>26.670000076293945</c:v>
                </c:pt>
                <c:pt idx="52">
                  <c:v>26.670000076293945</c:v>
                </c:pt>
                <c:pt idx="53">
                  <c:v>26.670000076293945</c:v>
                </c:pt>
                <c:pt idx="54">
                  <c:v>26.670000076293945</c:v>
                </c:pt>
                <c:pt idx="55">
                  <c:v>26.670000076293945</c:v>
                </c:pt>
                <c:pt idx="56">
                  <c:v>43.330001831054688</c:v>
                </c:pt>
                <c:pt idx="57">
                  <c:v>43.330001831054688</c:v>
                </c:pt>
                <c:pt idx="58">
                  <c:v>43.330001831054688</c:v>
                </c:pt>
                <c:pt idx="59">
                  <c:v>43.330001831054688</c:v>
                </c:pt>
                <c:pt idx="60">
                  <c:v>43.330001831054688</c:v>
                </c:pt>
                <c:pt idx="61">
                  <c:v>43.330001831054688</c:v>
                </c:pt>
                <c:pt idx="62">
                  <c:v>50.479999542236328</c:v>
                </c:pt>
                <c:pt idx="63">
                  <c:v>50.479999542236328</c:v>
                </c:pt>
                <c:pt idx="64">
                  <c:v>50.479999542236328</c:v>
                </c:pt>
                <c:pt idx="65">
                  <c:v>50.479999542236328</c:v>
                </c:pt>
                <c:pt idx="66">
                  <c:v>50.479999542236328</c:v>
                </c:pt>
                <c:pt idx="67">
                  <c:v>50.479999542236328</c:v>
                </c:pt>
                <c:pt idx="68">
                  <c:v>50.479999542236328</c:v>
                </c:pt>
                <c:pt idx="69">
                  <c:v>53.330001831054688</c:v>
                </c:pt>
                <c:pt idx="70">
                  <c:v>53.330001831054688</c:v>
                </c:pt>
                <c:pt idx="71">
                  <c:v>53.330001831054688</c:v>
                </c:pt>
                <c:pt idx="72">
                  <c:v>53.330001831054688</c:v>
                </c:pt>
                <c:pt idx="73">
                  <c:v>53.330001831054688</c:v>
                </c:pt>
                <c:pt idx="74">
                  <c:v>53.330001831054688</c:v>
                </c:pt>
                <c:pt idx="75">
                  <c:v>53.330001831054688</c:v>
                </c:pt>
                <c:pt idx="76">
                  <c:v>53.330001831054688</c:v>
                </c:pt>
                <c:pt idx="77">
                  <c:v>53.330001831054688</c:v>
                </c:pt>
                <c:pt idx="78">
                  <c:v>53.330001831054688</c:v>
                </c:pt>
                <c:pt idx="79">
                  <c:v>53.330001831054688</c:v>
                </c:pt>
                <c:pt idx="80">
                  <c:v>53.330001831054688</c:v>
                </c:pt>
                <c:pt idx="81">
                  <c:v>53.330001831054688</c:v>
                </c:pt>
                <c:pt idx="82">
                  <c:v>53.330001831054688</c:v>
                </c:pt>
                <c:pt idx="83">
                  <c:v>53.330001831054688</c:v>
                </c:pt>
                <c:pt idx="84">
                  <c:v>53.330001831054688</c:v>
                </c:pt>
                <c:pt idx="85">
                  <c:v>53.330001831054688</c:v>
                </c:pt>
                <c:pt idx="86">
                  <c:v>53.330001831054688</c:v>
                </c:pt>
                <c:pt idx="87">
                  <c:v>53.330001831054688</c:v>
                </c:pt>
                <c:pt idx="88">
                  <c:v>53.330001831054688</c:v>
                </c:pt>
                <c:pt idx="89">
                  <c:v>53.330001831054688</c:v>
                </c:pt>
                <c:pt idx="90">
                  <c:v>53.330001831054688</c:v>
                </c:pt>
                <c:pt idx="91">
                  <c:v>53.330001831054688</c:v>
                </c:pt>
                <c:pt idx="92">
                  <c:v>53.330001831054688</c:v>
                </c:pt>
                <c:pt idx="93">
                  <c:v>53.330001831054688</c:v>
                </c:pt>
                <c:pt idx="94">
                  <c:v>56.189998626708984</c:v>
                </c:pt>
                <c:pt idx="95">
                  <c:v>56.189998626708984</c:v>
                </c:pt>
                <c:pt idx="96">
                  <c:v>56.189998626708984</c:v>
                </c:pt>
                <c:pt idx="97">
                  <c:v>56.189998626708984</c:v>
                </c:pt>
                <c:pt idx="98">
                  <c:v>56.189998626708984</c:v>
                </c:pt>
                <c:pt idx="99">
                  <c:v>56.189998626708984</c:v>
                </c:pt>
                <c:pt idx="100">
                  <c:v>56.189998626708984</c:v>
                </c:pt>
                <c:pt idx="101">
                  <c:v>56.189998626708984</c:v>
                </c:pt>
                <c:pt idx="102">
                  <c:v>56.189998626708984</c:v>
                </c:pt>
                <c:pt idx="103">
                  <c:v>56.189998626708984</c:v>
                </c:pt>
              </c:numCache>
            </c:numRef>
          </c:val>
          <c:smooth val="0"/>
          <c:extLst>
            <c:ext xmlns:c16="http://schemas.microsoft.com/office/drawing/2014/chart" uri="{C3380CC4-5D6E-409C-BE32-E72D297353CC}">
              <c16:uniqueId val="{00000003-F9AF-496F-BBF1-38BC478C3863}"/>
            </c:ext>
          </c:extLst>
        </c:ser>
        <c:ser>
          <c:idx val="10"/>
          <c:order val="4"/>
          <c:tx>
            <c:strRef>
              <c:f>stringencyindex_legacy!$B$171</c:f>
              <c:strCache>
                <c:ptCount val="1"/>
                <c:pt idx="0">
                  <c:v>TWN</c:v>
                </c:pt>
              </c:strCache>
            </c:strRef>
          </c:tx>
          <c:spPr>
            <a:ln w="28575" cap="rnd">
              <a:solidFill>
                <a:schemeClr val="accent5">
                  <a:lumMod val="60000"/>
                </a:schemeClr>
              </a:solidFill>
              <a:round/>
            </a:ln>
            <a:effectLst/>
          </c:spPr>
          <c:marker>
            <c:symbol val="none"/>
          </c:marker>
          <c:cat>
            <c:numRef>
              <c:f>stringencyindex_legacy!$C$164:$EF$164</c:f>
              <c:numCache>
                <c:formatCode>m/d/yyyy</c:formatCode>
                <c:ptCount val="134"/>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numCache>
            </c:numRef>
          </c:cat>
          <c:val>
            <c:numRef>
              <c:f>stringencyindex_legacy!$C$171:$EF$171</c:f>
              <c:numCache>
                <c:formatCode>0</c:formatCode>
                <c:ptCount val="134"/>
                <c:pt idx="0">
                  <c:v>0</c:v>
                </c:pt>
                <c:pt idx="1">
                  <c:v>9.5200004577636719</c:v>
                </c:pt>
                <c:pt idx="2">
                  <c:v>9.5200004577636719</c:v>
                </c:pt>
                <c:pt idx="3">
                  <c:v>9.5200004577636719</c:v>
                </c:pt>
                <c:pt idx="4">
                  <c:v>9.5200004577636719</c:v>
                </c:pt>
                <c:pt idx="5">
                  <c:v>9.5200004577636719</c:v>
                </c:pt>
                <c:pt idx="6">
                  <c:v>9.5200004577636719</c:v>
                </c:pt>
                <c:pt idx="7">
                  <c:v>9.5200004577636719</c:v>
                </c:pt>
                <c:pt idx="8">
                  <c:v>9.5200004577636719</c:v>
                </c:pt>
                <c:pt idx="9">
                  <c:v>9.5200004577636719</c:v>
                </c:pt>
                <c:pt idx="10">
                  <c:v>9.5200004577636719</c:v>
                </c:pt>
                <c:pt idx="11">
                  <c:v>9.5200004577636719</c:v>
                </c:pt>
                <c:pt idx="12">
                  <c:v>9.5200004577636719</c:v>
                </c:pt>
                <c:pt idx="13">
                  <c:v>9.5200004577636719</c:v>
                </c:pt>
                <c:pt idx="14">
                  <c:v>9.5200004577636719</c:v>
                </c:pt>
                <c:pt idx="15">
                  <c:v>9.5200004577636719</c:v>
                </c:pt>
                <c:pt idx="16">
                  <c:v>9.5200004577636719</c:v>
                </c:pt>
                <c:pt idx="17">
                  <c:v>9.5200004577636719</c:v>
                </c:pt>
                <c:pt idx="18">
                  <c:v>9.5200004577636719</c:v>
                </c:pt>
                <c:pt idx="19">
                  <c:v>14.289999961853027</c:v>
                </c:pt>
                <c:pt idx="20">
                  <c:v>14.289999961853027</c:v>
                </c:pt>
                <c:pt idx="21">
                  <c:v>14.289999961853027</c:v>
                </c:pt>
                <c:pt idx="22">
                  <c:v>22.860000610351563</c:v>
                </c:pt>
                <c:pt idx="23">
                  <c:v>22.860000610351563</c:v>
                </c:pt>
                <c:pt idx="24">
                  <c:v>22.860000610351563</c:v>
                </c:pt>
                <c:pt idx="25">
                  <c:v>22.860000610351563</c:v>
                </c:pt>
                <c:pt idx="26">
                  <c:v>22.860000610351563</c:v>
                </c:pt>
                <c:pt idx="27">
                  <c:v>22.860000610351563</c:v>
                </c:pt>
                <c:pt idx="28">
                  <c:v>22.860000610351563</c:v>
                </c:pt>
                <c:pt idx="29">
                  <c:v>22.860000610351563</c:v>
                </c:pt>
                <c:pt idx="30">
                  <c:v>22.860000610351563</c:v>
                </c:pt>
                <c:pt idx="31">
                  <c:v>22.860000610351563</c:v>
                </c:pt>
                <c:pt idx="32">
                  <c:v>37.139999389648438</c:v>
                </c:pt>
                <c:pt idx="33">
                  <c:v>37.139999389648438</c:v>
                </c:pt>
                <c:pt idx="34">
                  <c:v>37.139999389648438</c:v>
                </c:pt>
                <c:pt idx="35">
                  <c:v>37.139999389648438</c:v>
                </c:pt>
                <c:pt idx="36">
                  <c:v>37.139999389648438</c:v>
                </c:pt>
                <c:pt idx="37">
                  <c:v>37.139999389648438</c:v>
                </c:pt>
                <c:pt idx="38">
                  <c:v>37.139999389648438</c:v>
                </c:pt>
                <c:pt idx="39">
                  <c:v>37.139999389648438</c:v>
                </c:pt>
                <c:pt idx="40">
                  <c:v>37.139999389648438</c:v>
                </c:pt>
                <c:pt idx="41">
                  <c:v>37.139999389648438</c:v>
                </c:pt>
                <c:pt idx="42">
                  <c:v>37.139999389648438</c:v>
                </c:pt>
                <c:pt idx="43">
                  <c:v>37.139999389648438</c:v>
                </c:pt>
                <c:pt idx="44">
                  <c:v>37.139999389648438</c:v>
                </c:pt>
                <c:pt idx="45">
                  <c:v>37.139999389648438</c:v>
                </c:pt>
                <c:pt idx="46">
                  <c:v>37.139999389648438</c:v>
                </c:pt>
                <c:pt idx="47">
                  <c:v>37.139999389648438</c:v>
                </c:pt>
                <c:pt idx="48">
                  <c:v>37.139999389648438</c:v>
                </c:pt>
                <c:pt idx="49">
                  <c:v>37.139999389648438</c:v>
                </c:pt>
                <c:pt idx="50">
                  <c:v>37.139999389648438</c:v>
                </c:pt>
                <c:pt idx="51">
                  <c:v>37.139999389648438</c:v>
                </c:pt>
                <c:pt idx="52">
                  <c:v>37.139999389648438</c:v>
                </c:pt>
                <c:pt idx="53">
                  <c:v>37.139999389648438</c:v>
                </c:pt>
                <c:pt idx="54">
                  <c:v>37.139999389648438</c:v>
                </c:pt>
                <c:pt idx="55">
                  <c:v>22.860000610351563</c:v>
                </c:pt>
                <c:pt idx="56">
                  <c:v>22.860000610351563</c:v>
                </c:pt>
                <c:pt idx="57">
                  <c:v>22.860000610351563</c:v>
                </c:pt>
                <c:pt idx="58">
                  <c:v>22.860000610351563</c:v>
                </c:pt>
                <c:pt idx="59">
                  <c:v>22.860000610351563</c:v>
                </c:pt>
                <c:pt idx="60">
                  <c:v>22.860000610351563</c:v>
                </c:pt>
                <c:pt idx="61">
                  <c:v>22.860000610351563</c:v>
                </c:pt>
                <c:pt idx="62">
                  <c:v>22.860000610351563</c:v>
                </c:pt>
                <c:pt idx="63">
                  <c:v>22.860000610351563</c:v>
                </c:pt>
                <c:pt idx="64">
                  <c:v>32.380001068115234</c:v>
                </c:pt>
                <c:pt idx="65">
                  <c:v>32.380001068115234</c:v>
                </c:pt>
                <c:pt idx="66">
                  <c:v>32.380001068115234</c:v>
                </c:pt>
                <c:pt idx="67">
                  <c:v>32.380001068115234</c:v>
                </c:pt>
                <c:pt idx="68">
                  <c:v>32.380001068115234</c:v>
                </c:pt>
                <c:pt idx="69">
                  <c:v>32.380001068115234</c:v>
                </c:pt>
                <c:pt idx="70">
                  <c:v>32.380001068115234</c:v>
                </c:pt>
                <c:pt idx="71">
                  <c:v>32.380001068115234</c:v>
                </c:pt>
                <c:pt idx="72">
                  <c:v>32.380001068115234</c:v>
                </c:pt>
                <c:pt idx="73">
                  <c:v>32.380001068115234</c:v>
                </c:pt>
                <c:pt idx="74">
                  <c:v>35.950000762939453</c:v>
                </c:pt>
                <c:pt idx="75">
                  <c:v>35.950000762939453</c:v>
                </c:pt>
                <c:pt idx="76">
                  <c:v>35.950000762939453</c:v>
                </c:pt>
                <c:pt idx="77">
                  <c:v>35.950000762939453</c:v>
                </c:pt>
                <c:pt idx="78">
                  <c:v>38.810001373291016</c:v>
                </c:pt>
                <c:pt idx="79">
                  <c:v>38.810001373291016</c:v>
                </c:pt>
                <c:pt idx="80">
                  <c:v>38.810001373291016</c:v>
                </c:pt>
                <c:pt idx="81">
                  <c:v>38.810001373291016</c:v>
                </c:pt>
                <c:pt idx="82">
                  <c:v>38.810001373291016</c:v>
                </c:pt>
                <c:pt idx="83">
                  <c:v>38.810001373291016</c:v>
                </c:pt>
                <c:pt idx="84">
                  <c:v>38.810001373291016</c:v>
                </c:pt>
                <c:pt idx="85">
                  <c:v>38.810001373291016</c:v>
                </c:pt>
                <c:pt idx="86">
                  <c:v>38.810001373291016</c:v>
                </c:pt>
                <c:pt idx="87">
                  <c:v>35.240001678466797</c:v>
                </c:pt>
                <c:pt idx="88">
                  <c:v>35.240001678466797</c:v>
                </c:pt>
                <c:pt idx="89">
                  <c:v>35.240001678466797</c:v>
                </c:pt>
                <c:pt idx="90">
                  <c:v>35.240001678466797</c:v>
                </c:pt>
                <c:pt idx="91">
                  <c:v>35.240001678466797</c:v>
                </c:pt>
                <c:pt idx="92">
                  <c:v>35.240001678466797</c:v>
                </c:pt>
                <c:pt idx="93">
                  <c:v>35.240001678466797</c:v>
                </c:pt>
                <c:pt idx="94">
                  <c:v>35.240001678466797</c:v>
                </c:pt>
                <c:pt idx="95">
                  <c:v>35.240001678466797</c:v>
                </c:pt>
                <c:pt idx="96">
                  <c:v>35.240001678466797</c:v>
                </c:pt>
                <c:pt idx="97">
                  <c:v>35.240001678466797</c:v>
                </c:pt>
                <c:pt idx="98">
                  <c:v>35.240001678466797</c:v>
                </c:pt>
                <c:pt idx="99">
                  <c:v>35.240001678466797</c:v>
                </c:pt>
                <c:pt idx="100">
                  <c:v>35.240001678466797</c:v>
                </c:pt>
                <c:pt idx="101">
                  <c:v>35.240001678466797</c:v>
                </c:pt>
                <c:pt idx="102">
                  <c:v>35.240001678466797</c:v>
                </c:pt>
              </c:numCache>
            </c:numRef>
          </c:val>
          <c:smooth val="0"/>
          <c:extLst>
            <c:ext xmlns:c16="http://schemas.microsoft.com/office/drawing/2014/chart" uri="{C3380CC4-5D6E-409C-BE32-E72D297353CC}">
              <c16:uniqueId val="{00000004-F9AF-496F-BBF1-38BC478C3863}"/>
            </c:ext>
          </c:extLst>
        </c:ser>
        <c:dLbls>
          <c:showLegendKey val="0"/>
          <c:showVal val="0"/>
          <c:showCatName val="0"/>
          <c:showSerName val="0"/>
          <c:showPercent val="0"/>
          <c:showBubbleSize val="0"/>
        </c:dLbls>
        <c:smooth val="0"/>
        <c:axId val="1548747695"/>
        <c:axId val="1548745615"/>
      </c:lineChart>
      <c:dateAx>
        <c:axId val="1548747695"/>
        <c:scaling>
          <c:orientation val="minMax"/>
          <c:max val="43925"/>
          <c:min val="43845"/>
        </c:scaling>
        <c:delete val="0"/>
        <c:axPos val="b"/>
        <c:numFmt formatCode="d/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1548745615"/>
        <c:crosses val="autoZero"/>
        <c:auto val="1"/>
        <c:lblOffset val="100"/>
        <c:baseTimeUnit val="days"/>
        <c:majorUnit val="10"/>
        <c:majorTimeUnit val="days"/>
      </c:dateAx>
      <c:valAx>
        <c:axId val="1548745615"/>
        <c:scaling>
          <c:orientation val="minMax"/>
          <c:max val="100"/>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OxCGRT</a:t>
                </a:r>
                <a:r>
                  <a:rPr lang="en-US" sz="1100" b="1" baseline="0"/>
                  <a:t> Legacy S</a:t>
                </a:r>
                <a:r>
                  <a:rPr lang="en-US" sz="1100" b="1"/>
                  <a:t>tringency Index</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548747695"/>
        <c:crosses val="autoZero"/>
        <c:crossBetween val="between"/>
        <c:majorUnit val="20"/>
      </c:valAx>
      <c:spPr>
        <a:noFill/>
        <a:ln>
          <a:noFill/>
        </a:ln>
        <a:effectLst/>
      </c:spPr>
    </c:plotArea>
    <c:legend>
      <c:legendPos val="r"/>
      <c:layout>
        <c:manualLayout>
          <c:xMode val="edge"/>
          <c:yMode val="edge"/>
          <c:x val="0.88093696076601102"/>
          <c:y val="3.9920801971634923E-4"/>
          <c:w val="0.11728828877555829"/>
          <c:h val="0.6841192469082485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sz="1100" b="1">
                <a:solidFill>
                  <a:schemeClr val="tx1">
                    <a:lumMod val="85000"/>
                    <a:lumOff val="15000"/>
                  </a:schemeClr>
                </a:solidFill>
                <a:latin typeface="Times New Roman" panose="02020603050405020304" pitchFamily="18" charset="0"/>
                <a:cs typeface="Times New Roman" panose="02020603050405020304" pitchFamily="18" charset="0"/>
              </a:rPr>
              <a:t>Figure</a:t>
            </a:r>
            <a:r>
              <a:rPr lang="en-NZ" sz="1100" b="1" baseline="0">
                <a:solidFill>
                  <a:schemeClr val="tx1">
                    <a:lumMod val="85000"/>
                    <a:lumOff val="15000"/>
                  </a:schemeClr>
                </a:solidFill>
                <a:latin typeface="Times New Roman" panose="02020603050405020304" pitchFamily="18" charset="0"/>
                <a:cs typeface="Times New Roman" panose="02020603050405020304" pitchFamily="18" charset="0"/>
              </a:rPr>
              <a:t> 2: Evolution of Infections and Deaths</a:t>
            </a:r>
          </a:p>
          <a:p>
            <a:pPr>
              <a:defRPr/>
            </a:pPr>
            <a:r>
              <a:rPr lang="en-NZ" sz="1100" b="0" baseline="0">
                <a:solidFill>
                  <a:schemeClr val="tx1">
                    <a:lumMod val="85000"/>
                    <a:lumOff val="15000"/>
                  </a:schemeClr>
                </a:solidFill>
                <a:latin typeface="Times New Roman" panose="02020603050405020304" pitchFamily="18" charset="0"/>
                <a:cs typeface="Times New Roman" panose="02020603050405020304" pitchFamily="18" charset="0"/>
              </a:rPr>
              <a:t>Assuming Four-Week Lag</a:t>
            </a:r>
            <a:endParaRPr lang="en-NZ" sz="1100" b="0">
              <a:solidFill>
                <a:schemeClr val="tx1">
                  <a:lumMod val="85000"/>
                  <a:lumOff val="15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631885757870015E-2"/>
          <c:y val="0.13636363636363635"/>
          <c:w val="0.80036806296648821"/>
          <c:h val="0.72873504448307602"/>
        </c:manualLayout>
      </c:layout>
      <c:barChart>
        <c:barDir val="col"/>
        <c:grouping val="clustered"/>
        <c:varyColors val="0"/>
        <c:ser>
          <c:idx val="1"/>
          <c:order val="0"/>
          <c:tx>
            <c:strRef>
              <c:f>Deaths!$I$4</c:f>
              <c:strCache>
                <c:ptCount val="1"/>
                <c:pt idx="0">
                  <c:v>New Infections (LHS)</c:v>
                </c:pt>
              </c:strCache>
            </c:strRef>
          </c:tx>
          <c:spPr>
            <a:solidFill>
              <a:schemeClr val="accent2">
                <a:lumMod val="60000"/>
                <a:lumOff val="40000"/>
              </a:schemeClr>
            </a:solidFill>
            <a:ln>
              <a:solidFill>
                <a:schemeClr val="accent2">
                  <a:lumMod val="60000"/>
                  <a:lumOff val="40000"/>
                </a:schemeClr>
              </a:solidFill>
            </a:ln>
            <a:effectLst/>
          </c:spPr>
          <c:invertIfNegative val="0"/>
          <c:val>
            <c:numRef>
              <c:f>Deaths!$I$5:$I$139</c:f>
              <c:numCache>
                <c:formatCode>General</c:formatCode>
                <c:ptCount val="135"/>
                <c:pt idx="0">
                  <c:v>1</c:v>
                </c:pt>
                <c:pt idx="1">
                  <c:v>2</c:v>
                </c:pt>
                <c:pt idx="2">
                  <c:v>2</c:v>
                </c:pt>
                <c:pt idx="3">
                  <c:v>2</c:v>
                </c:pt>
                <c:pt idx="4">
                  <c:v>3</c:v>
                </c:pt>
                <c:pt idx="5">
                  <c:v>3</c:v>
                </c:pt>
                <c:pt idx="6">
                  <c:v>3</c:v>
                </c:pt>
                <c:pt idx="7">
                  <c:v>4</c:v>
                </c:pt>
                <c:pt idx="8">
                  <c:v>4</c:v>
                </c:pt>
                <c:pt idx="9">
                  <c:v>5</c:v>
                </c:pt>
                <c:pt idx="10">
                  <c:v>5</c:v>
                </c:pt>
                <c:pt idx="11">
                  <c:v>6</c:v>
                </c:pt>
                <c:pt idx="12">
                  <c:v>7</c:v>
                </c:pt>
                <c:pt idx="13">
                  <c:v>8</c:v>
                </c:pt>
                <c:pt idx="14">
                  <c:v>9</c:v>
                </c:pt>
                <c:pt idx="15">
                  <c:v>10</c:v>
                </c:pt>
                <c:pt idx="16">
                  <c:v>11</c:v>
                </c:pt>
                <c:pt idx="17">
                  <c:v>12</c:v>
                </c:pt>
                <c:pt idx="18">
                  <c:v>14</c:v>
                </c:pt>
                <c:pt idx="19">
                  <c:v>16</c:v>
                </c:pt>
                <c:pt idx="20">
                  <c:v>17</c:v>
                </c:pt>
                <c:pt idx="21">
                  <c:v>19</c:v>
                </c:pt>
                <c:pt idx="22">
                  <c:v>23</c:v>
                </c:pt>
                <c:pt idx="23">
                  <c:v>25</c:v>
                </c:pt>
                <c:pt idx="24">
                  <c:v>28</c:v>
                </c:pt>
                <c:pt idx="25">
                  <c:v>31</c:v>
                </c:pt>
                <c:pt idx="26">
                  <c:v>35</c:v>
                </c:pt>
                <c:pt idx="27">
                  <c:v>39</c:v>
                </c:pt>
                <c:pt idx="28">
                  <c:v>43</c:v>
                </c:pt>
                <c:pt idx="29">
                  <c:v>48</c:v>
                </c:pt>
                <c:pt idx="30">
                  <c:v>53</c:v>
                </c:pt>
                <c:pt idx="31">
                  <c:v>59</c:v>
                </c:pt>
                <c:pt idx="32">
                  <c:v>65</c:v>
                </c:pt>
                <c:pt idx="33">
                  <c:v>71</c:v>
                </c:pt>
                <c:pt idx="34">
                  <c:v>79</c:v>
                </c:pt>
                <c:pt idx="35">
                  <c:v>86</c:v>
                </c:pt>
                <c:pt idx="36">
                  <c:v>95</c:v>
                </c:pt>
                <c:pt idx="37">
                  <c:v>104</c:v>
                </c:pt>
                <c:pt idx="38">
                  <c:v>113</c:v>
                </c:pt>
                <c:pt idx="39">
                  <c:v>123</c:v>
                </c:pt>
                <c:pt idx="40">
                  <c:v>134</c:v>
                </c:pt>
                <c:pt idx="41">
                  <c:v>145</c:v>
                </c:pt>
                <c:pt idx="42">
                  <c:v>156</c:v>
                </c:pt>
                <c:pt idx="43">
                  <c:v>168</c:v>
                </c:pt>
                <c:pt idx="44">
                  <c:v>180</c:v>
                </c:pt>
                <c:pt idx="45">
                  <c:v>191</c:v>
                </c:pt>
                <c:pt idx="46">
                  <c:v>203</c:v>
                </c:pt>
                <c:pt idx="47">
                  <c:v>214</c:v>
                </c:pt>
                <c:pt idx="48">
                  <c:v>225</c:v>
                </c:pt>
                <c:pt idx="49">
                  <c:v>235</c:v>
                </c:pt>
                <c:pt idx="50">
                  <c:v>245</c:v>
                </c:pt>
                <c:pt idx="51">
                  <c:v>253</c:v>
                </c:pt>
                <c:pt idx="52">
                  <c:v>260</c:v>
                </c:pt>
                <c:pt idx="53">
                  <c:v>265</c:v>
                </c:pt>
                <c:pt idx="54">
                  <c:v>269</c:v>
                </c:pt>
                <c:pt idx="55">
                  <c:v>272</c:v>
                </c:pt>
                <c:pt idx="56">
                  <c:v>272</c:v>
                </c:pt>
                <c:pt idx="57">
                  <c:v>271</c:v>
                </c:pt>
                <c:pt idx="58">
                  <c:v>268</c:v>
                </c:pt>
                <c:pt idx="59">
                  <c:v>264</c:v>
                </c:pt>
                <c:pt idx="60">
                  <c:v>258</c:v>
                </c:pt>
                <c:pt idx="61">
                  <c:v>250</c:v>
                </c:pt>
                <c:pt idx="62">
                  <c:v>242</c:v>
                </c:pt>
                <c:pt idx="63">
                  <c:v>232</c:v>
                </c:pt>
                <c:pt idx="64">
                  <c:v>222</c:v>
                </c:pt>
                <c:pt idx="65">
                  <c:v>211</c:v>
                </c:pt>
                <c:pt idx="66">
                  <c:v>199</c:v>
                </c:pt>
                <c:pt idx="67">
                  <c:v>188</c:v>
                </c:pt>
                <c:pt idx="68">
                  <c:v>176</c:v>
                </c:pt>
                <c:pt idx="69">
                  <c:v>164</c:v>
                </c:pt>
                <c:pt idx="70">
                  <c:v>152</c:v>
                </c:pt>
                <c:pt idx="71">
                  <c:v>141</c:v>
                </c:pt>
                <c:pt idx="72">
                  <c:v>130</c:v>
                </c:pt>
                <c:pt idx="73">
                  <c:v>120</c:v>
                </c:pt>
                <c:pt idx="74">
                  <c:v>110</c:v>
                </c:pt>
                <c:pt idx="75">
                  <c:v>101</c:v>
                </c:pt>
                <c:pt idx="76">
                  <c:v>92</c:v>
                </c:pt>
                <c:pt idx="77">
                  <c:v>84</c:v>
                </c:pt>
                <c:pt idx="78">
                  <c:v>76</c:v>
                </c:pt>
                <c:pt idx="79">
                  <c:v>69</c:v>
                </c:pt>
                <c:pt idx="80">
                  <c:v>63</c:v>
                </c:pt>
                <c:pt idx="81">
                  <c:v>57</c:v>
                </c:pt>
                <c:pt idx="82">
                  <c:v>51</c:v>
                </c:pt>
                <c:pt idx="83">
                  <c:v>46</c:v>
                </c:pt>
                <c:pt idx="84">
                  <c:v>42</c:v>
                </c:pt>
                <c:pt idx="85">
                  <c:v>37</c:v>
                </c:pt>
                <c:pt idx="86">
                  <c:v>34</c:v>
                </c:pt>
                <c:pt idx="87">
                  <c:v>30</c:v>
                </c:pt>
                <c:pt idx="88">
                  <c:v>27</c:v>
                </c:pt>
                <c:pt idx="89">
                  <c:v>24</c:v>
                </c:pt>
                <c:pt idx="90">
                  <c:v>22</c:v>
                </c:pt>
                <c:pt idx="91">
                  <c:v>19</c:v>
                </c:pt>
                <c:pt idx="92">
                  <c:v>17</c:v>
                </c:pt>
                <c:pt idx="93">
                  <c:v>16</c:v>
                </c:pt>
                <c:pt idx="94">
                  <c:v>14</c:v>
                </c:pt>
                <c:pt idx="95">
                  <c:v>12</c:v>
                </c:pt>
                <c:pt idx="96">
                  <c:v>11</c:v>
                </c:pt>
                <c:pt idx="97">
                  <c:v>10</c:v>
                </c:pt>
                <c:pt idx="98">
                  <c:v>9</c:v>
                </c:pt>
                <c:pt idx="99">
                  <c:v>8</c:v>
                </c:pt>
                <c:pt idx="100">
                  <c:v>7</c:v>
                </c:pt>
                <c:pt idx="101">
                  <c:v>6</c:v>
                </c:pt>
                <c:pt idx="102">
                  <c:v>5</c:v>
                </c:pt>
                <c:pt idx="103">
                  <c:v>5</c:v>
                </c:pt>
                <c:pt idx="104">
                  <c:v>4</c:v>
                </c:pt>
                <c:pt idx="105">
                  <c:v>4</c:v>
                </c:pt>
                <c:pt idx="106">
                  <c:v>3</c:v>
                </c:pt>
                <c:pt idx="107">
                  <c:v>3</c:v>
                </c:pt>
                <c:pt idx="108">
                  <c:v>3</c:v>
                </c:pt>
                <c:pt idx="109">
                  <c:v>2</c:v>
                </c:pt>
                <c:pt idx="110">
                  <c:v>2</c:v>
                </c:pt>
                <c:pt idx="111">
                  <c:v>2</c:v>
                </c:pt>
                <c:pt idx="112">
                  <c:v>2</c:v>
                </c:pt>
                <c:pt idx="113">
                  <c:v>1</c:v>
                </c:pt>
                <c:pt idx="114">
                  <c:v>1</c:v>
                </c:pt>
                <c:pt idx="115">
                  <c:v>1</c:v>
                </c:pt>
                <c:pt idx="116">
                  <c:v>1</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numCache>
            </c:numRef>
          </c:val>
          <c:extLst>
            <c:ext xmlns:c16="http://schemas.microsoft.com/office/drawing/2014/chart" uri="{C3380CC4-5D6E-409C-BE32-E72D297353CC}">
              <c16:uniqueId val="{00000000-F912-4CA5-9F69-F44E2BE3FFC7}"/>
            </c:ext>
          </c:extLst>
        </c:ser>
        <c:ser>
          <c:idx val="2"/>
          <c:order val="1"/>
          <c:tx>
            <c:strRef>
              <c:f>Deaths!$J$4</c:f>
              <c:strCache>
                <c:ptCount val="1"/>
                <c:pt idx="0">
                  <c:v>New Deaths (x 100, LHS)</c:v>
                </c:pt>
              </c:strCache>
            </c:strRef>
          </c:tx>
          <c:spPr>
            <a:solidFill>
              <a:schemeClr val="accent3"/>
            </a:solidFill>
            <a:ln>
              <a:solidFill>
                <a:schemeClr val="bg2">
                  <a:lumMod val="50000"/>
                </a:schemeClr>
              </a:solidFill>
            </a:ln>
            <a:effectLst/>
          </c:spPr>
          <c:invertIfNegative val="0"/>
          <c:val>
            <c:numRef>
              <c:f>Deaths!$J$5:$J$139</c:f>
              <c:numCache>
                <c:formatCode>General</c:formatCode>
                <c:ptCount val="13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0.25</c:v>
                </c:pt>
                <c:pt idx="28">
                  <c:v>0.5</c:v>
                </c:pt>
                <c:pt idx="29">
                  <c:v>0.5</c:v>
                </c:pt>
                <c:pt idx="30">
                  <c:v>0.5</c:v>
                </c:pt>
                <c:pt idx="31">
                  <c:v>0.75</c:v>
                </c:pt>
                <c:pt idx="32">
                  <c:v>0.75</c:v>
                </c:pt>
                <c:pt idx="33">
                  <c:v>0.75</c:v>
                </c:pt>
                <c:pt idx="34">
                  <c:v>1</c:v>
                </c:pt>
                <c:pt idx="35">
                  <c:v>1</c:v>
                </c:pt>
                <c:pt idx="36">
                  <c:v>1.25</c:v>
                </c:pt>
                <c:pt idx="37">
                  <c:v>1.25</c:v>
                </c:pt>
                <c:pt idx="38">
                  <c:v>1.5</c:v>
                </c:pt>
                <c:pt idx="39">
                  <c:v>1.75</c:v>
                </c:pt>
                <c:pt idx="40">
                  <c:v>2</c:v>
                </c:pt>
                <c:pt idx="41">
                  <c:v>2.25</c:v>
                </c:pt>
                <c:pt idx="42">
                  <c:v>2.5</c:v>
                </c:pt>
                <c:pt idx="43">
                  <c:v>2.75</c:v>
                </c:pt>
                <c:pt idx="44">
                  <c:v>3</c:v>
                </c:pt>
                <c:pt idx="45">
                  <c:v>3.5</c:v>
                </c:pt>
                <c:pt idx="46">
                  <c:v>4</c:v>
                </c:pt>
                <c:pt idx="47">
                  <c:v>4.25</c:v>
                </c:pt>
                <c:pt idx="48">
                  <c:v>4.75</c:v>
                </c:pt>
                <c:pt idx="49">
                  <c:v>5.75</c:v>
                </c:pt>
                <c:pt idx="50">
                  <c:v>6.25</c:v>
                </c:pt>
                <c:pt idx="51">
                  <c:v>7</c:v>
                </c:pt>
                <c:pt idx="52">
                  <c:v>7.75</c:v>
                </c:pt>
                <c:pt idx="53">
                  <c:v>8.75</c:v>
                </c:pt>
                <c:pt idx="54">
                  <c:v>9.75</c:v>
                </c:pt>
                <c:pt idx="55">
                  <c:v>10.75</c:v>
                </c:pt>
                <c:pt idx="56">
                  <c:v>12</c:v>
                </c:pt>
                <c:pt idx="57">
                  <c:v>13.25</c:v>
                </c:pt>
                <c:pt idx="58">
                  <c:v>14.75</c:v>
                </c:pt>
                <c:pt idx="59">
                  <c:v>16.25</c:v>
                </c:pt>
                <c:pt idx="60">
                  <c:v>17.75</c:v>
                </c:pt>
                <c:pt idx="61">
                  <c:v>19.75</c:v>
                </c:pt>
                <c:pt idx="62">
                  <c:v>21.5</c:v>
                </c:pt>
                <c:pt idx="63">
                  <c:v>23.75</c:v>
                </c:pt>
                <c:pt idx="64">
                  <c:v>26</c:v>
                </c:pt>
                <c:pt idx="65">
                  <c:v>28.25</c:v>
                </c:pt>
                <c:pt idx="66">
                  <c:v>30.75</c:v>
                </c:pt>
                <c:pt idx="67">
                  <c:v>33.5</c:v>
                </c:pt>
                <c:pt idx="68">
                  <c:v>36.25</c:v>
                </c:pt>
                <c:pt idx="69">
                  <c:v>39</c:v>
                </c:pt>
                <c:pt idx="70">
                  <c:v>42</c:v>
                </c:pt>
                <c:pt idx="71">
                  <c:v>45</c:v>
                </c:pt>
                <c:pt idx="72">
                  <c:v>47.75</c:v>
                </c:pt>
                <c:pt idx="73">
                  <c:v>50.75</c:v>
                </c:pt>
                <c:pt idx="74">
                  <c:v>53.5</c:v>
                </c:pt>
                <c:pt idx="75">
                  <c:v>56.25</c:v>
                </c:pt>
                <c:pt idx="76">
                  <c:v>58.75</c:v>
                </c:pt>
                <c:pt idx="77">
                  <c:v>61.25</c:v>
                </c:pt>
                <c:pt idx="78">
                  <c:v>63.25</c:v>
                </c:pt>
                <c:pt idx="79">
                  <c:v>65</c:v>
                </c:pt>
                <c:pt idx="80">
                  <c:v>66.25</c:v>
                </c:pt>
                <c:pt idx="81">
                  <c:v>67.25</c:v>
                </c:pt>
                <c:pt idx="82">
                  <c:v>68</c:v>
                </c:pt>
                <c:pt idx="83">
                  <c:v>68</c:v>
                </c:pt>
                <c:pt idx="84">
                  <c:v>67.75</c:v>
                </c:pt>
                <c:pt idx="85">
                  <c:v>67</c:v>
                </c:pt>
                <c:pt idx="86">
                  <c:v>66</c:v>
                </c:pt>
                <c:pt idx="87">
                  <c:v>64.5</c:v>
                </c:pt>
                <c:pt idx="88">
                  <c:v>62.5</c:v>
                </c:pt>
                <c:pt idx="89">
                  <c:v>60.5</c:v>
                </c:pt>
                <c:pt idx="90">
                  <c:v>58</c:v>
                </c:pt>
                <c:pt idx="91">
                  <c:v>55.5</c:v>
                </c:pt>
                <c:pt idx="92">
                  <c:v>52.75</c:v>
                </c:pt>
                <c:pt idx="93">
                  <c:v>49.75</c:v>
                </c:pt>
                <c:pt idx="94">
                  <c:v>47</c:v>
                </c:pt>
                <c:pt idx="95">
                  <c:v>44</c:v>
                </c:pt>
                <c:pt idx="96">
                  <c:v>41</c:v>
                </c:pt>
                <c:pt idx="97">
                  <c:v>38</c:v>
                </c:pt>
                <c:pt idx="98">
                  <c:v>35.25</c:v>
                </c:pt>
                <c:pt idx="99">
                  <c:v>32.5</c:v>
                </c:pt>
                <c:pt idx="100">
                  <c:v>30</c:v>
                </c:pt>
                <c:pt idx="101">
                  <c:v>27.5</c:v>
                </c:pt>
                <c:pt idx="102">
                  <c:v>25.25</c:v>
                </c:pt>
                <c:pt idx="103">
                  <c:v>23</c:v>
                </c:pt>
                <c:pt idx="104">
                  <c:v>21</c:v>
                </c:pt>
                <c:pt idx="105">
                  <c:v>19</c:v>
                </c:pt>
                <c:pt idx="106">
                  <c:v>17.25</c:v>
                </c:pt>
                <c:pt idx="107">
                  <c:v>15.75</c:v>
                </c:pt>
                <c:pt idx="108">
                  <c:v>14.25</c:v>
                </c:pt>
                <c:pt idx="109">
                  <c:v>12.75</c:v>
                </c:pt>
                <c:pt idx="110">
                  <c:v>11.5</c:v>
                </c:pt>
                <c:pt idx="111">
                  <c:v>10.5</c:v>
                </c:pt>
                <c:pt idx="112">
                  <c:v>9.25</c:v>
                </c:pt>
                <c:pt idx="113">
                  <c:v>8.5</c:v>
                </c:pt>
                <c:pt idx="114">
                  <c:v>7.5</c:v>
                </c:pt>
                <c:pt idx="115">
                  <c:v>6.75</c:v>
                </c:pt>
                <c:pt idx="116">
                  <c:v>6</c:v>
                </c:pt>
                <c:pt idx="117">
                  <c:v>5.5</c:v>
                </c:pt>
                <c:pt idx="118">
                  <c:v>4.75</c:v>
                </c:pt>
                <c:pt idx="119">
                  <c:v>4.25</c:v>
                </c:pt>
                <c:pt idx="120">
                  <c:v>4</c:v>
                </c:pt>
                <c:pt idx="121">
                  <c:v>3.5</c:v>
                </c:pt>
                <c:pt idx="122">
                  <c:v>3</c:v>
                </c:pt>
                <c:pt idx="123">
                  <c:v>2.75</c:v>
                </c:pt>
                <c:pt idx="124">
                  <c:v>2.5</c:v>
                </c:pt>
                <c:pt idx="125">
                  <c:v>2.25</c:v>
                </c:pt>
                <c:pt idx="126">
                  <c:v>2</c:v>
                </c:pt>
                <c:pt idx="127">
                  <c:v>1.75</c:v>
                </c:pt>
                <c:pt idx="128">
                  <c:v>1.5</c:v>
                </c:pt>
                <c:pt idx="129">
                  <c:v>1.25</c:v>
                </c:pt>
                <c:pt idx="130">
                  <c:v>1.25</c:v>
                </c:pt>
                <c:pt idx="131">
                  <c:v>1</c:v>
                </c:pt>
                <c:pt idx="132">
                  <c:v>1</c:v>
                </c:pt>
                <c:pt idx="133">
                  <c:v>0.75</c:v>
                </c:pt>
                <c:pt idx="134">
                  <c:v>0.75</c:v>
                </c:pt>
              </c:numCache>
            </c:numRef>
          </c:val>
          <c:extLst>
            <c:ext xmlns:c16="http://schemas.microsoft.com/office/drawing/2014/chart" uri="{C3380CC4-5D6E-409C-BE32-E72D297353CC}">
              <c16:uniqueId val="{00000001-F912-4CA5-9F69-F44E2BE3FFC7}"/>
            </c:ext>
          </c:extLst>
        </c:ser>
        <c:dLbls>
          <c:showLegendKey val="0"/>
          <c:showVal val="0"/>
          <c:showCatName val="0"/>
          <c:showSerName val="0"/>
          <c:showPercent val="0"/>
          <c:showBubbleSize val="0"/>
        </c:dLbls>
        <c:gapWidth val="40"/>
        <c:axId val="1639928464"/>
        <c:axId val="1639920144"/>
      </c:barChart>
      <c:lineChart>
        <c:grouping val="standard"/>
        <c:varyColors val="0"/>
        <c:ser>
          <c:idx val="0"/>
          <c:order val="2"/>
          <c:tx>
            <c:strRef>
              <c:f>Deaths!$K$4</c:f>
              <c:strCache>
                <c:ptCount val="1"/>
                <c:pt idx="0">
                  <c:v>Cumulative Deaths (x 100, RHS)</c:v>
                </c:pt>
              </c:strCache>
            </c:strRef>
          </c:tx>
          <c:spPr>
            <a:ln w="19050" cap="rnd">
              <a:solidFill>
                <a:schemeClr val="bg2">
                  <a:lumMod val="25000"/>
                  <a:alpha val="61000"/>
                </a:schemeClr>
              </a:solidFill>
              <a:round/>
            </a:ln>
            <a:effectLst/>
          </c:spPr>
          <c:marker>
            <c:symbol val="none"/>
          </c:marker>
          <c:val>
            <c:numRef>
              <c:f>Deaths!$K$5:$K$139</c:f>
              <c:numCache>
                <c:formatCode>General</c:formatCode>
                <c:ptCount val="135"/>
                <c:pt idx="26" formatCode="0">
                  <c:v>0</c:v>
                </c:pt>
                <c:pt idx="27" formatCode="0">
                  <c:v>0.25</c:v>
                </c:pt>
                <c:pt idx="28" formatCode="0">
                  <c:v>0.75</c:v>
                </c:pt>
                <c:pt idx="29" formatCode="0">
                  <c:v>1.25</c:v>
                </c:pt>
                <c:pt idx="30" formatCode="0">
                  <c:v>1.75</c:v>
                </c:pt>
                <c:pt idx="31" formatCode="0">
                  <c:v>2.5</c:v>
                </c:pt>
                <c:pt idx="32" formatCode="0">
                  <c:v>3.25</c:v>
                </c:pt>
                <c:pt idx="33" formatCode="0">
                  <c:v>4</c:v>
                </c:pt>
                <c:pt idx="34" formatCode="0">
                  <c:v>5</c:v>
                </c:pt>
                <c:pt idx="35" formatCode="0">
                  <c:v>6</c:v>
                </c:pt>
                <c:pt idx="36" formatCode="0">
                  <c:v>7</c:v>
                </c:pt>
                <c:pt idx="37" formatCode="0">
                  <c:v>8</c:v>
                </c:pt>
                <c:pt idx="38" formatCode="0">
                  <c:v>9</c:v>
                </c:pt>
                <c:pt idx="39" formatCode="0">
                  <c:v>10</c:v>
                </c:pt>
                <c:pt idx="40" formatCode="0">
                  <c:v>12</c:v>
                </c:pt>
                <c:pt idx="41" formatCode="0">
                  <c:v>14</c:v>
                </c:pt>
                <c:pt idx="42" formatCode="0">
                  <c:v>16</c:v>
                </c:pt>
                <c:pt idx="43" formatCode="0">
                  <c:v>18</c:v>
                </c:pt>
                <c:pt idx="44" formatCode="0">
                  <c:v>21</c:v>
                </c:pt>
                <c:pt idx="45" formatCode="0">
                  <c:v>24</c:v>
                </c:pt>
                <c:pt idx="46" formatCode="0">
                  <c:v>28</c:v>
                </c:pt>
                <c:pt idx="47" formatCode="0">
                  <c:v>32</c:v>
                </c:pt>
                <c:pt idx="48" formatCode="0">
                  <c:v>36</c:v>
                </c:pt>
                <c:pt idx="49" formatCode="0">
                  <c:v>41</c:v>
                </c:pt>
                <c:pt idx="50" formatCode="0">
                  <c:v>47</c:v>
                </c:pt>
                <c:pt idx="51" formatCode="0">
                  <c:v>54</c:v>
                </c:pt>
                <c:pt idx="52" formatCode="0">
                  <c:v>61</c:v>
                </c:pt>
                <c:pt idx="53" formatCode="0">
                  <c:v>69</c:v>
                </c:pt>
                <c:pt idx="54" formatCode="0">
                  <c:v>78</c:v>
                </c:pt>
                <c:pt idx="55" formatCode="0">
                  <c:v>88</c:v>
                </c:pt>
                <c:pt idx="56" formatCode="0">
                  <c:v>100</c:v>
                </c:pt>
                <c:pt idx="57" formatCode="0">
                  <c:v>113</c:v>
                </c:pt>
                <c:pt idx="58" formatCode="0">
                  <c:v>127</c:v>
                </c:pt>
                <c:pt idx="59" formatCode="0">
                  <c:v>143</c:v>
                </c:pt>
                <c:pt idx="60" formatCode="0">
                  <c:v>160</c:v>
                </c:pt>
                <c:pt idx="61" formatCode="0">
                  <c:v>179</c:v>
                </c:pt>
                <c:pt idx="62" formatCode="0">
                  <c:v>200</c:v>
                </c:pt>
                <c:pt idx="63" formatCode="0">
                  <c:v>223</c:v>
                </c:pt>
                <c:pt idx="64" formatCode="0">
                  <c:v>249</c:v>
                </c:pt>
                <c:pt idx="65" formatCode="0">
                  <c:v>277</c:v>
                </c:pt>
                <c:pt idx="66" formatCode="0">
                  <c:v>307</c:v>
                </c:pt>
                <c:pt idx="67" formatCode="0">
                  <c:v>340</c:v>
                </c:pt>
                <c:pt idx="68" formatCode="0">
                  <c:v>376</c:v>
                </c:pt>
                <c:pt idx="69" formatCode="0">
                  <c:v>415</c:v>
                </c:pt>
                <c:pt idx="70" formatCode="0">
                  <c:v>457</c:v>
                </c:pt>
                <c:pt idx="71" formatCode="0">
                  <c:v>502</c:v>
                </c:pt>
                <c:pt idx="72" formatCode="0">
                  <c:v>549</c:v>
                </c:pt>
                <c:pt idx="73" formatCode="0">
                  <c:v>599</c:v>
                </c:pt>
                <c:pt idx="74" formatCode="0">
                  <c:v>652</c:v>
                </c:pt>
                <c:pt idx="75" formatCode="0">
                  <c:v>708</c:v>
                </c:pt>
                <c:pt idx="76" formatCode="0">
                  <c:v>766</c:v>
                </c:pt>
                <c:pt idx="77" formatCode="0">
                  <c:v>827</c:v>
                </c:pt>
                <c:pt idx="78" formatCode="0">
                  <c:v>890</c:v>
                </c:pt>
                <c:pt idx="79" formatCode="0">
                  <c:v>955</c:v>
                </c:pt>
                <c:pt idx="80" formatCode="0">
                  <c:v>1021</c:v>
                </c:pt>
                <c:pt idx="81" formatCode="0">
                  <c:v>1088</c:v>
                </c:pt>
                <c:pt idx="82" formatCode="0">
                  <c:v>1156</c:v>
                </c:pt>
                <c:pt idx="83" formatCode="0">
                  <c:v>1224</c:v>
                </c:pt>
                <c:pt idx="84" formatCode="0">
                  <c:v>1291</c:v>
                </c:pt>
                <c:pt idx="85" formatCode="0">
                  <c:v>1358</c:v>
                </c:pt>
                <c:pt idx="86" formatCode="0">
                  <c:v>1424</c:v>
                </c:pt>
                <c:pt idx="87" formatCode="0">
                  <c:v>1488</c:v>
                </c:pt>
                <c:pt idx="88" formatCode="0">
                  <c:v>1550</c:v>
                </c:pt>
                <c:pt idx="89" formatCode="0">
                  <c:v>1610</c:v>
                </c:pt>
                <c:pt idx="90" formatCode="0">
                  <c:v>1668</c:v>
                </c:pt>
                <c:pt idx="91" formatCode="0">
                  <c:v>1723</c:v>
                </c:pt>
                <c:pt idx="92" formatCode="0">
                  <c:v>1775</c:v>
                </c:pt>
                <c:pt idx="93" formatCode="0">
                  <c:v>1824</c:v>
                </c:pt>
                <c:pt idx="94" formatCode="0">
                  <c:v>1871</c:v>
                </c:pt>
                <c:pt idx="95" formatCode="0">
                  <c:v>1915</c:v>
                </c:pt>
                <c:pt idx="96" formatCode="0">
                  <c:v>1956</c:v>
                </c:pt>
                <c:pt idx="97" formatCode="0">
                  <c:v>1994</c:v>
                </c:pt>
                <c:pt idx="98" formatCode="0">
                  <c:v>2029</c:v>
                </c:pt>
                <c:pt idx="99" formatCode="0">
                  <c:v>2061</c:v>
                </c:pt>
                <c:pt idx="100" formatCode="0">
                  <c:v>2091</c:v>
                </c:pt>
                <c:pt idx="101" formatCode="0">
                  <c:v>2118</c:v>
                </c:pt>
                <c:pt idx="102" formatCode="0">
                  <c:v>2143</c:v>
                </c:pt>
                <c:pt idx="103" formatCode="0">
                  <c:v>2166</c:v>
                </c:pt>
                <c:pt idx="104" formatCode="0">
                  <c:v>2187</c:v>
                </c:pt>
                <c:pt idx="105" formatCode="0">
                  <c:v>2206</c:v>
                </c:pt>
                <c:pt idx="106" formatCode="0">
                  <c:v>2223</c:v>
                </c:pt>
                <c:pt idx="107" formatCode="0">
                  <c:v>2238</c:v>
                </c:pt>
                <c:pt idx="108" formatCode="0">
                  <c:v>2252</c:v>
                </c:pt>
                <c:pt idx="109" formatCode="0">
                  <c:v>2264</c:v>
                </c:pt>
                <c:pt idx="110" formatCode="0">
                  <c:v>2275</c:v>
                </c:pt>
                <c:pt idx="111" formatCode="0">
                  <c:v>2285</c:v>
                </c:pt>
                <c:pt idx="112" formatCode="0">
                  <c:v>2294</c:v>
                </c:pt>
                <c:pt idx="113" formatCode="0">
                  <c:v>2302</c:v>
                </c:pt>
                <c:pt idx="114" formatCode="0">
                  <c:v>2309</c:v>
                </c:pt>
                <c:pt idx="115" formatCode="0">
                  <c:v>2315</c:v>
                </c:pt>
                <c:pt idx="116" formatCode="0">
                  <c:v>2321</c:v>
                </c:pt>
                <c:pt idx="117" formatCode="0">
                  <c:v>2326</c:v>
                </c:pt>
                <c:pt idx="118" formatCode="0">
                  <c:v>2330</c:v>
                </c:pt>
                <c:pt idx="119" formatCode="0">
                  <c:v>2334</c:v>
                </c:pt>
                <c:pt idx="120" formatCode="0">
                  <c:v>2338</c:v>
                </c:pt>
                <c:pt idx="121" formatCode="0">
                  <c:v>2341</c:v>
                </c:pt>
                <c:pt idx="122" formatCode="0">
                  <c:v>2344</c:v>
                </c:pt>
                <c:pt idx="123" formatCode="0">
                  <c:v>2346</c:v>
                </c:pt>
                <c:pt idx="124" formatCode="0">
                  <c:v>2348</c:v>
                </c:pt>
                <c:pt idx="125" formatCode="0">
                  <c:v>2350</c:v>
                </c:pt>
                <c:pt idx="126" formatCode="0">
                  <c:v>2352</c:v>
                </c:pt>
                <c:pt idx="127" formatCode="0">
                  <c:v>2353</c:v>
                </c:pt>
                <c:pt idx="128" formatCode="0">
                  <c:v>2354</c:v>
                </c:pt>
                <c:pt idx="129" formatCode="0">
                  <c:v>2355</c:v>
                </c:pt>
                <c:pt idx="130" formatCode="0">
                  <c:v>2356</c:v>
                </c:pt>
                <c:pt idx="131" formatCode="0">
                  <c:v>2357</c:v>
                </c:pt>
                <c:pt idx="132" formatCode="0">
                  <c:v>2358</c:v>
                </c:pt>
                <c:pt idx="133" formatCode="0">
                  <c:v>2358</c:v>
                </c:pt>
                <c:pt idx="134" formatCode="0">
                  <c:v>2358</c:v>
                </c:pt>
              </c:numCache>
            </c:numRef>
          </c:val>
          <c:smooth val="0"/>
          <c:extLst>
            <c:ext xmlns:c16="http://schemas.microsoft.com/office/drawing/2014/chart" uri="{C3380CC4-5D6E-409C-BE32-E72D297353CC}">
              <c16:uniqueId val="{00000002-F912-4CA5-9F69-F44E2BE3FFC7}"/>
            </c:ext>
          </c:extLst>
        </c:ser>
        <c:dLbls>
          <c:showLegendKey val="0"/>
          <c:showVal val="0"/>
          <c:showCatName val="0"/>
          <c:showSerName val="0"/>
          <c:showPercent val="0"/>
          <c:showBubbleSize val="0"/>
        </c:dLbls>
        <c:marker val="1"/>
        <c:smooth val="0"/>
        <c:axId val="1337891984"/>
        <c:axId val="1337890736"/>
      </c:lineChart>
      <c:catAx>
        <c:axId val="1639928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Since First Infection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9920144"/>
        <c:crosses val="autoZero"/>
        <c:auto val="1"/>
        <c:lblAlgn val="ctr"/>
        <c:lblOffset val="100"/>
        <c:tickLblSkip val="10"/>
        <c:noMultiLvlLbl val="0"/>
      </c:catAx>
      <c:valAx>
        <c:axId val="1639920144"/>
        <c:scaling>
          <c:orientation val="minMax"/>
          <c:max val="5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New Infections, New Deaths (x 100)</a:t>
                </a:r>
              </a:p>
            </c:rich>
          </c:tx>
          <c:layout>
            <c:manualLayout>
              <c:xMode val="edge"/>
              <c:yMode val="edge"/>
              <c:x val="9.8400596701218228E-5"/>
              <c:y val="0.19231980617807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9928464"/>
        <c:crosses val="autoZero"/>
        <c:crossBetween val="between"/>
        <c:majorUnit val="100"/>
      </c:valAx>
      <c:valAx>
        <c:axId val="1337890736"/>
        <c:scaling>
          <c:orientation val="minMax"/>
          <c:max val="2500"/>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Cumulative Deaths (x 100)</a:t>
                </a:r>
              </a:p>
            </c:rich>
          </c:tx>
          <c:layout>
            <c:manualLayout>
              <c:xMode val="edge"/>
              <c:yMode val="edge"/>
              <c:x val="0.96199690234921587"/>
              <c:y val="0.268312888136434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891984"/>
        <c:crosses val="max"/>
        <c:crossBetween val="between"/>
      </c:valAx>
      <c:catAx>
        <c:axId val="1337891984"/>
        <c:scaling>
          <c:orientation val="minMax"/>
        </c:scaling>
        <c:delete val="1"/>
        <c:axPos val="b"/>
        <c:majorTickMark val="out"/>
        <c:minorTickMark val="none"/>
        <c:tickLblPos val="nextTo"/>
        <c:crossAx val="1337890736"/>
        <c:crosses val="autoZero"/>
        <c:auto val="1"/>
        <c:lblAlgn val="ctr"/>
        <c:lblOffset val="100"/>
        <c:noMultiLvlLbl val="0"/>
      </c:catAx>
      <c:spPr>
        <a:noFill/>
        <a:ln>
          <a:noFill/>
        </a:ln>
        <a:effectLst/>
      </c:spPr>
    </c:plotArea>
    <c:legend>
      <c:legendPos val="b"/>
      <c:layout>
        <c:manualLayout>
          <c:xMode val="edge"/>
          <c:yMode val="edge"/>
          <c:x val="9.0224298885716203E-2"/>
          <c:y val="0.12064196150145338"/>
          <c:w val="0.4039133208785583"/>
          <c:h val="0.178043687437342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7BC3-6BBB-4625-ABC6-1CABC241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Gibson</dc:creator>
  <cp:lastModifiedBy>John Gibson</cp:lastModifiedBy>
  <cp:revision>7</cp:revision>
  <cp:lastPrinted>2020-09-09T09:57:00Z</cp:lastPrinted>
  <dcterms:created xsi:type="dcterms:W3CDTF">2020-09-09T08:40:00Z</dcterms:created>
  <dcterms:modified xsi:type="dcterms:W3CDTF">2020-09-09T10:01:00Z</dcterms:modified>
</cp:coreProperties>
</file>